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2. Новая долина — быстрорастущий город агломерации</w:t>
      </w:r>
    </w:p>
    <w:p>
      <w:pPr>
        <w:pBdr>
          <w:left w:val="single" w:color="2A78D6" w:sz="18" w:space="8"/>
        </w:pBdr>
        <w:spacing w:after="60"/>
        <w:ind w:left="200"/>
      </w:pPr>
      <w:r>
        <w:rPr>
          <w:color w:val="404040"/>
        </w:rPr>
        <w:t xml:space="preserve">Материалы жюри. Общая часть — как оценивать.</w:t>
      </w:r>
    </w:p>
    <w:p>
      <w:pPr>
        <w:spacing w:after="100"/>
      </w:pPr>
      <w:r>
        <w:rPr>
          <w:b/>
          <w:bCs/>
        </w:rPr>
        <w:t xml:space="preserve">Ключевые цифры карточки: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население выросло на 14% за 5 лет;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средний возраст — 34 года;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31% занятых работают в IT и услугах;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мест в школах не хватает на 11%;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поездка в час пик занимает 57 минут;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аренда выросла на 23%.</w:t>
      </w:r>
    </w:p>
    <w:p>
      <w:pPr>
        <w:spacing w:after="100"/>
      </w:pPr>
      <w:r>
        <w:rPr>
          <w:b/>
          <w:bCs/>
        </w:rPr>
        <w:t xml:space="preserve">Особенности старта:</w:t>
      </w:r>
      <w:r>
        <w:t xml:space="preserve"> высокие Адаптивность 7 и Человеческий капитал 7. Самая слабая — </w:t>
      </w:r>
      <w:r>
        <w:rPr>
          <w:b/>
          <w:bCs/>
        </w:rPr>
        <w:t xml:space="preserve">Инфраструктура 4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Стартовые показатели (шкала 1–10):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1745"/>
        <w:gridCol w:w="1784"/>
        <w:gridCol w:w="1114"/>
        <w:gridCol w:w="1695"/>
        <w:gridCol w:w="1561"/>
        <w:gridCol w:w="782"/>
      </w:tblGrid>
      <w:tr>
        <w:trPr>
          <w:tblHeader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Экономика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Социальная устойчивость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Инфраструктура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Экология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Человеческий капитал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Адаптивность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Сумма</w:t>
            </w:r>
          </w:p>
        </w:tc>
      </w:tr>
      <w:tr>
        <w:trPr>
          <w:tblHeader w:val="false"/>
        </w:trPr>
        <w:tc>
          <w:tcPr>
            <w:tcW w:type="dxa" w:w="1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36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Ожидаемые ответы</w:t>
      </w:r>
    </w:p>
    <w:p>
      <w:pPr>
        <w:pStyle w:val="Heading3"/>
      </w:pPr>
      <w:r>
        <w:t xml:space="preserve">Диагностика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8"/>
        <w:gridCol w:w="7478"/>
      </w:tblGrid>
      <w:tr>
        <w:trPr>
          <w:tblHeader/>
        </w:trPr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Тренды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приток населения и массовое жилищное строительство (ещё 25 тыс. квартир); рост стоимости жилья и аренды; перегрузка транспорта; удалённая работа (38% квалифицированных жителей)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Драйверы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миграция в агломерацию; девелоперы; рост IT и онлайн-сервисов; капитальные расходы опережают доходы бюджета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Слабые сигналы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стартапам не хватает офисных и лабораторных помещений (сигнал 4); удалённая работа может изменить транспортный спрос (сигнал 2)</w:t>
            </w:r>
          </w:p>
        </w:tc>
      </w:tr>
      <w:tr>
        <w:trPr>
          <w:tblHeader w:val="false"/>
        </w:trPr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Три главные проблемы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инфраструктура не успевает за ростом (школы, поликлиники); транспортная перегрузка; дорогое жильё. Неуправляемое разрастание тоже засчитывается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Требования родителей (сигнал 5) — уже </w:t>
      </w:r>
      <w:r>
        <w:rPr>
          <w:b/>
          <w:bCs/>
        </w:rPr>
        <w:t xml:space="preserve">сильный</w:t>
      </w:r>
      <w:r>
        <w:t xml:space="preserve"> сигнал. Если команда назвала его слабым, это повод для короткого обсуждения.</w:t>
      </w:r>
    </w:p>
    <w:p>
      <w:pPr>
        <w:pStyle w:val="Heading3"/>
      </w:pPr>
      <w:r>
        <w:t xml:space="preserve">Критические неопределённости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66"/>
        <w:gridCol w:w="2476"/>
        <w:gridCol w:w="2714"/>
      </w:tblGrid>
      <w:tr>
        <w:trPr>
          <w:tblHeader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Ось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А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Полюс Б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Почему критична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Темп притока населения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рост продолжается (&gt; 2% в год)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рост останавливается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определяет, нужны ли новые районы и школы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Формат работы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удалёнка массовая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возврат в офисы мегаполиса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определяет транспорт и спрос на жильё рядом с домом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Финансирование инфраструктуры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регион и федерация помогают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город справляется сам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хватит ли денег догнать рост</w:t>
            </w:r>
          </w:p>
        </w:tc>
      </w:tr>
      <w:tr>
        <w:trPr>
          <w:tblHeader w:val="false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Цены на жильё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продолжают расти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стабилизируются</w:t>
            </w:r>
          </w:p>
        </w:tc>
        <w:tc>
          <w:tcPr>
            <w:tcW w:type="dxa" w:w="2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кто сможет жить в городе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Сильная пара: </w:t>
      </w:r>
      <w:r>
        <w:rPr>
          <w:b/>
          <w:bCs/>
        </w:rPr>
        <w:t xml:space="preserve">приток × формат работы</w:t>
      </w:r>
      <w:r>
        <w:t xml:space="preserve">. Ошибка: «рост населения × строительство жилья» — это одна ось.</w:t>
      </w:r>
    </w:p>
    <w:p>
      <w:pPr>
        <w:pStyle w:val="Heading3"/>
      </w:pPr>
      <w:r>
        <w:t xml:space="preserve">Пример сценариев (приток × формат работы)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660"/>
        <w:gridCol w:w="3769"/>
      </w:tblGrid>
      <w:tr>
        <w:trPr>
          <w:tblHeader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Массовая удалёнка</w:t>
            </w:r>
          </w:p>
        </w:tc>
        <w:tc>
          <w:tcPr>
            <w:tcW w:type="dxa" w:w="3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Возврат в офисы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Рост продолжается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«Цифровой пригород»: нужны школы, коворкинги, сервисы рядом с домом</w:t>
            </w:r>
          </w:p>
        </w:tc>
        <w:tc>
          <w:tcPr>
            <w:tcW w:type="dxa" w:w="3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«Спальня в пробке»: транспортный коллапс, перегрузка соцобъектов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Рост останавливается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«Тихая гавань»: комфортный город для своих</w:t>
            </w:r>
          </w:p>
        </w:tc>
        <w:tc>
          <w:tcPr>
            <w:tcW w:type="dxa" w:w="3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«Пустеющие новостройки»: лишние районы и долги за их содержание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Меры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Устойчивые: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M9 — соцынфраструктура: нужна при любом росте, защищает от J-6;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M8 — адаптивный транспорт: при росте, при офисной работе, при изменении потоков;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M13, M4, M6.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Сценарно-зависимые — условные (в кавычках — когда запускать)</w:t>
      </w:r>
      <w:r>
        <w:t xml:space="preserve">, классический пример опциона: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M11 «Новый жилой район»</w:t>
      </w:r>
      <w:r>
        <w:t xml:space="preserve"> — «прирост населения &gt; 2% в год три года подряд»;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M12 — триггер на турпоток;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M10 — только </w:t>
      </w:r>
      <w:r>
        <w:rPr>
          <w:b/>
          <w:bCs/>
        </w:rPr>
        <w:t xml:space="preserve">вместе с M4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Ловушки: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M11 </w:t>
      </w:r>
      <w:r>
        <w:rPr>
          <w:b/>
          <w:bCs/>
        </w:rPr>
        <w:t xml:space="preserve">полной</w:t>
      </w:r>
      <w:r>
        <w:t xml:space="preserve"> — ставка на один сценарий (рост продолжается);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M10 без M4 — кибератака подорожает с 15 до 20.</w:t>
      </w:r>
    </w:p>
    <w:p>
      <w:pPr>
        <w:pStyle w:val="Heading2"/>
      </w:pPr>
      <w:r>
        <w:t xml:space="preserve">Лучшие исходы</w:t>
      </w:r>
    </w:p>
    <w:p>
      <w:pPr>
        <w:pStyle w:val="Heading3"/>
      </w:pPr>
      <w:r>
        <w:t xml:space="preserve">Лучшие портфели модели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5"/>
        <w:gridCol w:w="1429"/>
        <w:gridCol w:w="798"/>
        <w:gridCol w:w="4854"/>
      </w:tblGrid>
      <w:tr>
        <w:trPr>
          <w:tblHeader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Сейчас, у.е.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Рост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Чем хорош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M4, M13.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M8, M15, M5, M2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19,2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25 → 15, J-2 15 → 5, J-3 20 → 7, J-4 30 → 20, J-8 18 → 7; запускает все подготовленные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M15, M13.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M5, M8, M6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19,1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Без M4: дешёвый старт, J-8 18 → 7, J-3 20 → 7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Полные:</w:t>
            </w:r>
            <w:r>
              <w:rPr>
                <w:sz w:val="18"/>
                <w:szCs w:val="18"/>
              </w:rPr>
              <w:t xml:space="preserve"> M6, M2, M15. </w:t>
            </w:r>
            <w:r>
              <w:rPr>
                <w:b/>
                <w:bCs/>
                <w:sz w:val="18"/>
                <w:szCs w:val="18"/>
              </w:rPr>
              <w:t xml:space="preserve">Условные:</w:t>
            </w:r>
            <w:r>
              <w:rPr>
                <w:sz w:val="18"/>
                <w:szCs w:val="18"/>
              </w:rPr>
              <w:t xml:space="preserve"> M1, M13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19,0</w:t>
            </w:r>
          </w:p>
        </w:tc>
        <w:tc>
          <w:tcPr>
            <w:tcW w:type="dxa" w:w="4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30 → 20, J-5 22 → 7 (M1)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Для сравнения: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«две полные + всё остальное подготовить», запуск по средствам — 11,8;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«подготовить всё и ничего не запускать» — 8,0;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жадный (всё полными) — 17,0;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копить — 8,0;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медиана — 11,5.</w:t>
      </w:r>
    </w:p>
    <w:p>
      <w:pPr>
        <w:pStyle w:val="Heading3"/>
      </w:pPr>
      <w:r>
        <w:t xml:space="preserve">Оценка за результат</w:t>
      </w:r>
    </w:p>
    <w:p>
      <w:pPr>
        <w:pStyle w:val="Heading4"/>
      </w:pPr>
      <w:r>
        <w:t xml:space="preserve">Какой рост какую оценку даёт (в среднем по 64 парам джокеров)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5"/>
        <w:gridCol w:w="920"/>
        <w:gridCol w:w="920"/>
        <w:gridCol w:w="920"/>
        <w:gridCol w:w="920"/>
        <w:gridCol w:w="920"/>
        <w:gridCol w:w="920"/>
        <w:gridCol w:w="920"/>
        <w:gridCol w:w="921"/>
      </w:tblGrid>
      <w:tr>
        <w:trPr>
          <w:tblHeader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Рост команды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+18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+20</w:t>
            </w:r>
          </w:p>
        </w:tc>
      </w:tr>
      <w:tr>
        <w:trPr>
          <w:tblHeader w:val="false"/>
        </w:trPr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Оценка из 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2,7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4,1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6,0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7,6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8,4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9,2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9,8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Точная оценка зависит от выпавших джокеров: при тяжёлом негативном джокере тот же рост стоит выше. Она уже посчитана в PDF команды (раздел 5).</w:t>
      </w:r>
    </w:p>
    <w:p>
      <w:pPr>
        <w:pStyle w:val="Heading4"/>
      </w:pPr>
      <w:r>
        <w:t xml:space="preserve">Ориентиры по негативному джокеру (среднее по 8 положительным)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3"/>
        <w:gridCol w:w="1407"/>
        <w:gridCol w:w="1399"/>
        <w:gridCol w:w="1884"/>
        <w:gridCol w:w="2363"/>
      </w:tblGrid>
      <w:tr>
        <w:trPr>
          <w:tblHeader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Негативный джокер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Медиана → 5/10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Лучшие 10% → 8/10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Устойчивый портфель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Лучший при известных джокерах → 10/10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J-1 «Паводок»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+11,3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+15,0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+21,6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J-2 «Кибератака»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+15,5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J-3 «Отток молодежи»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+20,8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J-4 «Закрытие крупного работодателя»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+10,9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+14,4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+16,9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+19,3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J-5 «Авария коммунальных сетей»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+15,3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+18,4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+20,3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J-6 «Кадровый кризис в соцсфере»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+18,6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+20,4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J-7 «Бюджетный шок»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+15,4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+18,6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+20,0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J-8 «Экологический инцидент»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+11,5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+15,6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+21,3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+21,6</w:t>
            </w:r>
          </w:p>
        </w:tc>
      </w:tr>
      <w:tr>
        <w:trPr>
          <w:tblHeader w:val="false"/>
        </w:trPr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Все пары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+11,4</w:t>
            </w:r>
          </w:p>
        </w:tc>
        <w:tc>
          <w:tcPr>
            <w:tcW w:type="dxa" w:w="13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+15,2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+19,2</w:t>
            </w:r>
          </w:p>
        </w:tc>
        <w:tc>
          <w:tcPr>
            <w:tcW w:type="dxa" w:w="2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+20,5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На что смотреть жюри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Диагностика:</w:t>
      </w:r>
      <w:r>
        <w:t xml:space="preserve"> различают ли рост населения (тренд) и требования родителей (уже сильный, а не слабый сигнал).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Оси:</w:t>
      </w:r>
      <w:r>
        <w:t xml:space="preserve"> «приток × формат работы» — сильно; «рост населения × строительство жилья» — одна ось.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Меры:</w:t>
      </w:r>
      <w:r>
        <w:t xml:space="preserve"> M8 транспорт и M9 соцобъекты — ответ на главную боль; M10 только вместе с M4.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Опционы:</w:t>
      </w:r>
      <w:r>
        <w:t xml:space="preserve"> классика — M11 «Новый жилой район» условной «на случай, если рост продолжится». Если команда запустила M11 на закрытии, спросите, какой показатель это оправдал.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Ловушка:</w:t>
      </w:r>
      <w:r>
        <w:t xml:space="preserve"> M11 полной — ставка на один сценарий.</w:t>
      </w:r>
    </w:p>
    <w:p>
      <w:pPr>
        <w:spacing w:after="100"/>
      </w:pPr>
      <w:r>
        <w:rPr>
          <w:b/>
          <w:bCs/>
        </w:rPr>
        <w:t xml:space="preserve">Тема для рефлексии:</w:t>
      </w:r>
      <w:r>
        <w:t xml:space="preserve"> M11 «Новый жилой район» не входит ни в один лучший портфель, хотя город быстро растёт: 30 у.е. за +4 балла дороже, чем транспорт, школы и молодёжь. Спросите команду, что она подготовила «на случай, если рост продолжится», и запустила ли это на бюджет следующего года. Это и есть «реальный опцион»: малая цена сейчас за право решить позже.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Материалы жюри · только для жюри и ведущих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D3F6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A78D6" w:sz="6" w:space="2"/>
      </w:pBdr>
      <w:spacing w:after="120" w:before="280"/>
      <w:outlineLvl w:val="1"/>
    </w:pPr>
    <w:rPr>
      <w:rFonts w:ascii="Calibri" w:cs="Calibri" w:eastAsia="Calibri" w:hAnsi="Calibri"/>
      <w:b/>
      <w:bCs/>
      <w:color w:val="1D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2026-10-04T15:27:22.416Z</dcterms:created>
  <dcterms:modified xsi:type="dcterms:W3CDTF">2026-10-04T15:27:22.416Z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