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3. Северный берег — туристический город с высокой климатической уязвимостью</w:t>
      </w:r>
    </w:p>
    <w:p>
      <w:pPr>
        <w:pBdr>
          <w:left w:val="single" w:color="2A78D6" w:sz="18" w:space="8"/>
        </w:pBdr>
        <w:spacing w:after="60"/>
        <w:ind w:left="200"/>
      </w:pPr>
      <w:r>
        <w:rPr>
          <w:color w:val="404040"/>
        </w:rPr>
        <w:t xml:space="preserve">Материалы жюри. Общая часть — как оценивать.</w:t>
      </w:r>
    </w:p>
    <w:p>
      <w:pPr>
        <w:spacing w:after="100"/>
      </w:pPr>
      <w:r>
        <w:rPr>
          <w:b/>
          <w:bCs/>
        </w:rPr>
        <w:t xml:space="preserve">Ключевые цифры карточки: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38% занятости — туризм и услуги;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12% застройки — в зоне подтопления;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налоговые поступления сильно зависят от сезона;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много малого бизнеса;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доходы бюджета на душу ниже среднего.</w:t>
      </w:r>
    </w:p>
    <w:p>
      <w:pPr>
        <w:spacing w:after="100"/>
      </w:pPr>
      <w:r>
        <w:rPr>
          <w:b/>
          <w:bCs/>
        </w:rPr>
        <w:t xml:space="preserve">Особенности старта:</w:t>
      </w:r>
      <w:r>
        <w:t xml:space="preserve"> </w:t>
      </w:r>
      <w:r>
        <w:rPr>
          <w:b/>
          <w:bCs/>
        </w:rPr>
        <w:t xml:space="preserve">Экология 8</w:t>
      </w:r>
      <w:r>
        <w:t xml:space="preserve"> — экологические меры быстро упираются в потолок 10. Самая слабая — Экономика 5.</w:t>
      </w:r>
    </w:p>
    <w:p>
      <w:pPr>
        <w:spacing w:after="100"/>
      </w:pPr>
      <w:r>
        <w:rPr>
          <w:b/>
          <w:bCs/>
        </w:rPr>
        <w:t xml:space="preserve">Стартовые показатели (шкала 1–10):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5"/>
        <w:gridCol w:w="1745"/>
        <w:gridCol w:w="1784"/>
        <w:gridCol w:w="1114"/>
        <w:gridCol w:w="1695"/>
        <w:gridCol w:w="1561"/>
        <w:gridCol w:w="782"/>
      </w:tblGrid>
      <w:tr>
        <w:trPr>
          <w:tblHeader/>
        </w:trPr>
        <w:tc>
          <w:tcPr>
            <w:tcW w:type="dxa" w:w="1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Экономика</w:t>
            </w:r>
          </w:p>
        </w:tc>
        <w:tc>
          <w:tcPr>
            <w:tcW w:type="dxa" w:w="17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Социальная устойчивость</w:t>
            </w:r>
          </w:p>
        </w:tc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Инфраструктура</w:t>
            </w:r>
          </w:p>
        </w:tc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Экология</w:t>
            </w:r>
          </w:p>
        </w:tc>
        <w:tc>
          <w:tcPr>
            <w:tcW w:type="dxa" w:w="1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Человеческий капитал</w:t>
            </w:r>
          </w:p>
        </w:tc>
        <w:tc>
          <w:tcPr>
            <w:tcW w:type="dxa" w:w="1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Адаптивность</w:t>
            </w:r>
          </w:p>
        </w:tc>
        <w:tc>
          <w:tcPr>
            <w:tcW w:type="dxa" w:w="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Сумма</w:t>
            </w:r>
          </w:p>
        </w:tc>
      </w:tr>
      <w:tr>
        <w:trPr>
          <w:tblHeader w:val="false"/>
        </w:trPr>
        <w:tc>
          <w:tcPr>
            <w:tcW w:type="dxa" w:w="1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17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1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1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37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Ожидаемые ответы</w:t>
      </w:r>
    </w:p>
    <w:p>
      <w:pPr>
        <w:pStyle w:val="Heading3"/>
      </w:pPr>
      <w:r>
        <w:t xml:space="preserve">Диагностика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1"/>
        <w:gridCol w:w="7415"/>
      </w:tblGrid>
      <w:tr>
        <w:trPr>
          <w:tblHeader/>
        </w:trPr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7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Ожидаемые ответы</w:t>
            </w:r>
          </w:p>
        </w:tc>
      </w:tr>
      <w:tr>
        <w:trPr>
          <w:tblHeader w:val="false"/>
        </w:trPr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Тренды</w:t>
            </w:r>
          </w:p>
        </w:tc>
        <w:tc>
          <w:tcPr>
            <w:tcW w:type="dxa" w:w="7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учащение экстремальных осадков (3 крупных подтопления за 10 лет); рост турпотока вне сезона (второй год подряд); приток удалённых специалистов; сезонность бюджета</w:t>
            </w:r>
          </w:p>
        </w:tc>
      </w:tr>
      <w:tr>
        <w:trPr>
          <w:tblHeader w:val="false"/>
        </w:trPr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Драйверы</w:t>
            </w:r>
          </w:p>
        </w:tc>
        <w:tc>
          <w:tcPr>
            <w:tcW w:type="dxa" w:w="7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изменение климата; туристический спрос и новый региональный маршрут; удалённая работа; ограниченный бюджет</w:t>
            </w:r>
          </w:p>
        </w:tc>
      </w:tr>
      <w:tr>
        <w:trPr>
          <w:tblHeader w:val="false"/>
        </w:trPr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Слабые сигналы</w:t>
            </w:r>
          </w:p>
        </w:tc>
        <w:tc>
          <w:tcPr>
            <w:tcW w:type="dxa" w:w="7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бронирования вне сезона растут (сигнал 2); спрос удалённых специалистов на жильё (сигнал 3); бизнес просит круглогодичные события (сигнал 5)</w:t>
            </w:r>
          </w:p>
        </w:tc>
      </w:tr>
      <w:tr>
        <w:trPr>
          <w:tblHeader w:val="false"/>
        </w:trPr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Три главные проблемы</w:t>
            </w:r>
          </w:p>
        </w:tc>
        <w:tc>
          <w:tcPr>
            <w:tcW w:type="dxa" w:w="7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климатические риски (часть туристической инфраструктуры в пойме); сезонность экономики и бюджета; зависимость от турспроса. Ограниченный бюджет тоже засчитывается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Критические неопределённости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7"/>
        <w:gridCol w:w="2852"/>
        <w:gridCol w:w="2640"/>
        <w:gridCol w:w="2037"/>
      </w:tblGrid>
      <w:tr>
        <w:trPr>
          <w:tblHeader/>
        </w:trPr>
        <w:tc>
          <w:tcPr>
            <w:tcW w:type="dxa" w:w="2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Ось</w:t>
            </w:r>
          </w:p>
        </w:tc>
        <w:tc>
          <w:tcPr>
            <w:tcW w:type="dxa" w:w="2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Полюс А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Полюс Б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Почему критична</w:t>
            </w:r>
          </w:p>
        </w:tc>
      </w:tr>
      <w:tr>
        <w:trPr>
          <w:tblHeader w:val="false"/>
        </w:trPr>
        <w:tc>
          <w:tcPr>
            <w:tcW w:type="dxa" w:w="2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Климатические экстремумы</w:t>
            </w:r>
          </w:p>
        </w:tc>
        <w:tc>
          <w:tcPr>
            <w:tcW w:type="dxa" w:w="2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учащаются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стабилизируются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12% застройки и турбизнес в пойме</w:t>
            </w:r>
          </w:p>
        </w:tc>
      </w:tr>
      <w:tr>
        <w:trPr>
          <w:tblHeader w:val="false"/>
        </w:trPr>
        <w:tc>
          <w:tcPr>
            <w:tcW w:type="dxa" w:w="2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Туристический спрос</w:t>
            </w:r>
          </w:p>
        </w:tc>
        <w:tc>
          <w:tcPr>
            <w:tcW w:type="dxa" w:w="2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круглогодичный рост, город включён в маршрут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спад или переориентация туристов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38% занятости</w:t>
            </w:r>
          </w:p>
        </w:tc>
      </w:tr>
      <w:tr>
        <w:trPr>
          <w:tblHeader w:val="false"/>
        </w:trPr>
        <w:tc>
          <w:tcPr>
            <w:tcW w:type="dxa" w:w="2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Переезд удалённых специалистов</w:t>
            </w:r>
          </w:p>
        </w:tc>
        <w:tc>
          <w:tcPr>
            <w:tcW w:type="dxa" w:w="2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массовый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единичный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новые налоги, жильё, сервисы</w:t>
            </w:r>
          </w:p>
        </w:tc>
      </w:tr>
      <w:tr>
        <w:trPr>
          <w:tblHeader w:val="false"/>
        </w:trPr>
        <w:tc>
          <w:tcPr>
            <w:tcW w:type="dxa" w:w="2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Поддержка региона</w:t>
            </w:r>
          </w:p>
        </w:tc>
        <w:tc>
          <w:tcPr>
            <w:tcW w:type="dxa" w:w="2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маршрут и инвестиции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город один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бюджет ниже среднего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Сильная пара: </w:t>
      </w:r>
      <w:r>
        <w:rPr>
          <w:b/>
          <w:bCs/>
        </w:rPr>
        <w:t xml:space="preserve">климат × турспрос</w:t>
      </w:r>
      <w:r>
        <w:t xml:space="preserve">. Ошибка: «туризм × сезонность» — это одна ось.</w:t>
      </w:r>
    </w:p>
    <w:p>
      <w:pPr>
        <w:pStyle w:val="Heading3"/>
      </w:pPr>
      <w:r>
        <w:t xml:space="preserve">Пример сценариев (климат × туризм)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0"/>
        <w:gridCol w:w="3969"/>
        <w:gridCol w:w="3757"/>
      </w:tblGrid>
      <w:tr>
        <w:trPr>
          <w:tblHeader/>
        </w:trPr>
        <w:tc>
          <w:tcPr>
            <w:tcW w:type="dxa" w:w="2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Туризм растёт</w:t>
            </w:r>
          </w:p>
        </w:tc>
        <w:tc>
          <w:tcPr>
            <w:tcW w:type="dxa" w:w="3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Туризм падает</w:t>
            </w:r>
          </w:p>
        </w:tc>
      </w:tr>
      <w:tr>
        <w:trPr>
          <w:tblHeader w:val="false"/>
        </w:trPr>
        <w:tc>
          <w:tcPr>
            <w:tcW w:type="dxa" w:w="2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Экстремумы учащаются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«Курорт под зонтом»: туристы есть, но защита стоит дорого</w:t>
            </w:r>
          </w:p>
        </w:tc>
        <w:tc>
          <w:tcPr>
            <w:tcW w:type="dxa" w:w="3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«Город на сваях»: ущерб есть, денег нет</w:t>
            </w:r>
          </w:p>
        </w:tc>
      </w:tr>
      <w:tr>
        <w:trPr>
          <w:tblHeader w:val="false"/>
        </w:trPr>
        <w:tc>
          <w:tcPr>
            <w:tcW w:type="dxa" w:w="2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Климат стабилен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«Круглый год»: событийный туризм, удалёнщики, рост МСП</w:t>
            </w:r>
          </w:p>
        </w:tc>
        <w:tc>
          <w:tcPr>
            <w:tcW w:type="dxa" w:w="3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«Тихая река»: уютный город с ограниченным бюджетом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Меры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Устойчивые: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M13 — дёшево, защищает от J-1 и J-8;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M6 — высокая доля МСП и сезонность;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M4;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M5 — удалёнщики и молодёжь;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M3 — адаптация к подтоплениям, полезна при обоих климатических полюсах риска.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Сценарно-зависимые — условные (в кавычках — когда запускать):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M12 — «рост турпотока &gt; 15% или город включён в маршрут»;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M3 — «два экстремальных эпизода за 3 года»;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M7 — «подтверждён интерес инвестора».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Ловушка:</w:t>
      </w:r>
      <w:r>
        <w:t xml:space="preserve"> M12 </w:t>
      </w:r>
      <w:r>
        <w:rPr>
          <w:b/>
          <w:bCs/>
        </w:rPr>
        <w:t xml:space="preserve">полной</w:t>
      </w:r>
      <w:r>
        <w:t xml:space="preserve"> — ставка на рост туризма, который проваливается в двух сценариях из четырёх.</w:t>
      </w:r>
    </w:p>
    <w:p>
      <w:pPr>
        <w:pStyle w:val="Heading2"/>
      </w:pPr>
      <w:r>
        <w:t xml:space="preserve">Лучшие исходы</w:t>
      </w:r>
    </w:p>
    <w:p>
      <w:pPr>
        <w:pStyle w:val="Heading3"/>
      </w:pPr>
      <w:r>
        <w:t xml:space="preserve">Лучшие портфели модели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77"/>
        <w:gridCol w:w="1432"/>
        <w:gridCol w:w="799"/>
        <w:gridCol w:w="4798"/>
      </w:tblGrid>
      <w:tr>
        <w:trPr>
          <w:tblHeader/>
        </w:trPr>
        <w:tc>
          <w:tcPr>
            <w:tcW w:type="dxa" w:w="2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Портфель</w:t>
            </w:r>
          </w:p>
        </w:tc>
        <w:tc>
          <w:tcPr>
            <w:tcW w:type="dxa" w:w="1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Сейчас, у.е.</w:t>
            </w:r>
          </w:p>
        </w:tc>
        <w:tc>
          <w:tcPr>
            <w:tcW w:type="dxa" w:w="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Рост</w:t>
            </w:r>
          </w:p>
        </w:tc>
        <w:tc>
          <w:tcPr>
            <w:tcW w:type="dxa" w:w="4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Чем хорош</w:t>
            </w:r>
          </w:p>
        </w:tc>
      </w:tr>
      <w:tr>
        <w:trPr>
          <w:tblHeader w:val="false"/>
        </w:trPr>
        <w:tc>
          <w:tcPr>
            <w:tcW w:type="dxa" w:w="2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Полные:</w:t>
            </w:r>
            <w:r>
              <w:rPr>
                <w:sz w:val="18"/>
                <w:szCs w:val="18"/>
              </w:rPr>
              <w:t xml:space="preserve"> M6, M13, M15, M4. </w:t>
            </w:r>
            <w:r>
              <w:rPr>
                <w:b/>
                <w:bCs/>
                <w:sz w:val="18"/>
                <w:szCs w:val="18"/>
              </w:rPr>
              <w:t xml:space="preserve">Условные:</w:t>
            </w:r>
            <w:r>
              <w:rPr>
                <w:sz w:val="18"/>
                <w:szCs w:val="18"/>
              </w:rPr>
              <w:t xml:space="preserve"> M2, M12</w:t>
            </w:r>
          </w:p>
        </w:tc>
        <w:tc>
          <w:tcPr>
            <w:tcW w:type="dxa" w:w="1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89</w:t>
            </w:r>
          </w:p>
        </w:tc>
        <w:tc>
          <w:tcPr>
            <w:tcW w:type="dxa" w:w="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19,9</w:t>
            </w:r>
          </w:p>
        </w:tc>
        <w:tc>
          <w:tcPr>
            <w:tcW w:type="dxa" w:w="4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J-1 25 → 15, J-2 15 → 5, J-4 30 → 20, J-8 18 → 7; запускает все подготовленные</w:t>
            </w:r>
          </w:p>
        </w:tc>
      </w:tr>
      <w:tr>
        <w:trPr>
          <w:tblHeader w:val="false"/>
        </w:trPr>
        <w:tc>
          <w:tcPr>
            <w:tcW w:type="dxa" w:w="2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Полные:</w:t>
            </w:r>
            <w:r>
              <w:rPr>
                <w:sz w:val="18"/>
                <w:szCs w:val="18"/>
              </w:rPr>
              <w:t xml:space="preserve"> M1, M6, M2, M4. </w:t>
            </w:r>
            <w:r>
              <w:rPr>
                <w:b/>
                <w:bCs/>
                <w:sz w:val="18"/>
                <w:szCs w:val="18"/>
              </w:rPr>
              <w:t xml:space="preserve">Условные:</w:t>
            </w:r>
            <w:r>
              <w:rPr>
                <w:sz w:val="18"/>
                <w:szCs w:val="18"/>
              </w:rPr>
              <w:t xml:space="preserve"> M5, M13</w:t>
            </w:r>
          </w:p>
        </w:tc>
        <w:tc>
          <w:tcPr>
            <w:tcW w:type="dxa" w:w="1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93</w:t>
            </w:r>
          </w:p>
        </w:tc>
        <w:tc>
          <w:tcPr>
            <w:tcW w:type="dxa" w:w="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19,8</w:t>
            </w:r>
          </w:p>
        </w:tc>
        <w:tc>
          <w:tcPr>
            <w:tcW w:type="dxa" w:w="4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J-5 22 → 7 (M1), J-3 20 → 7; запуск по средствам</w:t>
            </w:r>
          </w:p>
        </w:tc>
      </w:tr>
      <w:tr>
        <w:trPr>
          <w:tblHeader w:val="false"/>
        </w:trPr>
        <w:tc>
          <w:tcPr>
            <w:tcW w:type="dxa" w:w="2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Полные:</w:t>
            </w:r>
            <w:r>
              <w:rPr>
                <w:sz w:val="18"/>
                <w:szCs w:val="18"/>
              </w:rPr>
              <w:t xml:space="preserve"> M5, M12, M4. </w:t>
            </w:r>
            <w:r>
              <w:rPr>
                <w:b/>
                <w:bCs/>
                <w:sz w:val="18"/>
                <w:szCs w:val="18"/>
              </w:rPr>
              <w:t xml:space="preserve">Условные:</w:t>
            </w:r>
            <w:r>
              <w:rPr>
                <w:sz w:val="18"/>
                <w:szCs w:val="18"/>
              </w:rPr>
              <w:t xml:space="preserve"> M15, M6, M13</w:t>
            </w:r>
          </w:p>
        </w:tc>
        <w:tc>
          <w:tcPr>
            <w:tcW w:type="dxa" w:w="1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75</w:t>
            </w:r>
          </w:p>
        </w:tc>
        <w:tc>
          <w:tcPr>
            <w:tcW w:type="dxa" w:w="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19,8</w:t>
            </w:r>
          </w:p>
        </w:tc>
        <w:tc>
          <w:tcPr>
            <w:tcW w:type="dxa" w:w="4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Туризм сразу полным; резерв 25 на шоки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Для сравнения: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«две полные + всё остальное подготовить», запуск по средствам — 11,8;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«подготовить всё и ничего не запускать» — 8,9;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жадный (всё полными) — 17,0;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копить — 9,0;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медиана — 12,1.</w:t>
      </w:r>
    </w:p>
    <w:p>
      <w:pPr>
        <w:pStyle w:val="Heading3"/>
      </w:pPr>
      <w:r>
        <w:t xml:space="preserve">Оценка за результат</w:t>
      </w:r>
    </w:p>
    <w:p>
      <w:pPr>
        <w:pStyle w:val="Heading4"/>
      </w:pPr>
      <w:r>
        <w:t xml:space="preserve">Какой рост какую оценку даёт (в среднем по 64 парам джокеров)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45"/>
        <w:gridCol w:w="920"/>
        <w:gridCol w:w="920"/>
        <w:gridCol w:w="920"/>
        <w:gridCol w:w="920"/>
        <w:gridCol w:w="920"/>
        <w:gridCol w:w="920"/>
        <w:gridCol w:w="920"/>
        <w:gridCol w:w="921"/>
      </w:tblGrid>
      <w:tr>
        <w:trPr>
          <w:tblHeader/>
        </w:trPr>
        <w:tc>
          <w:tcPr>
            <w:tcW w:type="dxa" w:w="2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Рост команды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+6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+8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+10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+12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+14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+16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+18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+20</w:t>
            </w:r>
          </w:p>
        </w:tc>
      </w:tr>
      <w:tr>
        <w:trPr>
          <w:tblHeader w:val="false"/>
        </w:trPr>
        <w:tc>
          <w:tcPr>
            <w:tcW w:type="dxa" w:w="2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Оценка из 10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2,0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2,3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3,7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5,2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7,0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7,9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8,8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9,7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Точная оценка зависит от выпавших джокеров: при тяжёлом негативном джокере тот же рост стоит выше. Она уже посчитана в PDF команды (раздел 5).</w:t>
      </w:r>
    </w:p>
    <w:p>
      <w:pPr>
        <w:pStyle w:val="Heading4"/>
      </w:pPr>
      <w:r>
        <w:t xml:space="preserve">Ориентиры по негативному джокеру (среднее по 8 положительным)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3"/>
        <w:gridCol w:w="1407"/>
        <w:gridCol w:w="1399"/>
        <w:gridCol w:w="1884"/>
        <w:gridCol w:w="2363"/>
      </w:tblGrid>
      <w:tr>
        <w:trPr>
          <w:tblHeader/>
        </w:trPr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Негативный джокер</w:t>
            </w:r>
          </w:p>
        </w:tc>
        <w:tc>
          <w:tcPr>
            <w:tcW w:type="dxa" w:w="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Медиана → 5/10</w:t>
            </w:r>
          </w:p>
        </w:tc>
        <w:tc>
          <w:tcPr>
            <w:tcW w:type="dxa" w:w="13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Лучшие 10% → 8/10</w:t>
            </w:r>
          </w:p>
        </w:tc>
        <w:tc>
          <w:tcPr>
            <w:tcW w:type="dxa" w:w="1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Устойчивый портфель</w:t>
            </w:r>
          </w:p>
        </w:tc>
        <w:tc>
          <w:tcPr>
            <w:tcW w:type="dxa" w:w="2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Лучший при известных джокерах → 10/10</w:t>
            </w:r>
          </w:p>
        </w:tc>
      </w:tr>
      <w:tr>
        <w:trPr>
          <w:tblHeader w:val="false"/>
        </w:trPr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J-1 «Паводок»</w:t>
            </w:r>
          </w:p>
        </w:tc>
        <w:tc>
          <w:tcPr>
            <w:tcW w:type="dxa" w:w="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+11,6</w:t>
            </w:r>
          </w:p>
        </w:tc>
        <w:tc>
          <w:tcPr>
            <w:tcW w:type="dxa" w:w="13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+15,8</w:t>
            </w:r>
          </w:p>
        </w:tc>
        <w:tc>
          <w:tcPr>
            <w:tcW w:type="dxa" w:w="1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+20,1</w:t>
            </w:r>
          </w:p>
        </w:tc>
        <w:tc>
          <w:tcPr>
            <w:tcW w:type="dxa" w:w="2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+20,9</w:t>
            </w:r>
          </w:p>
        </w:tc>
      </w:tr>
      <w:tr>
        <w:trPr>
          <w:tblHeader w:val="false"/>
        </w:trPr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J-2 «Кибератака»</w:t>
            </w:r>
          </w:p>
        </w:tc>
        <w:tc>
          <w:tcPr>
            <w:tcW w:type="dxa" w:w="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+12,3</w:t>
            </w:r>
          </w:p>
        </w:tc>
        <w:tc>
          <w:tcPr>
            <w:tcW w:type="dxa" w:w="13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+16,1</w:t>
            </w:r>
          </w:p>
        </w:tc>
        <w:tc>
          <w:tcPr>
            <w:tcW w:type="dxa" w:w="1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+21,0</w:t>
            </w:r>
          </w:p>
        </w:tc>
        <w:tc>
          <w:tcPr>
            <w:tcW w:type="dxa" w:w="2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+21,5</w:t>
            </w:r>
          </w:p>
        </w:tc>
      </w:tr>
      <w:tr>
        <w:trPr>
          <w:tblHeader w:val="false"/>
        </w:trPr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J-3 «Отток молодежи»</w:t>
            </w:r>
          </w:p>
        </w:tc>
        <w:tc>
          <w:tcPr>
            <w:tcW w:type="dxa" w:w="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+12,3</w:t>
            </w:r>
          </w:p>
        </w:tc>
        <w:tc>
          <w:tcPr>
            <w:tcW w:type="dxa" w:w="13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+16,4</w:t>
            </w:r>
          </w:p>
        </w:tc>
        <w:tc>
          <w:tcPr>
            <w:tcW w:type="dxa" w:w="1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+20,9</w:t>
            </w:r>
          </w:p>
        </w:tc>
        <w:tc>
          <w:tcPr>
            <w:tcW w:type="dxa" w:w="2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+21,5</w:t>
            </w:r>
          </w:p>
        </w:tc>
      </w:tr>
      <w:tr>
        <w:trPr>
          <w:tblHeader w:val="false"/>
        </w:trPr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J-4 «Закрытие крупного работодателя»</w:t>
            </w:r>
          </w:p>
        </w:tc>
        <w:tc>
          <w:tcPr>
            <w:tcW w:type="dxa" w:w="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+11,4</w:t>
            </w:r>
          </w:p>
        </w:tc>
        <w:tc>
          <w:tcPr>
            <w:tcW w:type="dxa" w:w="13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+15,1</w:t>
            </w:r>
          </w:p>
        </w:tc>
        <w:tc>
          <w:tcPr>
            <w:tcW w:type="dxa" w:w="1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+19,3</w:t>
            </w:r>
          </w:p>
        </w:tc>
        <w:tc>
          <w:tcPr>
            <w:tcW w:type="dxa" w:w="2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+21,3</w:t>
            </w:r>
          </w:p>
        </w:tc>
      </w:tr>
      <w:tr>
        <w:trPr>
          <w:tblHeader w:val="false"/>
        </w:trPr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J-5 «Авария коммунальных сетей»</w:t>
            </w:r>
          </w:p>
        </w:tc>
        <w:tc>
          <w:tcPr>
            <w:tcW w:type="dxa" w:w="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+12,1</w:t>
            </w:r>
          </w:p>
        </w:tc>
        <w:tc>
          <w:tcPr>
            <w:tcW w:type="dxa" w:w="13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+15,9</w:t>
            </w:r>
          </w:p>
        </w:tc>
        <w:tc>
          <w:tcPr>
            <w:tcW w:type="dxa" w:w="1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+19,3</w:t>
            </w:r>
          </w:p>
        </w:tc>
        <w:tc>
          <w:tcPr>
            <w:tcW w:type="dxa" w:w="2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+21,1</w:t>
            </w:r>
          </w:p>
        </w:tc>
      </w:tr>
      <w:tr>
        <w:trPr>
          <w:tblHeader w:val="false"/>
        </w:trPr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J-6 «Кадровый кризис в соцсфере»</w:t>
            </w:r>
          </w:p>
        </w:tc>
        <w:tc>
          <w:tcPr>
            <w:tcW w:type="dxa" w:w="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+12,3</w:t>
            </w:r>
          </w:p>
        </w:tc>
        <w:tc>
          <w:tcPr>
            <w:tcW w:type="dxa" w:w="13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+16,1</w:t>
            </w:r>
          </w:p>
        </w:tc>
        <w:tc>
          <w:tcPr>
            <w:tcW w:type="dxa" w:w="1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+19,5</w:t>
            </w:r>
          </w:p>
        </w:tc>
        <w:tc>
          <w:tcPr>
            <w:tcW w:type="dxa" w:w="2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+20,9</w:t>
            </w:r>
          </w:p>
        </w:tc>
      </w:tr>
      <w:tr>
        <w:trPr>
          <w:tblHeader w:val="false"/>
        </w:trPr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J-7 «Бюджетный шок»</w:t>
            </w:r>
          </w:p>
        </w:tc>
        <w:tc>
          <w:tcPr>
            <w:tcW w:type="dxa" w:w="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+12,4</w:t>
            </w:r>
          </w:p>
        </w:tc>
        <w:tc>
          <w:tcPr>
            <w:tcW w:type="dxa" w:w="13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+16,1</w:t>
            </w:r>
          </w:p>
        </w:tc>
        <w:tc>
          <w:tcPr>
            <w:tcW w:type="dxa" w:w="1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+20,1</w:t>
            </w:r>
          </w:p>
        </w:tc>
        <w:tc>
          <w:tcPr>
            <w:tcW w:type="dxa" w:w="2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+20,8</w:t>
            </w:r>
          </w:p>
        </w:tc>
      </w:tr>
      <w:tr>
        <w:trPr>
          <w:tblHeader w:val="false"/>
        </w:trPr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J-8 «Экологический инцидент»</w:t>
            </w:r>
          </w:p>
        </w:tc>
        <w:tc>
          <w:tcPr>
            <w:tcW w:type="dxa" w:w="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+12,4</w:t>
            </w:r>
          </w:p>
        </w:tc>
        <w:tc>
          <w:tcPr>
            <w:tcW w:type="dxa" w:w="13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+16,5</w:t>
            </w:r>
          </w:p>
        </w:tc>
        <w:tc>
          <w:tcPr>
            <w:tcW w:type="dxa" w:w="1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+20,9</w:t>
            </w:r>
          </w:p>
        </w:tc>
        <w:tc>
          <w:tcPr>
            <w:tcW w:type="dxa" w:w="2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+21,6</w:t>
            </w:r>
          </w:p>
        </w:tc>
      </w:tr>
      <w:tr>
        <w:trPr>
          <w:tblHeader w:val="false"/>
        </w:trPr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Все пары</w:t>
            </w:r>
          </w:p>
        </w:tc>
        <w:tc>
          <w:tcPr>
            <w:tcW w:type="dxa" w:w="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+12,1</w:t>
            </w:r>
          </w:p>
        </w:tc>
        <w:tc>
          <w:tcPr>
            <w:tcW w:type="dxa" w:w="13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+16,0</w:t>
            </w:r>
          </w:p>
        </w:tc>
        <w:tc>
          <w:tcPr>
            <w:tcW w:type="dxa" w:w="1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+20,1</w:t>
            </w:r>
          </w:p>
        </w:tc>
        <w:tc>
          <w:tcPr>
            <w:tcW w:type="dxa" w:w="2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+21,2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На что смотреть жюри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Диагностика:</w:t>
      </w:r>
      <w:r>
        <w:t xml:space="preserve"> видят ли связку «климат + туризм в пойме» (12% застройки в зоне подтопления).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Оси:</w:t>
      </w:r>
      <w:r>
        <w:t xml:space="preserve"> «климат × турспрос» — сильно; «туризм × сезонность» — одна ось.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Меры:</w:t>
      </w:r>
      <w:r>
        <w:t xml:space="preserve"> M13 и M6 почти обязательны; M12 полной — ставка на рост туризма.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Опционы:</w:t>
      </w:r>
      <w:r>
        <w:t xml:space="preserve"> M3 и M12 — естественные условные меры. M3 модель ценит мало (Экология 8 упирается в потолок), но управленчески это осторожное решение — плюс к обоснованности.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Риски vs баллы:</w:t>
      </w:r>
      <w:r>
        <w:t xml:space="preserve"> спросите про паводок: что команда сделала бы, если бы он выпал.</w:t>
      </w:r>
    </w:p>
    <w:p>
      <w:pPr>
        <w:spacing w:after="100"/>
      </w:pPr>
      <w:r>
        <w:rPr>
          <w:b/>
          <w:bCs/>
        </w:rPr>
        <w:t xml:space="preserve">Тема для рефлексии:</w:t>
      </w:r>
      <w:r>
        <w:t xml:space="preserve"> у самого «климатического» города лучший по баллам портфель обходится без M3 «Защита от подтоплений». Причина — эффект M3 упирается в высокую Экологию 8 и потолок 10. Это хороший вопрос про ограничения метода: модель максимизирует индекс, а не снижает риск. Команда, которая взяла M3 условной, приняла </w:t>
      </w:r>
      <w:r>
        <w:rPr>
          <w:b/>
          <w:bCs/>
        </w:rPr>
        <w:t xml:space="preserve">управленчески более осторожное</w:t>
      </w:r>
      <w:r>
        <w:t xml:space="preserve"> решение. Это стоит отметить в критерии «обоснованность».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Материалы жюри · только для жюри и ведущих · стр.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D3F6E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2A78D6" w:sz="6" w:space="2"/>
      </w:pBdr>
      <w:spacing w:after="120" w:before="280"/>
      <w:outlineLvl w:val="1"/>
    </w:pPr>
    <w:rPr>
      <w:rFonts w:ascii="Calibri" w:cs="Calibri" w:eastAsia="Calibri" w:hAnsi="Calibri"/>
      <w:b/>
      <w:bCs/>
      <w:color w:val="1D3F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4040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2026-10-04T15:27:22.537Z</dcterms:created>
  <dcterms:modified xsi:type="dcterms:W3CDTF">2026-10-04T15:27:22.538Z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