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line="240" w:lineRule="auto"/>
        <w:jc w:val="center"/>
      </w:pPr>
      <w:r>
        <w:rPr>
          <w:rFonts w:ascii="Arial" w:hAnsi="Arial"/>
          <w:b/>
          <w:color w:val="1F3B57"/>
          <w:sz w:val="52"/>
        </w:rPr>
        <w:t>EA2 · Actividad 2.1.2 — Diseño de un Plan de Pruebas Estratégico (Calidad, Riesgo y Seguridad)</w:t>
      </w:r>
    </w:p>
    <w:p>
      <w:pPr>
        <w:spacing w:line="240" w:lineRule="auto"/>
        <w:jc w:val="center"/>
      </w:pPr>
      <w:r>
        <w:rPr>
          <w:rFonts w:ascii="Arial" w:hAnsi="Arial"/>
          <w:b/>
          <w:sz w:val="24"/>
        </w:rPr>
        <w:t>Asignatura:</w:t>
      </w:r>
      <w:r>
        <w:rPr>
          <w:rFonts w:ascii="Arial" w:hAnsi="Arial"/>
          <w:b w:val="0"/>
          <w:sz w:val="24"/>
        </w:rPr>
        <w:t xml:space="preserve"> ISY1102 · Seguridad y calidad en el desarrollo de software</w:t>
      </w:r>
    </w:p>
    <w:p>
      <w:pPr>
        <w:spacing w:line="240" w:lineRule="auto"/>
        <w:jc w:val="center"/>
      </w:pPr>
      <w:r>
        <w:rPr>
          <w:rFonts w:ascii="Arial" w:hAnsi="Arial"/>
          <w:b/>
          <w:sz w:val="24"/>
        </w:rPr>
        <w:t>Actividad:</w:t>
      </w:r>
      <w:r>
        <w:rPr>
          <w:rFonts w:ascii="Arial" w:hAnsi="Arial"/>
          <w:b w:val="0"/>
          <w:sz w:val="24"/>
        </w:rPr>
        <w:t xml:space="preserve"> 2.1.2 | </w:t>
      </w:r>
      <w:r>
        <w:rPr>
          <w:rFonts w:ascii="Arial" w:hAnsi="Arial"/>
          <w:b/>
          <w:sz w:val="24"/>
        </w:rPr>
        <w:t>IL2.1</w:t>
      </w:r>
      <w:r>
        <w:rPr>
          <w:rFonts w:ascii="Arial" w:hAnsi="Arial"/>
          <w:b w:val="0"/>
          <w:sz w:val="24"/>
        </w:rPr>
        <w:t xml:space="preserve"> | </w:t>
      </w:r>
      <w:r>
        <w:rPr>
          <w:rFonts w:ascii="Arial" w:hAnsi="Arial"/>
          <w:b/>
          <w:sz w:val="24"/>
        </w:rPr>
        <w:t>Tiempo:</w:t>
      </w:r>
      <w:r>
        <w:rPr>
          <w:rFonts w:ascii="Arial" w:hAnsi="Arial"/>
          <w:b w:val="0"/>
          <w:sz w:val="24"/>
        </w:rPr>
        <w:t xml:space="preserve"> 45 min | </w:t>
      </w:r>
      <w:r>
        <w:rPr>
          <w:rFonts w:ascii="Arial" w:hAnsi="Arial"/>
          <w:b/>
          <w:sz w:val="24"/>
        </w:rPr>
        <w:t>Modalidad:</w:t>
      </w:r>
      <w:r>
        <w:rPr>
          <w:rFonts w:ascii="Arial" w:hAnsi="Arial"/>
          <w:b w:val="0"/>
          <w:sz w:val="24"/>
        </w:rPr>
        <w:t xml:space="preserve"> Individual</w:t>
      </w:r>
    </w:p>
    <w:p>
      <w:pPr>
        <w:spacing w:line="240" w:lineRule="auto"/>
        <w:jc w:val="center"/>
      </w:pPr>
      <w:r>
        <w:rPr>
          <w:rFonts w:ascii="Arial" w:hAnsi="Arial"/>
          <w:b/>
          <w:sz w:val="24"/>
        </w:rPr>
        <w:t>Rol:</w:t>
      </w:r>
      <w:r>
        <w:rPr>
          <w:rFonts w:ascii="Arial" w:hAnsi="Arial"/>
          <w:b w:val="0"/>
          <w:sz w:val="24"/>
        </w:rPr>
        <w:t xml:space="preserve"> QA Lead — lanzamiento de una aplicación de </w:t>
      </w:r>
      <w:r>
        <w:rPr>
          <w:rFonts w:ascii="Arial" w:hAnsi="Arial"/>
          <w:b/>
          <w:sz w:val="24"/>
        </w:rPr>
        <w:t>banca móvil</w:t>
      </w:r>
      <w:r>
        <w:rPr>
          <w:rFonts w:ascii="Arial" w:hAnsi="Arial"/>
          <w:b w:val="0"/>
          <w:sz w:val="24"/>
        </w:rPr>
        <w:t>.</w:t>
      </w:r>
    </w:p>
    <w:p>
      <w:pPr>
        <w:spacing w:before="120"/>
        <w:jc w:val="center"/>
      </w:pPr>
      <w:r>
        <w:rPr>
          <w:rFonts w:ascii="Arial" w:hAnsi="Arial"/>
          <w:b/>
          <w:sz w:val="36"/>
        </w:rPr>
        <w:t>Paso 1 · Definición de la Estrategia de Pruebas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 xml:space="preserve">Se adopta un </w:t>
      </w:r>
      <w:r>
        <w:rPr>
          <w:rFonts w:ascii="Arial" w:hAnsi="Arial"/>
          <w:b/>
          <w:sz w:val="24"/>
        </w:rPr>
        <w:t>enfoque de tres capas complementarias</w:t>
      </w:r>
      <w:r>
        <w:rPr>
          <w:rFonts w:ascii="Arial" w:hAnsi="Arial"/>
          <w:b w:val="0"/>
          <w:sz w:val="24"/>
        </w:rPr>
        <w:t xml:space="preserve"> (caja negra + caja blanca + híbrido de integración) para lograr una cobertura robusta que verifique el *qué*, el *cómo interno* y el *entre-sistemas* del producto bancario.</w:t>
      </w:r>
    </w:p>
    <w:p>
      <w:pPr>
        <w:spacing w:before="600"/>
        <w:jc w:val="center"/>
      </w:pPr>
      <w:r>
        <w:rPr>
          <w:rFonts w:ascii="Arial" w:hAnsi="Arial"/>
          <w:b/>
          <w:sz w:val="28"/>
        </w:rPr>
        <w:t>1.1 Caja Negra para Validación de Interfaces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>Se evaluarán los módulos funcionales de mayor exposición al usuario final: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**Transferencias** (nacionales e inmediatas).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**Pagos** de servicios y cuentas.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**Recargas** de telefonía y tarjetas.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**Gestión de tarjetas** (bloqueo/desbloqueo, límites, PIN).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>Justificación por tipo de defecto detectado: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Tipo de defecto</w:t>
            </w:r>
          </w:p>
        </w:tc>
        <w:tc>
          <w:tcPr>
            <w:tcW w:type="dxa" w:w="432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Cómo lo detecta la prueba de caja negra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**Validación de datos**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Entradas inválidas, vacías, límites (montos mínimos/máximos), formatos de RUT/cuenta y caracteres especiales rechazados o controlados.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**Flujo de usuario**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Navegación completa del flujo (transferir → confirmar → comprobante), estados intermedios y cancelaciones; sin depender del código interno.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**Reglas de negocio**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Restricciones como "monto máximo diario", "saldo insuficiente", "destinatario no propio", verificando que la interfaz refleja la regla correctamente.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**Usabilidad y consistencia**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Mensajes de error claros, terminología consistente, tiempos de carga aceptables y coherencia visual entre pantallas (estándares NFR‑USAB de la banca).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240" w:lineRule="auto"/>
        <w:jc w:val="center"/>
      </w:pPr>
      <w:r>
        <w:rPr>
          <w:rFonts w:ascii="Arial" w:hAnsi="Arial"/>
          <w:b/>
          <w:sz w:val="24"/>
        </w:rPr>
        <w:t>Fundamento:</w:t>
      </w:r>
      <w:r>
        <w:rPr>
          <w:rFonts w:ascii="Arial" w:hAnsi="Arial"/>
          <w:b w:val="0"/>
          <w:sz w:val="24"/>
        </w:rPr>
        <w:t xml:space="preserve"> la caja negra simula la perspectiva real del cliente y de la normativa de banca (exigencias del regulador sobre UX y transparencia), sin asumir cómo está construido el sistema.</w:t>
      </w:r>
    </w:p>
    <w:p>
      <w:pPr>
        <w:spacing w:before="600"/>
        <w:jc w:val="center"/>
      </w:pPr>
      <w:r>
        <w:rPr>
          <w:rFonts w:ascii="Arial" w:hAnsi="Arial"/>
          <w:b/>
          <w:sz w:val="28"/>
        </w:rPr>
        <w:t>1.2 Caja Blanca para Lógica Crítica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 xml:space="preserve">Procesos internos donde la </w:t>
      </w:r>
      <w:r>
        <w:rPr>
          <w:rFonts w:ascii="Arial" w:hAnsi="Arial"/>
          <w:b/>
          <w:sz w:val="24"/>
        </w:rPr>
        <w:t>precisión es esencial</w:t>
      </w:r>
      <w:r>
        <w:rPr>
          <w:rFonts w:ascii="Arial" w:hAnsi="Arial"/>
          <w:b w:val="0"/>
          <w:sz w:val="24"/>
        </w:rPr>
        <w:t>: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**Cálculo de intereses** (diario, compuesto, días hábiles).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**Validación de OTP** (match, expiración, reuso, anti fuerza bruta).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**Cifrado** y derivación de claves (PBKDF2/Argon2, TLS 1.3).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**Límites de transacción** (montos y frecuencias por perfil).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>Técnicas estructurales aplicadas: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**Pruebas de caminos independientes:** se diseña el grafo de flujo de cada función y se ejecuta cada camino linealmente independiente (base de ciclos), cubriendo ramas, bucles y condiciones.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**Análisis de bucles:** se prueban bucles con 0, 1, *n*‑1, *n* y *n*+1 iteraciones para detectar desbordamientos, iteraciones fantasmas y termines no controladas.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**Cobertura de decisiones y condiciones:** se evalúa cada decisión (if/switch) en sus ramas verdadero/falso y cada condición compuesta con variación de componente (MC/DC recomendado para lógica de seguridad).</w:t>
      </w:r>
    </w:p>
    <w:p>
      <w:pPr>
        <w:spacing w:line="240" w:lineRule="auto"/>
        <w:jc w:val="center"/>
      </w:pPr>
      <w:r>
        <w:rPr>
          <w:rFonts w:ascii="Arial" w:hAnsi="Arial"/>
          <w:b/>
          <w:sz w:val="24"/>
        </w:rPr>
        <w:t>Filosofía de prevención:</w:t>
      </w:r>
      <w:r>
        <w:rPr>
          <w:rFonts w:ascii="Arial" w:hAnsi="Arial"/>
          <w:b w:val="0"/>
          <w:sz w:val="24"/>
        </w:rPr>
        <w:t xml:space="preserve"> estas técnicas permiten detectar </w:t>
      </w:r>
      <w:r>
        <w:rPr>
          <w:rFonts w:ascii="Arial" w:hAnsi="Arial"/>
          <w:b/>
          <w:sz w:val="24"/>
        </w:rPr>
        <w:t>fallos lógicos</w:t>
      </w:r>
      <w:r>
        <w:rPr>
          <w:rFonts w:ascii="Arial" w:hAnsi="Arial"/>
          <w:b w:val="0"/>
          <w:sz w:val="24"/>
        </w:rPr>
        <w:t xml:space="preserve"> (fórmulas mal implementadas), </w:t>
      </w:r>
      <w:r>
        <w:rPr>
          <w:rFonts w:ascii="Arial" w:hAnsi="Arial"/>
          <w:b/>
          <w:sz w:val="24"/>
        </w:rPr>
        <w:t>desbordamientos</w:t>
      </w:r>
      <w:r>
        <w:rPr>
          <w:rFonts w:ascii="Arial" w:hAnsi="Arial"/>
          <w:b w:val="0"/>
          <w:sz w:val="24"/>
        </w:rPr>
        <w:t xml:space="preserve"> (montos/expiración de OTP que exceden rangos) y </w:t>
      </w:r>
      <w:r>
        <w:rPr>
          <w:rFonts w:ascii="Arial" w:hAnsi="Arial"/>
          <w:b/>
          <w:sz w:val="24"/>
        </w:rPr>
        <w:t>vulnerabilidades</w:t>
      </w:r>
      <w:r>
        <w:rPr>
          <w:rFonts w:ascii="Arial" w:hAnsi="Arial"/>
          <w:b w:val="0"/>
          <w:sz w:val="24"/>
        </w:rPr>
        <w:t xml:space="preserve"> (comparaciones inseguras, errores en la lógica de cifrado) antes de que lleguen a producción.</w:t>
      </w:r>
    </w:p>
    <w:p>
      <w:pPr>
        <w:spacing w:before="600"/>
        <w:jc w:val="center"/>
      </w:pPr>
      <w:r>
        <w:rPr>
          <w:rFonts w:ascii="Arial" w:hAnsi="Arial"/>
          <w:b/>
          <w:sz w:val="28"/>
        </w:rPr>
        <w:t>1.3 Enfoque Híbrido para Integración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>Se combinan técnicas estructurales (verificar *cómo* se intercambia la información en el código) con funcionales (verificar *qué* recibe el usuario final) para validar: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**Comunicación app móvil ↔ backend:** contratos de API (schema, versionado, serialización) probados con pruebas funcionales de endpoints más pruebas estructurales del middleware.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**Manejo de errores en API:** códigos HTTP correctos, mensajes sin fuga de información, reintentos/backoff, y handling estructural de excepciones controladas.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**Sincronización de estados:** transacciones concurrentes (doble envío, saldo en disputa) verificadas tanto end‑to‑end (negro) como a nivel de atomicidad de la lógica (blanco).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**Integridad de datos en tránsito:** verificaciones de cifrado TLS y de checksum/integridad de payloads, combinando pruebas de penetración ligeras (negro) con inspección del flujo de datos (blanco).</w:t>
      </w:r>
    </w:p>
    <w:p>
      <w:pPr>
        <w:spacing w:line="240" w:lineRule="auto"/>
        <w:jc w:val="center"/>
      </w:pPr>
      <w:r>
        <w:rPr>
          <w:rFonts w:ascii="Arial" w:hAnsi="Arial"/>
          <w:b/>
          <w:sz w:val="24"/>
        </w:rPr>
        <w:t>Fundamento:</w:t>
      </w:r>
      <w:r>
        <w:rPr>
          <w:rFonts w:ascii="Arial" w:hAnsi="Arial"/>
          <w:b w:val="0"/>
          <w:sz w:val="24"/>
        </w:rPr>
        <w:t xml:space="preserve"> en banca móvil ningún defecto es solo "funcional" o solo "estructural"; el enfoque híbrido garantiza que lo que el código garantiza internamente sea lo que el usuario percibe externamente.</w:t>
      </w:r>
    </w:p>
    <w:p>
      <w:pPr>
        <w:spacing w:before="120"/>
        <w:jc w:val="center"/>
      </w:pPr>
      <w:r>
        <w:rPr>
          <w:rFonts w:ascii="Arial" w:hAnsi="Arial"/>
          <w:b/>
          <w:sz w:val="36"/>
        </w:rPr>
        <w:t>Paso 2 · Evaluación de Riesgos y Seguridad</w:t>
      </w:r>
    </w:p>
    <w:p>
      <w:pPr>
        <w:spacing w:before="600"/>
        <w:jc w:val="center"/>
      </w:pPr>
      <w:r>
        <w:rPr>
          <w:rFonts w:ascii="Arial" w:hAnsi="Arial"/>
          <w:b/>
          <w:sz w:val="28"/>
        </w:rPr>
        <w:t>2.1 Identificación de Módulos Críticos (Complejidad Ciclomática V(G) &gt; 20)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 xml:space="preserve">Se realiza un análisis estático (herramienta de métricas de complejidad) para identificar componentes con </w:t>
      </w:r>
      <w:r>
        <w:rPr>
          <w:rFonts w:ascii="Arial" w:hAnsi="Arial"/>
          <w:b/>
          <w:sz w:val="24"/>
        </w:rPr>
        <w:t>V(G) &gt; 20</w:t>
      </w:r>
      <w:r>
        <w:rPr>
          <w:rFonts w:ascii="Arial" w:hAnsi="Arial"/>
          <w:b w:val="0"/>
          <w:sz w:val="24"/>
        </w:rPr>
        <w:t>, típicamente: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Motor de **cálculo de intereses** y comisiones.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Orquestador de **transferencias** (validación + límites + antifraude + notificación).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Lógica de **autenticación y OTP** (multi condición).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Gestión de **tarjetas** con reglas cruzadas de estado.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>Justificación de tratamiento especial para estos módulos: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Acción requerida</w:t>
            </w:r>
          </w:p>
        </w:tc>
        <w:tc>
          <w:tcPr>
            <w:tcW w:type="dxa" w:w="432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Razón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**Mayor profundidad de pruebas**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Alta V(G) implica muchos caminos posibles; cada ruta mal probada es un defecto probable en producción.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**Revisión de código**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La complejidad exige revisión por pares y refactorización para reducir V(G).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**Pruebas negativas y de estrés**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Las muchas ramas deben cubrirse también con entradas inválidas y carga máxima concurrente.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**Priorización en el cronograma**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Se ejecutan primero y con mayor tiempo asignado (ver cronograma basado en riesgos).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before="600"/>
        <w:jc w:val="center"/>
      </w:pPr>
      <w:r>
        <w:rPr>
          <w:rFonts w:ascii="Arial" w:hAnsi="Arial"/>
          <w:b/>
          <w:sz w:val="28"/>
        </w:rPr>
        <w:t>2.2 Seguridad de Datos y Análisis de Flujo de Datos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 xml:space="preserve">Estrategia de </w:t>
      </w:r>
      <w:r>
        <w:rPr>
          <w:rFonts w:ascii="Arial" w:hAnsi="Arial"/>
          <w:b/>
          <w:sz w:val="24"/>
        </w:rPr>
        <w:t>Análisis de Flujo de Datos (DFA)</w:t>
      </w:r>
      <w:r>
        <w:rPr>
          <w:rFonts w:ascii="Arial" w:hAnsi="Arial"/>
          <w:b w:val="0"/>
          <w:sz w:val="24"/>
        </w:rPr>
        <w:t xml:space="preserve"> sobre las variables y recursos que transportan información sensible, garantizando: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**Credenciales no en texto plano:** uso obligatorio de hash (bcrypt/Argon2) con salt; prohibición de variables de entorno con secretos en el repositorio.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**Sin filtraciones en logs, variables temporales o excepciones:** políticas de logging que enmascaran datos sensibles; control de que ninguna excepción exponga credenciales, tokens o saldos en stack traces.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**Sesiones correctamente cifradas:** transporte por TLS 1.3, cifrado de cookies de sesión y de almacenamiento local de tokens.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**Invalidación adecuada de tokens:** revocación al cierre de sesión, expiración de JWT corta, rotación de refresh tokens y revocación forzada ante cambio de contraseña.</w:t>
      </w:r>
    </w:p>
    <w:p>
      <w:pPr>
        <w:spacing w:line="240" w:lineRule="auto"/>
        <w:jc w:val="center"/>
      </w:pPr>
      <w:r>
        <w:rPr>
          <w:rFonts w:ascii="Arial" w:hAnsi="Arial"/>
          <w:b/>
          <w:sz w:val="24"/>
        </w:rPr>
        <w:t>Escenarios de ataque considerados (sin convertir la actividad en pentesting):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Replay de una solicitud de transferencia capturada (se valida que el idempotency‑key y el nonce lo bloqueen).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Manipulación del token en el dispositivo (se valida la firma y la expiración en el backend).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Lectura de logs/errores del dispositivo por un tercero (se valida el enmascaramiento).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Extracción de variables temporales en memoria (se valida que los secretos no se mantienen más tiempo del necesario).</w:t>
      </w:r>
    </w:p>
    <w:p>
      <w:pPr>
        <w:spacing w:before="120"/>
        <w:jc w:val="center"/>
      </w:pPr>
      <w:r>
        <w:rPr>
          <w:rFonts w:ascii="Arial" w:hAnsi="Arial"/>
          <w:b/>
          <w:sz w:val="36"/>
        </w:rPr>
        <w:t>Paso 3 · Selección de Herramientas y Métricas</w:t>
      </w:r>
    </w:p>
    <w:p>
      <w:pPr>
        <w:spacing w:before="600"/>
        <w:jc w:val="center"/>
      </w:pPr>
      <w:r>
        <w:rPr>
          <w:rFonts w:ascii="Arial" w:hAnsi="Arial"/>
          <w:b/>
          <w:sz w:val="28"/>
        </w:rPr>
        <w:t>3.1 Herramienta de Gestión de Pruebas seleccionada: **Jira + Zephyr**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Criterio</w:t>
            </w:r>
          </w:p>
        </w:tc>
        <w:tc>
          <w:tcPr>
            <w:tcW w:type="dxa" w:w="432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Cómo lo mejora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**Trazabilidad**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Los casos se vinculan a historias/requisitos y a defectos; cada ejecución queda ligada a su requerimiento y módulo (matriz de trazabilidad automática).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**Reutilización**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Agrupación de casos en librerías por módulo (transferencias, pagos); los casos se clonan y versionan para regresiones.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sz w:val="20"/>
              </w:rPr>
              <w:t>**Auditoría y cumplimiento normativo**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Historial completo, trabajores de evidencia, permisos y reportes exportables que sustentan exigencias del regulador (SBIF/CMF) de control y trazabilidad.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>*Alternativas válidas equivalentes:* TestRail (API + reportes de cobertura) y Azure Test Plans (integración con CI/CD).</w:t>
      </w:r>
    </w:p>
    <w:p>
      <w:pPr>
        <w:spacing w:before="600"/>
        <w:jc w:val="center"/>
      </w:pPr>
      <w:r>
        <w:rPr>
          <w:rFonts w:ascii="Arial" w:hAnsi="Arial"/>
          <w:b/>
          <w:sz w:val="28"/>
        </w:rPr>
        <w:t>3.2 Métricas de Éxito del Plan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>Indicadores cuantitativos definidos: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Métrica</w:t>
            </w:r>
          </w:p>
        </w:tc>
        <w:tc>
          <w:tcPr>
            <w:tcW w:type="dxa" w:w="288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Objetivo</w:t>
            </w:r>
          </w:p>
        </w:tc>
        <w:tc>
          <w:tcPr>
            <w:tcW w:type="dxa" w:w="288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Relevancia bancaria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**Confiabilidad**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≥ 95% de casos críticos aprobados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Un fallo en banca genera riesgo reputacional, regulatorio y financiero; la confiabilidad mide estabilidad operativa.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**Reducción de tiempo de ejecución por automatización**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≥ 40% del tiempo manual ahorrado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Equipos con recursos acotados; la automatización libera foco para pruebas exploratorias y de riesgo.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**Cobertura de requisitos**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≥ 90% de los requisitos con caso de prueba vinculado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El regulador exige justificar qué se probó; cobertura &lt; 90% deja módulos sin evidencia.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**Defectos críticos detectados antes de producción**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≥ 98%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En banca el costo de un defecto en producción se multiplica hasta 10x (corrección, multas regulatorias, compensación de clientes).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before="120"/>
        <w:jc w:val="center"/>
      </w:pPr>
      <w:r>
        <w:rPr>
          <w:rFonts w:ascii="Arial" w:hAnsi="Arial"/>
          <w:b/>
          <w:sz w:val="36"/>
        </w:rPr>
        <w:t>Entregable: Plan de Pruebas Estratégico</w:t>
      </w:r>
    </w:p>
    <w:p>
      <w:pPr>
        <w:spacing w:before="600"/>
        <w:jc w:val="center"/>
      </w:pPr>
      <w:r>
        <w:rPr>
          <w:rFonts w:ascii="Arial" w:hAnsi="Arial"/>
          <w:b/>
          <w:sz w:val="28"/>
        </w:rPr>
        <w:t>A. Matriz de Trazabilidad (requisito ↔ caso de prueba ↔ riesgo ↔ módulo)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Requisito / Código</w:t>
            </w:r>
          </w:p>
        </w:tc>
        <w:tc>
          <w:tcPr>
            <w:tcW w:type="dxa" w:w="216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Caso de prueba</w:t>
            </w:r>
          </w:p>
        </w:tc>
        <w:tc>
          <w:tcPr>
            <w:tcW w:type="dxa" w:w="216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Riesgo asociado</w:t>
            </w:r>
          </w:p>
        </w:tc>
        <w:tc>
          <w:tcPr>
            <w:tcW w:type="dxa" w:w="216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Módulo afectado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Transferencia inmediata (RF‑TRA‑01)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CP‑TRA‑05: monto máximo diario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Riesgo alto (fraude, saldo)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Transferencias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Límites por perfil (RF‑TRA‑03)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CP‑TRA‑07: límites excedidos (negativo)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Riesgo alto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Transferencias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Validación OTP (RF‑AUT‑02)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CP‑AUT‑04: OTP vencido/reusado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Riesgo alto (suplantación)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Autenticación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Cálculo de intereses (RF‑CRE‑02)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CP‑CRE‑03: interés compuesto exacto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Riesgo crítico (pérdida monetaria)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Motor de intereses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Pago de servicios (RF‑PAG‑01)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CP‑PAG‑02: pago exitoso y fallido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Riesgo medio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Pagos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Recarga (RF‑REC‑01)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CP‑REC‑01: recarga y notificación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Riesgo medio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Recargas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Bloqueo de tarjeta (RF‑TAR‑04)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CP‑TAR‑06: bloqueo/desbloqueo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Riesgo alto (fraude)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Gestión de tarjetas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Cifrado en tránsito (NFR‑SEG‑03)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CP‑INT‑01: integridad TLS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Riesgo alto (interceptación)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Integración app↔backend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before="600"/>
        <w:jc w:val="center"/>
      </w:pPr>
      <w:r>
        <w:rPr>
          <w:rFonts w:ascii="Arial" w:hAnsi="Arial"/>
          <w:b/>
          <w:sz w:val="28"/>
        </w:rPr>
        <w:t>B. Cronograma de Ejecución Basado en Riesgos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 xml:space="preserve">Priorización según </w:t>
      </w:r>
      <w:r>
        <w:rPr>
          <w:rFonts w:ascii="Arial" w:hAnsi="Arial"/>
          <w:b/>
          <w:sz w:val="24"/>
        </w:rPr>
        <w:t>impacto × probabilidad × complejidad (V(G))</w:t>
      </w:r>
      <w:r>
        <w:rPr>
          <w:rFonts w:ascii="Arial" w:hAnsi="Arial"/>
          <w:b w:val="0"/>
          <w:sz w:val="24"/>
        </w:rPr>
        <w:t>. Los módulos con mayor puntaje de riesgo y complejidad se ejecutan primero y con más tiempo.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Semana</w:t>
            </w:r>
          </w:p>
        </w:tc>
        <w:tc>
          <w:tcPr>
            <w:tcW w:type="dxa" w:w="216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Etapa</w:t>
            </w:r>
          </w:p>
        </w:tc>
        <w:tc>
          <w:tcPr>
            <w:tcW w:type="dxa" w:w="216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Módulos priorizados</w:t>
            </w:r>
          </w:p>
        </w:tc>
        <w:tc>
          <w:tcPr>
            <w:tcW w:type="dxa" w:w="2160"/>
            <w:shd w:val="clear" w:color="auto" w:fill="DDE7F0"/>
          </w:tcPr>
          <w:p>
            <w:pPr>
              <w:spacing w:line="240" w:lineRule="auto"/>
            </w:pPr>
            <w:r/>
            <w:r>
              <w:rPr>
                <w:rFonts w:ascii="Arial" w:hAnsi="Arial"/>
                <w:b/>
                <w:color w:val="1F3B57"/>
                <w:sz w:val="20"/>
              </w:rPr>
              <w:t>Justificación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Diseño y revisión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Análisis de riesgos, V(G), selección de casos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Base para todo el plan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Caja blanca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Motor de intereses, autenticación/OTP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V(G) &gt; 20, impacto monetario/seguridad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Caja negra crítica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Transferencias, tarjetas (límites, bloqueo)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Escenario"alto impacto × alta probabilidad"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Híbrido integración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API app↔backend, sincronización de estados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Fallas entre capas, datos en tránsito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No funcional y estrés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Pagos, recargas, carga concurrente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Validación de disponibilidad y rendimiento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Regresión asistida por automatización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Casos reutilizables de todos los módulos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/>
            <w:r>
              <w:rPr>
                <w:rFonts w:ascii="Arial" w:hAnsi="Arial"/>
                <w:sz w:val="20"/>
              </w:rPr>
              <w:t>Verificación de mantenibilidad en el tiempo</w:t>
            </w:r>
          </w:p>
        </w:tc>
      </w:tr>
    </w:tbl>
    <w:p>
      <w:pPr>
        <w:spacing w:line="360" w:lineRule="auto"/>
      </w:pPr>
      <w:r>
        <w:rPr>
          <w:rFonts w:ascii="Arial" w:hAnsi="Arial"/>
          <w:b w:val="0"/>
          <w:sz w:val="12"/>
        </w:rPr>
      </w:r>
    </w:p>
    <w:p>
      <w:pPr>
        <w:spacing w:before="600"/>
        <w:jc w:val="center"/>
      </w:pPr>
      <w:r>
        <w:rPr>
          <w:rFonts w:ascii="Arial" w:hAnsi="Arial"/>
          <w:b/>
          <w:sz w:val="28"/>
        </w:rPr>
        <w:t>C. Protocolo de Mantenimiento del Plan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>Procedimiento para mantener los casos actualizados ante cambios regulatorios, funcionales o de arquitectura: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 xml:space="preserve">1. </w:t>
      </w:r>
      <w:r>
        <w:rPr>
          <w:rFonts w:ascii="Arial" w:hAnsi="Arial"/>
          <w:b/>
          <w:sz w:val="24"/>
        </w:rPr>
        <w:t>Detección del cambio (trigger):</w:t>
      </w:r>
      <w:r>
        <w:rPr>
          <w:rFonts w:ascii="Arial" w:hAnsi="Arial"/>
          <w:b w:val="0"/>
          <w:sz w:val="24"/>
        </w:rPr>
        <w:t xml:space="preserve"> cualquier cambio en requisitos (product owner), normativa (equipo de cumplimiento/legal) o arquitectura (arquitectos) dispara una revisión del plan.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 xml:space="preserve">2. </w:t>
      </w:r>
      <w:r>
        <w:rPr>
          <w:rFonts w:ascii="Arial" w:hAnsi="Arial"/>
          <w:b/>
          <w:sz w:val="24"/>
        </w:rPr>
        <w:t>Evaluación de impacto:</w:t>
      </w:r>
      <w:r>
        <w:rPr>
          <w:rFonts w:ascii="Arial" w:hAnsi="Arial"/>
          <w:b w:val="0"/>
          <w:sz w:val="24"/>
        </w:rPr>
        <w:t xml:space="preserve"> se determina si el cambio afecta casos existentes, crea requisitos nuevos o invalida criterios (análisis de impacto sobre la matriz de trazabilidad).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 xml:space="preserve">3. </w:t>
      </w:r>
      <w:r>
        <w:rPr>
          <w:rFonts w:ascii="Arial" w:hAnsi="Arial"/>
          <w:b/>
          <w:sz w:val="24"/>
        </w:rPr>
        <w:t>Actualización de la matriz y casos:</w:t>
      </w:r>
      <w:r>
        <w:rPr>
          <w:rFonts w:ascii="Arial" w:hAnsi="Arial"/>
          <w:b w:val="0"/>
          <w:sz w:val="24"/>
        </w:rPr>
        <w:t xml:space="preserve"> se agregan, modifican o retiran casos en Jira + Zephyr, vinculando siempre al requisito y al riesgo.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 xml:space="preserve">4. </w:t>
      </w:r>
      <w:r>
        <w:rPr>
          <w:rFonts w:ascii="Arial" w:hAnsi="Arial"/>
          <w:b/>
          <w:sz w:val="24"/>
        </w:rPr>
        <w:t>Re‑priorización del cronograma:</w:t>
      </w:r>
      <w:r>
        <w:rPr>
          <w:rFonts w:ascii="Arial" w:hAnsi="Arial"/>
          <w:b w:val="0"/>
          <w:sz w:val="24"/>
        </w:rPr>
        <w:t xml:space="preserve"> si el cambio eleva el riesgo de algún módulo, se reordena la ejecución según impacto × probabilidad.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 xml:space="preserve">5. </w:t>
      </w:r>
      <w:r>
        <w:rPr>
          <w:rFonts w:ascii="Arial" w:hAnsi="Arial"/>
          <w:b/>
          <w:sz w:val="24"/>
        </w:rPr>
        <w:t>Revisión de métricas:</w:t>
      </w:r>
      <w:r>
        <w:rPr>
          <w:rFonts w:ascii="Arial" w:hAnsi="Arial"/>
          <w:b w:val="0"/>
          <w:sz w:val="24"/>
        </w:rPr>
        <w:t xml:space="preserve"> se recalibran cobertura y confiabilidad tras el cambio.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 xml:space="preserve">6. </w:t>
      </w:r>
      <w:r>
        <w:rPr>
          <w:rFonts w:ascii="Arial" w:hAnsi="Arial"/>
          <w:b/>
          <w:sz w:val="24"/>
        </w:rPr>
        <w:t>Aprobación y trazabilidad:</w:t>
      </w:r>
      <w:r>
        <w:rPr>
          <w:rFonts w:ascii="Arial" w:hAnsi="Arial"/>
          <w:b w:val="0"/>
          <w:sz w:val="24"/>
        </w:rPr>
        <w:t xml:space="preserve"> todo cambio del plan se documenta y aprueba para sostener las auditorías del regulador.</w:t>
      </w:r>
    </w:p>
    <w:p>
      <w:pPr>
        <w:spacing w:before="120"/>
        <w:jc w:val="center"/>
      </w:pPr>
      <w:r>
        <w:rPr>
          <w:rFonts w:ascii="Arial" w:hAnsi="Arial"/>
          <w:b/>
          <w:sz w:val="36"/>
        </w:rPr>
        <w:t>Reflexión final</w:t>
      </w:r>
    </w:p>
    <w:p>
      <w:pPr>
        <w:spacing w:line="240" w:lineRule="auto"/>
        <w:jc w:val="center"/>
      </w:pPr>
      <w:r>
        <w:rPr>
          <w:rFonts w:ascii="Arial" w:hAnsi="Arial"/>
          <w:b w:val="0"/>
          <w:sz w:val="24"/>
        </w:rPr>
        <w:t xml:space="preserve">El plan no se limita a "correr casos": </w:t>
      </w:r>
      <w:r>
        <w:rPr>
          <w:rFonts w:ascii="Arial" w:hAnsi="Arial"/>
          <w:b/>
          <w:sz w:val="24"/>
        </w:rPr>
        <w:t>fundamenta cada decisión en riesgo, seguridad y trazabilidad</w:t>
      </w:r>
      <w:r>
        <w:rPr>
          <w:rFonts w:ascii="Arial" w:hAnsi="Arial"/>
          <w:b w:val="0"/>
          <w:sz w:val="24"/>
        </w:rPr>
        <w:t xml:space="preserve">, y optimiza recursos al concentrar el esfuerzo donde el impacto y la complejidad son mayores. El ciclo de mantenimiento garantiza su </w:t>
      </w:r>
      <w:r>
        <w:rPr>
          <w:rFonts w:ascii="Arial" w:hAnsi="Arial"/>
          <w:b/>
          <w:sz w:val="24"/>
        </w:rPr>
        <w:t>sostenibilidad en el tiempo</w:t>
      </w:r>
      <w:r>
        <w:rPr>
          <w:rFonts w:ascii="Arial" w:hAnsi="Arial"/>
          <w:b w:val="0"/>
          <w:sz w:val="24"/>
        </w:rPr>
        <w:t xml:space="preserve"> (cambios normativos, funcionales y de arquitectura), cerrando la visión integral de aseguramiento de calidad de la IL2.1.</w:t>
      </w:r>
    </w:p>
    <w:p>
      <w:pPr>
        <w:spacing w:before="120"/>
        <w:jc w:val="center"/>
      </w:pPr>
      <w:r>
        <w:rPr>
          <w:rFonts w:ascii="Arial" w:hAnsi="Arial"/>
          <w:b/>
          <w:sz w:val="36"/>
        </w:rPr>
        <w:t>Recursos de apoyo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PDF de la clase: `2.1.1 'PPT Estrategias y enfoques de diseño del plan de pruebas con enfoque en calidad y seguridad.pdf` (referencia de la sesión).</w:t>
      </w:r>
    </w:p>
    <w:p>
      <w:pPr>
        <w:spacing w:line="360" w:lineRule="auto"/>
        <w:jc w:val="center"/>
      </w:pPr>
      <w:r>
        <w:rPr>
          <w:rFonts w:ascii="Arial" w:hAnsi="Arial"/>
          <w:b w:val="0"/>
          <w:sz w:val="24"/>
        </w:rPr>
        <w:t>Modelos previos de EA1 (actividades 1.1.2, 1.2.2, 1.3.2 y Clase 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