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line="240" w:lineRule="auto"/>
        <w:jc w:val="center"/>
      </w:pPr>
      <w:r>
        <w:rPr>
          <w:rFonts w:ascii="Arial" w:hAnsi="Arial"/>
          <w:b/>
          <w:color w:val="1F3B57"/>
          <w:sz w:val="52"/>
        </w:rPr>
        <w:t>Guion de Defensa — EP4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Evaluación Parcial N.º 4 · ISY1102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Sección 002V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Carrera: Ingeniería en Desarrollo de Software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Docente: Christian Rodrigo Alvarez Lobos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Fecha: 17 de octubre de 2026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Integrantes: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Luis Tasso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Miguel Arredondo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Nicolas Iturrieta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1. Estructura y distribución del tiempo</w:t>
      </w:r>
    </w:p>
    <w:p>
      <w:pPr>
        <w:spacing w:line="360" w:lineRule="auto"/>
      </w:pPr>
      <w:r>
        <w:rPr>
          <w:rFonts w:ascii="Arial" w:hAnsi="Arial"/>
          <w:sz w:val="22"/>
        </w:rPr>
        <w:t>La defensa tiene 10 minutos de exposición y 5 minutos de preguntas. La exposición es individual, aunque el trabajo sea grupal: cada integrante debe dominar el contenido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N.º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Diapositiva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Inicio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Fin</w:t>
            </w:r>
          </w:p>
        </w:tc>
        <w:tc>
          <w:tcPr>
            <w:tcW w:type="dxa" w:w="1728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Duración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Portada y saludo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0:30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Contenido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0:30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0:50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Contexto y alcance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0:50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Enfoque estratégico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60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Tipos de prueba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3:20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Herramientas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3:20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4:10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Resumen de ejecución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4:10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Casos representativos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5:50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Análisis estático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5:50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6:40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Clasificación de defectos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6:40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7:30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Evidencias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7:30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8:00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Reflexiones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8:00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9:00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60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Dictamen y acciones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9:00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9:40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40 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Cierre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9:40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10:00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20 s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2. Guion diapositiva por diapositiva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1 · Portada (0:00–0:30)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presentar al equipo, el caso y adelantar el dictamen.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Buenos días. Somos Luis Tasso, Miguel Arredondo y Nicolas Iturrieta. Presentamos la verificación de seguridad y calidad del sistema Atlas, desarrollada para la Evaluación Parcial N.º 3. Anticipo la conclusión: el dictamen es NO CERTIFICADO, porque encontramos cuatro defectos críticos de seguridad que impiden su puesta en producción. A continuación explico el enfoque, la ejecución y la evidencia.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2 · Contenido (0:30–0:50)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ordenar la exposición.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La presentación sigue el orden exigido: contexto y alcance, enfoque estratégico de las pruebas, tipos y herramientas, resultados de ejecución, análisis estático, clasificación de los defectos, reflexiones de calidad, seguridad y normativa, y finalmente el dictamen con las acciones correctivas.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3 · Contexto y alcance (0:50–1:40)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qué es Atlas, qué módulos se evaluaron y con qué marco.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Atlas es una plataforma web para pymes chilenas que gestiona clientes, contratos y documentos. Tiene arquitectura de tres capas: frontend React con Material UI, API REST en Express/Node y PostgreSQL. Evaluamos seis módulos: autenticación, clientes, contratos y documentos, usuarios y roles, métricas y auditoría.</w:t>
      </w:r>
    </w:p>
    <w:p>
      <w:pPr>
        <w:spacing w:line="360" w:lineRule="auto"/>
      </w:pPr>
      <w:r>
        <w:rPr>
          <w:rFonts w:ascii="Arial" w:hAnsi="Arial"/>
          <w:sz w:val="22"/>
        </w:rPr>
        <w:t>&gt;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Nos guiamos por ISO/IEC 25010 para calidad, ISO/IEC 27001 y OWASP Top 10 para seguridad, y la Ley 19.628 y 21.719 de protección de datos. El objetivo era determinar con evidencia si el software es apto para producción. Todo se ejecutó sobre un despliegue Docker en laboratorio: frontend en el puerto 3350, API en 4450 y PostgreSQL en 15432.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4 · Enfoque estratégico (1:40–2:40)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cómo se planificó y priorizó el ciclo de pruebas.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Aplicamos un enfoque mixto: ejecución manual reproducible con curl, análisis estático automatizado y revisión manual del código. La priorización fue por riesgo: primero seguridad —control de acceso, subida de archivos e inyección—, luego la funcionalidad central y al final lo no funcional.</w:t>
      </w:r>
    </w:p>
    <w:p>
      <w:pPr>
        <w:spacing w:line="360" w:lineRule="auto"/>
      </w:pPr>
      <w:r>
        <w:rPr>
          <w:rFonts w:ascii="Arial" w:hAnsi="Arial"/>
          <w:sz w:val="22"/>
        </w:rPr>
        <w:t>&gt;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Trabajamos en dos ciclos: el Ciclo 1 fue un smoke test de funciones base; si fallaba, deteníamos la ejecución. El Ciclo 2 ejecutó 12 casos funcionales y de seguridad más pruebas complementarias. Los criterios de entrada exigían entorno desplegado, datos semilla y casos revisados; los de salida, el 100 % de los casos críticos ejecutados, sin defectos críticos abiertos y con evidencia registrada.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5 · Tipos de prueba (2:40–3:20)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cada tipo responde a un requisito del ERS.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Diseñamos cinco tipos de prueba, cada uno justificado por el ERS. Funcionales para validar los requisitos RF-1 a RF-6: login, CRUD de clientes, contratos, usuarios, dashboard y auditoría. De seguridad para control de acceso, uploads, SQLi, CORS y fuerza bruta. De integración para verificar el flujo completo entre frontend, API y base de datos. De rendimiento para comparar los tiempos de respuesta con los umbrales NFR-PERF. Y de usabilidad, en una revisión acotada de los estados de interfaz.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6 · Herramientas (3:20–4:10)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justificar la elección de cada herramienta.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Elegimos cada herramienta por su aporte a la evidencia. Docker Compose reproduce el ambiente completo de forma aislada y verificable. curl nos permite controlar token, cabeceras y payloads, y registrar el código HTTP como prueba. ESLint detecta errores y malas prácticas de calidad de forma automática. SonarQube entrega métricas objetivas de bugs, vulnerabilidades, hotspots y duplicación. Y la revisión manual cubre lo que las herramientas no ven: control de acceso, secretos y manejo de archivos. El equipo de prueba fue un líder de QA, un tester funcional y un tester de seguridad, sobre un entorno QA local con datos ficticios.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7 · Resumen de ejecución (4:10–5:00)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resultados cuantitativos del ciclo.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Diseñamos y ejecutamos 12 casos: 10 aprobados, un 83 % de éxito, y 2 fallidos. Los fallos son CP-010, que aceptó un archivo ejecutable en la subida de documentos, y CP-011, que permitió leer datos de contratos sin token. Sumamos 10 pruebas de seguridad complementarias, de las cuales 7 arrojaron resultado inseguro. En total registramos 11 incidentes: 4 críticos, 5 graves, 1 moderado y 1 leve. ESLint reportó 14 problemas y SonarQube, 1 vulnerabilidad BLOCKER, 4 hotspots y 198 code smells. El tiempo de respuesta fue de 4 segundos por una latencia artificial en el código.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8 · Casos representativos (5:00–5:50)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conectar cada caso con su evidencia.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Estos son los casos que mejor resumen el resultado. CP-001 aprobó: el login válido emite el JWT. CP-010 falló: el sistema aceptó un archivo .exe y lo sirvió como PDF, lo que es un riesgo de malware. CP-011 falló: un GET a contratos sin token devolvió los datos completos, un IDOR clásico. CP-012 sí aprobó: el intento de inyección SQL fue rechazado con 401 porque las consultas están parametrizadas. SEG-12 mostró CORS abierto con Allow-Origin asterisco, y FN-02 midió 4,06 segundos frente a un umbral de 300 milisegundos.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9 · Análisis estático (5:50–6:40)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la herramienta confirma los hallazgos dinámicos.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El análisis estático confirma lo que vimos dinámicamente. ESLint detectó 14 problemas, principalmente variables e imports sin uso y dependencias de hooks. SonarQube, en el backend, encontró una vulnerabilidad BLOCKER: la contraseña de PostgreSQL escrita directamente en db.js, línea 6. Además, 4 security hotspots y un Security Rating E. En el frontend encontró 1 bug, 181 code smells y un problema crítico de complejidad cognitiva. Lo relevante es que los hotspots coinciden exactamente con los defectos BUG-003, de subida de archivos, y BUG-005, de CORS.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10 · Clasificación de defectos (6:40–7:30)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escala aplicada y regla de certificación.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Clasificamos los 11 incidentes con una escala de cuatro niveles. CRITICO: 4 casos, que impiden operar o exponen datos sensibles —el acceso sin token, las credenciales en texto claro, la subida sin validación y el secreto en el código—. GRAVE: 5 casos, entre ellos el JWT_SECRET inseguro, el CORS abierto, la ausencia de rate-limit, los errores 500 y el uso de localStorage. MODERADO: la latencia artificial. Y LEVE: los code smells de ESLint. La regla que aplicamos es que un software con defectos CRITICO abiertos nunca debe certificarse.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11 · Evidencias (7:30–8:00)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mostrar que todo es verificable.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Aquí están las capturas del servidor SonarQube local. Se ven los dashboards de ambos proyectos, los issues de code smells y del frontend, el Quality Gate y el resumen de proyectos. Todas las capturas están incorporadas también en el Anexo E del informe, para que la evidencia sea verificable.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12 · Reflexiones (8:00–9:00)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calidad, seguridad, normativa, legal y ética.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En calidad, el sistema tiene una base funcional correcta, pero una deuda técnica alta en el frontend y un bug de compatibilidad con React 19. En seguridad, los cuatro defectos críticos se mapean a OWASP: control de acceso roto, fallas criptográficas, fallas de autenticación y de integridad de datos y software.</w:t>
      </w:r>
    </w:p>
    <w:p>
      <w:pPr>
        <w:spacing w:line="360" w:lineRule="auto"/>
      </w:pPr>
      <w:r>
        <w:rPr>
          <w:rFonts w:ascii="Arial" w:hAnsi="Arial"/>
          <w:sz w:val="22"/>
        </w:rPr>
        <w:t>&gt;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En lo normativo, la exposición de datos personales y el manejo de contraseñas incumplen la Ley 19.628 y la 21.719, y los controles de acceso y criptografía de ISO 27001. En lo legal, los datos de clientes no pueden quedar accesibles sin autorización. Y en lo ético, nuestro compromiso fue reportar todo con transparencia y evidencia, sin ocultar hallazgos y sin usar datos reales.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13 · Dictamen (9:00–9:40)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criterio, resultado y acciones.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El criterio de certificación era tener el 100 % de los casos de seguridad críticos exitosos y ningún defecto crítico abierto. No se cumplió: fallaron CP-010 y CP-011 y quedan 4 incidentes CRITICO. Por eso el dictamen es NO CERTIFICADO. Las acciones correctivas prioritarias son: autenticación global en todos los endpoints, hash seguro de contraseñas, validación de archivos, secretos fuera del código, CORS restringido, rate-limit, transacciones y errores genéricos, cookies httpOnly y un Quality Gate de seguridad en CI.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Diapositiva 14 · Cierre (9:40–10:00)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Mensaje clave:</w:t>
      </w:r>
      <w:r>
        <w:rPr>
          <w:rFonts w:ascii="Arial" w:hAnsi="Arial"/>
          <w:sz w:val="22"/>
        </w:rPr>
        <w:t xml:space="preserve"> cerrar y ofrecer respaldo.</w:t>
      </w:r>
    </w:p>
    <w:p>
      <w:pPr>
        <w:spacing w:line="360" w:lineRule="auto"/>
        <w:ind w:left="340"/>
      </w:pPr>
      <w:r>
        <w:rPr>
          <w:rFonts w:ascii="Arial" w:hAnsi="Arial"/>
          <w:i/>
          <w:sz w:val="20"/>
        </w:rPr>
        <w:t>Con esto cerramos la presentación. El informe completo, con el detalle de cada caso y las evidencias, está disponible como respaldo. Quedamos atentos a sus preguntas.</w:t>
      </w:r>
    </w:p>
    <w:p>
      <w:pPr>
        <w:spacing w:line="360" w:lineRule="auto" w:before="240" w:after="120"/>
      </w:pPr>
      <w:r>
        <w:rPr>
          <w:rFonts w:ascii="Arial" w:hAnsi="Arial"/>
          <w:b/>
          <w:color w:val="1F3B57"/>
          <w:sz w:val="24"/>
        </w:rPr>
        <w:t>3. Recomendaciones para la defensa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Ritmo:</w:t>
      </w:r>
      <w:r>
        <w:rPr>
          <w:rFonts w:ascii="Arial" w:hAnsi="Arial"/>
          <w:sz w:val="22"/>
        </w:rPr>
        <w:t xml:space="preserve"> ensayar al menos dos veces con cronómetro; si se pasa de 10 minutos, recortar las diapositivas 5 y 11, que son de apoyo.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No leer:</w:t>
      </w:r>
      <w:r>
        <w:rPr>
          <w:rFonts w:ascii="Arial" w:hAnsi="Arial"/>
          <w:sz w:val="22"/>
        </w:rPr>
        <w:t xml:space="preserve"> las notas del orador están en el PPTX (vista Notas); úsalas como guía, no como texto literal.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Dominio individual:</w:t>
      </w:r>
      <w:r>
        <w:rPr>
          <w:rFonts w:ascii="Arial" w:hAnsi="Arial"/>
          <w:sz w:val="22"/>
        </w:rPr>
        <w:t xml:space="preserve"> la defensa es personal; cada integrante debe poder explicar cualquier sección, especialmente el dictamen y los defectos críticos.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Respaldo:</w:t>
      </w:r>
      <w:r>
        <w:rPr>
          <w:rFonts w:ascii="Arial" w:hAnsi="Arial"/>
          <w:sz w:val="22"/>
        </w:rPr>
        <w:t xml:space="preserve"> tener abiertos el informe EP3 y el Anexo E con las capturas para responder consultas técnicas.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Preguntas probables:</w:t>
      </w:r>
      <w:r>
        <w:rPr>
          <w:rFonts w:ascii="Arial" w:hAnsi="Arial"/>
          <w:sz w:val="22"/>
        </w:rPr>
        <w:t xml:space="preserve"> por qué NO CERTIFICADO, por qué SonarQube da Quality Gate OK si hay una vulnerabilidad BLOCKER, diferencia entre IDOR y autenticación faltante, y qué corregir primero.</w:t>
      </w:r>
    </w:p>
    <w:p>
      <w:pPr>
        <w:pStyle w:val="ListBullet"/>
        <w:spacing w:line="360" w:lineRule="auto"/>
      </w:pPr>
      <w:r>
        <w:rPr>
          <w:rFonts w:ascii="Arial" w:hAnsi="Arial"/>
          <w:b/>
          <w:sz w:val="22"/>
        </w:rPr>
        <w:t>Entrega AVA:</w:t>
      </w:r>
      <w:r>
        <w:rPr>
          <w:rFonts w:ascii="Arial" w:hAnsi="Arial"/>
          <w:sz w:val="22"/>
        </w:rPr>
        <w:t xml:space="preserve"> subir el informe (Word/PDF), la presentación y el material de apoyo antes del plazo de la evaluación.</w:t>
      </w:r>
    </w:p>
    <w:p>
      <w:pPr>
        <w:spacing w:line="360" w:lineRule="auto"/>
      </w:pPr>
      <w:r>
        <w:rPr>
          <w:rFonts w:ascii="Arial" w:hAnsi="Arial"/>
          <w:sz w:val="22"/>
        </w:rPr>
        <w:t xml:space="preserve">*Documento de apoyo para la defensa individual de la Evaluación Parcial N.º 4 (EP4). Complementa el informe EP3 y la presentación </w:t>
      </w:r>
      <w:r>
        <w:rPr>
          <w:rFonts w:ascii="Courier New" w:hAnsi="Courier New"/>
          <w:sz w:val="22"/>
        </w:rPr>
        <w:t>EP3_Presentacion_Atlas.pptx</w:t>
      </w:r>
      <w:r>
        <w:rPr>
          <w:rFonts w:ascii="Arial" w:hAnsi="Arial"/>
          <w:sz w:val="22"/>
        </w:rP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