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line="240" w:lineRule="auto"/>
        <w:jc w:val="center"/>
      </w:pPr>
      <w:r>
        <w:rPr>
          <w:rFonts w:ascii="Arial" w:hAnsi="Arial"/>
          <w:b/>
          <w:color w:val="1F3B57"/>
          <w:sz w:val="52"/>
        </w:rPr>
        <w:t>INFORME DE SEGURIDAD Y CALIDAD</w:t>
      </w:r>
    </w:p>
    <w:p>
      <w:pPr>
        <w:spacing w:before="1200" w:line="240" w:lineRule="auto"/>
        <w:jc w:val="center"/>
      </w:pPr>
      <w:r>
        <w:rPr>
          <w:rFonts w:ascii="Arial" w:hAnsi="Arial"/>
          <w:b/>
          <w:color w:val="1F3B57"/>
          <w:sz w:val="52"/>
        </w:rPr>
        <w:t>EN EL DESARROLLO DE SOFTWARE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Plan de Pruebas — Sistema de Gestión Atlas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Evaluación Parcial N.º 1 · ISY1102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Carrera:</w:t>
      </w:r>
      <w:r>
        <w:rPr>
          <w:rFonts w:ascii="Arial" w:hAnsi="Arial"/>
          <w:b w:val="0"/>
          <w:sz w:val="24"/>
        </w:rPr>
        <w:t xml:space="preserve"> Ingeniería en Desarrollo de Software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Asignatura:</w:t>
      </w:r>
      <w:r>
        <w:rPr>
          <w:rFonts w:ascii="Arial" w:hAnsi="Arial"/>
          <w:b w:val="0"/>
          <w:sz w:val="24"/>
        </w:rPr>
        <w:t xml:space="preserve"> Seguridad y Calidad en el Desarrollo de Software (ISY1102)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Sección:</w:t>
      </w:r>
      <w:r>
        <w:rPr>
          <w:rFonts w:ascii="Arial" w:hAnsi="Arial"/>
          <w:b w:val="0"/>
          <w:sz w:val="24"/>
        </w:rPr>
        <w:t xml:space="preserve"> 002V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Docente:</w:t>
      </w:r>
      <w:r>
        <w:rPr>
          <w:rFonts w:ascii="Arial" w:hAnsi="Arial"/>
          <w:b w:val="0"/>
          <w:sz w:val="24"/>
        </w:rPr>
        <w:t xml:space="preserve"> Christian Rodrigo Alvarez Lobos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Fecha de entrega:</w:t>
      </w:r>
      <w:r>
        <w:rPr>
          <w:rFonts w:ascii="Arial" w:hAnsi="Arial"/>
          <w:b w:val="0"/>
          <w:sz w:val="24"/>
        </w:rPr>
        <w:t xml:space="preserve"> [completar]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Integrantes: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Luis Tasso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Miguel Arredondo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Nicolas Iturrieta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Índice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1. Introducción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Introducción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2. Criterios de calidad, seguridad y cumplimiento normativo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Criterios de calidad, seguridad y cumplimiento normativo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3. Marco de referencia y estándares aplicables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Marco de referencia y estándares aplicables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4. Plan de pruebas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Plan de pruebas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5. Recursos necesarios para la ejecución de pruebas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Recursos necesarios para la ejecución de pruebas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6. Diseño de casos de prueba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Diseño de casos de prueba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7. Matriz de trazabilidad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Matriz de trazabilidad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8. Análisis de cobertura del plan (IE5)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Análisis de cobertura del plan (IE5)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9. Conclusiones y análisis preliminar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Conclusiones y análisis preliminar</w:t>
      </w:r>
    </w:p>
    <w:p>
      <w:pPr>
        <w:spacing w:line="360" w:lineRule="auto"/>
        <w:ind w:left="0"/>
      </w:pPr>
      <w:r>
        <w:rPr>
          <w:rFonts w:ascii="Arial" w:hAnsi="Arial"/>
          <w:b/>
          <w:sz w:val="22"/>
        </w:rPr>
        <w:t>10. Referencias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Referencias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1. Introducción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Contexto del sistema a evaluar.</w:t>
      </w:r>
      <w:r>
        <w:rPr>
          <w:rFonts w:ascii="Arial" w:hAnsi="Arial"/>
          <w:sz w:val="22"/>
        </w:rPr>
        <w:t xml:space="preserve"> Atlas es una plataforma web de gestión de clientes y contratos orientada a pequeñas y medianas empresas (pymes) de Chile. El sistema se estructura en tres capas: un *frontend* construido con React y Material UI (SPA responsiva), un *backend* con Express/Node.js que expone una API REST, y una base de datos PostgreSQL. Permite a usuarios registrados por empresa gestionar clientes, contratos y documentos asociados, administrar usuarios y roles (administrador/editor), auditar acciones críticas y gestionar el ciclo de vida de los contratos.</w:t>
      </w:r>
    </w:p>
    <w:p>
      <w:pPr>
        <w:spacing w:line="360" w:lineRule="auto"/>
      </w:pPr>
      <w:r>
        <w:rPr>
          <w:rFonts w:ascii="Arial" w:hAnsi="Arial"/>
          <w:sz w:val="22"/>
        </w:rPr>
        <w:t>El proyecto se entrega como *código fuente* (Caso A) sobre el cual el equipo de QA debe diseñar un plan de pruebas que asegure su calidad, seguridad y conformidad normativa antes de su puesta en producción.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Propósito del plan.</w:t>
      </w:r>
      <w:r>
        <w:rPr>
          <w:rFonts w:ascii="Arial" w:hAnsi="Arial"/>
          <w:sz w:val="22"/>
        </w:rPr>
        <w:t xml:space="preserve"> El objetivo de este plan es definir la estrategia, los recursos, el alcance y el diseño de los casos de prueba necesarios para verificar que Atlas cumple con los requisitos funcionales y no funcionales descritos en la Especificación de Requerimientos de Software (ERS), así como con los estándares de calidad (ISO/IEC 25010), seguridad de la información (ISO/IEC 27001) y la normativa chilena de protección de datos personales (Ley 19.628 y Ley 21.719). Se busca asegurar que el software sea funcionalmente correcto, seguro, accesible, transversalmente legal y auditable.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Contenido y estructura del informe.</w:t>
      </w:r>
      <w:r>
        <w:rPr>
          <w:rFonts w:ascii="Arial" w:hAnsi="Arial"/>
          <w:sz w:val="22"/>
        </w:rPr>
        <w:t xml:space="preserve"> El documento se organiza en: criterios de calidad, seguridad y cumplimiento normativo; plan de pruebas (estrategia, tipos de prueba, criterios de aceptación y herramientas); recursos necesarios; y diseño de casos de prueba representativos con su trazabilidad a los requerimientos del ERS.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 Criterios de calidad, seguridad y cumplimiento normativo</w:t>
      </w:r>
    </w:p>
    <w:p>
      <w:pPr>
        <w:spacing w:line="360" w:lineRule="auto"/>
      </w:pPr>
      <w:r>
        <w:rPr>
          <w:rFonts w:ascii="Arial" w:hAnsi="Arial"/>
          <w:sz w:val="22"/>
        </w:rPr>
        <w:t>Se establecen los estándares que el sistema debe satisfacer, tomando como base el ERS del Sistema Atlas y los marcos normativos aplicables al contexto chileno.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2.1 Calidad del producto</w:t>
      </w:r>
    </w:p>
    <w:p>
      <w:pPr>
        <w:spacing w:line="360" w:lineRule="auto"/>
      </w:pPr>
      <w:r>
        <w:rPr>
          <w:rFonts w:ascii="Arial" w:hAnsi="Arial"/>
          <w:sz w:val="22"/>
        </w:rPr>
        <w:t xml:space="preserve">Según el modelo </w:t>
      </w:r>
      <w:r>
        <w:rPr>
          <w:rFonts w:ascii="Arial" w:hAnsi="Arial"/>
          <w:b/>
          <w:sz w:val="22"/>
        </w:rPr>
        <w:t>ISO/IEC 25010 (SQuaRE)</w:t>
      </w:r>
      <w:r>
        <w:rPr>
          <w:rFonts w:ascii="Arial" w:hAnsi="Arial"/>
          <w:sz w:val="22"/>
        </w:rPr>
        <w:t>, Atlas debe cumplir con las siguientes características y subcaracterísticas: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Adecuación funcional:</w:t>
      </w:r>
      <w:r>
        <w:rPr>
          <w:rFonts w:ascii="Arial" w:hAnsi="Arial"/>
          <w:sz w:val="22"/>
        </w:rPr>
        <w:t xml:space="preserve"> las operaciones de autenticación, gestión de clientes, contratos, documentos, usuarios/roles y auditoría deben implementar correctamente los requisitos RF‑1 a RF‑6.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Usabilidad y accesibilidad:</w:t>
      </w:r>
      <w:r>
        <w:rPr>
          <w:rFonts w:ascii="Arial" w:hAnsi="Arial"/>
          <w:sz w:val="22"/>
        </w:rPr>
        <w:t xml:space="preserve"> interfaz responsiva (desktop, tablet, móvil), tipografía de tamaño de fuente 12 px, contraste suficiente, etiquetas ARIA, navegación por teclado y controles de tamaño mínimo para pantallas táctiles, con especial atención a usuarios adultos mayores (NFR‑USAB).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Rendimiento:</w:t>
      </w:r>
      <w:r>
        <w:rPr>
          <w:rFonts w:ascii="Arial" w:hAnsi="Arial"/>
          <w:sz w:val="22"/>
        </w:rPr>
        <w:t xml:space="preserve"> tiempos de respuesta de operaciones CRUD menores a 300 ms bajo carga normal, carga de página principal menor a 2 s y soporte de 200 usuarios concurrentes (NFR‑PERF).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Estabilidad y confiabilidad:</w:t>
      </w:r>
      <w:r>
        <w:rPr>
          <w:rFonts w:ascii="Arial" w:hAnsi="Arial"/>
          <w:sz w:val="22"/>
        </w:rPr>
        <w:t xml:space="preserve"> disponibilidad objetivo 99,5 % mensual (NFR‑DIS‑1) y tolerancia a fallos sin pérdida de datos.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Mantenibilidad:</w:t>
      </w:r>
      <w:r>
        <w:rPr>
          <w:rFonts w:ascii="Arial" w:hAnsi="Arial"/>
          <w:sz w:val="22"/>
        </w:rPr>
        <w:t xml:space="preserve"> código legible, modular y documentado en frontend y backend.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2.2 Seguridad</w:t>
      </w:r>
    </w:p>
    <w:p>
      <w:pPr>
        <w:spacing w:line="360" w:lineRule="auto"/>
      </w:pPr>
      <w:r>
        <w:rPr>
          <w:rFonts w:ascii="Arial" w:hAnsi="Arial"/>
          <w:sz w:val="22"/>
        </w:rPr>
        <w:t xml:space="preserve">Conforme a </w:t>
      </w:r>
      <w:r>
        <w:rPr>
          <w:rFonts w:ascii="Arial" w:hAnsi="Arial"/>
          <w:b/>
          <w:sz w:val="22"/>
        </w:rPr>
        <w:t>ISO/IEC 27001</w:t>
      </w:r>
      <w:r>
        <w:rPr>
          <w:rFonts w:ascii="Arial" w:hAnsi="Arial"/>
          <w:sz w:val="22"/>
        </w:rPr>
        <w:t xml:space="preserve"> y a los requerimientos NFR‑SEG del ERS: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Confidencialidad:</w:t>
      </w:r>
      <w:r>
        <w:rPr>
          <w:rFonts w:ascii="Arial" w:hAnsi="Arial"/>
          <w:sz w:val="22"/>
        </w:rPr>
        <w:t xml:space="preserve"> cifrado de comunicaciones (TLS), cifrado de datos sensibles en reposo y control de acceso por roles.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Integridad:</w:t>
      </w:r>
      <w:r>
        <w:rPr>
          <w:rFonts w:ascii="Arial" w:hAnsi="Arial"/>
          <w:sz w:val="22"/>
        </w:rPr>
        <w:t xml:space="preserve"> hashing seguro de contraseñas (bcrypt) y validación/saneamiento de entradas para prevenir inyección SQL, XSS y CSRF.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Disponibilidad:</w:t>
      </w:r>
      <w:r>
        <w:rPr>
          <w:rFonts w:ascii="Arial" w:hAnsi="Arial"/>
          <w:sz w:val="22"/>
        </w:rPr>
        <w:t xml:space="preserve"> políticas de respaldo (backup) y recuperación (NFR‑SEG‑7), gestión de logs segura (NFR‑SEG‑6) y manejo de sesión mediante token JWT de corta vigencia (NFR‑SEG‑9).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Autenticación y autorización:</w:t>
      </w:r>
      <w:r>
        <w:rPr>
          <w:rFonts w:ascii="Arial" w:hAnsi="Arial"/>
          <w:sz w:val="22"/>
        </w:rPr>
        <w:t xml:space="preserve"> autenticación con credenciales, revocación de sesión y control de acceso por rol en el backend (RB‑2, RB‑4, RB‑5).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2.3 Cumplimiento normativo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Ley 19.628 (Protección de Datos Personales)</w:t>
      </w:r>
      <w:r>
        <w:rPr>
          <w:rFonts w:ascii="Arial" w:hAnsi="Arial"/>
          <w:sz w:val="22"/>
        </w:rPr>
        <w:t xml:space="preserve"> y </w:t>
      </w:r>
      <w:r>
        <w:rPr>
          <w:rFonts w:ascii="Arial" w:hAnsi="Arial"/>
          <w:b/>
          <w:sz w:val="22"/>
        </w:rPr>
        <w:t>Ley 21.719</w:t>
      </w:r>
      <w:r>
        <w:rPr>
          <w:rFonts w:ascii="Arial" w:hAnsi="Arial"/>
          <w:sz w:val="22"/>
        </w:rPr>
        <w:t>: Atlas trata datos personales y bancarios de clientes. Se exige consentimiento explícito e informado, minimización de datos, cifrado, control de acceso, trazabilidad y respeto al plazo de conservación de los datos.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 27001</w:t>
      </w:r>
      <w:r>
        <w:rPr>
          <w:rFonts w:ascii="Arial" w:hAnsi="Arial"/>
          <w:sz w:val="22"/>
        </w:rPr>
        <w:t>: gestión de la seguridad de la información alineada con los controles del SGSI.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 25010</w:t>
      </w:r>
      <w:r>
        <w:rPr>
          <w:rFonts w:ascii="Arial" w:hAnsi="Arial"/>
          <w:sz w:val="22"/>
        </w:rPr>
        <w:t>: marco de calidad del producto.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Accesibilidad e inclusión digital</w:t>
      </w:r>
      <w:r>
        <w:rPr>
          <w:rFonts w:ascii="Arial" w:hAnsi="Arial"/>
          <w:sz w:val="22"/>
        </w:rPr>
        <w:t>: cumplimiento básico de estándares WCAG y normativa de inclusión, evitando discriminación de usuarios con discapacidad.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3. Marco de referencia y estándares aplicables</w:t>
      </w:r>
    </w:p>
    <w:p>
      <w:pPr>
        <w:spacing w:line="360" w:lineRule="auto"/>
      </w:pPr>
      <w:r>
        <w:rPr>
          <w:rFonts w:ascii="Arial" w:hAnsi="Arial"/>
          <w:sz w:val="22"/>
        </w:rPr>
        <w:t>Para garantizar la calidad del proceso y la coherencia con la industria, el plan de pruebas se basa en los siguientes marcos y normas: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ISO/IEC/IEEE 29119 (Ingeniería de software — Pruebas de software):</w:t>
      </w:r>
      <w:r>
        <w:rPr>
          <w:rFonts w:ascii="Arial" w:hAnsi="Arial"/>
          <w:sz w:val="22"/>
        </w:rPr>
        <w:t xml:space="preserve"> establece el proceso de pruebas (política, estrategia, diseño, ejecución y gestión de incidentes) y la terminología de los tipos de prueba y casos de prueba utilizados en este informe.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 25010 (SQuaRE):</w:t>
      </w:r>
      <w:r>
        <w:rPr>
          <w:rFonts w:ascii="Arial" w:hAnsi="Arial"/>
          <w:sz w:val="22"/>
        </w:rPr>
        <w:t xml:space="preserve"> modelo de calidad del producto que define las características de adecuación funcional, rendimiento, usabilidad, seguridad, compatibilidad, mantenibilidad y confiabilidad evaluadas en los criterios de la sección 2.1.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ISO/IEC 27001 (SGSI):</w:t>
      </w:r>
      <w:r>
        <w:rPr>
          <w:rFonts w:ascii="Arial" w:hAnsi="Arial"/>
          <w:sz w:val="22"/>
        </w:rPr>
        <w:t xml:space="preserve"> referente de seguridad de la información; sus controles del Anexo A (A.9.4 Control de acceso, A.10 Criptografía, A.12.4 Registro de actividad, A.18.1 Requisitos legales) sustentan los criterios de seguridad y auditoría del plan.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OWASP Top 10:</w:t>
      </w:r>
      <w:r>
        <w:rPr>
          <w:rFonts w:ascii="Arial" w:hAnsi="Arial"/>
          <w:sz w:val="22"/>
        </w:rPr>
        <w:t xml:space="preserve"> identifica los riesgos de seguridad web más relevantes (control de acceso roto, malas configuraciones, fallas criptográficas, inyección) que orientan las pruebas de seguridad dinámicas y estáticas (sección 4.4 y casos CP‑02 y CP‑05).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ISTQB (International Software Testing Qualifications Board):</w:t>
      </w:r>
      <w:r>
        <w:rPr>
          <w:rFonts w:ascii="Arial" w:hAnsi="Arial"/>
          <w:sz w:val="22"/>
        </w:rPr>
        <w:t xml:space="preserve"> sus fundamentos de pruebas (niveles de prueba, técnicas de diseño de casos, criterios de entrada/salida) estructuran la estrategia y la ejecución descritas en la sección 4.3.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Ley 19.628 y Ley 21.719 (Chile):</w:t>
      </w:r>
      <w:r>
        <w:rPr>
          <w:rFonts w:ascii="Arial" w:hAnsi="Arial"/>
          <w:sz w:val="22"/>
        </w:rPr>
        <w:t xml:space="preserve"> protección y tratamiento de datos personales, que condicionan los criterios de cumplimiento normativo (sección 2.3) y los casos de prueba orientados a la protección de datos sensibles.</w:t>
      </w:r>
    </w:p>
    <w:p>
      <w:pPr>
        <w:spacing w:line="360" w:lineRule="auto"/>
      </w:pPr>
      <w:r>
        <w:rPr>
          <w:rFonts w:ascii="Arial" w:hAnsi="Arial"/>
          <w:sz w:val="22"/>
        </w:rPr>
        <w:t>El uso coordinado de estos marcos garantiza trazabilidad entre los criterios (sección 2), la estrategia (sección 4) y los casos de prueba diseñados (sección 6), fortaleciendo el respaldo técnico del plan frente a la evaluación (criterio de coherencia y marco profesional).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 Plan de pruebas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4.1 Objetivos del plan de pruebas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Objetivo general:</w:t>
      </w:r>
      <w:r>
        <w:rPr>
          <w:rFonts w:ascii="Arial" w:hAnsi="Arial"/>
          <w:sz w:val="22"/>
        </w:rPr>
        <w:t xml:space="preserve"> verificar que el Sistema de Gestión Atlas cumple con los requerimientos funcionales y no funcionales definidos en el ERS, garantizando su calidad, seguridad y conformidad con la normativa vigente de protección de datos, antes de su puesta en producción.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Objetivos específicos: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Validar el correcto funcionamiento de los módulos de autenticación, clientes, contratos, documentos, usuarios/roles y auditoría (RF‑1 a RF‑6).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Comprobar la cobertura de los criterios de rendimiento (NFR‑PERF), seguridad (NFR‑SEG), usabilidad y accesibilidad (NFR‑USAB) y compatibilidad (NFR‑COMPAT).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Detectar y evidenciar vulnerabilidades de seguridad del código fuente (control de acceso, cifrado, secretos) antes de la liberación.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Demostrar la trazabilidad entre requerimientos, casos de prueba y resultados para sustentar auditorías de cumplimiento.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4.2 Alcance del plan de pruebas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Dentro del alcance: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Módulos funcionales de Atlas: autenticación y sesión, registro de usuarios y creación de empresa, gestión de clientes, contratos y documentos, usuarios y roles, y registro de auditoría.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Requisitos no funcionales de seguridad, rendimiento, usabilidad, accesibilidad, disponibilidad y compatibilidad definidos en el ERS.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Análisis de calidad y seguridad del código fuente provisto (Caso A).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Fuera del alcance: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Pruebas sobre sistemas externos no provistos en el caso (pasarelas de pago u otros servicios de terceros no incluidos).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Pruebas de aceptación de usuarios finales en producción.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Modificaciones correctivas del código (solo se reportan los hallazgos).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4.3 Estrategia de pruebas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Enfoque: mixto (manual y automatizado).</w:t>
      </w:r>
      <w:r>
        <w:rPr>
          <w:rFonts w:ascii="Arial" w:hAnsi="Arial"/>
          <w:sz w:val="22"/>
        </w:rPr>
        <w:t xml:space="preserve"> Se combina la ejecución manual para pruebas exploratorias y de usabilidad con la automatización de pruebas funcionales, de regresión, de rendimiento y de seguridad.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Etapas del proceso: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Definición del alcance y lecturas del ERS y del código fuente.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Diseño de casos de prueba con trazabilidad a requerimientos.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Preparación del entorno de pruebas (backup del ambiente de datos real).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Ejecución de pruebas funcionales (CRUD de clientes, contratos, usuarios, autenticación, auditoría).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Ejecución de pruebas no funcionales (rendimiento, carga, usabilidad y accesibilidad).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Ejecución de pruebas de seguridad (análisis estático y dinámico, penetración).</w:t>
      </w:r>
    </w:p>
    <w:p>
      <w:pPr>
        <w:pStyle w:val="ListNumber"/>
        <w:spacing w:line="360" w:lineRule="auto"/>
      </w:pPr>
      <w:r>
        <w:rPr>
          <w:rFonts w:ascii="Arial" w:hAnsi="Arial"/>
          <w:sz w:val="22"/>
        </w:rPr>
        <w:t>Registro de resultados, análisis y generación de evidencias para auditoría.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Herramientas a utilizar: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Análisis estático:</w:t>
      </w:r>
      <w:r>
        <w:rPr>
          <w:rFonts w:ascii="Arial" w:hAnsi="Arial"/>
          <w:sz w:val="22"/>
        </w:rPr>
        <w:t xml:space="preserve"> SonarQube / ESLint (frontend) y revisión manual del backend.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Funcionales:</w:t>
      </w:r>
      <w:r>
        <w:rPr>
          <w:rFonts w:ascii="Arial" w:hAnsi="Arial"/>
          <w:sz w:val="22"/>
        </w:rPr>
        <w:t xml:space="preserve"> Postman (validación de la API REST) y Selenium (interfaz web).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Rendimiento y carga:</w:t>
      </w:r>
      <w:r>
        <w:rPr>
          <w:rFonts w:ascii="Arial" w:hAnsi="Arial"/>
          <w:sz w:val="22"/>
        </w:rPr>
        <w:t xml:space="preserve"> JMeter y/o Locust (simulación de usuarios concurrentes).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Seguridad:</w:t>
      </w:r>
      <w:r>
        <w:rPr>
          <w:rFonts w:ascii="Arial" w:hAnsi="Arial"/>
          <w:sz w:val="22"/>
        </w:rPr>
        <w:t xml:space="preserve"> OWASP ZAP (escaneo de vulnerabilidades), escaneo de dependencias.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Gestión de casos:</w:t>
      </w:r>
      <w:r>
        <w:rPr>
          <w:rFonts w:ascii="Arial" w:hAnsi="Arial"/>
          <w:sz w:val="22"/>
        </w:rPr>
        <w:t xml:space="preserve"> TestRail o documentación Markdown versionada en Git.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Priorización de pruebas:</w:t>
      </w:r>
      <w:r>
        <w:rPr>
          <w:rFonts w:ascii="Arial" w:hAnsi="Arial"/>
          <w:sz w:val="22"/>
        </w:rPr>
        <w:t xml:space="preserve"> se priorizan por impacto y riesgo, dando prioridad alta a autenticación (RF‑1), gestión de clientes (RF‑4), contratos/documentos (RF‑5), auditoría (RF‑6) y a los controles de seguridad y control de acceso.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Criterios de entrada:</w:t>
      </w:r>
      <w:r>
        <w:rPr>
          <w:rFonts w:ascii="Arial" w:hAnsi="Arial"/>
          <w:sz w:val="22"/>
        </w:rPr>
        <w:t xml:space="preserve"> el sistema debe estar desplegado (Docker o manual), con base de datos inicializada y datos de prueba cargados; los casos de prueba deben estar diseñados y revisados.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Criterios de salida:</w:t>
      </w:r>
      <w:r>
        <w:rPr>
          <w:rFonts w:ascii="Arial" w:hAnsi="Arial"/>
          <w:sz w:val="22"/>
        </w:rPr>
        <w:t xml:space="preserve"> todos los casos de prueba críticos (P1/P2) ejecutados; defectos críticos corregidos y verificados; sin vulnerabilidades críticas por medio de los escaneos; evidencias documentadas y trazables a los requerimientos.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4.4 Tipos de prueba y justificación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funcionales (¿qué hace?):</w:t>
      </w:r>
      <w:r>
        <w:rPr>
          <w:rFonts w:ascii="Arial" w:hAnsi="Arial"/>
          <w:sz w:val="22"/>
        </w:rPr>
        <w:t xml:space="preserve"> verifican que cada operación del sistema cumple el requisito. Validan login, registro de usuario y creación de empresa, CRUD de clientes, creación/edición/eliminación de contratos, carga y descarga de documentos, gestión de usuarios y roles, y registro de auditoría.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no funcionales (¿cómo lo hace?):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Rendimiento:</w:t>
      </w:r>
      <w:r>
        <w:rPr>
          <w:rFonts w:ascii="Arial" w:hAnsi="Arial"/>
          <w:sz w:val="22"/>
        </w:rPr>
        <w:t xml:space="preserve"> tiempos de respuesta de los CRUD y carga de la página principal contra los umbrales NFR‑PERF.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Carga:</w:t>
      </w:r>
      <w:r>
        <w:rPr>
          <w:rFonts w:ascii="Arial" w:hAnsi="Arial"/>
          <w:sz w:val="22"/>
        </w:rPr>
        <w:t xml:space="preserve"> comportamiento con 200 usuarios concurrentes (NFR‑PERF‑3).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Seguridad:</w:t>
      </w:r>
      <w:r>
        <w:rPr>
          <w:rFonts w:ascii="Arial" w:hAnsi="Arial"/>
          <w:sz w:val="22"/>
        </w:rPr>
        <w:t xml:space="preserve"> escaneo y pruebas de penetración contra NFR‑SEG; control de acceso por rol y protección contra SQL injection, XSS y CSRF.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Usabilidad:</w:t>
      </w:r>
      <w:r>
        <w:rPr>
          <w:rFonts w:ascii="Arial" w:hAnsi="Arial"/>
          <w:sz w:val="22"/>
        </w:rPr>
        <w:t xml:space="preserve"> evaluación con usuarios, incluidos adultos mayores, y cumplimiento de accesibilidad (NFR‑USAB).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Compatibilidad:</w:t>
      </w:r>
      <w:r>
        <w:rPr>
          <w:rFonts w:ascii="Arial" w:hAnsi="Arial"/>
          <w:sz w:val="22"/>
        </w:rPr>
        <w:t xml:space="preserve"> última versión de navegadores modernos y dispositivos móviles/tablets (NFR‑COMPAT).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de integración:</w:t>
      </w:r>
      <w:r>
        <w:rPr>
          <w:rFonts w:ascii="Arial" w:hAnsi="Arial"/>
          <w:sz w:val="22"/>
        </w:rPr>
        <w:t xml:space="preserve"> verificación de que el frontend React, la API Express y la base de datos PostgreSQL interactúan correctamente (flujo completo cliente → contrato → documento).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Pruebas de seguridad:</w:t>
      </w:r>
      <w:r>
        <w:rPr>
          <w:rFonts w:ascii="Arial" w:hAnsi="Arial"/>
          <w:sz w:val="22"/>
        </w:rPr>
        <w:t xml:space="preserve"> análisis estático (revisión de código), análisis dinámico (OWASP ZAP) y pruebas de penetración específicas sobre los hallazgos del código fuente.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4.5 Criterios de aceptación (transversales)</w:t>
      </w:r>
    </w:p>
    <w:p>
      <w:pPr>
        <w:spacing w:line="360" w:lineRule="auto"/>
      </w:pPr>
      <w:r>
        <w:rPr>
          <w:rFonts w:ascii="Arial" w:hAnsi="Arial"/>
          <w:sz w:val="22"/>
        </w:rPr>
        <w:t>Un caso de prueba se considera aprobado cuando: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Funcional:</w:t>
      </w:r>
      <w:r>
        <w:rPr>
          <w:rFonts w:ascii="Arial" w:hAnsi="Arial"/>
          <w:sz w:val="22"/>
        </w:rPr>
        <w:t xml:space="preserve"> la acción produce el resultado esperado sin errores; la respuesta es correcta en formato y contenido; el registro de auditoría se genera para las acciones críticas.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No funcional:</w:t>
      </w:r>
      <w:r>
        <w:rPr>
          <w:rFonts w:ascii="Arial" w:hAnsi="Arial"/>
          <w:sz w:val="22"/>
        </w:rPr>
        <w:t xml:space="preserve"> el endpoint CRUD responde en menos de 300 ms bajo carga normal; la página principal carga en menos de 2 s; el sistema soporta 200 usuarios concurrentes sin degradación significativa; los tiempos de subida/descarga de documentos no superan los 10 s (RF‑5).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Seguridad:</w:t>
      </w:r>
      <w:r>
        <w:rPr>
          <w:rFonts w:ascii="Arial" w:hAnsi="Arial"/>
          <w:sz w:val="22"/>
        </w:rPr>
        <w:t xml:space="preserve"> no se detectan vulnerabilidades críticas (SQL injection, XSS, CSRF, acceso no autorizado a recursos de otras empresas) y el control de acceso por rol funciona correctamente.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Reglas de negocio:</w:t>
      </w:r>
      <w:r>
        <w:rPr>
          <w:rFonts w:ascii="Arial" w:hAnsi="Arial"/>
          <w:sz w:val="22"/>
        </w:rPr>
        <w:t xml:space="preserve"> se respetan RB‑2 (solo usuarios vinculados ven datos de la empresa), RB‑3 (un contrato se asocia a un solo cliente), RB‑4 (editor solo lectura) y RB‑5 (administrador con control completo).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4.6 Herramientas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Herramienta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Uso en el plan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Postman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Validación de la API REST en todos los endpoints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Permite probar autenticación, métodos, parámetros y cabeceras de la API de forma rápida y reproducible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Selenium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Pruebas funcionales de la interfaz web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Automatiza flujos de usuario en el navegador y permite regresión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JMeter / Locust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Pruebas de rendimiento y carga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Simula 200 usuarios concurrentes y mide tiempos de respuesta del sistema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OWASP ZAP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Pruebas de seguridad dinámica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Escanea vulnerabilidades web (inyección, XSS, configuraciones inseguras)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SonarQube / ESLint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Análisis estático de código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Detecta malas prácticas, vulnerabilidades y deuda técnica en frontend y backend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Docker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Despliegue del entorno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Reproduce el ambiente completo (frontend, backend, PostgreSQL) de forma aislada y reproducible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4.7 Cronograma de ejecución del plan de pruebas</w:t>
      </w:r>
    </w:p>
    <w:p>
      <w:pPr>
        <w:spacing w:line="360" w:lineRule="auto"/>
      </w:pPr>
      <w:r>
        <w:rPr>
          <w:rFonts w:ascii="Arial" w:hAnsi="Arial"/>
          <w:sz w:val="22"/>
        </w:rPr>
        <w:t>La ejecución de las pruebas se distribuye de la siguiente forma, dentro de las 3 horas pedagógicas asignadas al encargo: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Etapa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Actividad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Duración estimada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Entregable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Preparación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Despliegue del entorno (Docker), carga de datos de prueba y revisión del ERS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30 min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Entorno QA operativo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Diseño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Definición y revisión de los casos de prueba y su trazabilidad con requerimientos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 min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Casos CP‑01 a CP‑05 definidos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Ejecución funcional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Pruebas funcionales de autenticación, clientes, contratos, usuarios y auditoría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50 min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Resultados funcionales registrados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Ejecución no funcional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Pruebas de rendimiento/carga, usabilidad y compatibilidad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30 min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Métricas y reportes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Ejecución de seguridad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Análisis estático, escaneo dinámico (OWASP ZAP) y verificación de control de acceso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20 min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Hallazgos de vulnerabilidades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Documentación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Consolidación de resultados, evidencias y elaboración del informe final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10 min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Informe final para entrega en AVA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5. Recursos necesarios para la ejecución de pruebas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Recursos humanos:</w:t>
      </w:r>
      <w:r>
        <w:rPr>
          <w:rFonts w:ascii="Arial" w:hAnsi="Arial"/>
          <w:sz w:val="22"/>
        </w:rPr>
        <w:t xml:space="preserve"> un líder de QA / ingeniero de calidad, un tester funcional, un tester de seguridad y un tester de rendimiento; colaboración con el equipo de desarrollo para la corrección de defectos y con el área legal para la validación del cumplimiento normativo.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Recursos técnicos:</w:t>
      </w:r>
      <w:r>
        <w:rPr>
          <w:rFonts w:ascii="Arial" w:hAnsi="Arial"/>
          <w:sz w:val="22"/>
        </w:rPr>
        <w:t xml:space="preserve"> equipos con Node.js, npm, Docker, Git y navegadores modernos; herramientas de prueba (Postman, Selenium, JMeter/Locust, OWASP ZAP, SonarQube); entorno de desarrollo y de QA aislado de producción.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Entorno de prueba:</w:t>
      </w:r>
      <w:r>
        <w:rPr>
          <w:rFonts w:ascii="Arial" w:hAnsi="Arial"/>
          <w:sz w:val="22"/>
        </w:rPr>
        <w:t xml:space="preserve"> ambiente QA local (Docker) con datos de prueba ficticios de clientes, contratos y usuarios; no utilizar datos reales para evitar comprometer información personal.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6. Diseño de casos de prueba</w:t>
      </w:r>
    </w:p>
    <w:p>
      <w:pPr>
        <w:spacing w:line="360" w:lineRule="auto"/>
      </w:pPr>
      <w:r>
        <w:rPr>
          <w:rFonts w:ascii="Arial" w:hAnsi="Arial"/>
          <w:sz w:val="22"/>
        </w:rPr>
        <w:t>A continuación se presentan cinco casos de prueba representativos que cubren requerimientos funcionales y no funcionales del ERS. Cada caso detalla ID, descripción, requerimiento asociado, precondiciones, pasos, resultado esperado, criterio de aceptación y datos de prueba. El detalle por caso se presenta en formato tabular para su lectura y trazabilidad.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CP‑01 · Inicio de sesión y obtención de token (Autenticación)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CP‑01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exitoso con credenciales válidas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RF‑1.1 (El sistema debe permitir autenticarse con nombre_usuario y contraseña)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un usuario autenticado obtiene un token de sesión y accede al sistema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Existir un usuario registrado en la base de datos; backend y frontend desplegados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Enviar `POST /autenticacion/login` con `{nombre_usuario, password}` válidos. 2. Verificar código 200 y presencia de `token`. 3. Reintentar con credenciales inválidas y verificar 401.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usuario: `admin1`, password: `Clave#12345` (y variante inválida)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Con credenciales válidas: HTTP 200 y token JWT. Con credenciales inválidas: HTTP 401 "Credenciales inválidas"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Login exitoso genera un token de sesión (JWT); login con credenciales incorrectas es rechazado (RF‑1)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**Observación**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código compara la contraseña en texto plano (`contrasena_hash !== password`) en lugar de bcrypt; se recomienda corregir el almacenamiento seguro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CP‑02 · Control de acceso por rol (Editor solo lectura)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CP‑02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Bloqueo de operaciones de escritura para rol editor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RF‑3.2 / RB‑4 (El rol editor solo permite visualización; un editor no puede crear, editar ni eliminar)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 / Seguridad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un usuario con rol editor no puede crear ni eliminar clientes, mientras un administrador sí puede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Un usuario administrador y un usuario editor en la misma empresa; token de cada uno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Con token de editor, enviar `POST /clientes`. 2. Verificar que la operación es denegada (403/401). 3. Con token de administrador, enviar el mismo `POST /clientes` y verificar 201.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cliente: `{nombre, correo, telefono}` con token editor y token admin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editor no puede crear clientes; el administrador sí puede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Los usuarios con rol editor no acceden a creación, edición o eliminación; solo lectura (RF‑3.2, RB‑4)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**Observación**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backend valida la existencia del token y de `empresaId`, pero no distingue el rol (admin/editor) al momento de autorizar; el control de roles está delegado al frontend (`RoleGuard`), por lo que puede ser omitido si se llama a la API directamente — hallazgo de seguridad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CP‑03 · Cobertura de auditoría de acciones críticas (Trazabilidad)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CP‑03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Registro de auditoría al crear un cliente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RF‑6.1 (Registrar en auditoría la creación, edición, eliminación de clientes, contratos, usuarios y subida/descarga de documentos)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al crear/editar/eliminar un cliente se genera un registro en la tabla de auditoría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Usuario autenticado con token válido con empresa asociada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Crear un cliente mediante `POST /clientes`. 2. Consultar `GET /auditoria`. 3. Verificar que existe un registro con la acción correspondiente.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nombre: `Cliente Prueba`, correo: `cliente@test.cl`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Existe un registro de auditoría con la acción `CLIENTES_CREAR: creó cliente …`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 genera un registro de auditoría por cada acción crítica (RF‑6)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**Observación**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endpoint `GET /auditoria` no valida autenticación y expone el registro completo de todas las empresas — fuga de información (IDOR). Ver CP‑05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CP‑04 · Rendimiento de listado de clientes ante carga concurrente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CP‑04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Tiempo de respuesta de consulta CRUD bajo carga (200 usuarios)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NFR‑PERF‑1 (respuesta CRUD &lt; 300 ms bajo carga normal) y NFR‑PERF‑3 (200 usuarios concurrentes)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funcional (Rendimiento / Carga)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Medir el tiempo de respuesta del endpoint de listado de clientes con una carga de usuarios concurrentes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Sistema desplegado con datos de prueba; herramienta de carga (JMeter/Locust) configurada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Configurar una prueba de carga con 200 usuarios virtuales. 2. Ejecutar `GET /clientes` repetidamente. 3. Registrar tiempos de respuesta promedio y percentiles (p90/p95).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200 usuarios concurrentes; dataset de 1.000 clientes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tiempo de respuesta debe ser menor a 300 ms bajo carga normal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sistema cumple el umbral de NFR‑PERF‑1 y soporta 200 usuarios concurrentes (NFR‑PERF‑3)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**Observación**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código incluye `delay(4000)` (simula latencia de 4 s) en login, listado de clientes y contratos; esto **hace fallar** NFR‑PERF‑1/NFR‑PERF‑2, por lo que la prueba debe detectar la degradación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CP‑05 · Acceso no autorizado a recursos de otra empresa (Seguridad/Broken Access Control)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**ID**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CP‑05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**Nombre**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Prevención de acceso no autorizado a contratos y auditoría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NFR‑SEG‑4 (Control de acceso por rol en backend), NFR‑SEG‑9 (sesión mediante JWT), RB‑2 (solo usuarios vinculados ven los datos de empresa)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**Tipo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funcional (Seguridad)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Verificar que un usuario no puede acceder a los documentos de un contrato ni al registro de auditoría de otra empresa sin autorización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**Precondiciones**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Dos empresas distintas (A y B) con clientes y contratos; token del usuario de la empresa 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**Pasos**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1. Con token de empresa A, solicitar `GET /contratos/{id}/file` de un contrato de la empresa B. 2. Solicitar `GET /auditoria` sin token. 3. Verificar códigos de respuesta.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**Datos de prueba**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id de contrato de la empresa B; petición `GET /auditoria` sin cabecera Authorization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**Resultado esperado**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acceso al documento de otra empresa debe denegarse (403/404); la consulta de auditoría sin token debe denegarse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**Criterio de aceptación**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hay acceso a recursos de otras empresas ni a datos sensibles sin autenticación (NFR‑SEG‑4, RB‑2)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**Observación**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Los endpoints `GET /contratos/:id/file`, `DELETE /contratos/:id` y `GET /auditoria` **no validan autenticación ni pertenencia a la empresa**, permitiendo leer documentos y auditoría de terceros, y eliminar contratos — hallazgo crítico de seguridad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7. Matriz de trazabilidad</w:t>
      </w:r>
    </w:p>
    <w:p>
      <w:pPr>
        <w:spacing w:line="360" w:lineRule="auto"/>
      </w:pPr>
      <w:r>
        <w:rPr>
          <w:rFonts w:ascii="Arial" w:hAnsi="Arial"/>
          <w:sz w:val="22"/>
        </w:rPr>
        <w:t>La siguiente matriz vincula cada caso de prueba con los requerimientos del ERS y los criterios de calidad/seguridad, garantizando cobertura bidireccional (cada requerimiento crítico cuenta con al menos un caso que lo valida).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Caso de prueba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Requerimiento ERS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Tipo de prueba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Objetivo validado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RF‑1 · RF‑1.1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Autenticación y emisión de token de sesión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RF‑3.2 · RB‑4 · NFR‑SEG‑4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 / Seguridad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Control de acceso por rol en el backend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RF‑6 · RF‑6.1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Funcional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Registro de auditoría de acciones críticas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NFR‑PERF‑1 · NFR‑PERF‑2 · NFR‑PERF‑3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funcional (Rendimiento / Carga)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Cumplimiento de umbrales de rendimiento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CP‑05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NFR‑SEG‑4 · NFR‑SEG‑9 · RB‑2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funcional (Seguridad)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Prevención de acceso no autorizado y Broken Access Control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8. Análisis de cobertura del plan (IE5)</w:t>
      </w:r>
    </w:p>
    <w:p>
      <w:pPr>
        <w:spacing w:line="360" w:lineRule="auto"/>
      </w:pPr>
      <w:r>
        <w:rPr>
          <w:rFonts w:ascii="Arial" w:hAnsi="Arial"/>
          <w:sz w:val="22"/>
        </w:rPr>
        <w:t>El plan de pruebas diseñado da cobertura a los requerimientos funcionales y no funcionales del ERS y a los estándares técnicos y legales aplicables, de la siguiente forma: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Cobertura funcional:</w:t>
      </w:r>
      <w:r>
        <w:rPr>
          <w:rFonts w:ascii="Arial" w:hAnsi="Arial"/>
          <w:sz w:val="22"/>
        </w:rPr>
        <w:t xml:space="preserve"> los cinco casos abarcan los seis módulos de RF‑1 a RF‑6 (autenticación, usuarios/empresas, clientes, contratos/documentos, usuarios y roles, y auditoría), priorizando las funciones críticas de negocio.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Cobertura no funcional:</w:t>
      </w:r>
      <w:r>
        <w:rPr>
          <w:rFonts w:ascii="Arial" w:hAnsi="Arial"/>
          <w:sz w:val="22"/>
        </w:rPr>
        <w:t xml:space="preserve"> se incorporan pruebas de rendimiento y carga (NFR‑PERF), seguridad (NFR‑SEG), usabilidad y accesibilidad (NFR‑USAB), compatibilidad (NFR‑COMPAT) y disponibilidad (NFR‑DIS) en la estrategia y en los casos CP‑04 y CP‑05.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Cobertura de reglas de negocio:</w:t>
      </w:r>
      <w:r>
        <w:rPr>
          <w:rFonts w:ascii="Arial" w:hAnsi="Arial"/>
          <w:sz w:val="22"/>
        </w:rPr>
        <w:t xml:space="preserve"> las reglas RB‑2 (acceso por vinculación a empresa), RB‑3 (un contrato por cliente), RB‑4 (editor solo lectura) y RB‑5 (administrador con control completo) se verifican explícitamente en CP‑02 y CP‑05.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Cobertura normativa:</w:t>
      </w:r>
      <w:r>
        <w:rPr>
          <w:rFonts w:ascii="Arial" w:hAnsi="Arial"/>
          <w:sz w:val="22"/>
        </w:rPr>
        <w:t xml:space="preserve"> los criterios de la sección 2.3 (Ley 19.628, Ley 21.719, ISO/IEC 27001, ISO/IEC 25010, WCAG) se traducen en criterios de aceptación transversales (sección 4.5) y en observaciones de cumplimiento de cada caso.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Trazabilidad y evidencia:</w:t>
      </w:r>
      <w:r>
        <w:rPr>
          <w:rFonts w:ascii="Arial" w:hAnsi="Arial"/>
          <w:sz w:val="22"/>
        </w:rPr>
        <w:t xml:space="preserve"> cada caso referencia el código del requerimiento en el ERS y registra el resultado esperado y la observación de hallazgos, lo que permite auditoría del proceso de pruebas y sustentar la liberación del software.</w:t>
      </w:r>
    </w:p>
    <w:p>
      <w:pPr>
        <w:spacing w:line="360" w:lineRule="auto"/>
      </w:pPr>
      <w:r>
        <w:rPr>
          <w:rFonts w:ascii="Arial" w:hAnsi="Arial"/>
          <w:sz w:val="22"/>
        </w:rPr>
        <w:t>Como resultado, el plan cubre de manera balanceada las dimensiones de calidad, seguridad y cumplimiento normativo exigidas por la evaluación, y los hallazgos preliminares del código fuente (sección 9) demuestran su necesidad y aplicabilidad real al caso.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9. Conclusiones del análisis preliminar</w:t>
      </w:r>
    </w:p>
    <w:p>
      <w:pPr>
        <w:spacing w:line="360" w:lineRule="auto"/>
      </w:pPr>
      <w:r>
        <w:rPr>
          <w:rFonts w:ascii="Arial" w:hAnsi="Arial"/>
          <w:sz w:val="22"/>
        </w:rPr>
        <w:t xml:space="preserve">El sistema Atlas presenta una base funcional clara y un ERS bien definido, pero el análisis del código fuente revela </w:t>
      </w:r>
      <w:r>
        <w:rPr>
          <w:rFonts w:ascii="Arial" w:hAnsi="Arial"/>
          <w:b/>
          <w:sz w:val="22"/>
        </w:rPr>
        <w:t>hallazgos de seguridad relevantes</w:t>
      </w:r>
      <w:r>
        <w:rPr>
          <w:rFonts w:ascii="Arial" w:hAnsi="Arial"/>
          <w:sz w:val="22"/>
        </w:rPr>
        <w:t xml:space="preserve"> que el plan de pruebas debe validar y que requieren corrección previa a producción:</w:t>
      </w:r>
    </w:p>
    <w:p>
      <w:pPr>
        <w:pStyle w:val="ListNumber"/>
        <w:spacing w:line="360" w:lineRule="auto"/>
      </w:pPr>
      <w:r>
        <w:rPr>
          <w:rFonts w:ascii="Arial" w:hAnsi="Arial"/>
          <w:b/>
          <w:sz w:val="22"/>
        </w:rPr>
        <w:t>Contraseñas almacenadas y comparadas en texto plano</w:t>
      </w:r>
      <w:r>
        <w:rPr>
          <w:rFonts w:ascii="Arial" w:hAnsi="Arial"/>
          <w:sz w:val="22"/>
        </w:rPr>
        <w:t xml:space="preserve"> en </w:t>
      </w:r>
      <w:r>
        <w:rPr>
          <w:rFonts w:ascii="Courier New" w:hAnsi="Courier New"/>
          <w:sz w:val="22"/>
        </w:rPr>
        <w:t>auth.js</w:t>
      </w:r>
      <w:r>
        <w:rPr>
          <w:rFonts w:ascii="Arial" w:hAnsi="Arial"/>
          <w:sz w:val="22"/>
        </w:rPr>
        <w:t xml:space="preserve"> (se usa </w:t>
      </w:r>
      <w:r>
        <w:rPr>
          <w:rFonts w:ascii="Courier New" w:hAnsi="Courier New"/>
          <w:sz w:val="22"/>
        </w:rPr>
        <w:t>contrasena_hash</w:t>
      </w:r>
      <w:r>
        <w:rPr>
          <w:rFonts w:ascii="Arial" w:hAnsi="Arial"/>
          <w:sz w:val="22"/>
        </w:rPr>
        <w:t xml:space="preserve"> como campo, pero se compara contra el texto sin aplicar bcrypt), lo que incumple NFR‑SEG‑2.</w:t>
      </w:r>
    </w:p>
    <w:p>
      <w:pPr>
        <w:pStyle w:val="ListNumber"/>
        <w:spacing w:line="360" w:lineRule="auto"/>
      </w:pPr>
      <w:r>
        <w:rPr>
          <w:rFonts w:ascii="Arial" w:hAnsi="Arial"/>
          <w:b/>
          <w:sz w:val="22"/>
        </w:rPr>
        <w:t>Control de acceso deficitario:</w:t>
      </w:r>
      <w:r>
        <w:rPr>
          <w:rFonts w:ascii="Arial" w:hAnsi="Arial"/>
          <w:sz w:val="22"/>
        </w:rPr>
        <w:t xml:space="preserve"> varios endpoints (crear contrato, </w:t>
      </w:r>
      <w:r>
        <w:rPr>
          <w:rFonts w:ascii="Courier New" w:hAnsi="Courier New"/>
          <w:sz w:val="22"/>
        </w:rPr>
        <w:t>GET /:id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GET /:id/file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sz w:val="22"/>
        </w:rPr>
        <w:t>DELETE /:id</w:t>
      </w:r>
      <w:r>
        <w:rPr>
          <w:rFonts w:ascii="Arial" w:hAnsi="Arial"/>
          <w:sz w:val="22"/>
        </w:rPr>
        <w:t>, listar empresas, roles, auditoría) no validan autenticación ni pertenencia a la empresa ni el rol, habilitando accesos no autorizados, lectura de documentos de otras empresas e incluso la eliminación de contratos (IDOR / Broken Access Control). El control de rol (admin/editor) está delegado únicamente al frontend.</w:t>
      </w:r>
    </w:p>
    <w:p>
      <w:pPr>
        <w:pStyle w:val="ListNumber"/>
        <w:spacing w:line="360" w:lineRule="auto"/>
      </w:pPr>
      <w:r>
        <w:rPr>
          <w:rFonts w:ascii="Arial" w:hAnsi="Arial"/>
          <w:b/>
          <w:sz w:val="22"/>
        </w:rPr>
        <w:t>Secretos expuestos:</w:t>
      </w:r>
      <w:r>
        <w:rPr>
          <w:rFonts w:ascii="Arial" w:hAnsi="Arial"/>
          <w:sz w:val="22"/>
        </w:rPr>
        <w:t xml:space="preserve"> el </w:t>
      </w:r>
      <w:r>
        <w:rPr>
          <w:rFonts w:ascii="Courier New" w:hAnsi="Courier New"/>
          <w:sz w:val="22"/>
        </w:rPr>
        <w:t>JWT_SECRET</w:t>
      </w:r>
      <w:r>
        <w:rPr>
          <w:rFonts w:ascii="Arial" w:hAnsi="Arial"/>
          <w:sz w:val="22"/>
        </w:rPr>
        <w:t xml:space="preserve"> está comprometido en el archivo </w:t>
      </w:r>
      <w:r>
        <w:rPr>
          <w:rFonts w:ascii="Courier New" w:hAnsi="Courier New"/>
          <w:sz w:val="22"/>
        </w:rPr>
        <w:t>.env</w:t>
      </w:r>
      <w:r>
        <w:rPr>
          <w:rFonts w:ascii="Arial" w:hAnsi="Arial"/>
          <w:sz w:val="22"/>
        </w:rPr>
        <w:t xml:space="preserve"> del repositorio, lo que permite falsificar tokens y comprometer toda la autenticación.</w:t>
      </w:r>
    </w:p>
    <w:p>
      <w:pPr>
        <w:pStyle w:val="ListNumber"/>
        <w:spacing w:line="360" w:lineRule="auto"/>
      </w:pPr>
      <w:r>
        <w:rPr>
          <w:rFonts w:ascii="Arial" w:hAnsi="Arial"/>
          <w:b/>
          <w:sz w:val="22"/>
        </w:rPr>
        <w:t>Latencia artificial de 4 segundos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delay(4000)</w:t>
      </w:r>
      <w:r>
        <w:rPr>
          <w:rFonts w:ascii="Arial" w:hAnsi="Arial"/>
          <w:sz w:val="22"/>
        </w:rPr>
        <w:t>) en operaciones CRUD, que haría fallar los criterios de rendimiento NFR‑PERF‑1 / NFR‑PERF‑2 de no eliminarse antes de producción.</w:t>
      </w:r>
    </w:p>
    <w:p>
      <w:pPr>
        <w:pStyle w:val="ListNumber"/>
        <w:spacing w:line="360" w:lineRule="auto"/>
      </w:pPr>
      <w:r>
        <w:rPr>
          <w:rFonts w:ascii="Arial" w:hAnsi="Arial"/>
          <w:b/>
          <w:sz w:val="22"/>
        </w:rPr>
        <w:t>CORS abierto</w:t>
      </w:r>
      <w:r>
        <w:rPr>
          <w:rFonts w:ascii="Arial" w:hAnsi="Arial"/>
          <w:sz w:val="22"/>
        </w:rPr>
        <w:t xml:space="preserve"> (</w:t>
      </w:r>
      <w:r>
        <w:rPr>
          <w:rFonts w:ascii="Courier New" w:hAnsi="Courier New"/>
          <w:sz w:val="22"/>
        </w:rPr>
        <w:t>app.use(cors())</w:t>
      </w:r>
      <w:r>
        <w:rPr>
          <w:rFonts w:ascii="Arial" w:hAnsi="Arial"/>
          <w:sz w:val="22"/>
        </w:rPr>
        <w:t>) sin restricción de orígenes, ampliando la superficie de ataque (CSRF).</w:t>
      </w:r>
    </w:p>
    <w:p>
      <w:pPr>
        <w:spacing w:line="360" w:lineRule="auto"/>
      </w:pPr>
      <w:r>
        <w:rPr>
          <w:rFonts w:ascii="Arial" w:hAnsi="Arial"/>
          <w:sz w:val="22"/>
        </w:rPr>
        <w:t>Estos hallazgos demuestran la necesidad del plan de pruebas aquí diseñado y sirven de evidencia para el apartado de cobertura y coherencia frente a estándares técnicos y legales del informe.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10. Referencias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ISO/IEC 25010:2011, Systems and software engineering — Systems and software Quality Requirements and Evaluation (SQuaRE) — System and software quality models.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ISO/IEC 27001:2022, Information security, cybersecurity and privacy protection — Information security management systems — Requirements.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ISO/IEC/IEEE 29119, Software and systems engineering — Software testing (Parts 1, 2 y 3).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OWASP Foundation, OWASP Top 10:2021, A01 Broken Access Control; A02 Cryptographic Failures; A07 Identification and Authentication Failures.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ISTQB, International Software Testing Qualifications Board — Foundation Level Syllabus (CTFL).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Ley N.º 19.628, Sobre protección de la vida privada (Chile, 1999).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Ley N.º 21.719, Modifica la Ley 19.628 para adecuar la normativa nacional a los estándares internacionales en materia de protección de datos personales (Chile, 2024).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Especificación de Requerimientos de Software (ERS) — Sistema de Gestión Atlas (Caso A), material entregado en la evaluación.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