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F2C2F" w14:textId="1386E853" w:rsidR="008E5AB4" w:rsidRDefault="00965DB7" w:rsidP="00965DB7">
      <w:pPr>
        <w:pStyle w:val="ListParagraph"/>
        <w:numPr>
          <w:ilvl w:val="0"/>
          <w:numId w:val="1"/>
        </w:numPr>
      </w:pPr>
      <w:r>
        <w:t>Compare cloud vs on-prem cost</w:t>
      </w:r>
    </w:p>
    <w:p w14:paraId="2DDE11A0" w14:textId="7A178003" w:rsidR="005A212C" w:rsidRDefault="005A212C" w:rsidP="005A212C">
      <w:r w:rsidRPr="005A212C">
        <w:t>Cloud cost: ~$217.48/month</w:t>
      </w:r>
    </w:p>
    <w:p w14:paraId="47423DC2" w14:textId="6BFFF20E" w:rsidR="005A212C" w:rsidRDefault="005A212C" w:rsidP="005A212C">
      <w:r w:rsidRPr="005A212C">
        <w:t>On-prem cost</w:t>
      </w:r>
      <w:r>
        <w:t xml:space="preserve">: </w:t>
      </w:r>
      <w:r w:rsidR="005F00F4" w:rsidRPr="005A212C">
        <w:t>$3,140</w:t>
      </w:r>
      <w:r w:rsidR="005F00F4">
        <w:t xml:space="preserve"> for first month and $140/month</w:t>
      </w:r>
    </w:p>
    <w:p w14:paraId="13B991D6" w14:textId="4F7E1E26" w:rsidR="005A212C" w:rsidRDefault="005A212C" w:rsidP="005A212C">
      <w:r w:rsidRPr="005A212C">
        <w:t xml:space="preserve">- Server hardware: ~$1,800 </w:t>
      </w:r>
      <w:r>
        <w:br/>
      </w:r>
      <w:r w:rsidRPr="005A212C">
        <w:t xml:space="preserve">- Windows Server 2022 license: ~$1,000 </w:t>
      </w:r>
      <w:r>
        <w:br/>
      </w:r>
      <w:r w:rsidRPr="005A212C">
        <w:t xml:space="preserve">- Setup/installation labor (one-time): ~$200 </w:t>
      </w:r>
      <w:r>
        <w:br/>
        <w:t xml:space="preserve">- </w:t>
      </w:r>
      <w:r w:rsidRPr="005A212C">
        <w:t>Maintenance / IT support (per month): ~$1</w:t>
      </w:r>
      <w:r>
        <w:t>4</w:t>
      </w:r>
      <w:r w:rsidRPr="005A212C">
        <w:t>0</w:t>
      </w:r>
    </w:p>
    <w:p w14:paraId="1B2827AD" w14:textId="77BB872C" w:rsidR="005F00F4" w:rsidRDefault="005F00F4" w:rsidP="005A212C">
      <w:r>
        <w:rPr>
          <w:noProof/>
        </w:rPr>
        <w:drawing>
          <wp:inline distT="0" distB="0" distL="0" distR="0" wp14:anchorId="703D8BBB" wp14:editId="77035C06">
            <wp:extent cx="5943600" cy="2863215"/>
            <wp:effectExtent l="0" t="0" r="0" b="13335"/>
            <wp:docPr id="196265828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100-00000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47B53B67" w14:textId="77777777" w:rsidR="005F00F4" w:rsidRDefault="005F00F4" w:rsidP="005F00F4">
      <w:r>
        <w:t>After 36 months, the total cost of Cloud and On-Prem is nearly identical. The break-even point will start from month 37 onward.</w:t>
      </w:r>
    </w:p>
    <w:p w14:paraId="481E75DA" w14:textId="77777777" w:rsidR="005F00F4" w:rsidRDefault="005F00F4">
      <w:r>
        <w:br w:type="page"/>
      </w:r>
    </w:p>
    <w:p w14:paraId="4F190560" w14:textId="3A5718E4" w:rsidR="004F5DF8" w:rsidRDefault="008D6C8B" w:rsidP="005F00F4">
      <w:pPr>
        <w:pStyle w:val="ListParagraph"/>
        <w:numPr>
          <w:ilvl w:val="0"/>
          <w:numId w:val="1"/>
        </w:numPr>
      </w:pPr>
      <w:r>
        <w:lastRenderedPageBreak/>
        <w:t>Launching an Ubuntu instance</w:t>
      </w:r>
    </w:p>
    <w:p w14:paraId="3DBFB363" w14:textId="72CE7337" w:rsidR="0019748E" w:rsidRDefault="0019748E" w:rsidP="008D6C8B">
      <w:r w:rsidRPr="0019748E">
        <w:rPr>
          <w:noProof/>
        </w:rPr>
        <w:drawing>
          <wp:inline distT="0" distB="0" distL="0" distR="0" wp14:anchorId="75270C39" wp14:editId="7CFC682E">
            <wp:extent cx="5943600" cy="3342005"/>
            <wp:effectExtent l="0" t="0" r="0" b="0"/>
            <wp:docPr id="671421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2120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8BC6" w14:textId="3D0D2E8D" w:rsidR="008D6C8B" w:rsidRDefault="0019748E" w:rsidP="008D6C8B">
      <w:r w:rsidRPr="0019748E">
        <w:rPr>
          <w:noProof/>
        </w:rPr>
        <w:drawing>
          <wp:inline distT="0" distB="0" distL="0" distR="0" wp14:anchorId="4742666A" wp14:editId="6870A999">
            <wp:extent cx="5943600" cy="3713480"/>
            <wp:effectExtent l="0" t="0" r="0" b="1270"/>
            <wp:docPr id="2112027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02776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B81F" w14:textId="77777777" w:rsidR="00E60F61" w:rsidRDefault="00E60F61">
      <w:r>
        <w:br w:type="page"/>
      </w:r>
    </w:p>
    <w:p w14:paraId="73C37588" w14:textId="6AF45540" w:rsidR="008D6C8B" w:rsidRDefault="00CD344D" w:rsidP="00E60F61">
      <w:pPr>
        <w:pStyle w:val="ListParagraph"/>
        <w:numPr>
          <w:ilvl w:val="0"/>
          <w:numId w:val="1"/>
        </w:numPr>
      </w:pPr>
      <w:r>
        <w:lastRenderedPageBreak/>
        <w:t xml:space="preserve">System monitoring. Using loop to make it work automatically without </w:t>
      </w:r>
      <w:r w:rsidR="00E60F61">
        <w:t>refreshing</w:t>
      </w:r>
    </w:p>
    <w:p w14:paraId="3BFC5DF7" w14:textId="44CB5E9E" w:rsidR="00CD344D" w:rsidRDefault="00CD344D" w:rsidP="00CD344D">
      <w:r w:rsidRPr="00CD344D">
        <w:rPr>
          <w:noProof/>
        </w:rPr>
        <w:drawing>
          <wp:inline distT="0" distB="0" distL="0" distR="0" wp14:anchorId="48F9BD0C" wp14:editId="307947BD">
            <wp:extent cx="5943600" cy="2416175"/>
            <wp:effectExtent l="0" t="0" r="0" b="3175"/>
            <wp:docPr id="199729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292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F7945" w14:textId="14F25B55" w:rsidR="00542358" w:rsidRDefault="00542358" w:rsidP="00CD344D">
      <w:r w:rsidRPr="00542358">
        <w:drawing>
          <wp:inline distT="0" distB="0" distL="0" distR="0" wp14:anchorId="30A696F5" wp14:editId="71277C13">
            <wp:extent cx="5943600" cy="3463925"/>
            <wp:effectExtent l="0" t="0" r="0" b="3175"/>
            <wp:docPr id="102539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96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23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042AA"/>
    <w:multiLevelType w:val="hybridMultilevel"/>
    <w:tmpl w:val="6E646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0714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18"/>
    <w:rsid w:val="0019748E"/>
    <w:rsid w:val="002A4F3F"/>
    <w:rsid w:val="002D7A3B"/>
    <w:rsid w:val="004E4518"/>
    <w:rsid w:val="004F5DF8"/>
    <w:rsid w:val="00542358"/>
    <w:rsid w:val="005A212C"/>
    <w:rsid w:val="005F00F4"/>
    <w:rsid w:val="00657C2F"/>
    <w:rsid w:val="0076608F"/>
    <w:rsid w:val="007A725E"/>
    <w:rsid w:val="008D6C8B"/>
    <w:rsid w:val="008E5AB4"/>
    <w:rsid w:val="00965DB7"/>
    <w:rsid w:val="00975019"/>
    <w:rsid w:val="00B879B2"/>
    <w:rsid w:val="00CD344D"/>
    <w:rsid w:val="00E60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6204D"/>
  <w15:chartTrackingRefBased/>
  <w15:docId w15:val="{788FC7BD-7CF8-40E4-9559-B196B3E30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5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45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45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5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5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5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5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5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5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5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45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45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5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5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5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5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5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5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5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5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5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5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5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5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5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5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5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5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51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chart" Target="charts/chart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ASUS\Downloads\TCO_Comparison_HRMS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/>
          <a:lstStyle/>
          <a:p>
            <a:pPr>
              <a:defRPr sz="1800" b="1" strike="noStrike" spc="-1">
                <a:solidFill>
                  <a:srgbClr val="000000"/>
                </a:solidFill>
                <a:latin typeface="Calibri"/>
              </a:defRPr>
            </a:pPr>
            <a:r>
              <a:rPr lang="en-US" sz="1800" b="1" strike="noStrike" spc="-1">
                <a:solidFill>
                  <a:srgbClr val="000000"/>
                </a:solidFill>
                <a:latin typeface="Calibri"/>
              </a:rPr>
              <a:t>Cumulative Cost: On-Prem vs Cloud</a:t>
            </a:r>
          </a:p>
        </c:rich>
      </c:tx>
      <c:overlay val="0"/>
      <c:spPr>
        <a:noFill/>
        <a:ln w="0">
          <a:noFill/>
        </a:ln>
      </c:sp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'TCO Comparison'!$E$5</c:f>
              <c:strCache>
                <c:ptCount val="1"/>
                <c:pt idx="0">
                  <c:v>On-Prem Cumulative</c:v>
                </c:pt>
              </c:strCache>
            </c:strRef>
          </c:tx>
          <c:spPr>
            <a:ln w="28440">
              <a:solidFill>
                <a:srgbClr val="4A7EBB"/>
              </a:solidFill>
              <a:round/>
            </a:ln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strike="noStrike" spc="-1"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'TCO Comparison'!$C$6:$C$41</c:f>
              <c:strCache>
                <c:ptCount val="36"/>
                <c:pt idx="0">
                  <c:v>Month 1</c:v>
                </c:pt>
                <c:pt idx="1">
                  <c:v>Month 2</c:v>
                </c:pt>
                <c:pt idx="2">
                  <c:v>Month 3</c:v>
                </c:pt>
                <c:pt idx="3">
                  <c:v>Month 4</c:v>
                </c:pt>
                <c:pt idx="4">
                  <c:v>Month 5</c:v>
                </c:pt>
                <c:pt idx="5">
                  <c:v>Month 6</c:v>
                </c:pt>
                <c:pt idx="6">
                  <c:v>Month 7</c:v>
                </c:pt>
                <c:pt idx="7">
                  <c:v>Month 8</c:v>
                </c:pt>
                <c:pt idx="8">
                  <c:v>Month 9</c:v>
                </c:pt>
                <c:pt idx="9">
                  <c:v>Month 10</c:v>
                </c:pt>
                <c:pt idx="10">
                  <c:v>Month 11</c:v>
                </c:pt>
                <c:pt idx="11">
                  <c:v>Month 12</c:v>
                </c:pt>
                <c:pt idx="12">
                  <c:v>Month 13</c:v>
                </c:pt>
                <c:pt idx="13">
                  <c:v>Month 14</c:v>
                </c:pt>
                <c:pt idx="14">
                  <c:v>Month 15</c:v>
                </c:pt>
                <c:pt idx="15">
                  <c:v>Month 16</c:v>
                </c:pt>
                <c:pt idx="16">
                  <c:v>Month 17</c:v>
                </c:pt>
                <c:pt idx="17">
                  <c:v>Month 18</c:v>
                </c:pt>
                <c:pt idx="18">
                  <c:v>Month 19</c:v>
                </c:pt>
                <c:pt idx="19">
                  <c:v>Month 20</c:v>
                </c:pt>
                <c:pt idx="20">
                  <c:v>Month 21</c:v>
                </c:pt>
                <c:pt idx="21">
                  <c:v>Month 22</c:v>
                </c:pt>
                <c:pt idx="22">
                  <c:v>Month 23</c:v>
                </c:pt>
                <c:pt idx="23">
                  <c:v>Month 24</c:v>
                </c:pt>
                <c:pt idx="24">
                  <c:v>Month 25</c:v>
                </c:pt>
                <c:pt idx="25">
                  <c:v>Month 26</c:v>
                </c:pt>
                <c:pt idx="26">
                  <c:v>Month 27</c:v>
                </c:pt>
                <c:pt idx="27">
                  <c:v>Month 28</c:v>
                </c:pt>
                <c:pt idx="28">
                  <c:v>Month 29</c:v>
                </c:pt>
                <c:pt idx="29">
                  <c:v>Month 30</c:v>
                </c:pt>
                <c:pt idx="30">
                  <c:v>Month 31</c:v>
                </c:pt>
                <c:pt idx="31">
                  <c:v>Month 32</c:v>
                </c:pt>
                <c:pt idx="32">
                  <c:v>Month 33</c:v>
                </c:pt>
                <c:pt idx="33">
                  <c:v>Month 34</c:v>
                </c:pt>
                <c:pt idx="34">
                  <c:v>Month 35</c:v>
                </c:pt>
                <c:pt idx="35">
                  <c:v>Month 36</c:v>
                </c:pt>
              </c:strCache>
            </c:strRef>
          </c:cat>
          <c:val>
            <c:numRef>
              <c:f>'TCO Comparison'!$E$6:$E$41</c:f>
              <c:numCache>
                <c:formatCode>\$#,##0</c:formatCode>
                <c:ptCount val="36"/>
                <c:pt idx="0">
                  <c:v>3140</c:v>
                </c:pt>
                <c:pt idx="1">
                  <c:v>3280</c:v>
                </c:pt>
                <c:pt idx="2">
                  <c:v>3420</c:v>
                </c:pt>
                <c:pt idx="3">
                  <c:v>3560</c:v>
                </c:pt>
                <c:pt idx="4">
                  <c:v>3700</c:v>
                </c:pt>
                <c:pt idx="5">
                  <c:v>3840</c:v>
                </c:pt>
                <c:pt idx="6">
                  <c:v>3980</c:v>
                </c:pt>
                <c:pt idx="7">
                  <c:v>4120</c:v>
                </c:pt>
                <c:pt idx="8">
                  <c:v>4260</c:v>
                </c:pt>
                <c:pt idx="9">
                  <c:v>4400</c:v>
                </c:pt>
                <c:pt idx="10">
                  <c:v>4540</c:v>
                </c:pt>
                <c:pt idx="11">
                  <c:v>4680</c:v>
                </c:pt>
                <c:pt idx="12">
                  <c:v>4820</c:v>
                </c:pt>
                <c:pt idx="13">
                  <c:v>4960</c:v>
                </c:pt>
                <c:pt idx="14">
                  <c:v>5100</c:v>
                </c:pt>
                <c:pt idx="15">
                  <c:v>5240</c:v>
                </c:pt>
                <c:pt idx="16">
                  <c:v>5380</c:v>
                </c:pt>
                <c:pt idx="17">
                  <c:v>5520</c:v>
                </c:pt>
                <c:pt idx="18">
                  <c:v>5660</c:v>
                </c:pt>
                <c:pt idx="19">
                  <c:v>5800</c:v>
                </c:pt>
                <c:pt idx="20">
                  <c:v>5940</c:v>
                </c:pt>
                <c:pt idx="21">
                  <c:v>6080</c:v>
                </c:pt>
                <c:pt idx="22">
                  <c:v>6220</c:v>
                </c:pt>
                <c:pt idx="23">
                  <c:v>6360</c:v>
                </c:pt>
                <c:pt idx="24">
                  <c:v>6500</c:v>
                </c:pt>
                <c:pt idx="25">
                  <c:v>6640</c:v>
                </c:pt>
                <c:pt idx="26">
                  <c:v>6780</c:v>
                </c:pt>
                <c:pt idx="27">
                  <c:v>6920</c:v>
                </c:pt>
                <c:pt idx="28">
                  <c:v>7060</c:v>
                </c:pt>
                <c:pt idx="29">
                  <c:v>7200</c:v>
                </c:pt>
                <c:pt idx="30">
                  <c:v>7340</c:v>
                </c:pt>
                <c:pt idx="31">
                  <c:v>7480</c:v>
                </c:pt>
                <c:pt idx="32">
                  <c:v>7620</c:v>
                </c:pt>
                <c:pt idx="33">
                  <c:v>7760</c:v>
                </c:pt>
                <c:pt idx="34">
                  <c:v>7900</c:v>
                </c:pt>
                <c:pt idx="35">
                  <c:v>8040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0-12AE-499A-8514-34C6042D8C40}"/>
            </c:ext>
          </c:extLst>
        </c:ser>
        <c:ser>
          <c:idx val="1"/>
          <c:order val="1"/>
          <c:tx>
            <c:strRef>
              <c:f>'TCO Comparison'!$G$5</c:f>
              <c:strCache>
                <c:ptCount val="1"/>
                <c:pt idx="0">
                  <c:v>Cloud Cumulative</c:v>
                </c:pt>
              </c:strCache>
            </c:strRef>
          </c:tx>
          <c:spPr>
            <a:ln w="28440">
              <a:solidFill>
                <a:srgbClr val="BE4B48"/>
              </a:solidFill>
              <a:round/>
            </a:ln>
          </c:spPr>
          <c:marker>
            <c:symbol val="none"/>
          </c:marker>
          <c:dLbls>
            <c:spPr>
              <a:noFill/>
              <a:ln>
                <a:noFill/>
              </a:ln>
              <a:effectLst/>
            </c:spPr>
            <c:txPr>
              <a:bodyPr wrap="none"/>
              <a:lstStyle/>
              <a:p>
                <a:pPr>
                  <a:defRPr sz="1000" b="0" strike="noStrike" spc="-1">
                    <a:latin typeface="Arial"/>
                  </a:defRPr>
                </a:pPr>
                <a:endParaRPr lang="en-US"/>
              </a:p>
            </c:txPr>
            <c:showLegendKey val="0"/>
            <c:showVal val="0"/>
            <c:showCatName val="0"/>
            <c:showSerName val="0"/>
            <c:showPercent val="0"/>
            <c:showBubbleSize val="1"/>
            <c:separator> </c:separator>
            <c:showLeaderLines val="0"/>
            <c:extLst>
              <c:ext xmlns:c15="http://schemas.microsoft.com/office/drawing/2012/chart" uri="{CE6537A1-D6FC-4f65-9D91-7224C49458BB}">
                <c15:showLeaderLines val="1"/>
              </c:ext>
            </c:extLst>
          </c:dLbls>
          <c:cat>
            <c:strRef>
              <c:f>'TCO Comparison'!$C$6:$C$41</c:f>
              <c:strCache>
                <c:ptCount val="36"/>
                <c:pt idx="0">
                  <c:v>Month 1</c:v>
                </c:pt>
                <c:pt idx="1">
                  <c:v>Month 2</c:v>
                </c:pt>
                <c:pt idx="2">
                  <c:v>Month 3</c:v>
                </c:pt>
                <c:pt idx="3">
                  <c:v>Month 4</c:v>
                </c:pt>
                <c:pt idx="4">
                  <c:v>Month 5</c:v>
                </c:pt>
                <c:pt idx="5">
                  <c:v>Month 6</c:v>
                </c:pt>
                <c:pt idx="6">
                  <c:v>Month 7</c:v>
                </c:pt>
                <c:pt idx="7">
                  <c:v>Month 8</c:v>
                </c:pt>
                <c:pt idx="8">
                  <c:v>Month 9</c:v>
                </c:pt>
                <c:pt idx="9">
                  <c:v>Month 10</c:v>
                </c:pt>
                <c:pt idx="10">
                  <c:v>Month 11</c:v>
                </c:pt>
                <c:pt idx="11">
                  <c:v>Month 12</c:v>
                </c:pt>
                <c:pt idx="12">
                  <c:v>Month 13</c:v>
                </c:pt>
                <c:pt idx="13">
                  <c:v>Month 14</c:v>
                </c:pt>
                <c:pt idx="14">
                  <c:v>Month 15</c:v>
                </c:pt>
                <c:pt idx="15">
                  <c:v>Month 16</c:v>
                </c:pt>
                <c:pt idx="16">
                  <c:v>Month 17</c:v>
                </c:pt>
                <c:pt idx="17">
                  <c:v>Month 18</c:v>
                </c:pt>
                <c:pt idx="18">
                  <c:v>Month 19</c:v>
                </c:pt>
                <c:pt idx="19">
                  <c:v>Month 20</c:v>
                </c:pt>
                <c:pt idx="20">
                  <c:v>Month 21</c:v>
                </c:pt>
                <c:pt idx="21">
                  <c:v>Month 22</c:v>
                </c:pt>
                <c:pt idx="22">
                  <c:v>Month 23</c:v>
                </c:pt>
                <c:pt idx="23">
                  <c:v>Month 24</c:v>
                </c:pt>
                <c:pt idx="24">
                  <c:v>Month 25</c:v>
                </c:pt>
                <c:pt idx="25">
                  <c:v>Month 26</c:v>
                </c:pt>
                <c:pt idx="26">
                  <c:v>Month 27</c:v>
                </c:pt>
                <c:pt idx="27">
                  <c:v>Month 28</c:v>
                </c:pt>
                <c:pt idx="28">
                  <c:v>Month 29</c:v>
                </c:pt>
                <c:pt idx="29">
                  <c:v>Month 30</c:v>
                </c:pt>
                <c:pt idx="30">
                  <c:v>Month 31</c:v>
                </c:pt>
                <c:pt idx="31">
                  <c:v>Month 32</c:v>
                </c:pt>
                <c:pt idx="32">
                  <c:v>Month 33</c:v>
                </c:pt>
                <c:pt idx="33">
                  <c:v>Month 34</c:v>
                </c:pt>
                <c:pt idx="34">
                  <c:v>Month 35</c:v>
                </c:pt>
                <c:pt idx="35">
                  <c:v>Month 36</c:v>
                </c:pt>
              </c:strCache>
            </c:strRef>
          </c:cat>
          <c:val>
            <c:numRef>
              <c:f>'TCO Comparison'!$G$6:$G$41</c:f>
              <c:numCache>
                <c:formatCode>\$#,##0</c:formatCode>
                <c:ptCount val="36"/>
                <c:pt idx="0">
                  <c:v>417.48</c:v>
                </c:pt>
                <c:pt idx="1">
                  <c:v>634.96</c:v>
                </c:pt>
                <c:pt idx="2">
                  <c:v>852.44</c:v>
                </c:pt>
                <c:pt idx="3">
                  <c:v>1069.92</c:v>
                </c:pt>
                <c:pt idx="4">
                  <c:v>1287.4000000000001</c:v>
                </c:pt>
                <c:pt idx="5">
                  <c:v>1504.88</c:v>
                </c:pt>
                <c:pt idx="6">
                  <c:v>1722.3600000000001</c:v>
                </c:pt>
                <c:pt idx="7">
                  <c:v>1939.8400000000001</c:v>
                </c:pt>
                <c:pt idx="8">
                  <c:v>2157.3200000000002</c:v>
                </c:pt>
                <c:pt idx="9">
                  <c:v>2374.8000000000002</c:v>
                </c:pt>
                <c:pt idx="10">
                  <c:v>2592.2800000000002</c:v>
                </c:pt>
                <c:pt idx="11">
                  <c:v>2809.76</c:v>
                </c:pt>
                <c:pt idx="12">
                  <c:v>3027.2400000000002</c:v>
                </c:pt>
                <c:pt idx="13">
                  <c:v>3244.7200000000003</c:v>
                </c:pt>
                <c:pt idx="14">
                  <c:v>3462.2000000000003</c:v>
                </c:pt>
                <c:pt idx="15">
                  <c:v>3679.6800000000003</c:v>
                </c:pt>
                <c:pt idx="16">
                  <c:v>3897.1600000000003</c:v>
                </c:pt>
                <c:pt idx="17">
                  <c:v>4114.6400000000003</c:v>
                </c:pt>
                <c:pt idx="18">
                  <c:v>4332.12</c:v>
                </c:pt>
                <c:pt idx="19">
                  <c:v>4549.5999999999995</c:v>
                </c:pt>
                <c:pt idx="20">
                  <c:v>4767.079999999999</c:v>
                </c:pt>
                <c:pt idx="21">
                  <c:v>4984.5599999999986</c:v>
                </c:pt>
                <c:pt idx="22">
                  <c:v>5202.0399999999981</c:v>
                </c:pt>
                <c:pt idx="23">
                  <c:v>5419.5199999999977</c:v>
                </c:pt>
                <c:pt idx="24">
                  <c:v>5636.9999999999973</c:v>
                </c:pt>
                <c:pt idx="25">
                  <c:v>5854.4799999999968</c:v>
                </c:pt>
                <c:pt idx="26">
                  <c:v>6071.9599999999964</c:v>
                </c:pt>
                <c:pt idx="27">
                  <c:v>6289.439999999996</c:v>
                </c:pt>
                <c:pt idx="28">
                  <c:v>6506.9199999999955</c:v>
                </c:pt>
                <c:pt idx="29">
                  <c:v>6724.3999999999951</c:v>
                </c:pt>
                <c:pt idx="30">
                  <c:v>6941.8799999999947</c:v>
                </c:pt>
                <c:pt idx="31">
                  <c:v>7159.3599999999942</c:v>
                </c:pt>
                <c:pt idx="32">
                  <c:v>7376.8399999999938</c:v>
                </c:pt>
                <c:pt idx="33">
                  <c:v>7594.3199999999933</c:v>
                </c:pt>
                <c:pt idx="34">
                  <c:v>7811.7999999999929</c:v>
                </c:pt>
                <c:pt idx="35">
                  <c:v>8029.2799999999925</c:v>
                </c:pt>
              </c:numCache>
            </c:numRef>
          </c:val>
          <c:smooth val="1"/>
          <c:extLst>
            <c:ext xmlns:c16="http://schemas.microsoft.com/office/drawing/2014/chart" uri="{C3380CC4-5D6E-409C-BE32-E72D297353CC}">
              <c16:uniqueId val="{00000001-12AE-499A-8514-34C6042D8C40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hiLowLines>
          <c:spPr>
            <a:ln w="0">
              <a:noFill/>
            </a:ln>
          </c:spPr>
        </c:hiLowLines>
        <c:smooth val="0"/>
        <c:axId val="20483999"/>
        <c:axId val="94869276"/>
      </c:lineChart>
      <c:catAx>
        <c:axId val="20483999"/>
        <c:scaling>
          <c:orientation val="minMax"/>
        </c:scaling>
        <c:delete val="0"/>
        <c:axPos val="b"/>
        <c:title>
          <c:tx>
            <c:rich>
              <a:bodyPr rot="0"/>
              <a:lstStyle/>
              <a:p>
                <a:pPr>
                  <a:defRPr sz="1000" b="1" strike="noStrike" spc="-1">
                    <a:solidFill>
                      <a:srgbClr val="000000"/>
                    </a:solidFill>
                    <a:latin typeface="Calibri"/>
                  </a:defRPr>
                </a:pPr>
                <a:r>
                  <a:rPr lang="en-US" sz="1000" b="1" strike="noStrike" spc="-1">
                    <a:solidFill>
                      <a:srgbClr val="000000"/>
                    </a:solidFill>
                    <a:latin typeface="Calibri"/>
                  </a:rPr>
                  <a:t>Month</a:t>
                </a:r>
              </a:p>
            </c:rich>
          </c:tx>
          <c:overlay val="0"/>
          <c:spPr>
            <a:noFill/>
            <a:ln w="0">
              <a:noFill/>
            </a:ln>
          </c:spPr>
        </c:title>
        <c:numFmt formatCode="General" sourceLinked="1"/>
        <c:majorTickMark val="none"/>
        <c:minorTickMark val="none"/>
        <c:tickLblPos val="nextTo"/>
        <c:spPr>
          <a:ln w="9360">
            <a:solidFill>
              <a:srgbClr val="878787"/>
            </a:solidFill>
            <a:round/>
          </a:ln>
        </c:spPr>
        <c:txPr>
          <a:bodyPr/>
          <a:lstStyle/>
          <a:p>
            <a:pPr>
              <a:defRPr sz="1000" b="0" strike="noStrike" spc="-1">
                <a:solidFill>
                  <a:srgbClr val="000000"/>
                </a:solidFill>
                <a:latin typeface="Calibri"/>
              </a:defRPr>
            </a:pPr>
            <a:endParaRPr lang="en-US"/>
          </a:p>
        </c:txPr>
        <c:crossAx val="94869276"/>
        <c:crosses val="autoZero"/>
        <c:auto val="1"/>
        <c:lblAlgn val="ctr"/>
        <c:lblOffset val="100"/>
        <c:noMultiLvlLbl val="0"/>
      </c:catAx>
      <c:valAx>
        <c:axId val="94869276"/>
        <c:scaling>
          <c:orientation val="minMax"/>
        </c:scaling>
        <c:delete val="0"/>
        <c:axPos val="l"/>
        <c:majorGridlines>
          <c:spPr>
            <a:ln w="9360">
              <a:solidFill>
                <a:srgbClr val="878787"/>
              </a:solidFill>
              <a:round/>
            </a:ln>
          </c:spPr>
        </c:majorGridlines>
        <c:title>
          <c:tx>
            <c:rich>
              <a:bodyPr rot="-5400000"/>
              <a:lstStyle/>
              <a:p>
                <a:pPr>
                  <a:defRPr sz="1000" b="1" strike="noStrike" spc="-1">
                    <a:solidFill>
                      <a:srgbClr val="000000"/>
                    </a:solidFill>
                    <a:latin typeface="Calibri"/>
                  </a:defRPr>
                </a:pPr>
                <a:r>
                  <a:rPr lang="en-US" sz="1000" b="1" strike="noStrike" spc="-1">
                    <a:solidFill>
                      <a:srgbClr val="000000"/>
                    </a:solidFill>
                    <a:latin typeface="Calibri"/>
                  </a:rPr>
                  <a:t>Cumulative Cost ($)</a:t>
                </a:r>
              </a:p>
            </c:rich>
          </c:tx>
          <c:overlay val="0"/>
          <c:spPr>
            <a:noFill/>
            <a:ln w="0">
              <a:noFill/>
            </a:ln>
          </c:spPr>
        </c:title>
        <c:numFmt formatCode="\$#,##0" sourceLinked="1"/>
        <c:majorTickMark val="none"/>
        <c:minorTickMark val="none"/>
        <c:tickLblPos val="nextTo"/>
        <c:spPr>
          <a:ln w="9360">
            <a:solidFill>
              <a:srgbClr val="878787"/>
            </a:solidFill>
            <a:round/>
          </a:ln>
        </c:spPr>
        <c:txPr>
          <a:bodyPr/>
          <a:lstStyle/>
          <a:p>
            <a:pPr>
              <a:defRPr sz="1000" b="0" strike="noStrike" spc="-1">
                <a:solidFill>
                  <a:srgbClr val="000000"/>
                </a:solidFill>
                <a:latin typeface="Calibri"/>
              </a:defRPr>
            </a:pPr>
            <a:endParaRPr lang="en-US"/>
          </a:p>
        </c:txPr>
        <c:crossAx val="20483999"/>
        <c:crosses val="autoZero"/>
        <c:crossBetween val="between"/>
      </c:valAx>
      <c:spPr>
        <a:noFill/>
        <a:ln w="0">
          <a:noFill/>
        </a:ln>
      </c:spPr>
    </c:plotArea>
    <c:legend>
      <c:legendPos val="r"/>
      <c:overlay val="0"/>
      <c:spPr>
        <a:noFill/>
        <a:ln w="0">
          <a:noFill/>
        </a:ln>
      </c:spPr>
      <c:txPr>
        <a:bodyPr/>
        <a:lstStyle/>
        <a:p>
          <a:pPr>
            <a:defRPr sz="1000" b="0" strike="noStrike" spc="-1">
              <a:solidFill>
                <a:srgbClr val="000000"/>
              </a:solidFill>
              <a:latin typeface="Calibri"/>
            </a:defRPr>
          </a:pPr>
          <a:endParaRPr lang="en-US"/>
        </a:p>
      </c:txPr>
    </c:legend>
    <c:plotVisOnly val="1"/>
    <c:dispBlanksAs val="gap"/>
    <c:showDLblsOverMax val="1"/>
  </c:chart>
  <c:spPr>
    <a:solidFill>
      <a:srgbClr val="FFFFFF"/>
    </a:solidFill>
    <a:ln w="9360">
      <a:solidFill>
        <a:srgbClr val="D9D9D9"/>
      </a:solidFill>
      <a:round/>
    </a:ln>
  </c:sp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3</Pages>
  <Words>77</Words>
  <Characters>442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Thien Cat Ly</dc:creator>
  <cp:keywords/>
  <dc:description/>
  <cp:lastModifiedBy>Thien Cat Ly</cp:lastModifiedBy>
  <cp:revision>5</cp:revision>
  <dcterms:created xsi:type="dcterms:W3CDTF">2026-09-15T01:39:00Z</dcterms:created>
  <dcterms:modified xsi:type="dcterms:W3CDTF">2026-09-19T07:29:00Z</dcterms:modified>
</cp:coreProperties>
</file>