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066B" w14:textId="18C80B25" w:rsidR="000675C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C32E46">
        <w:rPr>
          <w:rFonts w:ascii="Times New Roman" w:eastAsia="Times New Roman" w:hAnsi="Times New Roman" w:cs="Times New Roman"/>
          <w:b/>
          <w:i/>
          <w:iCs/>
        </w:rPr>
        <w:t>It’s</w:t>
      </w:r>
      <w:proofErr w:type="spellEnd"/>
      <w:r w:rsidRPr="00C32E46">
        <w:rPr>
          <w:rFonts w:ascii="Times New Roman" w:eastAsia="Times New Roman" w:hAnsi="Times New Roman" w:cs="Times New Roman"/>
          <w:b/>
          <w:i/>
          <w:iCs/>
        </w:rPr>
        <w:t xml:space="preserve"> a girls’ world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DA0C8B">
        <w:rPr>
          <w:rFonts w:ascii="Times New Roman" w:eastAsia="Times New Roman" w:hAnsi="Times New Roman" w:cs="Times New Roman"/>
          <w:b/>
        </w:rPr>
        <w:t xml:space="preserve">neologismi </w:t>
      </w:r>
      <w:proofErr w:type="spellStart"/>
      <w:r w:rsidR="00DA0C8B">
        <w:rPr>
          <w:rFonts w:ascii="Times New Roman" w:eastAsia="Times New Roman" w:hAnsi="Times New Roman" w:cs="Times New Roman"/>
          <w:b/>
        </w:rPr>
        <w:t>girlie</w:t>
      </w:r>
      <w:proofErr w:type="spellEnd"/>
      <w:r w:rsidR="00DA0C8B">
        <w:rPr>
          <w:rFonts w:ascii="Times New Roman" w:eastAsia="Times New Roman" w:hAnsi="Times New Roman" w:cs="Times New Roman"/>
          <w:b/>
        </w:rPr>
        <w:t xml:space="preserve"> per narrare la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girlhood</w:t>
      </w:r>
      <w:proofErr w:type="spellEnd"/>
      <w:r w:rsidR="00DA0C8B">
        <w:rPr>
          <w:rFonts w:ascii="Times New Roman" w:eastAsia="Times New Roman" w:hAnsi="Times New Roman" w:cs="Times New Roman"/>
          <w:b/>
        </w:rPr>
        <w:t>.</w:t>
      </w:r>
    </w:p>
    <w:p w14:paraId="6A4EF369" w14:textId="77777777" w:rsidR="000675C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Un’analisi linguistico-semiotica.</w:t>
      </w:r>
    </w:p>
    <w:p w14:paraId="71DCFA5A" w14:textId="77777777" w:rsidR="000675CD" w:rsidRDefault="000675CD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57D4E86" w14:textId="77777777" w:rsidR="000675C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Luisa Troncone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Paola Pianese</w:t>
      </w:r>
    </w:p>
    <w:p w14:paraId="733A4005" w14:textId="77777777" w:rsidR="000675C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Università di Salerno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Alma Mater </w:t>
      </w:r>
      <w:proofErr w:type="spellStart"/>
      <w:r>
        <w:rPr>
          <w:rFonts w:ascii="Times New Roman" w:eastAsia="Times New Roman" w:hAnsi="Times New Roman" w:cs="Times New Roman"/>
        </w:rPr>
        <w:t>Studiorum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-  Università</w:t>
      </w:r>
      <w:proofErr w:type="gramEnd"/>
      <w:r>
        <w:rPr>
          <w:rFonts w:ascii="Times New Roman" w:eastAsia="Times New Roman" w:hAnsi="Times New Roman" w:cs="Times New Roman"/>
        </w:rPr>
        <w:t xml:space="preserve"> di Bologna</w:t>
      </w:r>
    </w:p>
    <w:p w14:paraId="1CB6FBC0" w14:textId="77777777" w:rsidR="000675CD" w:rsidRDefault="000675CD">
      <w:pPr>
        <w:jc w:val="both"/>
        <w:rPr>
          <w:rFonts w:ascii="Times New Roman" w:eastAsia="Times New Roman" w:hAnsi="Times New Roman" w:cs="Times New Roman"/>
        </w:rPr>
      </w:pPr>
    </w:p>
    <w:p w14:paraId="32E4B903" w14:textId="7B447B07" w:rsidR="000675CD" w:rsidRDefault="00C32E4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Questo studio descriverà l’uso di alcuni neologismi di genere nelle varietà online (Fiorentino, 2013; 2024) e il modo in cui essi si inscrivono nel più ampio discorso sulla </w:t>
      </w:r>
      <w:proofErr w:type="spellStart"/>
      <w:r>
        <w:rPr>
          <w:rFonts w:ascii="Times New Roman" w:eastAsia="Times New Roman" w:hAnsi="Times New Roman" w:cs="Times New Roman"/>
          <w:i/>
        </w:rPr>
        <w:t>girlhood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(Brown, 2008; Mitchell &amp; Reid-Walsh, 2010), c</w:t>
      </w:r>
      <w:r w:rsidR="00000000">
        <w:rPr>
          <w:rFonts w:ascii="Times New Roman" w:eastAsia="Times New Roman" w:hAnsi="Times New Roman" w:cs="Times New Roman"/>
        </w:rPr>
        <w:t>ombinando</w:t>
      </w:r>
      <w:r>
        <w:rPr>
          <w:rFonts w:ascii="Times New Roman" w:eastAsia="Times New Roman" w:hAnsi="Times New Roman" w:cs="Times New Roman"/>
        </w:rPr>
        <w:t>, nello svolgimento dell’analisi,</w:t>
      </w:r>
      <w:r w:rsidR="00000000">
        <w:rPr>
          <w:rFonts w:ascii="Times New Roman" w:eastAsia="Times New Roman" w:hAnsi="Times New Roman" w:cs="Times New Roman"/>
        </w:rPr>
        <w:t xml:space="preserve"> strumenti linguistici (</w:t>
      </w:r>
      <w:proofErr w:type="spellStart"/>
      <w:r w:rsidR="00000000">
        <w:rPr>
          <w:rFonts w:ascii="Times New Roman" w:eastAsia="Times New Roman" w:hAnsi="Times New Roman" w:cs="Times New Roman"/>
        </w:rPr>
        <w:t>Kailich</w:t>
      </w:r>
      <w:proofErr w:type="spellEnd"/>
      <w:r w:rsidR="00000000">
        <w:rPr>
          <w:rFonts w:ascii="Times New Roman" w:eastAsia="Times New Roman" w:hAnsi="Times New Roman" w:cs="Times New Roman"/>
        </w:rPr>
        <w:t>, 2022) e semiotici (Singh, 2015).</w:t>
      </w:r>
    </w:p>
    <w:p w14:paraId="0B9A6DC7" w14:textId="74B36EF1" w:rsidR="000675CD" w:rsidRDefault="00000000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Tra i livelli linguistici, quello </w:t>
      </w:r>
      <w:r w:rsidR="00C32E46">
        <w:rPr>
          <w:rFonts w:ascii="Times New Roman" w:eastAsia="Times New Roman" w:hAnsi="Times New Roman" w:cs="Times New Roman"/>
        </w:rPr>
        <w:t>su cui la</w:t>
      </w:r>
      <w:r>
        <w:rPr>
          <w:rFonts w:ascii="Times New Roman" w:eastAsia="Times New Roman" w:hAnsi="Times New Roman" w:cs="Times New Roman"/>
        </w:rPr>
        <w:t xml:space="preserve"> variazione</w:t>
      </w:r>
      <w:r w:rsidR="00C32E46">
        <w:rPr>
          <w:rFonts w:ascii="Times New Roman" w:eastAsia="Times New Roman" w:hAnsi="Times New Roman" w:cs="Times New Roman"/>
        </w:rPr>
        <w:t xml:space="preserve"> dovuta al contatto interlinguistico</w:t>
      </w:r>
      <w:r>
        <w:rPr>
          <w:rFonts w:ascii="Times New Roman" w:eastAsia="Times New Roman" w:hAnsi="Times New Roman" w:cs="Times New Roman"/>
        </w:rPr>
        <w:t xml:space="preserve"> </w:t>
      </w:r>
      <w:r w:rsidR="00C32E46">
        <w:rPr>
          <w:rFonts w:ascii="Times New Roman" w:eastAsia="Times New Roman" w:hAnsi="Times New Roman" w:cs="Times New Roman"/>
        </w:rPr>
        <w:t xml:space="preserve">è più manifesta </w:t>
      </w:r>
      <w:r>
        <w:rPr>
          <w:rFonts w:ascii="Times New Roman" w:eastAsia="Times New Roman" w:hAnsi="Times New Roman" w:cs="Times New Roman"/>
        </w:rPr>
        <w:t>è quello lessicale (</w:t>
      </w:r>
      <w:proofErr w:type="spellStart"/>
      <w:r>
        <w:rPr>
          <w:rFonts w:ascii="Times New Roman" w:eastAsia="Times New Roman" w:hAnsi="Times New Roman" w:cs="Times New Roman"/>
        </w:rPr>
        <w:t>Muñoz-Basols</w:t>
      </w:r>
      <w:proofErr w:type="spellEnd"/>
      <w:r>
        <w:rPr>
          <w:rFonts w:ascii="Times New Roman" w:eastAsia="Times New Roman" w:hAnsi="Times New Roman" w:cs="Times New Roman"/>
        </w:rPr>
        <w:t xml:space="preserve"> &amp; Salazar, 2016). La variazione </w:t>
      </w:r>
      <w:r w:rsidR="00C32E46">
        <w:rPr>
          <w:rFonts w:ascii="Times New Roman" w:eastAsia="Times New Roman" w:hAnsi="Times New Roman" w:cs="Times New Roman"/>
        </w:rPr>
        <w:t>riscontrabile sul</w:t>
      </w:r>
      <w:r>
        <w:rPr>
          <w:rFonts w:ascii="Times New Roman" w:eastAsia="Times New Roman" w:hAnsi="Times New Roman" w:cs="Times New Roman"/>
        </w:rPr>
        <w:t xml:space="preserve"> piano lessicale </w:t>
      </w:r>
      <w:r w:rsidR="00C32E46">
        <w:rPr>
          <w:rFonts w:ascii="Times New Roman" w:eastAsia="Times New Roman" w:hAnsi="Times New Roman" w:cs="Times New Roman"/>
        </w:rPr>
        <w:t>può essere vista come</w:t>
      </w:r>
      <w:r>
        <w:rPr>
          <w:rFonts w:ascii="Times New Roman" w:eastAsia="Times New Roman" w:hAnsi="Times New Roman" w:cs="Times New Roman"/>
        </w:rPr>
        <w:t xml:space="preserve"> specchio dei cambiamenti </w:t>
      </w:r>
      <w:r w:rsidR="00C32E46">
        <w:rPr>
          <w:rFonts w:ascii="Times New Roman" w:eastAsia="Times New Roman" w:hAnsi="Times New Roman" w:cs="Times New Roman"/>
        </w:rPr>
        <w:t xml:space="preserve">in corso </w:t>
      </w:r>
      <w:r>
        <w:rPr>
          <w:rFonts w:ascii="Times New Roman" w:eastAsia="Times New Roman" w:hAnsi="Times New Roman" w:cs="Times New Roman"/>
        </w:rPr>
        <w:t>nella società (</w:t>
      </w:r>
      <w:proofErr w:type="spellStart"/>
      <w:r>
        <w:rPr>
          <w:rFonts w:ascii="Times New Roman" w:eastAsia="Times New Roman" w:hAnsi="Times New Roman" w:cs="Times New Roman"/>
        </w:rPr>
        <w:t>Stepanyan</w:t>
      </w:r>
      <w:proofErr w:type="spellEnd"/>
      <w:r>
        <w:rPr>
          <w:rFonts w:ascii="Times New Roman" w:eastAsia="Times New Roman" w:hAnsi="Times New Roman" w:cs="Times New Roman"/>
        </w:rPr>
        <w:t xml:space="preserve">, 2019; </w:t>
      </w:r>
      <w:proofErr w:type="spellStart"/>
      <w:r>
        <w:rPr>
          <w:rFonts w:ascii="Times New Roman" w:eastAsia="Times New Roman" w:hAnsi="Times New Roman" w:cs="Times New Roman"/>
        </w:rPr>
        <w:t>Foubert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Lemmens</w:t>
      </w:r>
      <w:proofErr w:type="spellEnd"/>
      <w:r>
        <w:rPr>
          <w:rFonts w:ascii="Times New Roman" w:eastAsia="Times New Roman" w:hAnsi="Times New Roman" w:cs="Times New Roman"/>
        </w:rPr>
        <w:t>, 2018). Tra le più recenti tendenze</w:t>
      </w:r>
      <w:r w:rsidR="00C32E46">
        <w:rPr>
          <w:rFonts w:ascii="Times New Roman" w:eastAsia="Times New Roman" w:hAnsi="Times New Roman" w:cs="Times New Roman"/>
        </w:rPr>
        <w:t xml:space="preserve"> in atto,</w:t>
      </w:r>
      <w:r>
        <w:rPr>
          <w:rFonts w:ascii="Times New Roman" w:eastAsia="Times New Roman" w:hAnsi="Times New Roman" w:cs="Times New Roman"/>
        </w:rPr>
        <w:t xml:space="preserve"> vi è la creazione di neologismi di genere (</w:t>
      </w:r>
      <w:proofErr w:type="spellStart"/>
      <w:r>
        <w:rPr>
          <w:rFonts w:ascii="Times New Roman" w:eastAsia="Times New Roman" w:hAnsi="Times New Roman" w:cs="Times New Roman"/>
          <w:i/>
        </w:rPr>
        <w:t>gendered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neologisms</w:t>
      </w:r>
      <w:proofErr w:type="spellEnd"/>
      <w:r>
        <w:rPr>
          <w:rFonts w:ascii="Times New Roman" w:eastAsia="Times New Roman" w:hAnsi="Times New Roman" w:cs="Times New Roman"/>
        </w:rPr>
        <w:t xml:space="preserve">), neoformazioni linguistiche che includono </w:t>
      </w:r>
      <w:r w:rsidR="00C32E46">
        <w:rPr>
          <w:rFonts w:ascii="Times New Roman" w:eastAsia="Times New Roman" w:hAnsi="Times New Roman" w:cs="Times New Roman"/>
        </w:rPr>
        <w:t xml:space="preserve">in un lessema di una data lingua </w:t>
      </w:r>
      <w:r>
        <w:rPr>
          <w:rFonts w:ascii="Times New Roman" w:eastAsia="Times New Roman" w:hAnsi="Times New Roman" w:cs="Times New Roman"/>
        </w:rPr>
        <w:t xml:space="preserve">un significato </w:t>
      </w:r>
      <w:r w:rsidR="00C32E46">
        <w:rPr>
          <w:rFonts w:ascii="Times New Roman" w:eastAsia="Times New Roman" w:hAnsi="Times New Roman" w:cs="Times New Roman"/>
        </w:rPr>
        <w:t>in riferimento al</w:t>
      </w:r>
      <w:r>
        <w:rPr>
          <w:rFonts w:ascii="Times New Roman" w:eastAsia="Times New Roman" w:hAnsi="Times New Roman" w:cs="Times New Roman"/>
        </w:rPr>
        <w:t xml:space="preserve"> genere (</w:t>
      </w:r>
      <w:proofErr w:type="spellStart"/>
      <w:r>
        <w:rPr>
          <w:rFonts w:ascii="Times New Roman" w:eastAsia="Times New Roman" w:hAnsi="Times New Roman" w:cs="Times New Roman"/>
        </w:rPr>
        <w:t>Szymańska</w:t>
      </w:r>
      <w:proofErr w:type="spellEnd"/>
      <w:r>
        <w:rPr>
          <w:rFonts w:ascii="Times New Roman" w:eastAsia="Times New Roman" w:hAnsi="Times New Roman" w:cs="Times New Roman"/>
        </w:rPr>
        <w:t xml:space="preserve">: 2022: 260). Questo studio prende in considerazione questo tipo di neologismi, considerando quelli con membro </w:t>
      </w:r>
      <w:r>
        <w:rPr>
          <w:rFonts w:ascii="Times New Roman" w:eastAsia="Times New Roman" w:hAnsi="Times New Roman" w:cs="Times New Roman"/>
          <w:i/>
        </w:rPr>
        <w:t>girl</w:t>
      </w:r>
      <w:r>
        <w:rPr>
          <w:rFonts w:ascii="Times New Roman" w:eastAsia="Times New Roman" w:hAnsi="Times New Roman" w:cs="Times New Roman"/>
        </w:rPr>
        <w:t xml:space="preserve">: le principali forme analizzate sono </w:t>
      </w:r>
      <w:r>
        <w:rPr>
          <w:rFonts w:ascii="Times New Roman" w:eastAsia="Times New Roman" w:hAnsi="Times New Roman" w:cs="Times New Roman"/>
          <w:i/>
        </w:rPr>
        <w:t>girl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>’ girl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  <w:i/>
        </w:rPr>
        <w:t xml:space="preserve">girl </w:t>
      </w:r>
      <w:proofErr w:type="spellStart"/>
      <w:r>
        <w:rPr>
          <w:rFonts w:ascii="Times New Roman" w:eastAsia="Times New Roman" w:hAnsi="Times New Roman" w:cs="Times New Roman"/>
          <w:i/>
        </w:rPr>
        <w:t>math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girlieing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</w:p>
    <w:p w14:paraId="3E721BEC" w14:textId="5CF3BA54" w:rsidR="000675C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 occorrenze sono prese dalla piattaforma X (già Twitter) in italiano. Il nostro lavoro propone, in combinazione con un framework di </w:t>
      </w:r>
      <w:proofErr w:type="spellStart"/>
      <w:r>
        <w:rPr>
          <w:rFonts w:ascii="Times New Roman" w:eastAsia="Times New Roman" w:hAnsi="Times New Roman" w:cs="Times New Roman"/>
          <w:i/>
        </w:rPr>
        <w:t>applied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discourse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analysis</w:t>
      </w:r>
      <w:proofErr w:type="spellEnd"/>
      <w:r>
        <w:rPr>
          <w:rFonts w:ascii="Times New Roman" w:eastAsia="Times New Roman" w:hAnsi="Times New Roman" w:cs="Times New Roman"/>
        </w:rPr>
        <w:t xml:space="preserve"> (Berger, 2016), un’indagine che consideri l’uso </w:t>
      </w:r>
      <w:r>
        <w:rPr>
          <w:rFonts w:ascii="Times New Roman" w:eastAsia="Times New Roman" w:hAnsi="Times New Roman" w:cs="Times New Roman"/>
          <w:i/>
        </w:rPr>
        <w:t>bottom-up</w:t>
      </w:r>
      <w:r>
        <w:rPr>
          <w:rFonts w:ascii="Times New Roman" w:eastAsia="Times New Roman" w:hAnsi="Times New Roman" w:cs="Times New Roman"/>
        </w:rPr>
        <w:t xml:space="preserve"> dei composti</w:t>
      </w:r>
      <w:r w:rsidR="00290A5A">
        <w:rPr>
          <w:rFonts w:ascii="Times New Roman" w:eastAsia="Times New Roman" w:hAnsi="Times New Roman" w:cs="Times New Roman"/>
        </w:rPr>
        <w:t xml:space="preserve"> e derivati</w:t>
      </w:r>
      <w:r>
        <w:rPr>
          <w:rFonts w:ascii="Times New Roman" w:eastAsia="Times New Roman" w:hAnsi="Times New Roman" w:cs="Times New Roman"/>
        </w:rPr>
        <w:t xml:space="preserve"> di </w:t>
      </w:r>
      <w:r>
        <w:rPr>
          <w:rFonts w:ascii="Times New Roman" w:eastAsia="Times New Roman" w:hAnsi="Times New Roman" w:cs="Times New Roman"/>
          <w:i/>
        </w:rPr>
        <w:t>girl</w:t>
      </w:r>
      <w:r>
        <w:rPr>
          <w:rFonts w:ascii="Times New Roman" w:eastAsia="Times New Roman" w:hAnsi="Times New Roman" w:cs="Times New Roman"/>
        </w:rPr>
        <w:t xml:space="preserve"> nelle varietà d’italiano online e ne deduca le caratteristiche semantiche sia da un punto di vista denotativo e connotativo che inerente e contestuale. A titolo esemplificativo, si consideri il caso di </w:t>
      </w:r>
      <w:r>
        <w:rPr>
          <w:rFonts w:ascii="Times New Roman" w:eastAsia="Times New Roman" w:hAnsi="Times New Roman" w:cs="Times New Roman"/>
          <w:i/>
        </w:rPr>
        <w:t>girls’ girl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AA60227" w14:textId="73E32F94" w:rsidR="000675C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prima occorrenza del</w:t>
      </w:r>
      <w:r w:rsidR="00290A5A">
        <w:rPr>
          <w:rFonts w:ascii="Times New Roman" w:eastAsia="Times New Roman" w:hAnsi="Times New Roman" w:cs="Times New Roman"/>
        </w:rPr>
        <w:t xml:space="preserve">l’espressione </w:t>
      </w:r>
      <w:r>
        <w:rPr>
          <w:rFonts w:ascii="Times New Roman" w:eastAsia="Times New Roman" w:hAnsi="Times New Roman" w:cs="Times New Roman"/>
        </w:rPr>
        <w:t>sull’X in italiano risale al settembre 2022. Tra settembre 2022 e gennaio 2024 si sono registrate 156 occorrenze, aventi l’andamento descritto in Figura 1:</w:t>
      </w:r>
    </w:p>
    <w:p w14:paraId="0DAD6EB5" w14:textId="77777777" w:rsidR="000675CD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Figura 1. Andamento dell’utilizzo di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girls’ girl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sull’X italiano.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730D3D" wp14:editId="57CFA624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310063" cy="322896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228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CD5BE" w14:textId="77777777" w:rsidR="000675CD" w:rsidRDefault="000675CD">
      <w:pPr>
        <w:jc w:val="both"/>
        <w:rPr>
          <w:rFonts w:ascii="Times New Roman" w:eastAsia="Times New Roman" w:hAnsi="Times New Roman" w:cs="Times New Roman"/>
        </w:rPr>
      </w:pPr>
    </w:p>
    <w:p w14:paraId="3D20B882" w14:textId="2B0AA145" w:rsidR="000675CD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L’espressione indica, secondo quanto emerge dalle occorrenze, una persona </w:t>
      </w:r>
      <w:r w:rsidR="00290A5A">
        <w:rPr>
          <w:rFonts w:ascii="Times New Roman" w:eastAsia="Times New Roman" w:hAnsi="Times New Roman" w:cs="Times New Roman"/>
        </w:rPr>
        <w:t xml:space="preserve">che mostra </w:t>
      </w:r>
      <w:r>
        <w:rPr>
          <w:rFonts w:ascii="Times New Roman" w:eastAsia="Times New Roman" w:hAnsi="Times New Roman" w:cs="Times New Roman"/>
        </w:rPr>
        <w:t>solida</w:t>
      </w:r>
      <w:r w:rsidR="00290A5A">
        <w:rPr>
          <w:rFonts w:ascii="Times New Roman" w:eastAsia="Times New Roman" w:hAnsi="Times New Roman" w:cs="Times New Roman"/>
        </w:rPr>
        <w:t>rietà</w:t>
      </w:r>
      <w:r>
        <w:rPr>
          <w:rFonts w:ascii="Times New Roman" w:eastAsia="Times New Roman" w:hAnsi="Times New Roman" w:cs="Times New Roman"/>
        </w:rPr>
        <w:t xml:space="preserve"> con le donne semplicemente per via del loro genere. Tale programma è già rintracciabile nell’esempio (1), dove la lista (Masini &amp; </w:t>
      </w:r>
      <w:proofErr w:type="spellStart"/>
      <w:r>
        <w:rPr>
          <w:rFonts w:ascii="Times New Roman" w:eastAsia="Times New Roman" w:hAnsi="Times New Roman" w:cs="Times New Roman"/>
        </w:rPr>
        <w:t>Arcodia</w:t>
      </w:r>
      <w:proofErr w:type="spellEnd"/>
      <w:r>
        <w:rPr>
          <w:rFonts w:ascii="Times New Roman" w:eastAsia="Times New Roman" w:hAnsi="Times New Roman" w:cs="Times New Roman"/>
        </w:rPr>
        <w:t xml:space="preserve">, 2018; Masini et al., 2018) suggerisce proprio una semantica, quella </w:t>
      </w:r>
      <w:r w:rsidR="00290A5A">
        <w:rPr>
          <w:rFonts w:ascii="Times New Roman" w:eastAsia="Times New Roman" w:hAnsi="Times New Roman" w:cs="Times New Roman"/>
        </w:rPr>
        <w:t>portata</w:t>
      </w:r>
      <w:r>
        <w:rPr>
          <w:rFonts w:ascii="Times New Roman" w:eastAsia="Times New Roman" w:hAnsi="Times New Roman" w:cs="Times New Roman"/>
        </w:rPr>
        <w:t xml:space="preserve"> dal composto, implicante l’importanza della condivisione di un’esperienza comune con la comunità</w:t>
      </w:r>
      <w:r w:rsidR="00F55305">
        <w:rPr>
          <w:rFonts w:ascii="Times New Roman" w:eastAsia="Times New Roman" w:hAnsi="Times New Roman" w:cs="Times New Roman"/>
        </w:rPr>
        <w:t>:</w:t>
      </w:r>
    </w:p>
    <w:p w14:paraId="2B532EF1" w14:textId="77777777" w:rsidR="000675CD" w:rsidRDefault="000675CD">
      <w:pPr>
        <w:jc w:val="both"/>
        <w:rPr>
          <w:rFonts w:ascii="Times New Roman" w:eastAsia="Times New Roman" w:hAnsi="Times New Roman" w:cs="Times New Roman"/>
        </w:rPr>
      </w:pPr>
    </w:p>
    <w:p w14:paraId="313C939E" w14:textId="77777777" w:rsidR="000675CD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girls girl</w:t>
      </w:r>
      <w:r>
        <w:rPr>
          <w:rFonts w:ascii="Times New Roman" w:eastAsia="Times New Roman" w:hAnsi="Times New Roman" w:cs="Times New Roman"/>
        </w:rPr>
        <w:t xml:space="preserve">, </w:t>
      </w:r>
      <w:r w:rsidRPr="00AD4F31">
        <w:rPr>
          <w:rFonts w:ascii="Times New Roman" w:eastAsia="Times New Roman" w:hAnsi="Times New Roman" w:cs="Times New Roman"/>
          <w:u w:val="single"/>
        </w:rPr>
        <w:t>sorellanza, solidarietà femminile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ecc</w:t>
      </w:r>
      <w:proofErr w:type="spellEnd"/>
      <w:r>
        <w:rPr>
          <w:rFonts w:ascii="Times New Roman" w:eastAsia="Times New Roman" w:hAnsi="Times New Roman" w:cs="Times New Roman"/>
        </w:rPr>
        <w:t>… (@crisalide_</w:t>
      </w:r>
      <w:proofErr w:type="gramStart"/>
      <w:r>
        <w:rPr>
          <w:rFonts w:ascii="Times New Roman" w:eastAsia="Times New Roman" w:hAnsi="Times New Roman" w:cs="Times New Roman"/>
        </w:rPr>
        <w:t>_ ,</w:t>
      </w:r>
      <w:proofErr w:type="gramEnd"/>
      <w:r>
        <w:rPr>
          <w:rFonts w:ascii="Times New Roman" w:eastAsia="Times New Roman" w:hAnsi="Times New Roman" w:cs="Times New Roman"/>
        </w:rPr>
        <w:t xml:space="preserve"> 25/09/23)</w:t>
      </w:r>
    </w:p>
    <w:p w14:paraId="7BF7D37C" w14:textId="77777777" w:rsidR="000675CD" w:rsidRDefault="000675CD">
      <w:pPr>
        <w:jc w:val="both"/>
        <w:rPr>
          <w:rFonts w:ascii="Times New Roman" w:eastAsia="Times New Roman" w:hAnsi="Times New Roman" w:cs="Times New Roman"/>
        </w:rPr>
      </w:pPr>
    </w:p>
    <w:p w14:paraId="41AA1563" w14:textId="425EC0C8" w:rsidR="00894215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figura </w:t>
      </w:r>
      <w:proofErr w:type="gramStart"/>
      <w:r>
        <w:rPr>
          <w:rFonts w:ascii="Times New Roman" w:eastAsia="Times New Roman" w:hAnsi="Times New Roman" w:cs="Times New Roman"/>
        </w:rPr>
        <w:t xml:space="preserve">della </w:t>
      </w:r>
      <w:r>
        <w:rPr>
          <w:rFonts w:ascii="Times New Roman" w:eastAsia="Times New Roman" w:hAnsi="Times New Roman" w:cs="Times New Roman"/>
          <w:i/>
        </w:rPr>
        <w:t>girls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’ girl </w:t>
      </w:r>
      <w:r>
        <w:rPr>
          <w:rFonts w:ascii="Times New Roman" w:eastAsia="Times New Roman" w:hAnsi="Times New Roman" w:cs="Times New Roman"/>
        </w:rPr>
        <w:t>viene costruita sulla scorta della presunta ordinarietà della competizione tra donne (si vedano Ingo et al., 2007; hooks</w:t>
      </w:r>
      <w:r w:rsidR="001B4E17">
        <w:rPr>
          <w:rStyle w:val="Rimandonotaapidipagina"/>
          <w:rFonts w:ascii="Times New Roman" w:eastAsia="Times New Roman" w:hAnsi="Times New Roman" w:cs="Times New Roman"/>
        </w:rPr>
        <w:footnoteReference w:id="1"/>
      </w:r>
      <w:r>
        <w:rPr>
          <w:rFonts w:ascii="Times New Roman" w:eastAsia="Times New Roman" w:hAnsi="Times New Roman" w:cs="Times New Roman"/>
        </w:rPr>
        <w:t xml:space="preserve">, 1984: 43-47). </w:t>
      </w:r>
      <w:r w:rsidR="00F55305" w:rsidRPr="00F55305">
        <w:rPr>
          <w:rFonts w:ascii="Times New Roman" w:eastAsia="Times New Roman" w:hAnsi="Times New Roman" w:cs="Times New Roman"/>
        </w:rPr>
        <w:t>Per rifiutare tale competizione, gli</w:t>
      </w:r>
      <w:r w:rsidR="00AD4F31">
        <w:rPr>
          <w:rFonts w:ascii="Times New Roman" w:eastAsia="Times New Roman" w:hAnsi="Times New Roman" w:cs="Times New Roman"/>
        </w:rPr>
        <w:t>/le</w:t>
      </w:r>
      <w:r w:rsidR="00F55305" w:rsidRPr="00F55305">
        <w:rPr>
          <w:rFonts w:ascii="Times New Roman" w:eastAsia="Times New Roman" w:hAnsi="Times New Roman" w:cs="Times New Roman"/>
        </w:rPr>
        <w:t xml:space="preserve"> utenti organizzano l'identità femminile come nettamente in contrasto con quella maschile; di qui, il valore della solidarietà femminile come forza de</w:t>
      </w:r>
      <w:r w:rsidR="00F55305">
        <w:rPr>
          <w:rFonts w:ascii="Times New Roman" w:eastAsia="Times New Roman" w:hAnsi="Times New Roman" w:cs="Times New Roman"/>
        </w:rPr>
        <w:t>gli/delle</w:t>
      </w:r>
      <w:r w:rsidR="00F55305" w:rsidRPr="00F55305">
        <w:rPr>
          <w:rFonts w:ascii="Times New Roman" w:eastAsia="Times New Roman" w:hAnsi="Times New Roman" w:cs="Times New Roman"/>
        </w:rPr>
        <w:t xml:space="preserve"> oppressi</w:t>
      </w:r>
      <w:r w:rsidR="00F55305">
        <w:rPr>
          <w:rFonts w:ascii="Times New Roman" w:eastAsia="Times New Roman" w:hAnsi="Times New Roman" w:cs="Times New Roman"/>
        </w:rPr>
        <w:t>/e</w:t>
      </w:r>
      <w:r w:rsidR="00F55305" w:rsidRPr="00F55305">
        <w:rPr>
          <w:rFonts w:ascii="Times New Roman" w:eastAsia="Times New Roman" w:hAnsi="Times New Roman" w:cs="Times New Roman"/>
        </w:rPr>
        <w:t xml:space="preserve"> contro gli</w:t>
      </w:r>
      <w:r w:rsidR="00F55305">
        <w:rPr>
          <w:rFonts w:ascii="Times New Roman" w:eastAsia="Times New Roman" w:hAnsi="Times New Roman" w:cs="Times New Roman"/>
        </w:rPr>
        <w:t>/le</w:t>
      </w:r>
      <w:r w:rsidR="00F55305" w:rsidRPr="00F55305">
        <w:rPr>
          <w:rFonts w:ascii="Times New Roman" w:eastAsia="Times New Roman" w:hAnsi="Times New Roman" w:cs="Times New Roman"/>
        </w:rPr>
        <w:t xml:space="preserve"> oppressor</w:t>
      </w:r>
      <w:r w:rsidR="00AD4F31">
        <w:rPr>
          <w:rFonts w:ascii="Times New Roman" w:eastAsia="Times New Roman" w:hAnsi="Times New Roman" w:cs="Times New Roman"/>
        </w:rPr>
        <w:t>i</w:t>
      </w:r>
      <w:r w:rsidR="00F55305">
        <w:rPr>
          <w:rFonts w:ascii="Times New Roman" w:eastAsia="Times New Roman" w:hAnsi="Times New Roman" w:cs="Times New Roman"/>
        </w:rPr>
        <w:t>/e</w:t>
      </w:r>
      <w:r w:rsidR="00F55305" w:rsidRPr="00F55305">
        <w:rPr>
          <w:rFonts w:ascii="Times New Roman" w:eastAsia="Times New Roman" w:hAnsi="Times New Roman" w:cs="Times New Roman"/>
        </w:rPr>
        <w:t>. In un tale quadro si innesta, nelle occorrenze, una critica intersezionale più ampia, che prende di mira anche altre disuguaglianze (come quella classista e razzista</w:t>
      </w:r>
      <w:r w:rsidR="00894215">
        <w:rPr>
          <w:rFonts w:ascii="Times New Roman" w:eastAsia="Times New Roman" w:hAnsi="Times New Roman" w:cs="Times New Roman"/>
        </w:rPr>
        <w:t>, si veda l’esempio (2)</w:t>
      </w:r>
      <w:r w:rsidR="00F55305" w:rsidRPr="00F55305">
        <w:rPr>
          <w:rFonts w:ascii="Times New Roman" w:eastAsia="Times New Roman" w:hAnsi="Times New Roman" w:cs="Times New Roman"/>
        </w:rPr>
        <w:t>).</w:t>
      </w:r>
    </w:p>
    <w:p w14:paraId="59B0327C" w14:textId="77777777" w:rsidR="00894215" w:rsidRDefault="00894215">
      <w:pPr>
        <w:jc w:val="both"/>
        <w:rPr>
          <w:rFonts w:ascii="Times New Roman" w:eastAsia="Times New Roman" w:hAnsi="Times New Roman" w:cs="Times New Roman"/>
        </w:rPr>
      </w:pPr>
    </w:p>
    <w:p w14:paraId="74F73896" w14:textId="27FF56B5" w:rsidR="00894215" w:rsidRDefault="00894215" w:rsidP="00AD4F31">
      <w:pPr>
        <w:ind w:left="144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(2) </w:t>
      </w:r>
      <w:r w:rsidR="00AD4F31">
        <w:rPr>
          <w:rFonts w:ascii="Times New Roman" w:eastAsia="Times New Roman" w:hAnsi="Times New Roman" w:cs="Times New Roman"/>
        </w:rPr>
        <w:tab/>
      </w:r>
      <w:r w:rsidRPr="00894215">
        <w:rPr>
          <w:rFonts w:ascii="Times New Roman" w:eastAsia="Times New Roman" w:hAnsi="Times New Roman" w:cs="Times New Roman"/>
        </w:rPr>
        <w:t xml:space="preserve">io non so cosa vi aspettate da Taylor Swift. È una </w:t>
      </w:r>
      <w:r w:rsidRPr="00894215">
        <w:rPr>
          <w:rFonts w:ascii="Times New Roman" w:eastAsia="Times New Roman" w:hAnsi="Times New Roman" w:cs="Times New Roman"/>
          <w:u w:val="single"/>
        </w:rPr>
        <w:t>miliardaria</w:t>
      </w:r>
      <w:r w:rsidRPr="00894215">
        <w:rPr>
          <w:rFonts w:ascii="Times New Roman" w:eastAsia="Times New Roman" w:hAnsi="Times New Roman" w:cs="Times New Roman"/>
        </w:rPr>
        <w:t xml:space="preserve"> </w:t>
      </w:r>
      <w:r w:rsidRPr="00894215">
        <w:rPr>
          <w:rFonts w:ascii="Times New Roman" w:eastAsia="Times New Roman" w:hAnsi="Times New Roman" w:cs="Times New Roman"/>
          <w:u w:val="single"/>
        </w:rPr>
        <w:t>bianca</w:t>
      </w:r>
      <w:r w:rsidRPr="00894215">
        <w:rPr>
          <w:rFonts w:ascii="Times New Roman" w:eastAsia="Times New Roman" w:hAnsi="Times New Roman" w:cs="Times New Roman"/>
        </w:rPr>
        <w:t xml:space="preserve">, </w:t>
      </w:r>
      <w:r w:rsidRPr="00894215">
        <w:rPr>
          <w:rFonts w:ascii="Times New Roman" w:eastAsia="Times New Roman" w:hAnsi="Times New Roman" w:cs="Times New Roman"/>
          <w:u w:val="single"/>
        </w:rPr>
        <w:t>bella</w:t>
      </w:r>
      <w:r w:rsidRPr="00894215">
        <w:rPr>
          <w:rFonts w:ascii="Times New Roman" w:eastAsia="Times New Roman" w:hAnsi="Times New Roman" w:cs="Times New Roman"/>
        </w:rPr>
        <w:t xml:space="preserve"> ed </w:t>
      </w:r>
      <w:r w:rsidRPr="00894215">
        <w:rPr>
          <w:rFonts w:ascii="Times New Roman" w:eastAsia="Times New Roman" w:hAnsi="Times New Roman" w:cs="Times New Roman"/>
          <w:u w:val="single"/>
        </w:rPr>
        <w:t>eterosessuale</w:t>
      </w:r>
      <w:r w:rsidRPr="00894215">
        <w:rPr>
          <w:rFonts w:ascii="Times New Roman" w:eastAsia="Times New Roman" w:hAnsi="Times New Roman" w:cs="Times New Roman"/>
        </w:rPr>
        <w:t xml:space="preserve"> che usa jet privati con la stessa frequenza con cui noi guidiamo la macchina. Non è mai stata la “</w:t>
      </w:r>
      <w:r w:rsidRPr="00894215">
        <w:rPr>
          <w:rFonts w:ascii="Times New Roman" w:eastAsia="Times New Roman" w:hAnsi="Times New Roman" w:cs="Times New Roman"/>
          <w:i/>
          <w:iCs/>
        </w:rPr>
        <w:t>girls girl</w:t>
      </w:r>
      <w:r w:rsidRPr="00894215">
        <w:rPr>
          <w:rFonts w:ascii="Times New Roman" w:eastAsia="Times New Roman" w:hAnsi="Times New Roman" w:cs="Times New Roman"/>
        </w:rPr>
        <w:t xml:space="preserve">” che credete che sia. È stato un vostro errore idealizzarla. </w:t>
      </w:r>
      <w:r>
        <w:rPr>
          <w:rFonts w:ascii="Times New Roman" w:eastAsia="Times New Roman" w:hAnsi="Times New Roman" w:cs="Times New Roman"/>
        </w:rPr>
        <w:t>(</w:t>
      </w:r>
      <w:r w:rsidRPr="00894215">
        <w:rPr>
          <w:rFonts w:ascii="Times New Roman" w:hAnsi="Times New Roman" w:cs="Times New Roman"/>
          <w:color w:val="000000"/>
        </w:rPr>
        <w:t>@killublck</w:t>
      </w:r>
      <w:r>
        <w:rPr>
          <w:rFonts w:ascii="Times New Roman" w:hAnsi="Times New Roman" w:cs="Times New Roman"/>
          <w:color w:val="000000"/>
        </w:rPr>
        <w:t>, 04/12/23)</w:t>
      </w:r>
    </w:p>
    <w:p w14:paraId="598EF6F8" w14:textId="77777777" w:rsidR="00894215" w:rsidRDefault="00894215">
      <w:pPr>
        <w:jc w:val="both"/>
        <w:rPr>
          <w:rFonts w:ascii="Times New Roman" w:eastAsia="Times New Roman" w:hAnsi="Times New Roman" w:cs="Times New Roman"/>
        </w:rPr>
      </w:pPr>
    </w:p>
    <w:p w14:paraId="0F678D78" w14:textId="4D37BE01" w:rsidR="00F55305" w:rsidRDefault="00F55305">
      <w:pPr>
        <w:jc w:val="both"/>
        <w:rPr>
          <w:rFonts w:ascii="Times New Roman" w:eastAsia="Times New Roman" w:hAnsi="Times New Roman" w:cs="Times New Roman"/>
        </w:rPr>
      </w:pPr>
      <w:r w:rsidRPr="00F55305">
        <w:rPr>
          <w:rFonts w:ascii="Times New Roman" w:eastAsia="Times New Roman" w:hAnsi="Times New Roman" w:cs="Times New Roman"/>
        </w:rPr>
        <w:t>Ciononostante, il discorso adotta i termini dell'ideologia maschilista e ne preserva</w:t>
      </w:r>
      <w:r w:rsidR="00894215">
        <w:rPr>
          <w:rFonts w:ascii="Times New Roman" w:eastAsia="Times New Roman" w:hAnsi="Times New Roman" w:cs="Times New Roman"/>
        </w:rPr>
        <w:t xml:space="preserve"> </w:t>
      </w:r>
      <w:r w:rsidRPr="00F55305">
        <w:rPr>
          <w:rFonts w:ascii="Times New Roman" w:eastAsia="Times New Roman" w:hAnsi="Times New Roman" w:cs="Times New Roman"/>
        </w:rPr>
        <w:t>la struttura ideologica.</w:t>
      </w:r>
      <w:r>
        <w:rPr>
          <w:rFonts w:ascii="Times New Roman" w:eastAsia="Times New Roman" w:hAnsi="Times New Roman" w:cs="Times New Roman"/>
        </w:rPr>
        <w:t xml:space="preserve"> Gli/le utenti costruiscono, tramite l’uso, due identità antitetiche, </w:t>
      </w:r>
      <w:proofErr w:type="gramStart"/>
      <w:r>
        <w:rPr>
          <w:rFonts w:ascii="Times New Roman" w:eastAsia="Times New Roman" w:hAnsi="Times New Roman" w:cs="Times New Roman"/>
        </w:rPr>
        <w:t xml:space="preserve">la </w:t>
      </w:r>
      <w:r>
        <w:rPr>
          <w:rFonts w:ascii="Times New Roman" w:eastAsia="Times New Roman" w:hAnsi="Times New Roman" w:cs="Times New Roman"/>
          <w:i/>
        </w:rPr>
        <w:t>girls</w:t>
      </w:r>
      <w:proofErr w:type="gramEnd"/>
      <w:r>
        <w:rPr>
          <w:rFonts w:ascii="Times New Roman" w:eastAsia="Times New Roman" w:hAnsi="Times New Roman" w:cs="Times New Roman"/>
          <w:i/>
        </w:rPr>
        <w:t>’ girl</w:t>
      </w:r>
      <w:r>
        <w:rPr>
          <w:rFonts w:ascii="Times New Roman" w:eastAsia="Times New Roman" w:hAnsi="Times New Roman" w:cs="Times New Roman"/>
        </w:rPr>
        <w:t xml:space="preserve"> e il suo opposto, per narrare l’esperienza femminile quotidiana (Willis, 2009) e articolarla in quadri valoriali. </w:t>
      </w:r>
      <w:r w:rsidR="00894215">
        <w:rPr>
          <w:rFonts w:ascii="Times New Roman" w:eastAsia="Times New Roman" w:hAnsi="Times New Roman" w:cs="Times New Roman"/>
        </w:rPr>
        <w:t>Come si è accennato per</w:t>
      </w:r>
      <w:r>
        <w:rPr>
          <w:rFonts w:ascii="Times New Roman" w:eastAsia="Times New Roman" w:hAnsi="Times New Roman" w:cs="Times New Roman"/>
        </w:rPr>
        <w:t xml:space="preserve"> </w:t>
      </w:r>
      <w:r w:rsidR="00894215"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</w:rPr>
        <w:t xml:space="preserve"> figura della</w:t>
      </w:r>
      <w:r>
        <w:rPr>
          <w:rFonts w:ascii="Times New Roman" w:eastAsia="Times New Roman" w:hAnsi="Times New Roman" w:cs="Times New Roman"/>
          <w:i/>
        </w:rPr>
        <w:t xml:space="preserve"> girls’ girl</w:t>
      </w:r>
      <w:r w:rsidR="00894215">
        <w:rPr>
          <w:rFonts w:ascii="Times New Roman" w:eastAsia="Times New Roman" w:hAnsi="Times New Roman" w:cs="Times New Roman"/>
          <w:i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894215">
        <w:rPr>
          <w:rFonts w:ascii="Times New Roman" w:eastAsia="Times New Roman" w:hAnsi="Times New Roman" w:cs="Times New Roman"/>
        </w:rPr>
        <w:t xml:space="preserve">partendo dall’analisi delle occorrenze delle espressioni con </w:t>
      </w:r>
      <w:r w:rsidR="00894215">
        <w:rPr>
          <w:rFonts w:ascii="Times New Roman" w:eastAsia="Times New Roman" w:hAnsi="Times New Roman" w:cs="Times New Roman"/>
          <w:i/>
          <w:iCs/>
        </w:rPr>
        <w:t>girl</w:t>
      </w:r>
      <w:r w:rsidR="00894215">
        <w:rPr>
          <w:rFonts w:ascii="Times New Roman" w:eastAsia="Times New Roman" w:hAnsi="Times New Roman" w:cs="Times New Roman"/>
        </w:rPr>
        <w:t xml:space="preserve">, in questo lavoro si analizzano i metodi messi in pratica dalla comunità (per lo più) femminile per </w:t>
      </w:r>
      <w:r w:rsidR="00476754">
        <w:rPr>
          <w:rFonts w:ascii="Times New Roman" w:eastAsia="Times New Roman" w:hAnsi="Times New Roman" w:cs="Times New Roman"/>
        </w:rPr>
        <w:t xml:space="preserve">la manifestazione di </w:t>
      </w:r>
      <w:r>
        <w:rPr>
          <w:rFonts w:ascii="Times New Roman" w:eastAsia="Times New Roman" w:hAnsi="Times New Roman" w:cs="Times New Roman"/>
        </w:rPr>
        <w:t xml:space="preserve">un discorso di resistenza passiva che, nonostante si proponga come critica sociale al sessismo, ne accetta implicitamente l’impostazione strutturale. </w:t>
      </w:r>
    </w:p>
    <w:p w14:paraId="1302925A" w14:textId="77777777" w:rsidR="000675CD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Riferimenti</w:t>
      </w:r>
    </w:p>
    <w:p w14:paraId="64B54C87" w14:textId="77777777" w:rsidR="000675C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@crisalide__ (post su X del 25/09/23), disponibile al link: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https://x.com/crisalide__/status/1706387972759671238?s=20</w:t>
        </w:r>
      </w:hyperlink>
    </w:p>
    <w:p w14:paraId="744E0498" w14:textId="77777777" w:rsidR="00894215" w:rsidRDefault="0089421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ED11C4" w14:textId="5DCB6368" w:rsidR="00894215" w:rsidRPr="00C32E46" w:rsidRDefault="0089421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C32E46">
        <w:rPr>
          <w:rFonts w:ascii="Times New Roman" w:eastAsia="Times New Roman" w:hAnsi="Times New Roman" w:cs="Times New Roman"/>
          <w:sz w:val="20"/>
          <w:szCs w:val="20"/>
        </w:rPr>
        <w:t xml:space="preserve">@killublck (post su X del 04/12/23), </w:t>
      </w:r>
      <w:proofErr w:type="spellStart"/>
      <w:r w:rsidRPr="00C32E46">
        <w:rPr>
          <w:rFonts w:ascii="Times New Roman" w:eastAsia="Times New Roman" w:hAnsi="Times New Roman" w:cs="Times New Roman"/>
          <w:sz w:val="20"/>
          <w:szCs w:val="20"/>
        </w:rPr>
        <w:t>disponible</w:t>
      </w:r>
      <w:proofErr w:type="spellEnd"/>
      <w:r w:rsidRPr="00C32E46">
        <w:rPr>
          <w:rFonts w:ascii="Times New Roman" w:eastAsia="Times New Roman" w:hAnsi="Times New Roman" w:cs="Times New Roman"/>
          <w:sz w:val="20"/>
          <w:szCs w:val="20"/>
        </w:rPr>
        <w:t xml:space="preserve"> al link: https://x.com/killublck/status/1731722699305599247?s=20</w:t>
      </w:r>
    </w:p>
    <w:p w14:paraId="1A45BBF9" w14:textId="77777777" w:rsidR="000675CD" w:rsidRPr="00C32E46" w:rsidRDefault="000675C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00490CA3" w14:textId="77777777" w:rsidR="000675CD" w:rsidRPr="001B4E1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Berger, A. A. (2016).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Applied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discourse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analysis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 xml:space="preserve">Popular culture, </w:t>
      </w:r>
      <w:proofErr w:type="gramStart"/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>media</w:t>
      </w:r>
      <w:proofErr w:type="gramEnd"/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 xml:space="preserve"> and everyday life</w:t>
      </w: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. Palgrave Pivot, San Francisco.</w:t>
      </w:r>
    </w:p>
    <w:p w14:paraId="0D768024" w14:textId="77777777" w:rsidR="000675CD" w:rsidRPr="001B4E17" w:rsidRDefault="000675C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p w14:paraId="161E9E07" w14:textId="77777777" w:rsidR="000675CD" w:rsidRPr="001B4E1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Brown, L.M. (2008). The 'girls' in girls' studies.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>Girlhood Studies</w:t>
      </w: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: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>An Interdisciplinary Journal, 1(1)</w:t>
      </w: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, 1-12. </w:t>
      </w:r>
    </w:p>
    <w:p w14:paraId="2FA13630" w14:textId="77777777" w:rsidR="000675CD" w:rsidRPr="001B4E17" w:rsidRDefault="000675C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p w14:paraId="56A88B96" w14:textId="77777777" w:rsidR="000675C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Fiorentino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, G. (2013). “Wild language” goes web: new writers and old problems in the elaboration of the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writter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 code, in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Miola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, E. (a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cura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 di),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 xml:space="preserve">Languages go Web: Standard and </w:t>
      </w:r>
      <w:proofErr w:type="gramStart"/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>Non Standard</w:t>
      </w:r>
      <w:proofErr w:type="gramEnd"/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 xml:space="preserve"> Languages on the Internet.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Edizioni Dell’Orso, Alessandria, 67-90.</w:t>
      </w:r>
    </w:p>
    <w:p w14:paraId="1AFFD5BB" w14:textId="77777777" w:rsidR="000675CD" w:rsidRDefault="000675C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63B73169" w14:textId="77777777" w:rsidR="000675CD" w:rsidRPr="001B4E17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ID. (2024). L’italiano dei nuovi media,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Ballarè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S., Fiorentini, I. &amp; Miola, E. (a cura di),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Le varietà dell’italiano contemporaneo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Carocci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, Roma, 115-130.</w:t>
      </w:r>
    </w:p>
    <w:p w14:paraId="05EF781E" w14:textId="77777777" w:rsidR="000675CD" w:rsidRPr="001B4E17" w:rsidRDefault="000675CD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p w14:paraId="4EDFCAC0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Foubert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, O. &amp;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Lemmens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, M. (2019). Gender-biased neologisms: the case of man-X.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 xml:space="preserve">Lexis </w:t>
      </w: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[Online], 12. http:// journals.openedition.org/lexis/2453; DOI: 10.4000/lexis.2453</w:t>
      </w:r>
    </w:p>
    <w:p w14:paraId="7A71F5E6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p w14:paraId="00F363B5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Hooks, B. (1984).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>Feminist theory from margin to center</w:t>
      </w: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. South end press, Boston.</w:t>
      </w:r>
    </w:p>
    <w:p w14:paraId="1444C0A4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</w:p>
    <w:p w14:paraId="2C9F1BA9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Ingo, M. K., Krystal, D. M. &amp;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Pratarelli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, M. (2007). Female Intrasexual Competition: Toward an Evolutionary Feminist Theory.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highlight w:val="white"/>
          <w:lang w:val="en-US"/>
        </w:rPr>
        <w:t>Theory and Science 9(1)</w:t>
      </w:r>
      <w:r w:rsidRPr="001B4E17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.</w:t>
      </w:r>
    </w:p>
    <w:p w14:paraId="6EF4FDB1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B568F2" w14:textId="77777777" w:rsidR="000675CD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Kailich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F. (2022). The Introduction of English-Induced Neologisms in Spanish Tweets: A Case-Study on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covidiota</w:t>
      </w:r>
      <w:proofErr w:type="spellEnd"/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Front.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Commun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7:780340.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10.3389/fcomm.2022.780340 </w:t>
      </w:r>
    </w:p>
    <w:p w14:paraId="1587F4E4" w14:textId="77777777" w:rsidR="000675CD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CA94AA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Masini, F., Mauri, C. &amp;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Pietrandrea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P. (2018). 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List constructions: Towards a unified account.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Italian Journal of Linguistics 30(1),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49-94. </w:t>
      </w:r>
      <w:hyperlink r:id="rId9">
        <w:r w:rsidRPr="001B4E17"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>doi.org/10.26346/1120-2726-116</w:t>
        </w:r>
      </w:hyperlink>
    </w:p>
    <w:p w14:paraId="45B5FC53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9DC953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Masini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F. &amp; 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Acrodia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G. F. (2018). Listing between lexicon and syntax: Focus on frame-naming lists.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Italian Journal of Linguistics 30(1),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135-171. </w:t>
      </w:r>
      <w:hyperlink r:id="rId10">
        <w:r w:rsidRPr="001B4E17"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>doi.org/10.26346/1120-2726-118</w:t>
        </w:r>
      </w:hyperlink>
    </w:p>
    <w:p w14:paraId="4D4178CD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EDF0F2"/>
          <w:lang w:val="en-US"/>
        </w:rPr>
      </w:pPr>
    </w:p>
    <w:p w14:paraId="63C42FDB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lang w:val="en-US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Mitchell, C., &amp; Reid-Walsh, J. (2010). Girls Seen and Heard</w:t>
      </w:r>
      <w:proofErr w:type="gram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: .</w:t>
      </w:r>
      <w:proofErr w:type="gram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Girlhood Studies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3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(2), 1-10. </w:t>
      </w:r>
      <w:hyperlink r:id="rId11">
        <w:r w:rsidRPr="001B4E17"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>https://doi.org/10.3167/ghs.2010.030201</w:t>
        </w:r>
      </w:hyperlink>
    </w:p>
    <w:p w14:paraId="786CC729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21719A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Muñoz-</w:t>
      </w: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Basols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J. &amp; Salazar, D. (2016). Cross-Linguistic Lexical Influence between English and Spanish.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Spanish in Context 13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.1: 80-102. Doi: 10.1075/sic.13.1.04mun.</w:t>
      </w:r>
    </w:p>
    <w:p w14:paraId="1E0FBE3F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022B30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Singh, A.R. (2015). Semiotic analysis of tweets: A study of #Nirbhaya, #Delhigangrape.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Annual International Conference on Journalism &amp; Mass Communications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DOI: </w:t>
      </w:r>
      <w:hyperlink r:id="rId12">
        <w:r w:rsidRPr="001B4E17"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>10.5176/2301-3710_JMComm15.35</w:t>
        </w:r>
      </w:hyperlink>
    </w:p>
    <w:p w14:paraId="373FB06C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5FECDD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Stepanyan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A. (2019). English neologisms as indicators of social changes. </w:t>
      </w:r>
      <w:hyperlink r:id="rId13">
        <w:r w:rsidRPr="001B4E17">
          <w:rPr>
            <w:rFonts w:ascii="Times New Roman" w:eastAsia="Times New Roman" w:hAnsi="Times New Roman" w:cs="Times New Roman"/>
            <w:i/>
            <w:sz w:val="20"/>
            <w:szCs w:val="20"/>
            <w:lang w:val="en-US"/>
          </w:rPr>
          <w:t>Foreign Languages in Higher Education</w:t>
        </w:r>
      </w:hyperlink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, 23(1).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hyperlink r:id="rId14">
        <w:r w:rsidRPr="001B4E17"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>https://doi.org/10.46991/FLHE/2019.23.1.033</w:t>
        </w:r>
      </w:hyperlink>
    </w:p>
    <w:p w14:paraId="780E94A7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69B79D" w14:textId="77777777" w:rsidR="000675CD" w:rsidRPr="001B4E17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Szymańska</w:t>
      </w:r>
      <w:proofErr w:type="spell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M. (2023). Gendered Neologisms Beyond Social Media: </w:t>
      </w:r>
      <w:proofErr w:type="gramStart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>the</w:t>
      </w:r>
      <w:proofErr w:type="gramEnd"/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Current Use of "Mansplaining".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Research in Language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1B4E17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20</w:t>
      </w: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(3), 259–276. </w:t>
      </w:r>
      <w:hyperlink r:id="rId15">
        <w:r w:rsidRPr="001B4E17">
          <w:rPr>
            <w:rFonts w:ascii="Times New Roman" w:eastAsia="Times New Roman" w:hAnsi="Times New Roman" w:cs="Times New Roman"/>
            <w:sz w:val="20"/>
            <w:szCs w:val="20"/>
            <w:lang w:val="en-US"/>
          </w:rPr>
          <w:t>https://doi.org/10.18778/1731-7533.20.3.03</w:t>
        </w:r>
      </w:hyperlink>
    </w:p>
    <w:p w14:paraId="0CB5E013" w14:textId="77777777" w:rsidR="000675CD" w:rsidRPr="001B4E17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61EACE" w14:textId="77777777" w:rsidR="000675CD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4E1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Willis, J.L. (2009). Girls Reconstructing Gender: Agency, Hybridity and Transformations of 'Femininity'.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Girlhood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Studies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(2), 96-118. </w:t>
      </w:r>
      <w:hyperlink r:id="rId16">
        <w:r>
          <w:rPr>
            <w:rFonts w:ascii="Times New Roman" w:eastAsia="Times New Roman" w:hAnsi="Times New Roman" w:cs="Times New Roman"/>
            <w:sz w:val="20"/>
            <w:szCs w:val="20"/>
          </w:rPr>
          <w:t>https://doi.org/10.3167/ghs.2009.020207</w:t>
        </w:r>
      </w:hyperlink>
    </w:p>
    <w:p w14:paraId="1F79B9A1" w14:textId="77777777" w:rsidR="000675CD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D31255" w14:textId="77777777" w:rsidR="000675CD" w:rsidRDefault="000675C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0675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59C3" w14:textId="77777777" w:rsidR="00DF4EE2" w:rsidRDefault="00DF4EE2" w:rsidP="001B4E17">
      <w:pPr>
        <w:spacing w:line="240" w:lineRule="auto"/>
      </w:pPr>
      <w:r>
        <w:separator/>
      </w:r>
    </w:p>
  </w:endnote>
  <w:endnote w:type="continuationSeparator" w:id="0">
    <w:p w14:paraId="7A048C0E" w14:textId="77777777" w:rsidR="00DF4EE2" w:rsidRDefault="00DF4EE2" w:rsidP="001B4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3B63" w14:textId="77777777" w:rsidR="00DF4EE2" w:rsidRDefault="00DF4EE2" w:rsidP="001B4E17">
      <w:pPr>
        <w:spacing w:line="240" w:lineRule="auto"/>
      </w:pPr>
      <w:r>
        <w:separator/>
      </w:r>
    </w:p>
  </w:footnote>
  <w:footnote w:type="continuationSeparator" w:id="0">
    <w:p w14:paraId="5AD3D2D1" w14:textId="77777777" w:rsidR="00DF4EE2" w:rsidRDefault="00DF4EE2" w:rsidP="001B4E17">
      <w:pPr>
        <w:spacing w:line="240" w:lineRule="auto"/>
      </w:pPr>
      <w:r>
        <w:continuationSeparator/>
      </w:r>
    </w:p>
  </w:footnote>
  <w:footnote w:id="1">
    <w:p w14:paraId="6E99BC77" w14:textId="7BCD1847" w:rsidR="001B4E17" w:rsidRPr="001B4E17" w:rsidRDefault="001B4E17">
      <w:pPr>
        <w:pStyle w:val="Testonotaapidipagina"/>
        <w:rPr>
          <w:rFonts w:ascii="Times New Roman" w:hAnsi="Times New Roman" w:cs="Times New Roman"/>
          <w:lang w:val="it-IT"/>
        </w:rPr>
      </w:pPr>
      <w:r w:rsidRPr="001B4E17">
        <w:rPr>
          <w:rStyle w:val="Rimandonotaapidipagina"/>
          <w:rFonts w:ascii="Times New Roman" w:hAnsi="Times New Roman" w:cs="Times New Roman"/>
        </w:rPr>
        <w:footnoteRef/>
      </w:r>
      <w:r w:rsidRPr="001B4E17">
        <w:rPr>
          <w:rFonts w:ascii="Times New Roman" w:hAnsi="Times New Roman" w:cs="Times New Roman"/>
        </w:rPr>
        <w:t xml:space="preserve"> </w:t>
      </w:r>
      <w:r w:rsidRPr="001B4E17">
        <w:rPr>
          <w:rFonts w:ascii="Times New Roman" w:hAnsi="Times New Roman" w:cs="Times New Roman"/>
          <w:lang w:val="it-IT"/>
        </w:rPr>
        <w:t>L’autrice si fa citare in minuscolo.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CD"/>
    <w:rsid w:val="000675CD"/>
    <w:rsid w:val="001B4E17"/>
    <w:rsid w:val="001D654B"/>
    <w:rsid w:val="00290A5A"/>
    <w:rsid w:val="00476754"/>
    <w:rsid w:val="00863A53"/>
    <w:rsid w:val="00894215"/>
    <w:rsid w:val="00AD4F31"/>
    <w:rsid w:val="00BA28DD"/>
    <w:rsid w:val="00C32E46"/>
    <w:rsid w:val="00DA0C8B"/>
    <w:rsid w:val="00DF4EE2"/>
    <w:rsid w:val="00F5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0491"/>
  <w15:docId w15:val="{7428F921-C8BD-8245-B9BF-A9BC5C9D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B4E17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B4E1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B4E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crisalide__/status/1706387972759671238?s=20" TargetMode="External"/><Relationship Id="rId13" Type="http://schemas.openxmlformats.org/officeDocument/2006/relationships/hyperlink" Target="https://journals.ysu.am/index.php/foreign-lang/inde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5176/2301-3710_JMComm15.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3167/ghs.2009.02020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3167/ghs.2010.0302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778/1731-7533.20.3.03" TargetMode="External"/><Relationship Id="rId10" Type="http://schemas.openxmlformats.org/officeDocument/2006/relationships/hyperlink" Target="https://dx.doi.org/10.26346/1120-2726-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6346/1120-2726-116" TargetMode="External"/><Relationship Id="rId14" Type="http://schemas.openxmlformats.org/officeDocument/2006/relationships/hyperlink" Target="https://doi.org/10.46991/FLHE/2019.23.1.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1C51BD-7F01-5947-A346-D7A08FCF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Troncone</dc:creator>
  <cp:keywords/>
  <dc:description/>
  <cp:lastModifiedBy>Luisa Troncone</cp:lastModifiedBy>
  <cp:revision>1</cp:revision>
  <dcterms:created xsi:type="dcterms:W3CDTF">2024-03-30T14:03:00Z</dcterms:created>
  <dcterms:modified xsi:type="dcterms:W3CDTF">2024-04-11T16:16:00Z</dcterms:modified>
</cp:coreProperties>
</file>