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10"/>
        <w:ind w:left="0"/>
        <w:rPr>
          <w:sz w:val="26"/>
        </w:rPr>
      </w:pPr>
    </w:p>
    <w:p>
      <w:pPr>
        <w:pStyle w:val="BodyText"/>
        <w:tabs>
          <w:tab w:pos="691" w:val="left" w:leader="none"/>
        </w:tabs>
        <w:spacing w:before="0"/>
        <w:ind w:left="357"/>
      </w:pPr>
      <w:r>
        <w:rPr>
          <w:rFonts w:ascii="Arial"/>
          <w:w w:val="105"/>
          <w:sz w:val="12"/>
        </w:rPr>
        <w:t>1</w:t>
        <w:tab/>
      </w:r>
      <w:r>
        <w:rPr>
          <w:w w:val="105"/>
        </w:rPr>
        <w:t>Does</w:t>
      </w:r>
      <w:r>
        <w:rPr>
          <w:spacing w:val="13"/>
          <w:w w:val="105"/>
        </w:rPr>
        <w:t> </w:t>
      </w:r>
      <w:r>
        <w:rPr>
          <w:w w:val="105"/>
        </w:rPr>
        <w:t>inhibitory</w:t>
      </w:r>
      <w:r>
        <w:rPr>
          <w:spacing w:val="14"/>
          <w:w w:val="105"/>
        </w:rPr>
        <w:t> </w:t>
      </w:r>
      <w:r>
        <w:rPr>
          <w:w w:val="105"/>
        </w:rPr>
        <w:t>control</w:t>
      </w:r>
      <w:r>
        <w:rPr>
          <w:spacing w:val="13"/>
          <w:w w:val="105"/>
        </w:rPr>
        <w:t> </w:t>
      </w:r>
      <w:r>
        <w:rPr>
          <w:w w:val="105"/>
        </w:rPr>
        <w:t>training</w:t>
      </w:r>
      <w:r>
        <w:rPr>
          <w:spacing w:val="13"/>
          <w:w w:val="105"/>
        </w:rPr>
        <w:t> </w:t>
      </w:r>
      <w:r>
        <w:rPr>
          <w:spacing w:val="-4"/>
          <w:w w:val="105"/>
        </w:rPr>
        <w:t>have</w:t>
      </w:r>
      <w:r>
        <w:rPr>
          <w:spacing w:val="14"/>
          <w:w w:val="105"/>
        </w:rPr>
        <w:t> </w:t>
      </w:r>
      <w:r>
        <w:rPr>
          <w:w w:val="105"/>
        </w:rPr>
        <w:t>an</w:t>
      </w:r>
      <w:r>
        <w:rPr>
          <w:spacing w:val="13"/>
          <w:w w:val="105"/>
        </w:rPr>
        <w:t> </w:t>
      </w:r>
      <w:r>
        <w:rPr>
          <w:w w:val="105"/>
        </w:rPr>
        <w:t>indirect</w:t>
      </w:r>
      <w:r>
        <w:rPr>
          <w:spacing w:val="14"/>
          <w:w w:val="105"/>
        </w:rPr>
        <w:t> </w:t>
      </w:r>
      <w:r>
        <w:rPr>
          <w:w w:val="105"/>
        </w:rPr>
        <w:t>effect</w:t>
      </w:r>
      <w:r>
        <w:rPr>
          <w:spacing w:val="14"/>
          <w:w w:val="105"/>
        </w:rPr>
        <w:t> </w:t>
      </w:r>
      <w:r>
        <w:rPr>
          <w:w w:val="105"/>
        </w:rPr>
        <w:t>on</w:t>
      </w:r>
      <w:r>
        <w:rPr>
          <w:spacing w:val="13"/>
          <w:w w:val="105"/>
        </w:rPr>
        <w:t> </w:t>
      </w:r>
      <w:r>
        <w:rPr>
          <w:w w:val="105"/>
        </w:rPr>
        <w:t>automatic</w:t>
      </w:r>
      <w:r>
        <w:rPr>
          <w:spacing w:val="14"/>
          <w:w w:val="105"/>
        </w:rPr>
        <w:t> </w:t>
      </w:r>
      <w:r>
        <w:rPr>
          <w:w w:val="105"/>
        </w:rPr>
        <w:t>action</w:t>
      </w:r>
      <w:r>
        <w:rPr>
          <w:spacing w:val="14"/>
          <w:w w:val="105"/>
        </w:rPr>
        <w:t> </w:t>
      </w:r>
      <w:r>
        <w:rPr>
          <w:w w:val="105"/>
        </w:rPr>
        <w:t>tendencies</w:t>
      </w:r>
      <w:r>
        <w:rPr>
          <w:spacing w:val="13"/>
          <w:w w:val="105"/>
        </w:rPr>
        <w:t> </w:t>
      </w:r>
      <w:r>
        <w:rPr>
          <w:w w:val="105"/>
        </w:rPr>
        <w:t>for</w:t>
      </w:r>
    </w:p>
    <w:p>
      <w:pPr>
        <w:pStyle w:val="BodyText"/>
        <w:tabs>
          <w:tab w:pos="4438" w:val="left" w:leader="none"/>
        </w:tabs>
        <w:ind w:left="357"/>
      </w:pPr>
      <w:r>
        <w:rPr>
          <w:rFonts w:ascii="Arial"/>
          <w:sz w:val="12"/>
        </w:rPr>
        <w:t>2</w:t>
        <w:tab/>
      </w:r>
      <w:r>
        <w:rPr/>
        <w:t>unhealthy</w:t>
      </w:r>
      <w:r>
        <w:rPr>
          <w:spacing w:val="18"/>
        </w:rPr>
        <w:t> </w:t>
      </w:r>
      <w:r>
        <w:rPr/>
        <w:t>foods?</w:t>
      </w:r>
    </w:p>
    <w:p>
      <w:pPr>
        <w:pStyle w:val="BodyText"/>
        <w:spacing w:before="0"/>
        <w:ind w:left="0"/>
        <w:rPr>
          <w:sz w:val="20"/>
        </w:rPr>
      </w:pPr>
    </w:p>
    <w:p>
      <w:pPr>
        <w:pStyle w:val="BodyText"/>
        <w:spacing w:before="3"/>
        <w:ind w:left="0"/>
        <w:rPr>
          <w:sz w:val="16"/>
        </w:rPr>
      </w:pPr>
    </w:p>
    <w:p>
      <w:pPr>
        <w:pStyle w:val="BodyText"/>
        <w:tabs>
          <w:tab w:pos="817" w:val="left" w:leader="none"/>
        </w:tabs>
        <w:spacing w:before="130"/>
        <w:ind w:left="357"/>
      </w:pPr>
      <w:r>
        <w:rPr>
          <w:rFonts w:ascii="Arial"/>
          <w:w w:val="105"/>
          <w:sz w:val="12"/>
        </w:rPr>
        <w:t>3</w:t>
        <w:tab/>
      </w:r>
      <w:r>
        <w:rPr>
          <w:w w:val="105"/>
        </w:rPr>
        <w:t>Loukia </w:t>
      </w:r>
      <w:r>
        <w:rPr>
          <w:spacing w:val="-3"/>
          <w:w w:val="105"/>
        </w:rPr>
        <w:t>Tzavella</w:t>
      </w:r>
      <w:r>
        <w:rPr>
          <w:spacing w:val="-3"/>
          <w:w w:val="105"/>
          <w:position w:val="9"/>
          <w:sz w:val="16"/>
        </w:rPr>
        <w:t>1</w:t>
      </w:r>
      <w:r>
        <w:rPr>
          <w:spacing w:val="-3"/>
          <w:w w:val="105"/>
        </w:rPr>
        <w:t>,  </w:t>
      </w:r>
      <w:r>
        <w:rPr>
          <w:w w:val="105"/>
        </w:rPr>
        <w:t>Christopher  D. Chambers</w:t>
      </w:r>
      <w:r>
        <w:rPr>
          <w:w w:val="105"/>
          <w:position w:val="9"/>
          <w:sz w:val="16"/>
        </w:rPr>
        <w:t>1</w:t>
      </w:r>
      <w:r>
        <w:rPr>
          <w:w w:val="105"/>
        </w:rPr>
        <w:t>, Natalia  Lawrence</w:t>
      </w:r>
      <w:r>
        <w:rPr>
          <w:w w:val="105"/>
          <w:position w:val="9"/>
          <w:sz w:val="16"/>
        </w:rPr>
        <w:t>2</w:t>
      </w:r>
      <w:r>
        <w:rPr>
          <w:w w:val="105"/>
        </w:rPr>
        <w:t>, Katherine  S.</w:t>
      </w:r>
      <w:r>
        <w:rPr>
          <w:spacing w:val="-35"/>
          <w:w w:val="105"/>
        </w:rPr>
        <w:t> </w:t>
      </w:r>
      <w:r>
        <w:rPr>
          <w:w w:val="105"/>
        </w:rPr>
        <w:t>Button</w:t>
      </w:r>
      <w:r>
        <w:rPr>
          <w:w w:val="105"/>
          <w:position w:val="9"/>
          <w:sz w:val="16"/>
        </w:rPr>
        <w:t>3</w:t>
      </w:r>
      <w:r>
        <w:rPr>
          <w:w w:val="105"/>
        </w:rPr>
        <w:t>,</w:t>
      </w:r>
    </w:p>
    <w:p>
      <w:pPr>
        <w:pStyle w:val="BodyText"/>
        <w:tabs>
          <w:tab w:pos="892" w:val="left" w:leader="none"/>
        </w:tabs>
        <w:spacing w:before="187"/>
        <w:ind w:left="357"/>
      </w:pPr>
      <w:r>
        <w:rPr>
          <w:rFonts w:ascii="Arial"/>
          <w:w w:val="105"/>
          <w:sz w:val="12"/>
        </w:rPr>
        <w:t>4</w:t>
        <w:tab/>
      </w:r>
      <w:r>
        <w:rPr>
          <w:w w:val="105"/>
        </w:rPr>
        <w:t>Elizabeth</w:t>
      </w:r>
      <w:r>
        <w:rPr>
          <w:spacing w:val="17"/>
          <w:w w:val="105"/>
        </w:rPr>
        <w:t> </w:t>
      </w:r>
      <w:r>
        <w:rPr>
          <w:w w:val="105"/>
        </w:rPr>
        <w:t>Hart</w:t>
      </w:r>
      <w:r>
        <w:rPr>
          <w:w w:val="105"/>
          <w:position w:val="9"/>
          <w:sz w:val="16"/>
        </w:rPr>
        <w:t>4</w:t>
      </w:r>
      <w:r>
        <w:rPr>
          <w:w w:val="105"/>
        </w:rPr>
        <w:t>,</w:t>
      </w:r>
      <w:r>
        <w:rPr>
          <w:spacing w:val="17"/>
          <w:w w:val="105"/>
        </w:rPr>
        <w:t> </w:t>
      </w:r>
      <w:r>
        <w:rPr>
          <w:w w:val="105"/>
        </w:rPr>
        <w:t>Natalie</w:t>
      </w:r>
      <w:r>
        <w:rPr>
          <w:spacing w:val="18"/>
          <w:w w:val="105"/>
        </w:rPr>
        <w:t> </w:t>
      </w:r>
      <w:r>
        <w:rPr>
          <w:w w:val="105"/>
        </w:rPr>
        <w:t>Holmes</w:t>
      </w:r>
      <w:r>
        <w:rPr>
          <w:w w:val="105"/>
          <w:position w:val="9"/>
          <w:sz w:val="16"/>
        </w:rPr>
        <w:t>4</w:t>
      </w:r>
      <w:r>
        <w:rPr>
          <w:w w:val="105"/>
        </w:rPr>
        <w:t>,</w:t>
      </w:r>
      <w:r>
        <w:rPr>
          <w:spacing w:val="17"/>
          <w:w w:val="105"/>
        </w:rPr>
        <w:t> </w:t>
      </w:r>
      <w:r>
        <w:rPr>
          <w:w w:val="105"/>
        </w:rPr>
        <w:t>Kimberley</w:t>
      </w:r>
      <w:r>
        <w:rPr>
          <w:spacing w:val="18"/>
          <w:w w:val="105"/>
        </w:rPr>
        <w:t> </w:t>
      </w:r>
      <w:r>
        <w:rPr>
          <w:w w:val="105"/>
        </w:rPr>
        <w:t>Houghton</w:t>
      </w:r>
      <w:r>
        <w:rPr>
          <w:w w:val="105"/>
          <w:position w:val="9"/>
          <w:sz w:val="16"/>
        </w:rPr>
        <w:t>4</w:t>
      </w:r>
      <w:r>
        <w:rPr>
          <w:w w:val="105"/>
        </w:rPr>
        <w:t>,</w:t>
      </w:r>
      <w:r>
        <w:rPr>
          <w:spacing w:val="17"/>
          <w:w w:val="105"/>
        </w:rPr>
        <w:t> </w:t>
      </w:r>
      <w:r>
        <w:rPr>
          <w:w w:val="105"/>
        </w:rPr>
        <w:t>Nina</w:t>
      </w:r>
      <w:r>
        <w:rPr>
          <w:spacing w:val="18"/>
          <w:w w:val="105"/>
        </w:rPr>
        <w:t> </w:t>
      </w:r>
      <w:r>
        <w:rPr>
          <w:w w:val="105"/>
        </w:rPr>
        <w:t>Badkar</w:t>
      </w:r>
      <w:r>
        <w:rPr>
          <w:w w:val="105"/>
          <w:position w:val="9"/>
          <w:sz w:val="16"/>
        </w:rPr>
        <w:t>2</w:t>
      </w:r>
      <w:r>
        <w:rPr>
          <w:w w:val="105"/>
        </w:rPr>
        <w:t>,</w:t>
      </w:r>
      <w:r>
        <w:rPr>
          <w:spacing w:val="17"/>
          <w:w w:val="105"/>
        </w:rPr>
        <w:t> </w:t>
      </w:r>
      <w:r>
        <w:rPr>
          <w:w w:val="105"/>
        </w:rPr>
        <w:t>Ellie</w:t>
      </w:r>
      <w:r>
        <w:rPr>
          <w:spacing w:val="18"/>
          <w:w w:val="105"/>
        </w:rPr>
        <w:t> </w:t>
      </w:r>
      <w:r>
        <w:rPr>
          <w:w w:val="105"/>
        </w:rPr>
        <w:t>Macey</w:t>
      </w:r>
      <w:r>
        <w:rPr>
          <w:w w:val="105"/>
          <w:position w:val="9"/>
          <w:sz w:val="16"/>
        </w:rPr>
        <w:t>2</w:t>
      </w:r>
      <w:r>
        <w:rPr>
          <w:w w:val="105"/>
        </w:rPr>
        <w:t>,</w:t>
      </w:r>
    </w:p>
    <w:p>
      <w:pPr>
        <w:pStyle w:val="BodyText"/>
        <w:tabs>
          <w:tab w:pos="2134" w:val="left" w:leader="none"/>
        </w:tabs>
        <w:spacing w:before="187"/>
        <w:ind w:left="357"/>
        <w:rPr>
          <w:sz w:val="16"/>
        </w:rPr>
      </w:pPr>
      <w:r>
        <w:rPr>
          <w:rFonts w:ascii="Arial"/>
          <w:w w:val="105"/>
          <w:sz w:val="12"/>
        </w:rPr>
        <w:t>5</w:t>
        <w:tab/>
      </w:r>
      <w:r>
        <w:rPr>
          <w:spacing w:val="-3"/>
          <w:w w:val="105"/>
        </w:rPr>
        <w:t>Amy-Jayne </w:t>
      </w:r>
      <w:r>
        <w:rPr>
          <w:w w:val="105"/>
        </w:rPr>
        <w:t>Braggins</w:t>
      </w:r>
      <w:r>
        <w:rPr>
          <w:w w:val="105"/>
          <w:position w:val="9"/>
          <w:sz w:val="16"/>
        </w:rPr>
        <w:t>3</w:t>
      </w:r>
      <w:r>
        <w:rPr>
          <w:w w:val="105"/>
        </w:rPr>
        <w:t>, </w:t>
      </w:r>
      <w:r>
        <w:rPr>
          <w:spacing w:val="-4"/>
          <w:w w:val="105"/>
        </w:rPr>
        <w:t>Felicity </w:t>
      </w:r>
      <w:r>
        <w:rPr>
          <w:w w:val="105"/>
        </w:rPr>
        <w:t>Murray</w:t>
      </w:r>
      <w:r>
        <w:rPr>
          <w:w w:val="105"/>
          <w:position w:val="9"/>
          <w:sz w:val="16"/>
        </w:rPr>
        <w:t>2</w:t>
      </w:r>
      <w:r>
        <w:rPr>
          <w:w w:val="105"/>
        </w:rPr>
        <w:t>, &amp; Rachel C.</w:t>
      </w:r>
      <w:r>
        <w:rPr>
          <w:spacing w:val="48"/>
          <w:w w:val="105"/>
        </w:rPr>
        <w:t> </w:t>
      </w:r>
      <w:r>
        <w:rPr>
          <w:w w:val="105"/>
        </w:rPr>
        <w:t>Adams</w:t>
      </w:r>
      <w:r>
        <w:rPr>
          <w:w w:val="105"/>
          <w:position w:val="9"/>
          <w:sz w:val="16"/>
        </w:rPr>
        <w:t>1</w:t>
      </w:r>
    </w:p>
    <w:p>
      <w:pPr>
        <w:pStyle w:val="BodyText"/>
        <w:spacing w:before="6"/>
        <w:ind w:left="0"/>
        <w:rPr>
          <w:sz w:val="29"/>
        </w:rPr>
      </w:pPr>
    </w:p>
    <w:p>
      <w:pPr>
        <w:pStyle w:val="BodyText"/>
        <w:tabs>
          <w:tab w:pos="1775" w:val="left" w:leader="none"/>
        </w:tabs>
        <w:spacing w:before="130"/>
        <w:ind w:left="357"/>
      </w:pPr>
      <w:r>
        <w:rPr>
          <w:rFonts w:ascii="Arial"/>
          <w:w w:val="105"/>
          <w:sz w:val="12"/>
        </w:rPr>
        <w:t>6</w:t>
        <w:tab/>
      </w:r>
      <w:r>
        <w:rPr>
          <w:w w:val="105"/>
          <w:position w:val="9"/>
          <w:sz w:val="16"/>
        </w:rPr>
        <w:t>1 </w:t>
      </w:r>
      <w:r>
        <w:rPr>
          <w:w w:val="105"/>
        </w:rPr>
        <w:t>Cardiff</w:t>
      </w:r>
      <w:r>
        <w:rPr>
          <w:spacing w:val="13"/>
          <w:w w:val="105"/>
        </w:rPr>
        <w:t> </w:t>
      </w:r>
      <w:r>
        <w:rPr>
          <w:w w:val="105"/>
        </w:rPr>
        <w:t>University</w:t>
      </w:r>
      <w:r>
        <w:rPr>
          <w:spacing w:val="11"/>
          <w:w w:val="105"/>
        </w:rPr>
        <w:t> </w:t>
      </w:r>
      <w:r>
        <w:rPr>
          <w:w w:val="105"/>
        </w:rPr>
        <w:t>Brain</w:t>
      </w:r>
      <w:r>
        <w:rPr>
          <w:spacing w:val="12"/>
          <w:w w:val="105"/>
        </w:rPr>
        <w:t> </w:t>
      </w:r>
      <w:r>
        <w:rPr>
          <w:w w:val="105"/>
        </w:rPr>
        <w:t>Research</w:t>
      </w:r>
      <w:r>
        <w:rPr>
          <w:spacing w:val="12"/>
          <w:w w:val="105"/>
        </w:rPr>
        <w:t> </w:t>
      </w:r>
      <w:r>
        <w:rPr>
          <w:w w:val="105"/>
        </w:rPr>
        <w:t>Imaging</w:t>
      </w:r>
      <w:r>
        <w:rPr>
          <w:spacing w:val="12"/>
          <w:w w:val="105"/>
        </w:rPr>
        <w:t> </w:t>
      </w:r>
      <w:r>
        <w:rPr>
          <w:w w:val="105"/>
        </w:rPr>
        <w:t>Centre,</w:t>
      </w:r>
      <w:r>
        <w:rPr>
          <w:spacing w:val="12"/>
          <w:w w:val="105"/>
        </w:rPr>
        <w:t> </w:t>
      </w:r>
      <w:r>
        <w:rPr>
          <w:w w:val="105"/>
        </w:rPr>
        <w:t>CF24</w:t>
      </w:r>
      <w:r>
        <w:rPr>
          <w:spacing w:val="12"/>
          <w:w w:val="105"/>
        </w:rPr>
        <w:t> </w:t>
      </w:r>
      <w:r>
        <w:rPr>
          <w:w w:val="105"/>
        </w:rPr>
        <w:t>4HQ,</w:t>
      </w:r>
      <w:r>
        <w:rPr>
          <w:spacing w:val="12"/>
          <w:w w:val="105"/>
        </w:rPr>
        <w:t> </w:t>
      </w:r>
      <w:r>
        <w:rPr>
          <w:w w:val="105"/>
        </w:rPr>
        <w:t>UK</w:t>
      </w:r>
    </w:p>
    <w:p>
      <w:pPr>
        <w:pStyle w:val="BodyText"/>
        <w:tabs>
          <w:tab w:pos="2219" w:val="left" w:leader="none"/>
        </w:tabs>
        <w:spacing w:before="187"/>
        <w:ind w:left="357"/>
      </w:pPr>
      <w:r>
        <w:rPr>
          <w:rFonts w:ascii="Arial"/>
          <w:w w:val="105"/>
          <w:sz w:val="12"/>
        </w:rPr>
        <w:t>7</w:t>
        <w:tab/>
      </w:r>
      <w:r>
        <w:rPr>
          <w:w w:val="105"/>
          <w:position w:val="9"/>
          <w:sz w:val="16"/>
        </w:rPr>
        <w:t>2</w:t>
      </w:r>
      <w:r>
        <w:rPr>
          <w:spacing w:val="41"/>
          <w:w w:val="105"/>
          <w:position w:val="9"/>
          <w:sz w:val="16"/>
        </w:rPr>
        <w:t> </w:t>
      </w:r>
      <w:r>
        <w:rPr>
          <w:w w:val="105"/>
        </w:rPr>
        <w:t>School</w:t>
      </w:r>
      <w:r>
        <w:rPr>
          <w:spacing w:val="11"/>
          <w:w w:val="105"/>
        </w:rPr>
        <w:t> </w:t>
      </w:r>
      <w:r>
        <w:rPr>
          <w:w w:val="105"/>
        </w:rPr>
        <w:t>of</w:t>
      </w:r>
      <w:r>
        <w:rPr>
          <w:spacing w:val="11"/>
          <w:w w:val="105"/>
        </w:rPr>
        <w:t> </w:t>
      </w:r>
      <w:r>
        <w:rPr>
          <w:spacing w:val="-3"/>
          <w:w w:val="105"/>
        </w:rPr>
        <w:t>Psychology,</w:t>
      </w:r>
      <w:r>
        <w:rPr>
          <w:spacing w:val="10"/>
          <w:w w:val="105"/>
        </w:rPr>
        <w:t> </w:t>
      </w:r>
      <w:r>
        <w:rPr>
          <w:w w:val="105"/>
        </w:rPr>
        <w:t>University</w:t>
      </w:r>
      <w:r>
        <w:rPr>
          <w:spacing w:val="11"/>
          <w:w w:val="105"/>
        </w:rPr>
        <w:t> </w:t>
      </w:r>
      <w:r>
        <w:rPr>
          <w:w w:val="105"/>
        </w:rPr>
        <w:t>of</w:t>
      </w:r>
      <w:r>
        <w:rPr>
          <w:spacing w:val="10"/>
          <w:w w:val="105"/>
        </w:rPr>
        <w:t> </w:t>
      </w:r>
      <w:r>
        <w:rPr>
          <w:w w:val="105"/>
        </w:rPr>
        <w:t>Exeter,</w:t>
      </w:r>
      <w:r>
        <w:rPr>
          <w:spacing w:val="11"/>
          <w:w w:val="105"/>
        </w:rPr>
        <w:t> </w:t>
      </w:r>
      <w:r>
        <w:rPr>
          <w:w w:val="105"/>
        </w:rPr>
        <w:t>EX4</w:t>
      </w:r>
      <w:r>
        <w:rPr>
          <w:spacing w:val="11"/>
          <w:w w:val="105"/>
        </w:rPr>
        <w:t> </w:t>
      </w:r>
      <w:r>
        <w:rPr>
          <w:w w:val="105"/>
        </w:rPr>
        <w:t>4QG,</w:t>
      </w:r>
      <w:r>
        <w:rPr>
          <w:spacing w:val="11"/>
          <w:w w:val="105"/>
        </w:rPr>
        <w:t> </w:t>
      </w:r>
      <w:r>
        <w:rPr>
          <w:w w:val="105"/>
        </w:rPr>
        <w:t>UK</w:t>
      </w:r>
    </w:p>
    <w:p>
      <w:pPr>
        <w:pStyle w:val="BodyText"/>
        <w:tabs>
          <w:tab w:pos="2059" w:val="left" w:leader="none"/>
        </w:tabs>
        <w:spacing w:before="187"/>
        <w:ind w:left="357"/>
      </w:pPr>
      <w:r>
        <w:rPr>
          <w:rFonts w:ascii="Arial"/>
          <w:w w:val="105"/>
          <w:sz w:val="12"/>
        </w:rPr>
        <w:t>8</w:t>
        <w:tab/>
      </w:r>
      <w:r>
        <w:rPr>
          <w:w w:val="105"/>
          <w:position w:val="9"/>
          <w:sz w:val="16"/>
        </w:rPr>
        <w:t>3 </w:t>
      </w:r>
      <w:r>
        <w:rPr>
          <w:w w:val="105"/>
        </w:rPr>
        <w:t>Department of </w:t>
      </w:r>
      <w:r>
        <w:rPr>
          <w:spacing w:val="-3"/>
          <w:w w:val="105"/>
        </w:rPr>
        <w:t>Psychology, </w:t>
      </w:r>
      <w:r>
        <w:rPr>
          <w:w w:val="105"/>
        </w:rPr>
        <w:t>University of Bath, BS2</w:t>
      </w:r>
      <w:r>
        <w:rPr>
          <w:spacing w:val="53"/>
          <w:w w:val="105"/>
        </w:rPr>
        <w:t> </w:t>
      </w:r>
      <w:r>
        <w:rPr>
          <w:spacing w:val="-6"/>
          <w:w w:val="105"/>
        </w:rPr>
        <w:t>7AY, </w:t>
      </w:r>
      <w:r>
        <w:rPr>
          <w:w w:val="105"/>
        </w:rPr>
        <w:t>UK</w:t>
      </w:r>
    </w:p>
    <w:p>
      <w:pPr>
        <w:pStyle w:val="BodyText"/>
        <w:tabs>
          <w:tab w:pos="2313" w:val="left" w:leader="none"/>
        </w:tabs>
        <w:spacing w:before="187"/>
        <w:ind w:left="357"/>
      </w:pPr>
      <w:r>
        <w:rPr>
          <w:rFonts w:ascii="Arial"/>
          <w:w w:val="105"/>
          <w:sz w:val="12"/>
        </w:rPr>
        <w:t>9</w:t>
        <w:tab/>
      </w:r>
      <w:r>
        <w:rPr>
          <w:w w:val="105"/>
          <w:position w:val="9"/>
          <w:sz w:val="16"/>
        </w:rPr>
        <w:t>4 </w:t>
      </w:r>
      <w:r>
        <w:rPr>
          <w:w w:val="105"/>
        </w:rPr>
        <w:t>School of </w:t>
      </w:r>
      <w:r>
        <w:rPr>
          <w:spacing w:val="-3"/>
          <w:w w:val="105"/>
        </w:rPr>
        <w:t>Psychology, </w:t>
      </w:r>
      <w:r>
        <w:rPr>
          <w:w w:val="105"/>
        </w:rPr>
        <w:t>Cardiff </w:t>
      </w:r>
      <w:r>
        <w:rPr>
          <w:spacing w:val="-4"/>
          <w:w w:val="105"/>
        </w:rPr>
        <w:t>University, </w:t>
      </w:r>
      <w:r>
        <w:rPr>
          <w:w w:val="105"/>
        </w:rPr>
        <w:t>CF10</w:t>
      </w:r>
      <w:r>
        <w:rPr>
          <w:spacing w:val="40"/>
          <w:w w:val="105"/>
        </w:rPr>
        <w:t> </w:t>
      </w:r>
      <w:r>
        <w:rPr>
          <w:spacing w:val="-6"/>
          <w:w w:val="105"/>
        </w:rPr>
        <w:t>3AT, </w:t>
      </w:r>
      <w:r>
        <w:rPr>
          <w:w w:val="105"/>
        </w:rPr>
        <w:t>UK</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tabs>
          <w:tab w:pos="4652" w:val="left" w:leader="none"/>
        </w:tabs>
        <w:spacing w:before="269"/>
        <w:ind w:left="293" w:right="0" w:firstLine="0"/>
        <w:jc w:val="left"/>
        <w:rPr>
          <w:sz w:val="24"/>
        </w:rPr>
      </w:pPr>
      <w:r>
        <w:rPr>
          <w:rFonts w:ascii="Arial"/>
          <w:w w:val="105"/>
          <w:sz w:val="12"/>
        </w:rPr>
        <w:t>10</w:t>
        <w:tab/>
      </w:r>
      <w:r>
        <w:rPr>
          <w:w w:val="105"/>
          <w:sz w:val="24"/>
        </w:rPr>
        <w:t>Author</w:t>
      </w:r>
      <w:r>
        <w:rPr>
          <w:spacing w:val="14"/>
          <w:w w:val="105"/>
          <w:sz w:val="24"/>
        </w:rPr>
        <w:t> </w:t>
      </w:r>
      <w:r>
        <w:rPr>
          <w:w w:val="105"/>
          <w:sz w:val="24"/>
        </w:rPr>
        <w:t>Note</w:t>
      </w:r>
    </w:p>
    <w:p>
      <w:pPr>
        <w:spacing w:after="0"/>
        <w:jc w:val="left"/>
        <w:rPr>
          <w:sz w:val="24"/>
        </w:rPr>
        <w:sectPr>
          <w:headerReference w:type="default" r:id="rId5"/>
          <w:type w:val="continuous"/>
          <w:pgSz w:w="12240" w:h="15840"/>
          <w:pgMar w:header="649" w:top="1320" w:bottom="280" w:left="820" w:right="1140"/>
          <w:pgNumType w:start="1"/>
        </w:sectPr>
      </w:pPr>
    </w:p>
    <w:p>
      <w:pPr>
        <w:pStyle w:val="BodyText"/>
        <w:tabs>
          <w:tab w:pos="1195" w:val="left" w:leader="none"/>
        </w:tabs>
        <w:spacing w:before="191"/>
        <w:ind w:left="293"/>
      </w:pPr>
      <w:r>
        <w:rPr>
          <w:rFonts w:ascii="Arial"/>
          <w:w w:val="105"/>
          <w:sz w:val="12"/>
        </w:rPr>
        <w:t>11</w:t>
        <w:tab/>
      </w:r>
      <w:r>
        <w:rPr>
          <w:w w:val="105"/>
        </w:rPr>
        <w:t>The</w:t>
      </w:r>
      <w:r>
        <w:rPr>
          <w:spacing w:val="16"/>
          <w:w w:val="105"/>
        </w:rPr>
        <w:t> </w:t>
      </w:r>
      <w:r>
        <w:rPr>
          <w:w w:val="105"/>
        </w:rPr>
        <w:t>research</w:t>
      </w:r>
      <w:r>
        <w:rPr>
          <w:spacing w:val="15"/>
          <w:w w:val="105"/>
        </w:rPr>
        <w:t> </w:t>
      </w:r>
      <w:r>
        <w:rPr>
          <w:w w:val="105"/>
        </w:rPr>
        <w:t>project</w:t>
      </w:r>
      <w:r>
        <w:rPr>
          <w:spacing w:val="16"/>
          <w:w w:val="105"/>
        </w:rPr>
        <w:t> </w:t>
      </w:r>
      <w:r>
        <w:rPr>
          <w:spacing w:val="-3"/>
          <w:w w:val="105"/>
        </w:rPr>
        <w:t>was</w:t>
      </w:r>
      <w:r>
        <w:rPr>
          <w:spacing w:val="17"/>
          <w:w w:val="105"/>
        </w:rPr>
        <w:t> </w:t>
      </w:r>
      <w:r>
        <w:rPr>
          <w:w w:val="105"/>
        </w:rPr>
        <w:t>conducted</w:t>
      </w:r>
      <w:r>
        <w:rPr>
          <w:spacing w:val="16"/>
          <w:w w:val="105"/>
        </w:rPr>
        <w:t> </w:t>
      </w:r>
      <w:r>
        <w:rPr>
          <w:w w:val="105"/>
        </w:rPr>
        <w:t>as</w:t>
      </w:r>
      <w:r>
        <w:rPr>
          <w:spacing w:val="15"/>
          <w:w w:val="105"/>
        </w:rPr>
        <w:t> </w:t>
      </w:r>
      <w:r>
        <w:rPr>
          <w:w w:val="105"/>
        </w:rPr>
        <w:t>part</w:t>
      </w:r>
      <w:r>
        <w:rPr>
          <w:spacing w:val="17"/>
          <w:w w:val="105"/>
        </w:rPr>
        <w:t> </w:t>
      </w:r>
      <w:r>
        <w:rPr>
          <w:w w:val="105"/>
        </w:rPr>
        <w:t>of</w:t>
      </w:r>
      <w:r>
        <w:rPr>
          <w:spacing w:val="15"/>
          <w:w w:val="105"/>
        </w:rPr>
        <w:t> </w:t>
      </w:r>
      <w:r>
        <w:rPr>
          <w:w w:val="105"/>
        </w:rPr>
        <w:t>the</w:t>
      </w:r>
      <w:r>
        <w:rPr>
          <w:spacing w:val="15"/>
          <w:w w:val="105"/>
        </w:rPr>
        <w:t> </w:t>
      </w:r>
      <w:r>
        <w:rPr>
          <w:w w:val="105"/>
        </w:rPr>
        <w:t>GW4</w:t>
      </w:r>
      <w:r>
        <w:rPr>
          <w:spacing w:val="16"/>
          <w:w w:val="105"/>
        </w:rPr>
        <w:t> </w:t>
      </w:r>
      <w:r>
        <w:rPr>
          <w:w w:val="105"/>
        </w:rPr>
        <w:t>Undergraduate</w:t>
      </w:r>
      <w:r>
        <w:rPr>
          <w:spacing w:val="15"/>
          <w:w w:val="105"/>
        </w:rPr>
        <w:t> </w:t>
      </w:r>
      <w:r>
        <w:rPr>
          <w:w w:val="105"/>
        </w:rPr>
        <w:t>Psychology</w:t>
      </w:r>
    </w:p>
    <w:p>
      <w:pPr>
        <w:pStyle w:val="BodyText"/>
        <w:ind w:left="293"/>
      </w:pPr>
      <w:r>
        <w:rPr>
          <w:rFonts w:ascii="Arial"/>
          <w:w w:val="105"/>
          <w:sz w:val="12"/>
        </w:rPr>
        <w:t>12 </w:t>
      </w:r>
      <w:r>
        <w:rPr>
          <w:w w:val="105"/>
        </w:rPr>
        <w:t>Consortium 2017/2018 and was partially supported by the European Research Council</w:t>
      </w:r>
    </w:p>
    <w:p>
      <w:pPr>
        <w:pStyle w:val="BodyText"/>
        <w:spacing w:before="203"/>
        <w:ind w:left="293"/>
      </w:pPr>
      <w:r>
        <w:rPr>
          <w:rFonts w:ascii="Arial"/>
          <w:sz w:val="12"/>
        </w:rPr>
        <w:t>13 </w:t>
      </w:r>
      <w:r>
        <w:rPr/>
        <w:t>(Consolidator 647893; C.D.C.). We also gratefully acknowledge Teaching Development</w:t>
      </w:r>
    </w:p>
    <w:p>
      <w:pPr>
        <w:pStyle w:val="BodyText"/>
        <w:ind w:left="293"/>
      </w:pPr>
      <w:r>
        <w:rPr>
          <w:rFonts w:ascii="Arial"/>
          <w:w w:val="105"/>
          <w:sz w:val="12"/>
        </w:rPr>
        <w:t>14 </w:t>
      </w:r>
      <w:r>
        <w:rPr>
          <w:w w:val="105"/>
        </w:rPr>
        <w:t>Funding, from the faculty of Humanities and Social Sciences at the University of Bath for</w:t>
      </w:r>
    </w:p>
    <w:p>
      <w:pPr>
        <w:pStyle w:val="BodyText"/>
        <w:ind w:left="293"/>
      </w:pPr>
      <w:r>
        <w:rPr>
          <w:rFonts w:ascii="Arial"/>
          <w:w w:val="105"/>
          <w:sz w:val="12"/>
        </w:rPr>
        <w:t>15 </w:t>
      </w:r>
      <w:r>
        <w:rPr>
          <w:w w:val="105"/>
        </w:rPr>
        <w:t>funding travel and room hire costs for the consortium meetings.</w:t>
      </w:r>
    </w:p>
    <w:p>
      <w:pPr>
        <w:pStyle w:val="BodyText"/>
        <w:spacing w:before="8"/>
        <w:ind w:left="0"/>
        <w:rPr>
          <w:sz w:val="25"/>
        </w:rPr>
      </w:pPr>
    </w:p>
    <w:p>
      <w:pPr>
        <w:pStyle w:val="BodyText"/>
        <w:tabs>
          <w:tab w:pos="1195" w:val="left" w:leader="none"/>
        </w:tabs>
        <w:spacing w:before="146"/>
        <w:ind w:left="293"/>
      </w:pPr>
      <w:r>
        <w:rPr>
          <w:rFonts w:ascii="Arial"/>
          <w:sz w:val="12"/>
        </w:rPr>
        <w:t>16</w:t>
        <w:tab/>
      </w:r>
      <w:r>
        <w:rPr/>
        <w:t>Correspondence</w:t>
      </w:r>
      <w:r>
        <w:rPr>
          <w:spacing w:val="30"/>
        </w:rPr>
        <w:t> </w:t>
      </w:r>
      <w:r>
        <w:rPr/>
        <w:t>concerning</w:t>
      </w:r>
      <w:r>
        <w:rPr>
          <w:spacing w:val="30"/>
        </w:rPr>
        <w:t> </w:t>
      </w:r>
      <w:r>
        <w:rPr/>
        <w:t>this</w:t>
      </w:r>
      <w:r>
        <w:rPr>
          <w:spacing w:val="29"/>
        </w:rPr>
        <w:t> </w:t>
      </w:r>
      <w:r>
        <w:rPr/>
        <w:t>article</w:t>
      </w:r>
      <w:r>
        <w:rPr>
          <w:spacing w:val="29"/>
        </w:rPr>
        <w:t> </w:t>
      </w:r>
      <w:r>
        <w:rPr/>
        <w:t>should</w:t>
      </w:r>
      <w:r>
        <w:rPr>
          <w:spacing w:val="30"/>
        </w:rPr>
        <w:t> </w:t>
      </w:r>
      <w:r>
        <w:rPr>
          <w:spacing w:val="3"/>
        </w:rPr>
        <w:t>be</w:t>
      </w:r>
      <w:r>
        <w:rPr>
          <w:spacing w:val="31"/>
        </w:rPr>
        <w:t> </w:t>
      </w:r>
      <w:r>
        <w:rPr/>
        <w:t>addressed</w:t>
      </w:r>
      <w:r>
        <w:rPr>
          <w:spacing w:val="29"/>
        </w:rPr>
        <w:t> </w:t>
      </w:r>
      <w:r>
        <w:rPr/>
        <w:t>to</w:t>
      </w:r>
      <w:r>
        <w:rPr>
          <w:spacing w:val="29"/>
        </w:rPr>
        <w:t> </w:t>
      </w:r>
      <w:r>
        <w:rPr/>
        <w:t>Loukia</w:t>
      </w:r>
      <w:r>
        <w:rPr>
          <w:spacing w:val="29"/>
        </w:rPr>
        <w:t> </w:t>
      </w:r>
      <w:r>
        <w:rPr>
          <w:spacing w:val="-4"/>
        </w:rPr>
        <w:t>Tzavella,</w:t>
      </w:r>
      <w:r>
        <w:rPr>
          <w:spacing w:val="30"/>
        </w:rPr>
        <w:t> </w:t>
      </w:r>
      <w:r>
        <w:rPr/>
        <w:t>Cardiff</w:t>
      </w:r>
    </w:p>
    <w:p>
      <w:pPr>
        <w:pStyle w:val="BodyText"/>
        <w:ind w:left="293"/>
      </w:pPr>
      <w:r>
        <w:rPr>
          <w:rFonts w:ascii="Arial"/>
          <w:sz w:val="12"/>
        </w:rPr>
        <w:t>17 </w:t>
      </w:r>
      <w:r>
        <w:rPr/>
        <w:t>University Brain Research Imaging Centre, CF24 4HQ, UK. E-mail:</w:t>
      </w:r>
      <w:r>
        <w:rPr>
          <w:spacing w:val="56"/>
        </w:rPr>
        <w:t> </w:t>
      </w:r>
      <w:hyperlink r:id="rId7">
        <w:r>
          <w:rPr/>
          <w:t>tzavellal@cardiff.ac.uk</w:t>
        </w:r>
      </w:hyperlink>
    </w:p>
    <w:p>
      <w:pPr>
        <w:spacing w:after="0"/>
        <w:sectPr>
          <w:headerReference w:type="default" r:id="rId6"/>
          <w:pgSz w:w="12240" w:h="15840"/>
          <w:pgMar w:header="649" w:footer="0" w:top="1320" w:bottom="280" w:left="820" w:right="1140"/>
          <w:pgNumType w:start="2"/>
        </w:sectPr>
      </w:pPr>
    </w:p>
    <w:p>
      <w:pPr>
        <w:pStyle w:val="BodyText"/>
        <w:tabs>
          <w:tab w:pos="691" w:val="left" w:leader="none"/>
        </w:tabs>
        <w:spacing w:before="191"/>
        <w:ind w:left="293"/>
      </w:pPr>
      <w:r>
        <w:rPr>
          <w:rFonts w:ascii="Arial"/>
          <w:w w:val="105"/>
          <w:sz w:val="12"/>
        </w:rPr>
        <w:t>18</w:t>
        <w:tab/>
      </w:r>
      <w:bookmarkStart w:name="Does inhibitory control training have an" w:id="1"/>
      <w:bookmarkEnd w:id="1"/>
      <w:r>
        <w:rPr>
          <w:rFonts w:ascii="Arial"/>
          <w:w w:val="105"/>
          <w:sz w:val="12"/>
        </w:rPr>
      </w:r>
      <w:r>
        <w:rPr>
          <w:w w:val="105"/>
        </w:rPr>
        <w:t>Does</w:t>
      </w:r>
      <w:r>
        <w:rPr>
          <w:spacing w:val="13"/>
          <w:w w:val="105"/>
        </w:rPr>
        <w:t> </w:t>
      </w:r>
      <w:r>
        <w:rPr>
          <w:w w:val="105"/>
        </w:rPr>
        <w:t>inhibitory</w:t>
      </w:r>
      <w:r>
        <w:rPr>
          <w:spacing w:val="14"/>
          <w:w w:val="105"/>
        </w:rPr>
        <w:t> </w:t>
      </w:r>
      <w:r>
        <w:rPr>
          <w:w w:val="105"/>
        </w:rPr>
        <w:t>control</w:t>
      </w:r>
      <w:r>
        <w:rPr>
          <w:spacing w:val="13"/>
          <w:w w:val="105"/>
        </w:rPr>
        <w:t> </w:t>
      </w:r>
      <w:r>
        <w:rPr>
          <w:w w:val="105"/>
        </w:rPr>
        <w:t>training</w:t>
      </w:r>
      <w:r>
        <w:rPr>
          <w:spacing w:val="13"/>
          <w:w w:val="105"/>
        </w:rPr>
        <w:t> </w:t>
      </w:r>
      <w:r>
        <w:rPr>
          <w:spacing w:val="-4"/>
          <w:w w:val="105"/>
        </w:rPr>
        <w:t>have</w:t>
      </w:r>
      <w:r>
        <w:rPr>
          <w:spacing w:val="14"/>
          <w:w w:val="105"/>
        </w:rPr>
        <w:t> </w:t>
      </w:r>
      <w:r>
        <w:rPr>
          <w:w w:val="105"/>
        </w:rPr>
        <w:t>an</w:t>
      </w:r>
      <w:r>
        <w:rPr>
          <w:spacing w:val="13"/>
          <w:w w:val="105"/>
        </w:rPr>
        <w:t> </w:t>
      </w:r>
      <w:r>
        <w:rPr>
          <w:w w:val="105"/>
        </w:rPr>
        <w:t>indirect</w:t>
      </w:r>
      <w:r>
        <w:rPr>
          <w:spacing w:val="14"/>
          <w:w w:val="105"/>
        </w:rPr>
        <w:t> </w:t>
      </w:r>
      <w:r>
        <w:rPr>
          <w:w w:val="105"/>
        </w:rPr>
        <w:t>effect</w:t>
      </w:r>
      <w:r>
        <w:rPr>
          <w:spacing w:val="14"/>
          <w:w w:val="105"/>
        </w:rPr>
        <w:t> </w:t>
      </w:r>
      <w:r>
        <w:rPr>
          <w:w w:val="105"/>
        </w:rPr>
        <w:t>on</w:t>
      </w:r>
      <w:r>
        <w:rPr>
          <w:spacing w:val="13"/>
          <w:w w:val="105"/>
        </w:rPr>
        <w:t> </w:t>
      </w:r>
      <w:r>
        <w:rPr>
          <w:w w:val="105"/>
        </w:rPr>
        <w:t>automatic</w:t>
      </w:r>
      <w:r>
        <w:rPr>
          <w:spacing w:val="14"/>
          <w:w w:val="105"/>
        </w:rPr>
        <w:t> </w:t>
      </w:r>
      <w:r>
        <w:rPr>
          <w:w w:val="105"/>
        </w:rPr>
        <w:t>action</w:t>
      </w:r>
      <w:r>
        <w:rPr>
          <w:spacing w:val="14"/>
          <w:w w:val="105"/>
        </w:rPr>
        <w:t> </w:t>
      </w:r>
      <w:r>
        <w:rPr>
          <w:w w:val="105"/>
        </w:rPr>
        <w:t>tendencies</w:t>
      </w:r>
      <w:r>
        <w:rPr>
          <w:spacing w:val="13"/>
          <w:w w:val="105"/>
        </w:rPr>
        <w:t> </w:t>
      </w:r>
      <w:r>
        <w:rPr>
          <w:w w:val="105"/>
        </w:rPr>
        <w:t>for</w:t>
      </w:r>
    </w:p>
    <w:p>
      <w:pPr>
        <w:pStyle w:val="BodyText"/>
        <w:tabs>
          <w:tab w:pos="4438" w:val="left" w:leader="none"/>
        </w:tabs>
        <w:ind w:left="293"/>
      </w:pPr>
      <w:r>
        <w:rPr>
          <w:rFonts w:ascii="Arial"/>
          <w:sz w:val="12"/>
        </w:rPr>
        <w:t>19</w:t>
        <w:tab/>
      </w:r>
      <w:r>
        <w:rPr/>
        <w:t>unhealthy</w:t>
      </w:r>
      <w:r>
        <w:rPr>
          <w:spacing w:val="18"/>
        </w:rPr>
        <w:t> </w:t>
      </w:r>
      <w:r>
        <w:rPr/>
        <w:t>foods?</w:t>
      </w:r>
    </w:p>
    <w:p>
      <w:pPr>
        <w:pStyle w:val="BodyText"/>
        <w:spacing w:before="0"/>
        <w:ind w:left="0"/>
        <w:rPr>
          <w:sz w:val="20"/>
        </w:rPr>
      </w:pPr>
    </w:p>
    <w:p>
      <w:pPr>
        <w:pStyle w:val="BodyText"/>
        <w:spacing w:before="11"/>
        <w:ind w:left="0"/>
        <w:rPr>
          <w:sz w:val="26"/>
        </w:rPr>
      </w:pPr>
    </w:p>
    <w:p>
      <w:pPr>
        <w:pStyle w:val="Heading1"/>
        <w:tabs>
          <w:tab w:pos="4559" w:val="left" w:leader="none"/>
        </w:tabs>
        <w:ind w:left="293"/>
      </w:pPr>
      <w:r>
        <w:rPr>
          <w:rFonts w:ascii="Arial"/>
          <w:b w:val="0"/>
          <w:w w:val="110"/>
          <w:sz w:val="12"/>
        </w:rPr>
        <w:t>20</w:t>
        <w:tab/>
      </w:r>
      <w:bookmarkStart w:name="Introduction" w:id="2"/>
      <w:bookmarkEnd w:id="2"/>
      <w:r>
        <w:rPr>
          <w:rFonts w:ascii="Arial"/>
          <w:b w:val="0"/>
          <w:w w:val="110"/>
          <w:sz w:val="12"/>
        </w:rPr>
      </w:r>
      <w:r>
        <w:rPr>
          <w:w w:val="110"/>
        </w:rPr>
        <w:t>Introduction</w:t>
      </w:r>
    </w:p>
    <w:p>
      <w:pPr>
        <w:pStyle w:val="BodyText"/>
        <w:spacing w:before="0"/>
        <w:ind w:left="0"/>
        <w:rPr>
          <w:b/>
          <w:sz w:val="20"/>
        </w:rPr>
      </w:pPr>
    </w:p>
    <w:p>
      <w:pPr>
        <w:pStyle w:val="BodyText"/>
        <w:spacing w:before="1"/>
        <w:ind w:left="0"/>
        <w:rPr>
          <w:b/>
          <w:sz w:val="27"/>
        </w:rPr>
      </w:pPr>
    </w:p>
    <w:p>
      <w:pPr>
        <w:pStyle w:val="BodyText"/>
        <w:tabs>
          <w:tab w:pos="1195" w:val="left" w:leader="none"/>
        </w:tabs>
        <w:spacing w:before="145"/>
        <w:ind w:left="293"/>
      </w:pPr>
      <w:r>
        <w:rPr>
          <w:rFonts w:ascii="Arial"/>
          <w:w w:val="105"/>
          <w:sz w:val="12"/>
        </w:rPr>
        <w:t>21</w:t>
        <w:tab/>
      </w:r>
      <w:r>
        <w:rPr>
          <w:w w:val="105"/>
        </w:rPr>
        <w:t>The</w:t>
      </w:r>
      <w:r>
        <w:rPr>
          <w:spacing w:val="15"/>
          <w:w w:val="105"/>
        </w:rPr>
        <w:t> </w:t>
      </w:r>
      <w:r>
        <w:rPr>
          <w:w w:val="105"/>
        </w:rPr>
        <w:t>recent</w:t>
      </w:r>
      <w:r>
        <w:rPr>
          <w:spacing w:val="15"/>
          <w:w w:val="105"/>
        </w:rPr>
        <w:t> </w:t>
      </w:r>
      <w:r>
        <w:rPr>
          <w:w w:val="105"/>
        </w:rPr>
        <w:t>rise</w:t>
      </w:r>
      <w:r>
        <w:rPr>
          <w:spacing w:val="16"/>
          <w:w w:val="105"/>
        </w:rPr>
        <w:t> </w:t>
      </w:r>
      <w:r>
        <w:rPr>
          <w:w w:val="105"/>
        </w:rPr>
        <w:t>in</w:t>
      </w:r>
      <w:r>
        <w:rPr>
          <w:spacing w:val="15"/>
          <w:w w:val="105"/>
        </w:rPr>
        <w:t> </w:t>
      </w:r>
      <w:r>
        <w:rPr>
          <w:spacing w:val="-3"/>
          <w:w w:val="105"/>
        </w:rPr>
        <w:t>overweight</w:t>
      </w:r>
      <w:r>
        <w:rPr>
          <w:spacing w:val="15"/>
          <w:w w:val="105"/>
        </w:rPr>
        <w:t> </w:t>
      </w:r>
      <w:r>
        <w:rPr>
          <w:w w:val="105"/>
        </w:rPr>
        <w:t>and</w:t>
      </w:r>
      <w:r>
        <w:rPr>
          <w:spacing w:val="15"/>
          <w:w w:val="105"/>
        </w:rPr>
        <w:t> </w:t>
      </w:r>
      <w:r>
        <w:rPr>
          <w:w w:val="105"/>
        </w:rPr>
        <w:t>obesity</w:t>
      </w:r>
      <w:r>
        <w:rPr>
          <w:spacing w:val="15"/>
          <w:w w:val="105"/>
        </w:rPr>
        <w:t> </w:t>
      </w:r>
      <w:r>
        <w:rPr>
          <w:w w:val="105"/>
        </w:rPr>
        <w:t>rates</w:t>
      </w:r>
      <w:r>
        <w:rPr>
          <w:spacing w:val="15"/>
          <w:w w:val="105"/>
        </w:rPr>
        <w:t> </w:t>
      </w:r>
      <w:r>
        <w:rPr>
          <w:w w:val="105"/>
        </w:rPr>
        <w:t>can</w:t>
      </w:r>
      <w:r>
        <w:rPr>
          <w:spacing w:val="16"/>
          <w:w w:val="105"/>
        </w:rPr>
        <w:t> </w:t>
      </w:r>
      <w:r>
        <w:rPr>
          <w:w w:val="105"/>
        </w:rPr>
        <w:t>primarily</w:t>
      </w:r>
      <w:r>
        <w:rPr>
          <w:spacing w:val="15"/>
          <w:w w:val="105"/>
        </w:rPr>
        <w:t> </w:t>
      </w:r>
      <w:r>
        <w:rPr>
          <w:spacing w:val="3"/>
          <w:w w:val="105"/>
        </w:rPr>
        <w:t>be</w:t>
      </w:r>
      <w:r>
        <w:rPr>
          <w:spacing w:val="15"/>
          <w:w w:val="105"/>
        </w:rPr>
        <w:t> </w:t>
      </w:r>
      <w:r>
        <w:rPr>
          <w:w w:val="105"/>
        </w:rPr>
        <w:t>ascribed</w:t>
      </w:r>
      <w:r>
        <w:rPr>
          <w:spacing w:val="16"/>
          <w:w w:val="105"/>
        </w:rPr>
        <w:t> </w:t>
      </w:r>
      <w:r>
        <w:rPr>
          <w:w w:val="105"/>
        </w:rPr>
        <w:t>to</w:t>
      </w:r>
      <w:r>
        <w:rPr>
          <w:spacing w:val="15"/>
          <w:w w:val="105"/>
        </w:rPr>
        <w:t> </w:t>
      </w:r>
      <w:r>
        <w:rPr>
          <w:w w:val="105"/>
        </w:rPr>
        <w:t>the</w:t>
      </w:r>
    </w:p>
    <w:p>
      <w:pPr>
        <w:pStyle w:val="BodyText"/>
        <w:spacing w:before="203"/>
        <w:ind w:left="293"/>
      </w:pPr>
      <w:r>
        <w:rPr>
          <w:rFonts w:ascii="Arial"/>
          <w:w w:val="105"/>
          <w:sz w:val="12"/>
        </w:rPr>
        <w:t>22    </w:t>
      </w:r>
      <w:r>
        <w:rPr>
          <w:rFonts w:ascii="Arial"/>
          <w:spacing w:val="20"/>
          <w:w w:val="105"/>
          <w:sz w:val="12"/>
        </w:rPr>
        <w:t> </w:t>
      </w:r>
      <w:r>
        <w:rPr>
          <w:w w:val="105"/>
        </w:rPr>
        <w:t>over-consumption</w:t>
      </w:r>
      <w:r>
        <w:rPr>
          <w:spacing w:val="14"/>
          <w:w w:val="105"/>
        </w:rPr>
        <w:t> </w:t>
      </w:r>
      <w:r>
        <w:rPr>
          <w:w w:val="105"/>
        </w:rPr>
        <w:t>of</w:t>
      </w:r>
      <w:r>
        <w:rPr>
          <w:spacing w:val="12"/>
          <w:w w:val="105"/>
        </w:rPr>
        <w:t> </w:t>
      </w:r>
      <w:r>
        <w:rPr>
          <w:w w:val="105"/>
        </w:rPr>
        <w:t>energy-dense</w:t>
      </w:r>
      <w:r>
        <w:rPr>
          <w:spacing w:val="14"/>
          <w:w w:val="105"/>
        </w:rPr>
        <w:t> </w:t>
      </w:r>
      <w:r>
        <w:rPr>
          <w:spacing w:val="2"/>
          <w:w w:val="105"/>
        </w:rPr>
        <w:t>foods</w:t>
      </w:r>
      <w:r>
        <w:rPr>
          <w:spacing w:val="13"/>
          <w:w w:val="105"/>
        </w:rPr>
        <w:t> </w:t>
      </w:r>
      <w:r>
        <w:rPr>
          <w:w w:val="105"/>
        </w:rPr>
        <w:t>that</w:t>
      </w:r>
      <w:r>
        <w:rPr>
          <w:spacing w:val="12"/>
          <w:w w:val="105"/>
        </w:rPr>
        <w:t> </w:t>
      </w:r>
      <w:r>
        <w:rPr>
          <w:w w:val="105"/>
        </w:rPr>
        <w:t>are</w:t>
      </w:r>
      <w:r>
        <w:rPr>
          <w:spacing w:val="14"/>
          <w:w w:val="105"/>
        </w:rPr>
        <w:t> </w:t>
      </w:r>
      <w:r>
        <w:rPr>
          <w:w w:val="105"/>
        </w:rPr>
        <w:t>high</w:t>
      </w:r>
      <w:r>
        <w:rPr>
          <w:spacing w:val="13"/>
          <w:w w:val="105"/>
        </w:rPr>
        <w:t> </w:t>
      </w:r>
      <w:r>
        <w:rPr>
          <w:w w:val="105"/>
        </w:rPr>
        <w:t>in</w:t>
      </w:r>
      <w:r>
        <w:rPr>
          <w:spacing w:val="12"/>
          <w:w w:val="105"/>
        </w:rPr>
        <w:t> </w:t>
      </w:r>
      <w:r>
        <w:rPr>
          <w:w w:val="105"/>
        </w:rPr>
        <w:t>fat,</w:t>
      </w:r>
      <w:r>
        <w:rPr>
          <w:spacing w:val="14"/>
          <w:w w:val="105"/>
        </w:rPr>
        <w:t> </w:t>
      </w:r>
      <w:r>
        <w:rPr>
          <w:w w:val="105"/>
        </w:rPr>
        <w:t>sugar</w:t>
      </w:r>
      <w:r>
        <w:rPr>
          <w:spacing w:val="14"/>
          <w:w w:val="105"/>
        </w:rPr>
        <w:t> </w:t>
      </w:r>
      <w:r>
        <w:rPr>
          <w:w w:val="105"/>
        </w:rPr>
        <w:t>and</w:t>
      </w:r>
      <w:r>
        <w:rPr>
          <w:spacing w:val="12"/>
          <w:w w:val="105"/>
        </w:rPr>
        <w:t> </w:t>
      </w:r>
      <w:r>
        <w:rPr>
          <w:w w:val="105"/>
        </w:rPr>
        <w:t>salt</w:t>
      </w:r>
      <w:r>
        <w:rPr>
          <w:spacing w:val="14"/>
          <w:w w:val="105"/>
        </w:rPr>
        <w:t> </w:t>
      </w:r>
      <w:r>
        <w:rPr>
          <w:spacing w:val="-3"/>
          <w:w w:val="105"/>
        </w:rPr>
        <w:t>content</w:t>
      </w:r>
      <w:r>
        <w:rPr>
          <w:spacing w:val="14"/>
          <w:w w:val="105"/>
        </w:rPr>
        <w:t> </w:t>
      </w:r>
      <w:r>
        <w:rPr>
          <w:w w:val="105"/>
        </w:rPr>
        <w:t>(WHO,</w:t>
      </w:r>
    </w:p>
    <w:p>
      <w:pPr>
        <w:pStyle w:val="BodyText"/>
        <w:ind w:left="293"/>
      </w:pPr>
      <w:r>
        <w:rPr>
          <w:rFonts w:ascii="Arial"/>
          <w:w w:val="105"/>
          <w:sz w:val="12"/>
        </w:rPr>
        <w:t>23     </w:t>
      </w:r>
      <w:r>
        <w:rPr>
          <w:w w:val="105"/>
        </w:rPr>
        <w:t>2018), as individuals are constantly exposed to visual cues of such </w:t>
      </w:r>
      <w:r>
        <w:rPr>
          <w:spacing w:val="2"/>
          <w:w w:val="105"/>
        </w:rPr>
        <w:t>foods </w:t>
      </w:r>
      <w:r>
        <w:rPr>
          <w:w w:val="105"/>
        </w:rPr>
        <w:t>in the</w:t>
      </w:r>
      <w:r>
        <w:rPr>
          <w:spacing w:val="36"/>
          <w:w w:val="105"/>
        </w:rPr>
        <w:t> </w:t>
      </w:r>
      <w:r>
        <w:rPr>
          <w:w w:val="105"/>
        </w:rPr>
        <w:t>environment</w:t>
      </w:r>
    </w:p>
    <w:p>
      <w:pPr>
        <w:pStyle w:val="BodyText"/>
        <w:ind w:left="293"/>
      </w:pPr>
      <w:r>
        <w:rPr>
          <w:rFonts w:ascii="Arial"/>
          <w:w w:val="105"/>
          <w:sz w:val="12"/>
        </w:rPr>
        <w:t>24 </w:t>
      </w:r>
      <w:r>
        <w:rPr>
          <w:w w:val="105"/>
        </w:rPr>
        <w:t>(e.g., through advertisements) and this often leads to increased food intake (Havermans,</w:t>
      </w:r>
    </w:p>
    <w:p>
      <w:pPr>
        <w:pStyle w:val="BodyText"/>
        <w:ind w:left="293"/>
      </w:pPr>
      <w:r>
        <w:rPr>
          <w:rFonts w:ascii="Arial"/>
          <w:sz w:val="12"/>
        </w:rPr>
        <w:t>25     </w:t>
      </w:r>
      <w:r>
        <w:rPr>
          <w:rFonts w:ascii="Arial"/>
          <w:spacing w:val="30"/>
          <w:sz w:val="12"/>
        </w:rPr>
        <w:t> </w:t>
      </w:r>
      <w:r>
        <w:rPr/>
        <w:t>2013). </w:t>
      </w:r>
      <w:r>
        <w:rPr>
          <w:spacing w:val="3"/>
        </w:rPr>
        <w:t> </w:t>
      </w:r>
      <w:r>
        <w:rPr/>
        <w:t>A</w:t>
      </w:r>
      <w:r>
        <w:rPr>
          <w:spacing w:val="31"/>
        </w:rPr>
        <w:t> </w:t>
      </w:r>
      <w:r>
        <w:rPr/>
        <w:t>theoretical</w:t>
      </w:r>
      <w:r>
        <w:rPr>
          <w:spacing w:val="32"/>
        </w:rPr>
        <w:t> </w:t>
      </w:r>
      <w:r>
        <w:rPr/>
        <w:t>explanation</w:t>
      </w:r>
      <w:r>
        <w:rPr>
          <w:spacing w:val="32"/>
        </w:rPr>
        <w:t> </w:t>
      </w:r>
      <w:r>
        <w:rPr/>
        <w:t>for</w:t>
      </w:r>
      <w:r>
        <w:rPr>
          <w:spacing w:val="32"/>
        </w:rPr>
        <w:t> </w:t>
      </w:r>
      <w:r>
        <w:rPr/>
        <w:t>this</w:t>
      </w:r>
      <w:r>
        <w:rPr>
          <w:spacing w:val="32"/>
        </w:rPr>
        <w:t> </w:t>
      </w:r>
      <w:r>
        <w:rPr/>
        <w:t>phenomenon</w:t>
      </w:r>
      <w:r>
        <w:rPr>
          <w:spacing w:val="32"/>
        </w:rPr>
        <w:t> </w:t>
      </w:r>
      <w:r>
        <w:rPr/>
        <w:t>has</w:t>
      </w:r>
      <w:r>
        <w:rPr>
          <w:spacing w:val="31"/>
        </w:rPr>
        <w:t> </w:t>
      </w:r>
      <w:r>
        <w:rPr/>
        <w:t>been</w:t>
      </w:r>
      <w:r>
        <w:rPr>
          <w:spacing w:val="32"/>
        </w:rPr>
        <w:t> </w:t>
      </w:r>
      <w:r>
        <w:rPr/>
        <w:t>provided</w:t>
      </w:r>
      <w:r>
        <w:rPr>
          <w:spacing w:val="32"/>
        </w:rPr>
        <w:t> </w:t>
      </w:r>
      <w:r>
        <w:rPr>
          <w:spacing w:val="-4"/>
        </w:rPr>
        <w:t>by</w:t>
      </w:r>
      <w:r>
        <w:rPr>
          <w:spacing w:val="32"/>
        </w:rPr>
        <w:t> </w:t>
      </w:r>
      <w:r>
        <w:rPr/>
        <w:t>the</w:t>
      </w:r>
      <w:r>
        <w:rPr>
          <w:spacing w:val="32"/>
        </w:rPr>
        <w:t> </w:t>
      </w:r>
      <w:r>
        <w:rPr/>
        <w:t>dual-process</w:t>
      </w:r>
    </w:p>
    <w:p>
      <w:pPr>
        <w:pStyle w:val="BodyText"/>
        <w:ind w:left="293"/>
      </w:pPr>
      <w:r>
        <w:rPr>
          <w:rFonts w:ascii="Arial"/>
          <w:sz w:val="12"/>
        </w:rPr>
        <w:t>26      </w:t>
      </w:r>
      <w:r>
        <w:rPr>
          <w:rFonts w:ascii="Arial"/>
          <w:spacing w:val="24"/>
          <w:sz w:val="12"/>
        </w:rPr>
        <w:t> </w:t>
      </w:r>
      <w:r>
        <w:rPr/>
        <w:t>model</w:t>
      </w:r>
      <w:r>
        <w:rPr>
          <w:spacing w:val="41"/>
        </w:rPr>
        <w:t> </w:t>
      </w:r>
      <w:r>
        <w:rPr/>
        <w:t>frameworks</w:t>
      </w:r>
      <w:r>
        <w:rPr>
          <w:spacing w:val="40"/>
        </w:rPr>
        <w:t> </w:t>
      </w:r>
      <w:r>
        <w:rPr/>
        <w:t>which</w:t>
      </w:r>
      <w:r>
        <w:rPr>
          <w:spacing w:val="41"/>
        </w:rPr>
        <w:t> </w:t>
      </w:r>
      <w:r>
        <w:rPr/>
        <w:t>posit</w:t>
      </w:r>
      <w:r>
        <w:rPr>
          <w:spacing w:val="39"/>
        </w:rPr>
        <w:t> </w:t>
      </w:r>
      <w:r>
        <w:rPr/>
        <w:t>that</w:t>
      </w:r>
      <w:r>
        <w:rPr>
          <w:spacing w:val="40"/>
        </w:rPr>
        <w:t> </w:t>
      </w:r>
      <w:r>
        <w:rPr/>
        <w:t>behaviour</w:t>
      </w:r>
      <w:r>
        <w:rPr>
          <w:spacing w:val="40"/>
        </w:rPr>
        <w:t> </w:t>
      </w:r>
      <w:r>
        <w:rPr/>
        <w:t>is</w:t>
      </w:r>
      <w:r>
        <w:rPr>
          <w:spacing w:val="41"/>
        </w:rPr>
        <w:t> </w:t>
      </w:r>
      <w:r>
        <w:rPr/>
        <w:t>determined</w:t>
      </w:r>
      <w:r>
        <w:rPr>
          <w:spacing w:val="41"/>
        </w:rPr>
        <w:t> </w:t>
      </w:r>
      <w:r>
        <w:rPr>
          <w:spacing w:val="-4"/>
        </w:rPr>
        <w:t>by</w:t>
      </w:r>
      <w:r>
        <w:rPr>
          <w:spacing w:val="40"/>
        </w:rPr>
        <w:t> </w:t>
      </w:r>
      <w:r>
        <w:rPr/>
        <w:t>the</w:t>
      </w:r>
      <w:r>
        <w:rPr>
          <w:spacing w:val="39"/>
        </w:rPr>
        <w:t> </w:t>
      </w:r>
      <w:r>
        <w:rPr/>
        <w:t>interaction</w:t>
      </w:r>
      <w:r>
        <w:rPr>
          <w:spacing w:val="40"/>
        </w:rPr>
        <w:t> </w:t>
      </w:r>
      <w:r>
        <w:rPr/>
        <w:t>of</w:t>
      </w:r>
      <w:r>
        <w:rPr>
          <w:spacing w:val="40"/>
        </w:rPr>
        <w:t> </w:t>
      </w:r>
      <w:r>
        <w:rPr/>
        <w:t>impulsive</w:t>
      </w:r>
    </w:p>
    <w:p>
      <w:pPr>
        <w:spacing w:before="203"/>
        <w:ind w:left="293" w:right="0" w:firstLine="0"/>
        <w:jc w:val="left"/>
        <w:rPr>
          <w:sz w:val="24"/>
        </w:rPr>
      </w:pPr>
      <w:r>
        <w:rPr>
          <w:rFonts w:ascii="Arial"/>
          <w:w w:val="105"/>
          <w:sz w:val="12"/>
        </w:rPr>
        <w:t>27    </w:t>
      </w:r>
      <w:r>
        <w:rPr>
          <w:w w:val="105"/>
          <w:sz w:val="24"/>
        </w:rPr>
        <w:t>(</w:t>
      </w:r>
      <w:r>
        <w:rPr>
          <w:i/>
          <w:w w:val="105"/>
          <w:sz w:val="24"/>
        </w:rPr>
        <w:t>automatic</w:t>
      </w:r>
      <w:r>
        <w:rPr>
          <w:w w:val="105"/>
          <w:sz w:val="24"/>
        </w:rPr>
        <w:t>) and reflective (</w:t>
      </w:r>
      <w:r>
        <w:rPr>
          <w:i/>
          <w:w w:val="105"/>
          <w:sz w:val="24"/>
        </w:rPr>
        <w:t>controlled</w:t>
      </w:r>
      <w:r>
        <w:rPr>
          <w:w w:val="105"/>
          <w:sz w:val="24"/>
        </w:rPr>
        <w:t>) cognitive processes </w:t>
      </w:r>
      <w:r>
        <w:rPr>
          <w:spacing w:val="-3"/>
          <w:w w:val="105"/>
          <w:sz w:val="24"/>
        </w:rPr>
        <w:t>(Kakoschke </w:t>
      </w:r>
      <w:r>
        <w:rPr>
          <w:w w:val="105"/>
          <w:sz w:val="24"/>
        </w:rPr>
        <w:t>et al., 2015; Strack</w:t>
      </w:r>
      <w:r>
        <w:rPr>
          <w:spacing w:val="14"/>
          <w:w w:val="105"/>
          <w:sz w:val="24"/>
        </w:rPr>
        <w:t> </w:t>
      </w:r>
      <w:r>
        <w:rPr>
          <w:w w:val="105"/>
          <w:sz w:val="24"/>
        </w:rPr>
        <w:t>&amp;</w:t>
      </w:r>
    </w:p>
    <w:p>
      <w:pPr>
        <w:pStyle w:val="BodyText"/>
        <w:ind w:left="293"/>
      </w:pPr>
      <w:r>
        <w:rPr>
          <w:rFonts w:ascii="Arial"/>
          <w:w w:val="105"/>
          <w:sz w:val="12"/>
        </w:rPr>
        <w:t>28 </w:t>
      </w:r>
      <w:r>
        <w:rPr>
          <w:w w:val="105"/>
        </w:rPr>
        <w:t>Deutsch, 2004). For example, over-consumption of unhealthy foods can be attributed to</w:t>
      </w:r>
    </w:p>
    <w:p>
      <w:pPr>
        <w:pStyle w:val="BodyText"/>
        <w:ind w:left="293"/>
      </w:pPr>
      <w:r>
        <w:rPr>
          <w:rFonts w:ascii="Arial"/>
          <w:w w:val="105"/>
          <w:sz w:val="12"/>
        </w:rPr>
        <w:t>29 </w:t>
      </w:r>
      <w:r>
        <w:rPr>
          <w:w w:val="105"/>
        </w:rPr>
        <w:t>heightened approach bias for food cues in the environment, which can result in increased</w:t>
      </w:r>
    </w:p>
    <w:p>
      <w:pPr>
        <w:pStyle w:val="BodyText"/>
        <w:ind w:left="293"/>
      </w:pPr>
      <w:r>
        <w:rPr>
          <w:rFonts w:ascii="Arial"/>
          <w:w w:val="105"/>
          <w:sz w:val="12"/>
        </w:rPr>
        <w:t>30 </w:t>
      </w:r>
      <w:r>
        <w:rPr>
          <w:w w:val="105"/>
        </w:rPr>
        <w:t>food intake if these automatic action tendencies are not regulated via controlled processes,</w:t>
      </w:r>
    </w:p>
    <w:p>
      <w:pPr>
        <w:pStyle w:val="BodyText"/>
        <w:ind w:left="293"/>
      </w:pPr>
      <w:r>
        <w:rPr>
          <w:rFonts w:ascii="Arial"/>
          <w:w w:val="105"/>
          <w:sz w:val="12"/>
        </w:rPr>
        <w:t>31 </w:t>
      </w:r>
      <w:r>
        <w:rPr>
          <w:w w:val="105"/>
        </w:rPr>
        <w:t>such as inhibitory control (Kakoschke et al., 2017b). Such theoretical frameworks have led to</w:t>
      </w:r>
    </w:p>
    <w:p>
      <w:pPr>
        <w:pStyle w:val="BodyText"/>
        <w:ind w:left="293"/>
      </w:pPr>
      <w:r>
        <w:rPr>
          <w:rFonts w:ascii="Arial"/>
          <w:w w:val="105"/>
          <w:sz w:val="12"/>
        </w:rPr>
        <w:t>32 </w:t>
      </w:r>
      <w:r>
        <w:rPr>
          <w:w w:val="105"/>
        </w:rPr>
        <w:t>the development of behaviour change interventions for unhealthy eating behaviours that</w:t>
      </w:r>
    </w:p>
    <w:p>
      <w:pPr>
        <w:pStyle w:val="BodyText"/>
        <w:spacing w:before="203"/>
        <w:ind w:left="293"/>
      </w:pPr>
      <w:r>
        <w:rPr>
          <w:rFonts w:ascii="Arial"/>
          <w:w w:val="105"/>
          <w:sz w:val="12"/>
        </w:rPr>
        <w:t>33 </w:t>
      </w:r>
      <w:r>
        <w:rPr>
          <w:w w:val="105"/>
        </w:rPr>
        <w:t>target either automatic or controlled processing, that is approach bias modification and</w:t>
      </w:r>
    </w:p>
    <w:p>
      <w:pPr>
        <w:pStyle w:val="BodyText"/>
        <w:ind w:left="293"/>
      </w:pPr>
      <w:r>
        <w:rPr>
          <w:rFonts w:ascii="Arial"/>
          <w:w w:val="105"/>
          <w:sz w:val="12"/>
        </w:rPr>
        <w:t>34 </w:t>
      </w:r>
      <w:r>
        <w:rPr>
          <w:w w:val="105"/>
        </w:rPr>
        <w:t>inhibitory control training respectively (see Kakoschke et al., 2017a; Jones, Hardman,</w:t>
      </w:r>
    </w:p>
    <w:p>
      <w:pPr>
        <w:pStyle w:val="BodyText"/>
        <w:ind w:left="293"/>
      </w:pPr>
      <w:r>
        <w:rPr>
          <w:rFonts w:ascii="Arial"/>
          <w:w w:val="105"/>
          <w:sz w:val="12"/>
        </w:rPr>
        <w:t>35 </w:t>
      </w:r>
      <w:r>
        <w:rPr>
          <w:w w:val="105"/>
        </w:rPr>
        <w:t>Lawrence, &amp; Field, 2018 for recent reviews). The primary aim of the present study was to</w:t>
      </w:r>
    </w:p>
    <w:p>
      <w:pPr>
        <w:pStyle w:val="BodyText"/>
        <w:ind w:left="293"/>
      </w:pPr>
      <w:r>
        <w:rPr>
          <w:rFonts w:ascii="Arial"/>
          <w:w w:val="105"/>
          <w:sz w:val="12"/>
        </w:rPr>
        <w:t>36 </w:t>
      </w:r>
      <w:r>
        <w:rPr>
          <w:w w:val="105"/>
        </w:rPr>
        <w:t>investigate the interaction between automatic and controlled processing in the context of</w:t>
      </w:r>
    </w:p>
    <w:p>
      <w:pPr>
        <w:pStyle w:val="BodyText"/>
        <w:ind w:left="293"/>
      </w:pPr>
      <w:r>
        <w:rPr>
          <w:rFonts w:ascii="Arial"/>
          <w:w w:val="105"/>
          <w:sz w:val="12"/>
        </w:rPr>
        <w:t>37 </w:t>
      </w:r>
      <w:r>
        <w:rPr>
          <w:w w:val="105"/>
        </w:rPr>
        <w:t>inhibitory control training (ICT). It was assumed that strengthening inhibitory control could</w:t>
      </w:r>
    </w:p>
    <w:p>
      <w:pPr>
        <w:pStyle w:val="BodyText"/>
        <w:spacing w:before="203"/>
        <w:ind w:left="293"/>
      </w:pPr>
      <w:r>
        <w:rPr>
          <w:rFonts w:ascii="Arial"/>
          <w:w w:val="105"/>
          <w:sz w:val="12"/>
        </w:rPr>
        <w:t>38 </w:t>
      </w:r>
      <w:r>
        <w:rPr>
          <w:w w:val="105"/>
        </w:rPr>
        <w:t>influence automatic action tendencies </w:t>
      </w:r>
      <w:r>
        <w:rPr>
          <w:spacing w:val="-3"/>
          <w:w w:val="105"/>
        </w:rPr>
        <w:t>towards </w:t>
      </w:r>
      <w:r>
        <w:rPr>
          <w:w w:val="105"/>
        </w:rPr>
        <w:t>unhealthy </w:t>
      </w:r>
      <w:r>
        <w:rPr>
          <w:spacing w:val="2"/>
          <w:w w:val="105"/>
        </w:rPr>
        <w:t>foods </w:t>
      </w:r>
      <w:r>
        <w:rPr>
          <w:w w:val="105"/>
        </w:rPr>
        <w:t>after training. </w:t>
      </w:r>
      <w:r>
        <w:rPr>
          <w:spacing w:val="-10"/>
          <w:w w:val="105"/>
        </w:rPr>
        <w:t>To</w:t>
      </w:r>
      <w:r>
        <w:rPr>
          <w:spacing w:val="41"/>
          <w:w w:val="105"/>
        </w:rPr>
        <w:t> </w:t>
      </w:r>
      <w:r>
        <w:rPr>
          <w:w w:val="105"/>
        </w:rPr>
        <w:t>establish</w:t>
      </w:r>
    </w:p>
    <w:p>
      <w:pPr>
        <w:pStyle w:val="BodyText"/>
        <w:ind w:left="293"/>
      </w:pPr>
      <w:r>
        <w:rPr>
          <w:rFonts w:ascii="Arial"/>
          <w:w w:val="105"/>
          <w:sz w:val="12"/>
        </w:rPr>
        <w:t>39 </w:t>
      </w:r>
      <w:r>
        <w:rPr>
          <w:w w:val="105"/>
        </w:rPr>
        <w:t>whether the employed ICT paradigm was effective effects of training on impulsive food</w:t>
      </w:r>
    </w:p>
    <w:p>
      <w:pPr>
        <w:pStyle w:val="BodyText"/>
        <w:ind w:left="293"/>
      </w:pPr>
      <w:r>
        <w:rPr>
          <w:rFonts w:ascii="Arial"/>
          <w:w w:val="105"/>
          <w:sz w:val="12"/>
        </w:rPr>
        <w:t>40 </w:t>
      </w:r>
      <w:r>
        <w:rPr>
          <w:w w:val="105"/>
        </w:rPr>
        <w:t>choice and liking </w:t>
      </w:r>
      <w:r>
        <w:rPr>
          <w:spacing w:val="-3"/>
          <w:w w:val="105"/>
        </w:rPr>
        <w:t>were </w:t>
      </w:r>
      <w:r>
        <w:rPr>
          <w:w w:val="105"/>
        </w:rPr>
        <w:t>also</w:t>
      </w:r>
      <w:r>
        <w:rPr>
          <w:spacing w:val="54"/>
          <w:w w:val="105"/>
        </w:rPr>
        <w:t> </w:t>
      </w:r>
      <w:r>
        <w:rPr>
          <w:w w:val="105"/>
        </w:rPr>
        <w:t>examined.</w:t>
      </w:r>
    </w:p>
    <w:p>
      <w:pPr>
        <w:pStyle w:val="BodyText"/>
        <w:spacing w:before="10"/>
        <w:ind w:left="0"/>
        <w:rPr>
          <w:sz w:val="28"/>
        </w:rPr>
      </w:pPr>
    </w:p>
    <w:p>
      <w:pPr>
        <w:pStyle w:val="BodyText"/>
        <w:tabs>
          <w:tab w:pos="1195" w:val="left" w:leader="none"/>
        </w:tabs>
        <w:spacing w:before="145"/>
        <w:ind w:left="293"/>
      </w:pPr>
      <w:r>
        <w:rPr>
          <w:rFonts w:ascii="Arial"/>
          <w:w w:val="105"/>
          <w:sz w:val="12"/>
        </w:rPr>
        <w:t>41</w:t>
        <w:tab/>
      </w:r>
      <w:r>
        <w:rPr>
          <w:w w:val="105"/>
        </w:rPr>
        <w:t>In</w:t>
      </w:r>
      <w:r>
        <w:rPr>
          <w:spacing w:val="10"/>
          <w:w w:val="105"/>
        </w:rPr>
        <w:t> </w:t>
      </w:r>
      <w:r>
        <w:rPr>
          <w:w w:val="105"/>
        </w:rPr>
        <w:t>the</w:t>
      </w:r>
      <w:r>
        <w:rPr>
          <w:spacing w:val="10"/>
          <w:w w:val="105"/>
        </w:rPr>
        <w:t> </w:t>
      </w:r>
      <w:r>
        <w:rPr>
          <w:w w:val="105"/>
        </w:rPr>
        <w:t>dual-process</w:t>
      </w:r>
      <w:r>
        <w:rPr>
          <w:spacing w:val="11"/>
          <w:w w:val="105"/>
        </w:rPr>
        <w:t> </w:t>
      </w:r>
      <w:r>
        <w:rPr>
          <w:w w:val="105"/>
        </w:rPr>
        <w:t>model</w:t>
      </w:r>
      <w:r>
        <w:rPr>
          <w:spacing w:val="10"/>
          <w:w w:val="105"/>
        </w:rPr>
        <w:t> </w:t>
      </w:r>
      <w:r>
        <w:rPr>
          <w:w w:val="105"/>
        </w:rPr>
        <w:t>frameworks,</w:t>
      </w:r>
      <w:r>
        <w:rPr>
          <w:spacing w:val="10"/>
          <w:w w:val="105"/>
        </w:rPr>
        <w:t> </w:t>
      </w:r>
      <w:r>
        <w:rPr>
          <w:w w:val="105"/>
        </w:rPr>
        <w:t>unhealthy</w:t>
      </w:r>
      <w:r>
        <w:rPr>
          <w:spacing w:val="11"/>
          <w:w w:val="105"/>
        </w:rPr>
        <w:t> </w:t>
      </w:r>
      <w:r>
        <w:rPr>
          <w:w w:val="105"/>
        </w:rPr>
        <w:t>eating</w:t>
      </w:r>
      <w:r>
        <w:rPr>
          <w:spacing w:val="10"/>
          <w:w w:val="105"/>
        </w:rPr>
        <w:t> </w:t>
      </w:r>
      <w:r>
        <w:rPr>
          <w:w w:val="105"/>
        </w:rPr>
        <w:t>behaviours</w:t>
      </w:r>
      <w:r>
        <w:rPr>
          <w:spacing w:val="9"/>
          <w:w w:val="105"/>
        </w:rPr>
        <w:t> </w:t>
      </w:r>
      <w:r>
        <w:rPr>
          <w:spacing w:val="-3"/>
          <w:w w:val="105"/>
        </w:rPr>
        <w:t>may</w:t>
      </w:r>
      <w:r>
        <w:rPr>
          <w:spacing w:val="10"/>
          <w:w w:val="105"/>
        </w:rPr>
        <w:t> </w:t>
      </w:r>
      <w:r>
        <w:rPr>
          <w:spacing w:val="3"/>
          <w:w w:val="105"/>
        </w:rPr>
        <w:t>be</w:t>
      </w:r>
      <w:r>
        <w:rPr>
          <w:spacing w:val="10"/>
          <w:w w:val="105"/>
        </w:rPr>
        <w:t> </w:t>
      </w:r>
      <w:r>
        <w:rPr>
          <w:w w:val="105"/>
        </w:rPr>
        <w:t>explained</w:t>
      </w:r>
    </w:p>
    <w:p>
      <w:pPr>
        <w:pStyle w:val="BodyText"/>
        <w:ind w:left="293"/>
      </w:pPr>
      <w:r>
        <w:rPr>
          <w:rFonts w:ascii="Arial"/>
          <w:w w:val="105"/>
          <w:sz w:val="12"/>
        </w:rPr>
        <w:t>42 </w:t>
      </w:r>
      <w:r>
        <w:rPr>
          <w:w w:val="105"/>
        </w:rPr>
        <w:t>by a weak reflective system and/or a strong impulsive system (e.g., Lawrence, Hinton,</w:t>
      </w:r>
    </w:p>
    <w:p>
      <w:pPr>
        <w:spacing w:after="0"/>
        <w:sectPr>
          <w:pgSz w:w="12240" w:h="15840"/>
          <w:pgMar w:header="649" w:footer="0" w:top="1320" w:bottom="280" w:left="820" w:right="1140"/>
        </w:sectPr>
      </w:pPr>
    </w:p>
    <w:p>
      <w:pPr>
        <w:pStyle w:val="BodyText"/>
        <w:spacing w:before="191"/>
        <w:ind w:left="293"/>
      </w:pPr>
      <w:r>
        <w:rPr>
          <w:rFonts w:ascii="Arial"/>
          <w:w w:val="105"/>
          <w:sz w:val="12"/>
        </w:rPr>
        <w:t>43 </w:t>
      </w:r>
      <w:r>
        <w:rPr>
          <w:w w:val="105"/>
        </w:rPr>
        <w:t>Parkinson, &amp; Lawrence, 2012; Nederkoorn, Coelho, Guerrieri, Houben, &amp; Jansen, 2012),</w:t>
      </w:r>
    </w:p>
    <w:p>
      <w:pPr>
        <w:pStyle w:val="BodyText"/>
        <w:ind w:left="293"/>
      </w:pPr>
      <w:r>
        <w:rPr>
          <w:rFonts w:ascii="Arial"/>
          <w:w w:val="110"/>
          <w:sz w:val="12"/>
        </w:rPr>
        <w:t>44 </w:t>
      </w:r>
      <w:r>
        <w:rPr>
          <w:w w:val="110"/>
        </w:rPr>
        <w:t>which can often be in conflict. For example, automatic attentional (e.g., attending to the</w:t>
      </w:r>
    </w:p>
    <w:p>
      <w:pPr>
        <w:pStyle w:val="BodyText"/>
        <w:spacing w:before="203"/>
        <w:ind w:left="293"/>
      </w:pPr>
      <w:r>
        <w:rPr>
          <w:rFonts w:ascii="Arial"/>
          <w:w w:val="105"/>
          <w:sz w:val="12"/>
        </w:rPr>
        <w:t>45 </w:t>
      </w:r>
      <w:r>
        <w:rPr>
          <w:rFonts w:ascii="Arial"/>
          <w:spacing w:val="21"/>
          <w:w w:val="105"/>
          <w:sz w:val="12"/>
        </w:rPr>
        <w:t> </w:t>
      </w:r>
      <w:r>
        <w:rPr>
          <w:w w:val="105"/>
        </w:rPr>
        <w:t>cue) and motivational (e.g., approaching the </w:t>
      </w:r>
      <w:r>
        <w:rPr>
          <w:spacing w:val="2"/>
          <w:w w:val="105"/>
        </w:rPr>
        <w:t>food) </w:t>
      </w:r>
      <w:r>
        <w:rPr>
          <w:w w:val="105"/>
        </w:rPr>
        <w:t>processes would antagonize the controlled</w:t>
      </w:r>
    </w:p>
    <w:p>
      <w:pPr>
        <w:pStyle w:val="BodyText"/>
        <w:ind w:left="293"/>
      </w:pPr>
      <w:r>
        <w:rPr>
          <w:rFonts w:ascii="Arial"/>
          <w:sz w:val="12"/>
        </w:rPr>
        <w:t>46     </w:t>
      </w:r>
      <w:r>
        <w:rPr>
          <w:rFonts w:ascii="Arial"/>
          <w:spacing w:val="10"/>
          <w:sz w:val="12"/>
        </w:rPr>
        <w:t> </w:t>
      </w:r>
      <w:r>
        <w:rPr/>
        <w:t>process</w:t>
      </w:r>
      <w:r>
        <w:rPr>
          <w:spacing w:val="19"/>
        </w:rPr>
        <w:t> </w:t>
      </w:r>
      <w:r>
        <w:rPr/>
        <w:t>of</w:t>
      </w:r>
      <w:r>
        <w:rPr>
          <w:spacing w:val="21"/>
        </w:rPr>
        <w:t> </w:t>
      </w:r>
      <w:r>
        <w:rPr/>
        <w:t>considering</w:t>
      </w:r>
      <w:r>
        <w:rPr>
          <w:spacing w:val="19"/>
        </w:rPr>
        <w:t> </w:t>
      </w:r>
      <w:r>
        <w:rPr/>
        <w:t>long-term</w:t>
      </w:r>
      <w:r>
        <w:rPr>
          <w:spacing w:val="20"/>
        </w:rPr>
        <w:t> </w:t>
      </w:r>
      <w:r>
        <w:rPr/>
        <w:t>goals</w:t>
      </w:r>
      <w:r>
        <w:rPr>
          <w:spacing w:val="20"/>
        </w:rPr>
        <w:t> </w:t>
      </w:r>
      <w:r>
        <w:rPr/>
        <w:t>such</w:t>
      </w:r>
      <w:r>
        <w:rPr>
          <w:spacing w:val="20"/>
        </w:rPr>
        <w:t> </w:t>
      </w:r>
      <w:r>
        <w:rPr/>
        <w:t>as</w:t>
      </w:r>
      <w:r>
        <w:rPr>
          <w:spacing w:val="19"/>
        </w:rPr>
        <w:t> </w:t>
      </w:r>
      <w:r>
        <w:rPr/>
        <w:t>losing</w:t>
      </w:r>
      <w:r>
        <w:rPr>
          <w:spacing w:val="21"/>
        </w:rPr>
        <w:t> </w:t>
      </w:r>
      <w:r>
        <w:rPr>
          <w:spacing w:val="-3"/>
        </w:rPr>
        <w:t>weight</w:t>
      </w:r>
      <w:r>
        <w:rPr>
          <w:spacing w:val="20"/>
        </w:rPr>
        <w:t> </w:t>
      </w:r>
      <w:r>
        <w:rPr/>
        <w:t>when</w:t>
      </w:r>
      <w:r>
        <w:rPr>
          <w:spacing w:val="19"/>
        </w:rPr>
        <w:t> </w:t>
      </w:r>
      <w:r>
        <w:rPr/>
        <w:t>an</w:t>
      </w:r>
      <w:r>
        <w:rPr>
          <w:spacing w:val="21"/>
        </w:rPr>
        <w:t> </w:t>
      </w:r>
      <w:r>
        <w:rPr/>
        <w:t>individual</w:t>
      </w:r>
      <w:r>
        <w:rPr>
          <w:spacing w:val="19"/>
        </w:rPr>
        <w:t> </w:t>
      </w:r>
      <w:r>
        <w:rPr/>
        <w:t>has</w:t>
      </w:r>
      <w:r>
        <w:rPr>
          <w:spacing w:val="20"/>
        </w:rPr>
        <w:t> </w:t>
      </w:r>
      <w:r>
        <w:rPr/>
        <w:t>to</w:t>
      </w:r>
      <w:r>
        <w:rPr>
          <w:spacing w:val="21"/>
        </w:rPr>
        <w:t> </w:t>
      </w:r>
      <w:r>
        <w:rPr/>
        <w:t>decide</w:t>
      </w:r>
    </w:p>
    <w:p>
      <w:pPr>
        <w:pStyle w:val="BodyText"/>
        <w:ind w:left="293"/>
      </w:pPr>
      <w:r>
        <w:rPr>
          <w:rFonts w:ascii="Arial"/>
          <w:w w:val="105"/>
          <w:sz w:val="12"/>
        </w:rPr>
        <w:t>47    </w:t>
      </w:r>
      <w:r>
        <w:rPr>
          <w:rFonts w:ascii="Arial"/>
          <w:spacing w:val="25"/>
          <w:w w:val="105"/>
          <w:sz w:val="12"/>
        </w:rPr>
        <w:t> </w:t>
      </w:r>
      <w:r>
        <w:rPr>
          <w:w w:val="105"/>
        </w:rPr>
        <w:t>on</w:t>
      </w:r>
      <w:r>
        <w:rPr>
          <w:spacing w:val="16"/>
          <w:w w:val="105"/>
        </w:rPr>
        <w:t> </w:t>
      </w:r>
      <w:r>
        <w:rPr>
          <w:w w:val="105"/>
        </w:rPr>
        <w:t>an</w:t>
      </w:r>
      <w:r>
        <w:rPr>
          <w:spacing w:val="14"/>
          <w:w w:val="105"/>
        </w:rPr>
        <w:t> </w:t>
      </w:r>
      <w:r>
        <w:rPr>
          <w:w w:val="105"/>
        </w:rPr>
        <w:t>action,</w:t>
      </w:r>
      <w:r>
        <w:rPr>
          <w:spacing w:val="16"/>
          <w:w w:val="105"/>
        </w:rPr>
        <w:t> </w:t>
      </w:r>
      <w:r>
        <w:rPr>
          <w:w w:val="105"/>
        </w:rPr>
        <w:t>that</w:t>
      </w:r>
      <w:r>
        <w:rPr>
          <w:spacing w:val="14"/>
          <w:w w:val="105"/>
        </w:rPr>
        <w:t> </w:t>
      </w:r>
      <w:r>
        <w:rPr>
          <w:w w:val="105"/>
        </w:rPr>
        <w:t>is</w:t>
      </w:r>
      <w:r>
        <w:rPr>
          <w:spacing w:val="16"/>
          <w:w w:val="105"/>
        </w:rPr>
        <w:t> </w:t>
      </w:r>
      <w:r>
        <w:rPr>
          <w:w w:val="105"/>
        </w:rPr>
        <w:t>to</w:t>
      </w:r>
      <w:r>
        <w:rPr>
          <w:spacing w:val="15"/>
          <w:w w:val="105"/>
        </w:rPr>
        <w:t> </w:t>
      </w:r>
      <w:r>
        <w:rPr>
          <w:w w:val="105"/>
        </w:rPr>
        <w:t>eat</w:t>
      </w:r>
      <w:r>
        <w:rPr>
          <w:spacing w:val="15"/>
          <w:w w:val="105"/>
        </w:rPr>
        <w:t> </w:t>
      </w:r>
      <w:r>
        <w:rPr>
          <w:w w:val="105"/>
        </w:rPr>
        <w:t>or</w:t>
      </w:r>
      <w:r>
        <w:rPr>
          <w:spacing w:val="15"/>
          <w:w w:val="105"/>
        </w:rPr>
        <w:t> </w:t>
      </w:r>
      <w:r>
        <w:rPr>
          <w:w w:val="105"/>
        </w:rPr>
        <w:t>not</w:t>
      </w:r>
      <w:r>
        <w:rPr>
          <w:spacing w:val="15"/>
          <w:w w:val="105"/>
        </w:rPr>
        <w:t> </w:t>
      </w:r>
      <w:r>
        <w:rPr>
          <w:w w:val="105"/>
        </w:rPr>
        <w:t>eat</w:t>
      </w:r>
      <w:r>
        <w:rPr>
          <w:spacing w:val="16"/>
          <w:w w:val="105"/>
        </w:rPr>
        <w:t> </w:t>
      </w:r>
      <w:r>
        <w:rPr>
          <w:w w:val="105"/>
        </w:rPr>
        <w:t>the</w:t>
      </w:r>
      <w:r>
        <w:rPr>
          <w:spacing w:val="14"/>
          <w:w w:val="105"/>
        </w:rPr>
        <w:t> </w:t>
      </w:r>
      <w:r>
        <w:rPr>
          <w:spacing w:val="3"/>
          <w:w w:val="105"/>
        </w:rPr>
        <w:t>food</w:t>
      </w:r>
      <w:r>
        <w:rPr>
          <w:spacing w:val="16"/>
          <w:w w:val="105"/>
        </w:rPr>
        <w:t> </w:t>
      </w:r>
      <w:r>
        <w:rPr>
          <w:spacing w:val="-3"/>
          <w:w w:val="105"/>
        </w:rPr>
        <w:t>(Kakoschke</w:t>
      </w:r>
      <w:r>
        <w:rPr>
          <w:spacing w:val="14"/>
          <w:w w:val="105"/>
        </w:rPr>
        <w:t> </w:t>
      </w:r>
      <w:r>
        <w:rPr>
          <w:w w:val="105"/>
        </w:rPr>
        <w:t>et</w:t>
      </w:r>
      <w:r>
        <w:rPr>
          <w:spacing w:val="16"/>
          <w:w w:val="105"/>
        </w:rPr>
        <w:t> </w:t>
      </w:r>
      <w:r>
        <w:rPr>
          <w:w w:val="105"/>
        </w:rPr>
        <w:t>al.,</w:t>
      </w:r>
      <w:r>
        <w:rPr>
          <w:spacing w:val="14"/>
          <w:w w:val="105"/>
        </w:rPr>
        <w:t> </w:t>
      </w:r>
      <w:r>
        <w:rPr>
          <w:w w:val="105"/>
        </w:rPr>
        <w:t>2015).</w:t>
      </w:r>
      <w:r>
        <w:rPr>
          <w:spacing w:val="41"/>
          <w:w w:val="105"/>
        </w:rPr>
        <w:t> </w:t>
      </w:r>
      <w:r>
        <w:rPr>
          <w:w w:val="105"/>
        </w:rPr>
        <w:t>This</w:t>
      </w:r>
      <w:r>
        <w:rPr>
          <w:spacing w:val="16"/>
          <w:w w:val="105"/>
        </w:rPr>
        <w:t> </w:t>
      </w:r>
      <w:r>
        <w:rPr>
          <w:w w:val="105"/>
        </w:rPr>
        <w:t>study</w:t>
      </w:r>
      <w:r>
        <w:rPr>
          <w:spacing w:val="15"/>
          <w:w w:val="105"/>
        </w:rPr>
        <w:t> </w:t>
      </w:r>
      <w:r>
        <w:rPr>
          <w:w w:val="105"/>
        </w:rPr>
        <w:t>focuses</w:t>
      </w:r>
    </w:p>
    <w:p>
      <w:pPr>
        <w:pStyle w:val="BodyText"/>
        <w:ind w:left="293"/>
      </w:pPr>
      <w:r>
        <w:rPr>
          <w:rFonts w:ascii="Arial"/>
          <w:w w:val="105"/>
          <w:sz w:val="12"/>
        </w:rPr>
        <w:t>48    </w:t>
      </w:r>
      <w:r>
        <w:rPr>
          <w:rFonts w:ascii="Arial"/>
          <w:spacing w:val="4"/>
          <w:w w:val="105"/>
          <w:sz w:val="12"/>
        </w:rPr>
        <w:t> </w:t>
      </w:r>
      <w:r>
        <w:rPr>
          <w:w w:val="105"/>
        </w:rPr>
        <w:t>on</w:t>
      </w:r>
      <w:r>
        <w:rPr>
          <w:spacing w:val="7"/>
          <w:w w:val="105"/>
        </w:rPr>
        <w:t> </w:t>
      </w:r>
      <w:r>
        <w:rPr>
          <w:w w:val="105"/>
        </w:rPr>
        <w:t>an</w:t>
      </w:r>
      <w:r>
        <w:rPr>
          <w:spacing w:val="6"/>
          <w:w w:val="105"/>
        </w:rPr>
        <w:t> </w:t>
      </w:r>
      <w:r>
        <w:rPr>
          <w:w w:val="105"/>
        </w:rPr>
        <w:t>automatic</w:t>
      </w:r>
      <w:r>
        <w:rPr>
          <w:spacing w:val="7"/>
          <w:w w:val="105"/>
        </w:rPr>
        <w:t> </w:t>
      </w:r>
      <w:r>
        <w:rPr>
          <w:w w:val="105"/>
        </w:rPr>
        <w:t>process</w:t>
      </w:r>
      <w:r>
        <w:rPr>
          <w:spacing w:val="7"/>
          <w:w w:val="105"/>
        </w:rPr>
        <w:t> </w:t>
      </w:r>
      <w:r>
        <w:rPr>
          <w:w w:val="105"/>
        </w:rPr>
        <w:t>known</w:t>
      </w:r>
      <w:r>
        <w:rPr>
          <w:spacing w:val="8"/>
          <w:w w:val="105"/>
        </w:rPr>
        <w:t> </w:t>
      </w:r>
      <w:r>
        <w:rPr>
          <w:w w:val="105"/>
        </w:rPr>
        <w:t>as</w:t>
      </w:r>
      <w:r>
        <w:rPr>
          <w:spacing w:val="6"/>
          <w:w w:val="105"/>
        </w:rPr>
        <w:t> </w:t>
      </w:r>
      <w:r>
        <w:rPr>
          <w:w w:val="105"/>
        </w:rPr>
        <w:t>approach</w:t>
      </w:r>
      <w:r>
        <w:rPr>
          <w:spacing w:val="8"/>
          <w:w w:val="105"/>
        </w:rPr>
        <w:t> </w:t>
      </w:r>
      <w:r>
        <w:rPr>
          <w:w w:val="105"/>
        </w:rPr>
        <w:t>bias,</w:t>
      </w:r>
      <w:r>
        <w:rPr>
          <w:spacing w:val="7"/>
          <w:w w:val="105"/>
        </w:rPr>
        <w:t> </w:t>
      </w:r>
      <w:r>
        <w:rPr>
          <w:w w:val="105"/>
        </w:rPr>
        <w:t>which</w:t>
      </w:r>
      <w:r>
        <w:rPr>
          <w:spacing w:val="8"/>
          <w:w w:val="105"/>
        </w:rPr>
        <w:t> </w:t>
      </w:r>
      <w:r>
        <w:rPr>
          <w:w w:val="105"/>
        </w:rPr>
        <w:t>is</w:t>
      </w:r>
      <w:r>
        <w:rPr>
          <w:spacing w:val="7"/>
          <w:w w:val="105"/>
        </w:rPr>
        <w:t> </w:t>
      </w:r>
      <w:r>
        <w:rPr>
          <w:w w:val="105"/>
        </w:rPr>
        <w:t>the</w:t>
      </w:r>
      <w:r>
        <w:rPr>
          <w:spacing w:val="7"/>
          <w:w w:val="105"/>
        </w:rPr>
        <w:t> </w:t>
      </w:r>
      <w:r>
        <w:rPr>
          <w:w w:val="105"/>
        </w:rPr>
        <w:t>automatic</w:t>
      </w:r>
      <w:r>
        <w:rPr>
          <w:spacing w:val="7"/>
          <w:w w:val="105"/>
        </w:rPr>
        <w:t> </w:t>
      </w:r>
      <w:r>
        <w:rPr>
          <w:w w:val="105"/>
        </w:rPr>
        <w:t>action</w:t>
      </w:r>
      <w:r>
        <w:rPr>
          <w:spacing w:val="7"/>
          <w:w w:val="105"/>
        </w:rPr>
        <w:t> </w:t>
      </w:r>
      <w:r>
        <w:rPr>
          <w:w w:val="105"/>
        </w:rPr>
        <w:t>tendency</w:t>
      </w:r>
      <w:r>
        <w:rPr>
          <w:spacing w:val="6"/>
          <w:w w:val="105"/>
        </w:rPr>
        <w:t> </w:t>
      </w:r>
      <w:r>
        <w:rPr>
          <w:w w:val="105"/>
        </w:rPr>
        <w:t>to</w:t>
      </w:r>
    </w:p>
    <w:p>
      <w:pPr>
        <w:pStyle w:val="BodyText"/>
        <w:ind w:left="293"/>
      </w:pPr>
      <w:r>
        <w:rPr>
          <w:rFonts w:ascii="Arial"/>
          <w:w w:val="105"/>
          <w:sz w:val="12"/>
        </w:rPr>
        <w:t>49     </w:t>
      </w:r>
      <w:r>
        <w:rPr>
          <w:rFonts w:ascii="Arial"/>
          <w:spacing w:val="4"/>
          <w:w w:val="105"/>
          <w:sz w:val="12"/>
        </w:rPr>
        <w:t> </w:t>
      </w:r>
      <w:r>
        <w:rPr>
          <w:w w:val="105"/>
        </w:rPr>
        <w:t>approach</w:t>
      </w:r>
      <w:r>
        <w:rPr>
          <w:spacing w:val="20"/>
          <w:w w:val="105"/>
        </w:rPr>
        <w:t> </w:t>
      </w:r>
      <w:r>
        <w:rPr>
          <w:w w:val="105"/>
        </w:rPr>
        <w:t>an</w:t>
      </w:r>
      <w:r>
        <w:rPr>
          <w:spacing w:val="20"/>
          <w:w w:val="105"/>
        </w:rPr>
        <w:t> </w:t>
      </w:r>
      <w:r>
        <w:rPr>
          <w:w w:val="105"/>
        </w:rPr>
        <w:t>appetitive</w:t>
      </w:r>
      <w:r>
        <w:rPr>
          <w:spacing w:val="21"/>
          <w:w w:val="105"/>
        </w:rPr>
        <w:t> </w:t>
      </w:r>
      <w:r>
        <w:rPr>
          <w:w w:val="105"/>
        </w:rPr>
        <w:t>(food)</w:t>
      </w:r>
      <w:r>
        <w:rPr>
          <w:spacing w:val="20"/>
          <w:w w:val="105"/>
        </w:rPr>
        <w:t> </w:t>
      </w:r>
      <w:r>
        <w:rPr>
          <w:w w:val="105"/>
        </w:rPr>
        <w:t>cue</w:t>
      </w:r>
      <w:r>
        <w:rPr>
          <w:spacing w:val="21"/>
          <w:w w:val="105"/>
        </w:rPr>
        <w:t> </w:t>
      </w:r>
      <w:r>
        <w:rPr>
          <w:w w:val="105"/>
        </w:rPr>
        <w:t>in</w:t>
      </w:r>
      <w:r>
        <w:rPr>
          <w:spacing w:val="20"/>
          <w:w w:val="105"/>
        </w:rPr>
        <w:t> </w:t>
      </w:r>
      <w:r>
        <w:rPr>
          <w:w w:val="105"/>
        </w:rPr>
        <w:t>the</w:t>
      </w:r>
      <w:r>
        <w:rPr>
          <w:spacing w:val="20"/>
          <w:w w:val="105"/>
        </w:rPr>
        <w:t> </w:t>
      </w:r>
      <w:r>
        <w:rPr>
          <w:w w:val="105"/>
        </w:rPr>
        <w:t>environment,</w:t>
      </w:r>
      <w:r>
        <w:rPr>
          <w:spacing w:val="20"/>
          <w:w w:val="105"/>
        </w:rPr>
        <w:t> </w:t>
      </w:r>
      <w:r>
        <w:rPr>
          <w:w w:val="105"/>
        </w:rPr>
        <w:t>rather</w:t>
      </w:r>
      <w:r>
        <w:rPr>
          <w:spacing w:val="20"/>
          <w:w w:val="105"/>
        </w:rPr>
        <w:t> </w:t>
      </w:r>
      <w:r>
        <w:rPr>
          <w:w w:val="105"/>
        </w:rPr>
        <w:t>than</w:t>
      </w:r>
      <w:r>
        <w:rPr>
          <w:spacing w:val="21"/>
          <w:w w:val="105"/>
        </w:rPr>
        <w:t> </w:t>
      </w:r>
      <w:r>
        <w:rPr>
          <w:spacing w:val="-4"/>
          <w:w w:val="105"/>
        </w:rPr>
        <w:t>avoid</w:t>
      </w:r>
      <w:r>
        <w:rPr>
          <w:spacing w:val="21"/>
          <w:w w:val="105"/>
        </w:rPr>
        <w:t> </w:t>
      </w:r>
      <w:r>
        <w:rPr>
          <w:w w:val="105"/>
        </w:rPr>
        <w:t>it</w:t>
      </w:r>
      <w:r>
        <w:rPr>
          <w:spacing w:val="20"/>
          <w:w w:val="105"/>
        </w:rPr>
        <w:t> </w:t>
      </w:r>
      <w:r>
        <w:rPr>
          <w:w w:val="105"/>
        </w:rPr>
        <w:t>(C.</w:t>
      </w:r>
      <w:r>
        <w:rPr>
          <w:spacing w:val="20"/>
          <w:w w:val="105"/>
        </w:rPr>
        <w:t> </w:t>
      </w:r>
      <w:r>
        <w:rPr>
          <w:w w:val="105"/>
        </w:rPr>
        <w:t>E.</w:t>
      </w:r>
      <w:r>
        <w:rPr>
          <w:spacing w:val="21"/>
          <w:w w:val="105"/>
        </w:rPr>
        <w:t> </w:t>
      </w:r>
      <w:r>
        <w:rPr>
          <w:w w:val="105"/>
        </w:rPr>
        <w:t>Wiers</w:t>
      </w:r>
      <w:r>
        <w:rPr>
          <w:spacing w:val="20"/>
          <w:w w:val="105"/>
        </w:rPr>
        <w:t> </w:t>
      </w:r>
      <w:r>
        <w:rPr>
          <w:w w:val="105"/>
        </w:rPr>
        <w:t>et</w:t>
      </w:r>
    </w:p>
    <w:p>
      <w:pPr>
        <w:pStyle w:val="BodyText"/>
        <w:ind w:left="293"/>
      </w:pPr>
      <w:r>
        <w:rPr>
          <w:rFonts w:ascii="Arial"/>
          <w:w w:val="105"/>
          <w:sz w:val="12"/>
        </w:rPr>
        <w:t>50 </w:t>
      </w:r>
      <w:r>
        <w:rPr>
          <w:w w:val="105"/>
        </w:rPr>
        <w:t>al., 2013). Approach bias has been demonstrated for a variety of appetitive cues, such as</w:t>
      </w:r>
    </w:p>
    <w:p>
      <w:pPr>
        <w:pStyle w:val="BodyText"/>
        <w:spacing w:before="203"/>
        <w:ind w:left="293"/>
      </w:pPr>
      <w:r>
        <w:rPr>
          <w:rFonts w:ascii="Arial"/>
          <w:w w:val="105"/>
          <w:sz w:val="12"/>
        </w:rPr>
        <w:t>51 </w:t>
      </w:r>
      <w:r>
        <w:rPr>
          <w:w w:val="105"/>
        </w:rPr>
        <w:t>cigarettes (e.g., Bradley, Field, Healy, &amp; Mogg, 2008), alcohol (e.g., Wiers, Rinck, Kordts,</w:t>
      </w:r>
    </w:p>
    <w:p>
      <w:pPr>
        <w:pStyle w:val="BodyText"/>
        <w:ind w:left="293"/>
      </w:pPr>
      <w:r>
        <w:rPr>
          <w:rFonts w:ascii="Arial"/>
          <w:w w:val="105"/>
          <w:sz w:val="12"/>
        </w:rPr>
        <w:t>52 </w:t>
      </w:r>
      <w:r>
        <w:rPr>
          <w:w w:val="105"/>
        </w:rPr>
        <w:t>Houben, &amp; Strack, 2010) and cannabis (e.g., Field, Eastwood, Bradley, &amp; Mogg, 2006). In</w:t>
      </w:r>
    </w:p>
    <w:p>
      <w:pPr>
        <w:pStyle w:val="BodyText"/>
        <w:ind w:left="293"/>
      </w:pPr>
      <w:r>
        <w:rPr>
          <w:rFonts w:ascii="Arial"/>
          <w:w w:val="105"/>
          <w:sz w:val="12"/>
        </w:rPr>
        <w:t>53 </w:t>
      </w:r>
      <w:r>
        <w:rPr>
          <w:w w:val="105"/>
        </w:rPr>
        <w:t>the food domain, there is evidence for the existence of approach bias for a variety of</w:t>
      </w:r>
    </w:p>
    <w:p>
      <w:pPr>
        <w:pStyle w:val="BodyText"/>
        <w:ind w:left="293"/>
      </w:pPr>
      <w:r>
        <w:rPr>
          <w:rFonts w:ascii="Arial"/>
          <w:sz w:val="12"/>
        </w:rPr>
        <w:t>54 </w:t>
      </w:r>
      <w:r>
        <w:rPr/>
        <w:t>energy-dense foods (Brignell, Griffiths, Bradley, &amp; Mogg, 2009; Kemps &amp; Tiggemann, 2015;</w:t>
      </w:r>
    </w:p>
    <w:p>
      <w:pPr>
        <w:pStyle w:val="BodyText"/>
        <w:spacing w:before="187"/>
        <w:ind w:left="293"/>
      </w:pPr>
      <w:r>
        <w:rPr>
          <w:rFonts w:ascii="Arial"/>
          <w:w w:val="105"/>
          <w:sz w:val="12"/>
        </w:rPr>
        <w:t>55 </w:t>
      </w:r>
      <w:r>
        <w:rPr>
          <w:w w:val="105"/>
        </w:rPr>
        <w:t>Kemps, Tiggemann, Martin, &amp; Elliott, 2013; Veenstra &amp; de Jong, 2010)</w:t>
      </w:r>
      <w:r>
        <w:rPr>
          <w:w w:val="105"/>
          <w:position w:val="9"/>
          <w:sz w:val="16"/>
        </w:rPr>
        <w:t>1</w:t>
      </w:r>
      <w:r>
        <w:rPr>
          <w:w w:val="105"/>
        </w:rPr>
        <w:t>. Interestingly,</w:t>
      </w:r>
    </w:p>
    <w:p>
      <w:pPr>
        <w:pStyle w:val="BodyText"/>
        <w:ind w:left="293"/>
      </w:pPr>
      <w:r>
        <w:rPr>
          <w:rFonts w:ascii="Arial"/>
          <w:w w:val="105"/>
          <w:sz w:val="12"/>
        </w:rPr>
        <w:t>56 </w:t>
      </w:r>
      <w:r>
        <w:rPr>
          <w:w w:val="105"/>
        </w:rPr>
        <w:t>Kakoschke et al. (2015) found that approach bias alone did not predict increased intake of</w:t>
      </w:r>
    </w:p>
    <w:p>
      <w:pPr>
        <w:pStyle w:val="BodyText"/>
        <w:ind w:left="293"/>
      </w:pPr>
      <w:r>
        <w:rPr>
          <w:rFonts w:ascii="Arial"/>
          <w:w w:val="110"/>
          <w:sz w:val="12"/>
        </w:rPr>
        <w:t>57 </w:t>
      </w:r>
      <w:r>
        <w:rPr>
          <w:w w:val="110"/>
        </w:rPr>
        <w:t>unhealthy foods, but it was the interaction between approach bias and inhibitory control</w:t>
      </w:r>
    </w:p>
    <w:p>
      <w:pPr>
        <w:pStyle w:val="BodyText"/>
        <w:spacing w:before="203"/>
        <w:ind w:left="293"/>
      </w:pPr>
      <w:r>
        <w:rPr>
          <w:rFonts w:ascii="Arial"/>
          <w:w w:val="110"/>
          <w:sz w:val="12"/>
        </w:rPr>
        <w:t>58 </w:t>
      </w:r>
      <w:r>
        <w:rPr>
          <w:w w:val="110"/>
        </w:rPr>
        <w:t>that was the significant determinant of subsequent behaviour. The authors report that</w:t>
      </w:r>
    </w:p>
    <w:p>
      <w:pPr>
        <w:pStyle w:val="BodyText"/>
        <w:ind w:left="293"/>
      </w:pPr>
      <w:r>
        <w:rPr>
          <w:rFonts w:ascii="Arial"/>
          <w:w w:val="105"/>
          <w:sz w:val="12"/>
        </w:rPr>
        <w:t>59 </w:t>
      </w:r>
      <w:r>
        <w:rPr>
          <w:w w:val="105"/>
        </w:rPr>
        <w:t>approach bias had the expected effect on food intake only for participants with low inhibitory</w:t>
      </w:r>
    </w:p>
    <w:p>
      <w:pPr>
        <w:pStyle w:val="BodyText"/>
        <w:ind w:left="293"/>
      </w:pPr>
      <w:r>
        <w:rPr>
          <w:rFonts w:ascii="Arial"/>
          <w:w w:val="105"/>
          <w:sz w:val="12"/>
        </w:rPr>
        <w:t>60 </w:t>
      </w:r>
      <w:r>
        <w:rPr>
          <w:w w:val="105"/>
        </w:rPr>
        <w:t>control. As an important component of controlled processing, inhibitory control has been</w:t>
      </w:r>
    </w:p>
    <w:p>
      <w:pPr>
        <w:pStyle w:val="BodyText"/>
        <w:ind w:left="293"/>
      </w:pPr>
      <w:r>
        <w:rPr>
          <w:rFonts w:ascii="Arial" w:hAnsi="Arial"/>
          <w:w w:val="105"/>
          <w:sz w:val="12"/>
        </w:rPr>
        <w:t>61    </w:t>
      </w:r>
      <w:r>
        <w:rPr>
          <w:rFonts w:ascii="Arial" w:hAnsi="Arial"/>
          <w:spacing w:val="13"/>
          <w:w w:val="105"/>
          <w:sz w:val="12"/>
        </w:rPr>
        <w:t> </w:t>
      </w:r>
      <w:r>
        <w:rPr>
          <w:w w:val="105"/>
        </w:rPr>
        <w:t>defined</w:t>
      </w:r>
      <w:r>
        <w:rPr>
          <w:spacing w:val="11"/>
          <w:w w:val="105"/>
        </w:rPr>
        <w:t> </w:t>
      </w:r>
      <w:r>
        <w:rPr>
          <w:w w:val="105"/>
        </w:rPr>
        <w:t>as</w:t>
      </w:r>
      <w:r>
        <w:rPr>
          <w:spacing w:val="10"/>
          <w:w w:val="105"/>
        </w:rPr>
        <w:t> </w:t>
      </w:r>
      <w:r>
        <w:rPr>
          <w:w w:val="105"/>
        </w:rPr>
        <w:t>“the</w:t>
      </w:r>
      <w:r>
        <w:rPr>
          <w:spacing w:val="10"/>
          <w:w w:val="105"/>
        </w:rPr>
        <w:t> </w:t>
      </w:r>
      <w:r>
        <w:rPr>
          <w:w w:val="105"/>
        </w:rPr>
        <w:t>ability</w:t>
      </w:r>
      <w:r>
        <w:rPr>
          <w:spacing w:val="10"/>
          <w:w w:val="105"/>
        </w:rPr>
        <w:t> </w:t>
      </w:r>
      <w:r>
        <w:rPr>
          <w:w w:val="105"/>
        </w:rPr>
        <w:t>to</w:t>
      </w:r>
      <w:r>
        <w:rPr>
          <w:spacing w:val="10"/>
          <w:w w:val="105"/>
        </w:rPr>
        <w:t> </w:t>
      </w:r>
      <w:r>
        <w:rPr>
          <w:w w:val="105"/>
        </w:rPr>
        <w:t>inhibit</w:t>
      </w:r>
      <w:r>
        <w:rPr>
          <w:spacing w:val="11"/>
          <w:w w:val="105"/>
        </w:rPr>
        <w:t> </w:t>
      </w:r>
      <w:r>
        <w:rPr>
          <w:w w:val="105"/>
        </w:rPr>
        <w:t>a</w:t>
      </w:r>
      <w:r>
        <w:rPr>
          <w:spacing w:val="10"/>
          <w:w w:val="105"/>
        </w:rPr>
        <w:t> </w:t>
      </w:r>
      <w:r>
        <w:rPr>
          <w:w w:val="105"/>
        </w:rPr>
        <w:t>behavioural</w:t>
      </w:r>
      <w:r>
        <w:rPr>
          <w:spacing w:val="11"/>
          <w:w w:val="105"/>
        </w:rPr>
        <w:t> </w:t>
      </w:r>
      <w:r>
        <w:rPr>
          <w:w w:val="105"/>
        </w:rPr>
        <w:t>impulse</w:t>
      </w:r>
      <w:r>
        <w:rPr>
          <w:spacing w:val="10"/>
          <w:w w:val="105"/>
        </w:rPr>
        <w:t> </w:t>
      </w:r>
      <w:r>
        <w:rPr>
          <w:w w:val="105"/>
        </w:rPr>
        <w:t>in</w:t>
      </w:r>
      <w:r>
        <w:rPr>
          <w:spacing w:val="11"/>
          <w:w w:val="105"/>
        </w:rPr>
        <w:t> </w:t>
      </w:r>
      <w:r>
        <w:rPr>
          <w:w w:val="105"/>
        </w:rPr>
        <w:t>order</w:t>
      </w:r>
      <w:r>
        <w:rPr>
          <w:spacing w:val="11"/>
          <w:w w:val="105"/>
        </w:rPr>
        <w:t> </w:t>
      </w:r>
      <w:r>
        <w:rPr>
          <w:w w:val="105"/>
        </w:rPr>
        <w:t>to</w:t>
      </w:r>
      <w:r>
        <w:rPr>
          <w:spacing w:val="10"/>
          <w:w w:val="105"/>
        </w:rPr>
        <w:t> </w:t>
      </w:r>
      <w:r>
        <w:rPr>
          <w:w w:val="105"/>
        </w:rPr>
        <w:t>attain</w:t>
      </w:r>
      <w:r>
        <w:rPr>
          <w:spacing w:val="10"/>
          <w:w w:val="105"/>
        </w:rPr>
        <w:t> </w:t>
      </w:r>
      <w:r>
        <w:rPr>
          <w:w w:val="105"/>
        </w:rPr>
        <w:t>higher-order</w:t>
      </w:r>
      <w:r>
        <w:rPr>
          <w:spacing w:val="11"/>
          <w:w w:val="105"/>
        </w:rPr>
        <w:t> </w:t>
      </w:r>
      <w:r>
        <w:rPr>
          <w:w w:val="105"/>
        </w:rPr>
        <w:t>goals,</w:t>
      </w:r>
    </w:p>
    <w:p>
      <w:pPr>
        <w:pStyle w:val="BodyText"/>
        <w:ind w:left="293"/>
      </w:pPr>
      <w:r>
        <w:rPr>
          <w:rFonts w:ascii="Arial" w:hAnsi="Arial"/>
          <w:sz w:val="12"/>
        </w:rPr>
        <w:t>62     </w:t>
      </w:r>
      <w:r>
        <w:rPr>
          <w:rFonts w:ascii="Arial" w:hAnsi="Arial"/>
          <w:spacing w:val="15"/>
          <w:sz w:val="12"/>
        </w:rPr>
        <w:t> </w:t>
      </w:r>
      <w:r>
        <w:rPr/>
        <w:t>such</w:t>
      </w:r>
      <w:r>
        <w:rPr>
          <w:spacing w:val="24"/>
        </w:rPr>
        <w:t> </w:t>
      </w:r>
      <w:r>
        <w:rPr/>
        <w:t>as</w:t>
      </w:r>
      <w:r>
        <w:rPr>
          <w:spacing w:val="23"/>
        </w:rPr>
        <w:t> </w:t>
      </w:r>
      <w:r>
        <w:rPr>
          <w:spacing w:val="-3"/>
        </w:rPr>
        <w:t>weight</w:t>
      </w:r>
      <w:r>
        <w:rPr>
          <w:spacing w:val="24"/>
        </w:rPr>
        <w:t> </w:t>
      </w:r>
      <w:r>
        <w:rPr/>
        <w:t>loss”</w:t>
      </w:r>
      <w:r>
        <w:rPr>
          <w:spacing w:val="23"/>
        </w:rPr>
        <w:t> </w:t>
      </w:r>
      <w:r>
        <w:rPr/>
        <w:t>(Houben,</w:t>
      </w:r>
      <w:r>
        <w:rPr>
          <w:spacing w:val="23"/>
        </w:rPr>
        <w:t> </w:t>
      </w:r>
      <w:r>
        <w:rPr/>
        <w:t>Nederkoorn,</w:t>
      </w:r>
      <w:r>
        <w:rPr>
          <w:spacing w:val="24"/>
        </w:rPr>
        <w:t> </w:t>
      </w:r>
      <w:r>
        <w:rPr/>
        <w:t>&amp;</w:t>
      </w:r>
      <w:r>
        <w:rPr>
          <w:spacing w:val="24"/>
        </w:rPr>
        <w:t> </w:t>
      </w:r>
      <w:r>
        <w:rPr/>
        <w:t>Jansen,</w:t>
      </w:r>
      <w:r>
        <w:rPr>
          <w:spacing w:val="23"/>
        </w:rPr>
        <w:t> </w:t>
      </w:r>
      <w:r>
        <w:rPr/>
        <w:t>2012,</w:t>
      </w:r>
      <w:r>
        <w:rPr>
          <w:spacing w:val="24"/>
        </w:rPr>
        <w:t> </w:t>
      </w:r>
      <w:r>
        <w:rPr/>
        <w:t>p.</w:t>
      </w:r>
      <w:r>
        <w:rPr>
          <w:spacing w:val="53"/>
        </w:rPr>
        <w:t> </w:t>
      </w:r>
      <w:r>
        <w:rPr/>
        <w:t>550)</w:t>
      </w:r>
      <w:r>
        <w:rPr>
          <w:spacing w:val="23"/>
        </w:rPr>
        <w:t> </w:t>
      </w:r>
      <w:r>
        <w:rPr/>
        <w:t>and</w:t>
      </w:r>
      <w:r>
        <w:rPr>
          <w:spacing w:val="24"/>
        </w:rPr>
        <w:t> </w:t>
      </w:r>
      <w:r>
        <w:rPr/>
        <w:t>encompasses</w:t>
      </w:r>
      <w:r>
        <w:rPr>
          <w:spacing w:val="25"/>
        </w:rPr>
        <w:t> </w:t>
      </w:r>
      <w:r>
        <w:rPr/>
        <w:t>several</w:t>
      </w:r>
    </w:p>
    <w:p>
      <w:pPr>
        <w:pStyle w:val="BodyText"/>
        <w:spacing w:before="203"/>
        <w:ind w:left="293"/>
      </w:pPr>
      <w:r>
        <w:rPr>
          <w:rFonts w:ascii="Arial" w:hAnsi="Arial"/>
          <w:sz w:val="12"/>
        </w:rPr>
        <w:t>63     </w:t>
      </w:r>
      <w:r>
        <w:rPr>
          <w:rFonts w:ascii="Arial" w:hAnsi="Arial"/>
          <w:spacing w:val="21"/>
          <w:sz w:val="12"/>
        </w:rPr>
        <w:t> </w:t>
      </w:r>
      <w:r>
        <w:rPr/>
        <w:t>elements,</w:t>
      </w:r>
      <w:r>
        <w:rPr>
          <w:spacing w:val="26"/>
        </w:rPr>
        <w:t> </w:t>
      </w:r>
      <w:r>
        <w:rPr/>
        <w:t>such</w:t>
      </w:r>
      <w:r>
        <w:rPr>
          <w:spacing w:val="26"/>
        </w:rPr>
        <w:t> </w:t>
      </w:r>
      <w:r>
        <w:rPr/>
        <w:t>as</w:t>
      </w:r>
      <w:r>
        <w:rPr>
          <w:spacing w:val="25"/>
        </w:rPr>
        <w:t> </w:t>
      </w:r>
      <w:r>
        <w:rPr/>
        <w:t>response</w:t>
      </w:r>
      <w:r>
        <w:rPr>
          <w:spacing w:val="26"/>
        </w:rPr>
        <w:t> </w:t>
      </w:r>
      <w:r>
        <w:rPr/>
        <w:t>inhibition</w:t>
      </w:r>
      <w:r>
        <w:rPr>
          <w:spacing w:val="26"/>
        </w:rPr>
        <w:t> </w:t>
      </w:r>
      <w:r>
        <w:rPr/>
        <w:t>and</w:t>
      </w:r>
      <w:r>
        <w:rPr>
          <w:spacing w:val="26"/>
        </w:rPr>
        <w:t> </w:t>
      </w:r>
      <w:r>
        <w:rPr/>
        <w:t>cognitive</w:t>
      </w:r>
      <w:r>
        <w:rPr>
          <w:spacing w:val="25"/>
        </w:rPr>
        <w:t> </w:t>
      </w:r>
      <w:r>
        <w:rPr/>
        <w:t>flexibility</w:t>
      </w:r>
      <w:r>
        <w:rPr>
          <w:spacing w:val="26"/>
        </w:rPr>
        <w:t> </w:t>
      </w:r>
      <w:r>
        <w:rPr/>
        <w:t>(see</w:t>
      </w:r>
      <w:r>
        <w:rPr>
          <w:spacing w:val="26"/>
        </w:rPr>
        <w:t> </w:t>
      </w:r>
      <w:r>
        <w:rPr/>
        <w:t>Bartholdy,</w:t>
      </w:r>
      <w:r>
        <w:rPr>
          <w:spacing w:val="26"/>
        </w:rPr>
        <w:t> </w:t>
      </w:r>
      <w:r>
        <w:rPr/>
        <w:t>Dalton,</w:t>
      </w:r>
      <w:r>
        <w:rPr>
          <w:spacing w:val="25"/>
        </w:rPr>
        <w:t> </w:t>
      </w:r>
      <w:r>
        <w:rPr>
          <w:spacing w:val="-4"/>
        </w:rPr>
        <w:t>O’Daly,</w:t>
      </w:r>
    </w:p>
    <w:p>
      <w:pPr>
        <w:pStyle w:val="BodyText"/>
        <w:ind w:left="293"/>
      </w:pPr>
      <w:r>
        <w:rPr>
          <w:rFonts w:ascii="Arial"/>
          <w:w w:val="105"/>
          <w:sz w:val="12"/>
        </w:rPr>
        <w:t>64 </w:t>
      </w:r>
      <w:r>
        <w:rPr>
          <w:w w:val="105"/>
        </w:rPr>
        <w:t>Campbell, &amp; Schmidt, 2016). Inhibitory control capacity is often measured via</w:t>
      </w:r>
      <w:r>
        <w:rPr>
          <w:spacing w:val="59"/>
          <w:w w:val="105"/>
        </w:rPr>
        <w:t> </w:t>
      </w:r>
      <w:r>
        <w:rPr>
          <w:w w:val="105"/>
        </w:rPr>
        <w:t>response</w:t>
      </w:r>
    </w:p>
    <w:p>
      <w:pPr>
        <w:pStyle w:val="BodyText"/>
        <w:ind w:left="293"/>
      </w:pPr>
      <w:r>
        <w:rPr>
          <w:rFonts w:ascii="Arial"/>
          <w:w w:val="105"/>
          <w:sz w:val="12"/>
        </w:rPr>
        <w:t>65 </w:t>
      </w:r>
      <w:r>
        <w:rPr>
          <w:w w:val="105"/>
        </w:rPr>
        <w:t>inhibition paradigms, such as the go/no-go task and stop-signal task, and has been</w:t>
      </w:r>
    </w:p>
    <w:p>
      <w:pPr>
        <w:pStyle w:val="BodyText"/>
        <w:ind w:left="293"/>
      </w:pPr>
      <w:r>
        <w:rPr>
          <w:rFonts w:ascii="Arial"/>
          <w:w w:val="105"/>
          <w:sz w:val="12"/>
        </w:rPr>
        <w:t>66 </w:t>
      </w:r>
      <w:r>
        <w:rPr>
          <w:w w:val="105"/>
        </w:rPr>
        <w:t>associated with unhealthy eating behaviours (e.g., Jasinska et al., 2012; Guerrieri et al., 2007;</w:t>
      </w:r>
    </w:p>
    <w:p>
      <w:pPr>
        <w:pStyle w:val="BodyText"/>
        <w:spacing w:before="0"/>
        <w:ind w:left="0"/>
        <w:rPr>
          <w:sz w:val="20"/>
        </w:rPr>
      </w:pPr>
    </w:p>
    <w:p>
      <w:pPr>
        <w:pStyle w:val="BodyText"/>
        <w:spacing w:before="7"/>
        <w:ind w:left="0"/>
        <w:rPr>
          <w:sz w:val="20"/>
        </w:rPr>
      </w:pPr>
      <w:r>
        <w:rPr/>
        <w:pict>
          <v:line style="position:absolute;mso-position-horizontal-relative:page;mso-position-vertical-relative:paragraph;z-index:-1024;mso-wrap-distance-left:0;mso-wrap-distance-right:0" from="72pt,13.923102pt" to="108pt,13.923102pt" stroked="true" strokeweight=".125pt" strokecolor="#000000">
            <v:stroke dashstyle="solid"/>
            <w10:wrap type="topAndBottom"/>
          </v:line>
        </w:pict>
      </w:r>
    </w:p>
    <w:p>
      <w:pPr>
        <w:spacing w:line="412" w:lineRule="auto" w:before="140"/>
        <w:ind w:left="620" w:right="292" w:firstLine="0"/>
        <w:jc w:val="both"/>
        <w:rPr>
          <w:i/>
          <w:sz w:val="20"/>
        </w:rPr>
      </w:pPr>
      <w:r>
        <w:rPr>
          <w:w w:val="105"/>
          <w:position w:val="7"/>
          <w:sz w:val="14"/>
        </w:rPr>
        <w:t>1</w:t>
      </w:r>
      <w:bookmarkStart w:name="_bookmark0" w:id="3"/>
      <w:bookmarkEnd w:id="3"/>
      <w:r>
        <w:rPr>
          <w:w w:val="105"/>
          <w:position w:val="7"/>
          <w:sz w:val="14"/>
        </w:rPr>
      </w:r>
      <w:r>
        <w:rPr>
          <w:w w:val="105"/>
          <w:position w:val="7"/>
          <w:sz w:val="14"/>
        </w:rPr>
        <w:t> </w:t>
      </w:r>
      <w:r>
        <w:rPr>
          <w:w w:val="105"/>
          <w:sz w:val="20"/>
        </w:rPr>
        <w:t>There is great variability in terms of methodology for the assessment of both approach bias and inhibitory control in reported studies and therefore the replicability of certain findings is questionable. This and similar issues are presented in the </w:t>
      </w:r>
      <w:hyperlink w:history="true" w:anchor="_bookmark30">
        <w:r>
          <w:rPr>
            <w:i/>
            <w:w w:val="105"/>
            <w:sz w:val="20"/>
          </w:rPr>
          <w:t>Discussion.</w:t>
        </w:r>
      </w:hyperlink>
    </w:p>
    <w:p>
      <w:pPr>
        <w:spacing w:after="0" w:line="412" w:lineRule="auto"/>
        <w:jc w:val="both"/>
        <w:rPr>
          <w:sz w:val="20"/>
        </w:rPr>
        <w:sectPr>
          <w:pgSz w:w="12240" w:h="15840"/>
          <w:pgMar w:header="649" w:footer="0" w:top="1320" w:bottom="280" w:left="820" w:right="1140"/>
        </w:sectPr>
      </w:pPr>
    </w:p>
    <w:p>
      <w:pPr>
        <w:pStyle w:val="BodyText"/>
        <w:spacing w:before="191"/>
        <w:ind w:left="293"/>
      </w:pPr>
      <w:r>
        <w:rPr>
          <w:rFonts w:ascii="Arial"/>
          <w:w w:val="105"/>
          <w:sz w:val="12"/>
        </w:rPr>
        <w:t>67 </w:t>
      </w:r>
      <w:r>
        <w:rPr>
          <w:w w:val="105"/>
        </w:rPr>
        <w:t>Hall, 2012). Nederkoorn, Houben, Hofmann, Roefs, and Jansen (2010) </w:t>
      </w:r>
      <w:r>
        <w:rPr>
          <w:spacing w:val="-3"/>
          <w:w w:val="105"/>
        </w:rPr>
        <w:t>showed </w:t>
      </w:r>
      <w:r>
        <w:rPr>
          <w:w w:val="105"/>
        </w:rPr>
        <w:t>that</w:t>
      </w:r>
      <w:r>
        <w:rPr>
          <w:spacing w:val="61"/>
          <w:w w:val="105"/>
        </w:rPr>
        <w:t> </w:t>
      </w:r>
      <w:r>
        <w:rPr>
          <w:w w:val="105"/>
        </w:rPr>
        <w:t>strong</w:t>
      </w:r>
    </w:p>
    <w:p>
      <w:pPr>
        <w:pStyle w:val="BodyText"/>
        <w:ind w:left="293"/>
      </w:pPr>
      <w:r>
        <w:rPr>
          <w:rFonts w:ascii="Arial" w:hAnsi="Arial"/>
          <w:sz w:val="12"/>
        </w:rPr>
        <w:t>68 </w:t>
      </w:r>
      <w:r>
        <w:rPr/>
        <w:t>implicit preferences for snacks paired with low “inhibitory control capacity” predicted weight</w:t>
      </w:r>
    </w:p>
    <w:p>
      <w:pPr>
        <w:pStyle w:val="BodyText"/>
        <w:spacing w:before="203"/>
        <w:ind w:left="293"/>
      </w:pPr>
      <w:r>
        <w:rPr>
          <w:rFonts w:ascii="Arial"/>
          <w:w w:val="105"/>
          <w:sz w:val="12"/>
        </w:rPr>
        <w:t>69 </w:t>
      </w:r>
      <w:r>
        <w:rPr>
          <w:w w:val="105"/>
        </w:rPr>
        <w:t>gain over one year. Overall, there is evidence to suggest that both inhibitory control and</w:t>
      </w:r>
    </w:p>
    <w:p>
      <w:pPr>
        <w:pStyle w:val="BodyText"/>
        <w:ind w:left="293"/>
      </w:pPr>
      <w:r>
        <w:rPr>
          <w:rFonts w:ascii="Arial"/>
          <w:w w:val="105"/>
          <w:sz w:val="12"/>
        </w:rPr>
        <w:t>70 </w:t>
      </w:r>
      <w:r>
        <w:rPr>
          <w:w w:val="105"/>
        </w:rPr>
        <w:t>motivational processes are important determinants of eating-related behaviour.</w:t>
      </w:r>
    </w:p>
    <w:p>
      <w:pPr>
        <w:pStyle w:val="BodyText"/>
        <w:spacing w:before="0"/>
        <w:ind w:left="0"/>
        <w:rPr>
          <w:sz w:val="20"/>
        </w:rPr>
      </w:pPr>
    </w:p>
    <w:p>
      <w:pPr>
        <w:pStyle w:val="BodyText"/>
        <w:tabs>
          <w:tab w:pos="1195" w:val="left" w:leader="none"/>
        </w:tabs>
        <w:spacing w:before="261"/>
        <w:ind w:left="293"/>
      </w:pPr>
      <w:r>
        <w:rPr>
          <w:rFonts w:ascii="Arial"/>
          <w:w w:val="105"/>
          <w:sz w:val="12"/>
        </w:rPr>
        <w:t>71</w:t>
        <w:tab/>
      </w:r>
      <w:r>
        <w:rPr>
          <w:w w:val="105"/>
        </w:rPr>
        <w:t>Complementary</w:t>
      </w:r>
      <w:r>
        <w:rPr>
          <w:spacing w:val="10"/>
          <w:w w:val="105"/>
        </w:rPr>
        <w:t> </w:t>
      </w:r>
      <w:r>
        <w:rPr>
          <w:w w:val="105"/>
        </w:rPr>
        <w:t>evidence</w:t>
      </w:r>
      <w:r>
        <w:rPr>
          <w:spacing w:val="12"/>
          <w:w w:val="105"/>
        </w:rPr>
        <w:t> </w:t>
      </w:r>
      <w:r>
        <w:rPr>
          <w:w w:val="105"/>
        </w:rPr>
        <w:t>for</w:t>
      </w:r>
      <w:r>
        <w:rPr>
          <w:spacing w:val="11"/>
          <w:w w:val="105"/>
        </w:rPr>
        <w:t> </w:t>
      </w:r>
      <w:r>
        <w:rPr>
          <w:w w:val="105"/>
        </w:rPr>
        <w:t>the</w:t>
      </w:r>
      <w:r>
        <w:rPr>
          <w:spacing w:val="12"/>
          <w:w w:val="105"/>
        </w:rPr>
        <w:t> </w:t>
      </w:r>
      <w:r>
        <w:rPr>
          <w:w w:val="105"/>
        </w:rPr>
        <w:t>role</w:t>
      </w:r>
      <w:r>
        <w:rPr>
          <w:spacing w:val="10"/>
          <w:w w:val="105"/>
        </w:rPr>
        <w:t> </w:t>
      </w:r>
      <w:r>
        <w:rPr>
          <w:w w:val="105"/>
        </w:rPr>
        <w:t>of</w:t>
      </w:r>
      <w:r>
        <w:rPr>
          <w:spacing w:val="11"/>
          <w:w w:val="105"/>
        </w:rPr>
        <w:t> </w:t>
      </w:r>
      <w:r>
        <w:rPr>
          <w:w w:val="105"/>
        </w:rPr>
        <w:t>automatic</w:t>
      </w:r>
      <w:r>
        <w:rPr>
          <w:spacing w:val="11"/>
          <w:w w:val="105"/>
        </w:rPr>
        <w:t> </w:t>
      </w:r>
      <w:r>
        <w:rPr>
          <w:w w:val="105"/>
        </w:rPr>
        <w:t>and</w:t>
      </w:r>
      <w:r>
        <w:rPr>
          <w:spacing w:val="11"/>
          <w:w w:val="105"/>
        </w:rPr>
        <w:t> </w:t>
      </w:r>
      <w:r>
        <w:rPr>
          <w:w w:val="105"/>
        </w:rPr>
        <w:t>controlled</w:t>
      </w:r>
      <w:r>
        <w:rPr>
          <w:spacing w:val="10"/>
          <w:w w:val="105"/>
        </w:rPr>
        <w:t> </w:t>
      </w:r>
      <w:r>
        <w:rPr>
          <w:w w:val="105"/>
        </w:rPr>
        <w:t>processes</w:t>
      </w:r>
      <w:r>
        <w:rPr>
          <w:spacing w:val="12"/>
          <w:w w:val="105"/>
        </w:rPr>
        <w:t> </w:t>
      </w:r>
      <w:r>
        <w:rPr>
          <w:w w:val="105"/>
        </w:rPr>
        <w:t>in</w:t>
      </w:r>
      <w:r>
        <w:rPr>
          <w:spacing w:val="10"/>
          <w:w w:val="105"/>
        </w:rPr>
        <w:t> </w:t>
      </w:r>
      <w:r>
        <w:rPr>
          <w:w w:val="105"/>
        </w:rPr>
        <w:t>the</w:t>
      </w:r>
    </w:p>
    <w:p>
      <w:pPr>
        <w:pStyle w:val="BodyText"/>
        <w:ind w:left="293"/>
      </w:pPr>
      <w:r>
        <w:rPr>
          <w:rFonts w:ascii="Arial"/>
          <w:w w:val="105"/>
          <w:sz w:val="12"/>
        </w:rPr>
        <w:t>72     </w:t>
      </w:r>
      <w:r>
        <w:rPr>
          <w:w w:val="105"/>
        </w:rPr>
        <w:t>regulation of eating behaviours stems from the line of research dedicated to the</w:t>
      </w:r>
      <w:r>
        <w:rPr>
          <w:spacing w:val="-4"/>
          <w:w w:val="105"/>
        </w:rPr>
        <w:t> </w:t>
      </w:r>
      <w:r>
        <w:rPr>
          <w:w w:val="105"/>
        </w:rPr>
        <w:t>development</w:t>
      </w:r>
    </w:p>
    <w:p>
      <w:pPr>
        <w:pStyle w:val="BodyText"/>
        <w:ind w:left="293"/>
      </w:pPr>
      <w:r>
        <w:rPr>
          <w:rFonts w:ascii="Arial"/>
          <w:w w:val="105"/>
          <w:sz w:val="12"/>
        </w:rPr>
        <w:t>73     </w:t>
      </w:r>
      <w:r>
        <w:rPr>
          <w:w w:val="105"/>
        </w:rPr>
        <w:t>of health behaviour change </w:t>
      </w:r>
      <w:r>
        <w:rPr>
          <w:spacing w:val="-3"/>
          <w:w w:val="105"/>
        </w:rPr>
        <w:t>interventions.  </w:t>
      </w:r>
      <w:r>
        <w:rPr>
          <w:w w:val="105"/>
        </w:rPr>
        <w:t>Approach bias modification training is</w:t>
      </w:r>
      <w:r>
        <w:rPr>
          <w:spacing w:val="62"/>
          <w:w w:val="105"/>
        </w:rPr>
        <w:t> </w:t>
      </w:r>
      <w:r>
        <w:rPr>
          <w:w w:val="105"/>
        </w:rPr>
        <w:t>commonly</w:t>
      </w:r>
    </w:p>
    <w:p>
      <w:pPr>
        <w:pStyle w:val="BodyText"/>
        <w:ind w:left="293"/>
      </w:pPr>
      <w:r>
        <w:rPr>
          <w:rFonts w:ascii="Arial"/>
          <w:w w:val="105"/>
          <w:sz w:val="12"/>
        </w:rPr>
        <w:t>74     </w:t>
      </w:r>
      <w:r>
        <w:rPr>
          <w:w w:val="105"/>
        </w:rPr>
        <w:t>delivered via an approach-avoidance task </w:t>
      </w:r>
      <w:r>
        <w:rPr>
          <w:spacing w:val="-5"/>
          <w:w w:val="105"/>
        </w:rPr>
        <w:t>(AAT; </w:t>
      </w:r>
      <w:r>
        <w:rPr>
          <w:w w:val="105"/>
        </w:rPr>
        <w:t>Neumann &amp; Strack, 2000; Rinck &amp;</w:t>
      </w:r>
      <w:r>
        <w:rPr>
          <w:spacing w:val="15"/>
          <w:w w:val="105"/>
        </w:rPr>
        <w:t> </w:t>
      </w:r>
      <w:r>
        <w:rPr>
          <w:w w:val="105"/>
        </w:rPr>
        <w:t>Becker,</w:t>
      </w:r>
    </w:p>
    <w:p>
      <w:pPr>
        <w:pStyle w:val="BodyText"/>
        <w:ind w:left="293"/>
      </w:pPr>
      <w:r>
        <w:rPr>
          <w:rFonts w:ascii="Arial"/>
          <w:w w:val="105"/>
          <w:sz w:val="12"/>
        </w:rPr>
        <w:t>75    </w:t>
      </w:r>
      <w:r>
        <w:rPr>
          <w:rFonts w:ascii="Arial"/>
          <w:spacing w:val="7"/>
          <w:w w:val="105"/>
          <w:sz w:val="12"/>
        </w:rPr>
        <w:t> </w:t>
      </w:r>
      <w:r>
        <w:rPr>
          <w:w w:val="105"/>
        </w:rPr>
        <w:t>2007;</w:t>
      </w:r>
      <w:r>
        <w:rPr>
          <w:spacing w:val="9"/>
          <w:w w:val="105"/>
        </w:rPr>
        <w:t> </w:t>
      </w:r>
      <w:r>
        <w:rPr>
          <w:w w:val="105"/>
        </w:rPr>
        <w:t>Reinout</w:t>
      </w:r>
      <w:r>
        <w:rPr>
          <w:spacing w:val="11"/>
          <w:w w:val="105"/>
        </w:rPr>
        <w:t> </w:t>
      </w:r>
      <w:r>
        <w:rPr>
          <w:w w:val="105"/>
        </w:rPr>
        <w:t>W</w:t>
      </w:r>
      <w:r>
        <w:rPr>
          <w:spacing w:val="10"/>
          <w:w w:val="105"/>
        </w:rPr>
        <w:t> </w:t>
      </w:r>
      <w:r>
        <w:rPr>
          <w:w w:val="105"/>
        </w:rPr>
        <w:t>Wiers</w:t>
      </w:r>
      <w:r>
        <w:rPr>
          <w:spacing w:val="9"/>
          <w:w w:val="105"/>
        </w:rPr>
        <w:t> </w:t>
      </w:r>
      <w:r>
        <w:rPr>
          <w:w w:val="105"/>
        </w:rPr>
        <w:t>et</w:t>
      </w:r>
      <w:r>
        <w:rPr>
          <w:spacing w:val="11"/>
          <w:w w:val="105"/>
        </w:rPr>
        <w:t> </w:t>
      </w:r>
      <w:r>
        <w:rPr>
          <w:w w:val="105"/>
        </w:rPr>
        <w:t>al.,</w:t>
      </w:r>
      <w:r>
        <w:rPr>
          <w:spacing w:val="10"/>
          <w:w w:val="105"/>
        </w:rPr>
        <w:t> </w:t>
      </w:r>
      <w:r>
        <w:rPr>
          <w:w w:val="105"/>
        </w:rPr>
        <w:t>2013)</w:t>
      </w:r>
      <w:r>
        <w:rPr>
          <w:spacing w:val="9"/>
          <w:w w:val="105"/>
        </w:rPr>
        <w:t> </w:t>
      </w:r>
      <w:r>
        <w:rPr>
          <w:w w:val="105"/>
        </w:rPr>
        <w:t>and</w:t>
      </w:r>
      <w:r>
        <w:rPr>
          <w:spacing w:val="11"/>
          <w:w w:val="105"/>
        </w:rPr>
        <w:t> </w:t>
      </w:r>
      <w:r>
        <w:rPr>
          <w:w w:val="105"/>
        </w:rPr>
        <w:t>has</w:t>
      </w:r>
      <w:r>
        <w:rPr>
          <w:spacing w:val="10"/>
          <w:w w:val="105"/>
        </w:rPr>
        <w:t> </w:t>
      </w:r>
      <w:r>
        <w:rPr>
          <w:w w:val="105"/>
        </w:rPr>
        <w:t>been</w:t>
      </w:r>
      <w:r>
        <w:rPr>
          <w:spacing w:val="10"/>
          <w:w w:val="105"/>
        </w:rPr>
        <w:t> </w:t>
      </w:r>
      <w:r>
        <w:rPr>
          <w:w w:val="105"/>
        </w:rPr>
        <w:t>applied</w:t>
      </w:r>
      <w:r>
        <w:rPr>
          <w:spacing w:val="11"/>
          <w:w w:val="105"/>
        </w:rPr>
        <w:t> </w:t>
      </w:r>
      <w:r>
        <w:rPr>
          <w:w w:val="105"/>
        </w:rPr>
        <w:t>to</w:t>
      </w:r>
      <w:r>
        <w:rPr>
          <w:spacing w:val="10"/>
          <w:w w:val="105"/>
        </w:rPr>
        <w:t> </w:t>
      </w:r>
      <w:r>
        <w:rPr>
          <w:w w:val="105"/>
        </w:rPr>
        <w:t>several</w:t>
      </w:r>
      <w:r>
        <w:rPr>
          <w:spacing w:val="10"/>
          <w:w w:val="105"/>
        </w:rPr>
        <w:t> </w:t>
      </w:r>
      <w:r>
        <w:rPr>
          <w:w w:val="105"/>
        </w:rPr>
        <w:t>unhealthy</w:t>
      </w:r>
      <w:r>
        <w:rPr>
          <w:spacing w:val="10"/>
          <w:w w:val="105"/>
        </w:rPr>
        <w:t> </w:t>
      </w:r>
      <w:r>
        <w:rPr>
          <w:w w:val="105"/>
        </w:rPr>
        <w:t>behaviours</w:t>
      </w:r>
    </w:p>
    <w:p>
      <w:pPr>
        <w:pStyle w:val="BodyText"/>
        <w:spacing w:before="203"/>
        <w:ind w:left="293"/>
      </w:pPr>
      <w:r>
        <w:rPr>
          <w:rFonts w:ascii="Arial"/>
          <w:w w:val="105"/>
          <w:sz w:val="12"/>
        </w:rPr>
        <w:t>76    </w:t>
      </w:r>
      <w:r>
        <w:rPr>
          <w:rFonts w:ascii="Arial"/>
          <w:spacing w:val="7"/>
          <w:w w:val="105"/>
          <w:sz w:val="12"/>
        </w:rPr>
        <w:t> </w:t>
      </w:r>
      <w:r>
        <w:rPr>
          <w:spacing w:val="-3"/>
          <w:w w:val="105"/>
        </w:rPr>
        <w:t>involving</w:t>
      </w:r>
      <w:r>
        <w:rPr>
          <w:spacing w:val="8"/>
          <w:w w:val="105"/>
        </w:rPr>
        <w:t> </w:t>
      </w:r>
      <w:r>
        <w:rPr>
          <w:w w:val="105"/>
        </w:rPr>
        <w:t>appetitive</w:t>
      </w:r>
      <w:r>
        <w:rPr>
          <w:spacing w:val="9"/>
          <w:w w:val="105"/>
        </w:rPr>
        <w:t> </w:t>
      </w:r>
      <w:r>
        <w:rPr>
          <w:w w:val="105"/>
        </w:rPr>
        <w:t>cues,</w:t>
      </w:r>
      <w:r>
        <w:rPr>
          <w:spacing w:val="9"/>
          <w:w w:val="105"/>
        </w:rPr>
        <w:t> </w:t>
      </w:r>
      <w:r>
        <w:rPr>
          <w:w w:val="105"/>
        </w:rPr>
        <w:t>such</w:t>
      </w:r>
      <w:r>
        <w:rPr>
          <w:spacing w:val="8"/>
          <w:w w:val="105"/>
        </w:rPr>
        <w:t> </w:t>
      </w:r>
      <w:r>
        <w:rPr>
          <w:w w:val="105"/>
        </w:rPr>
        <w:t>as</w:t>
      </w:r>
      <w:r>
        <w:rPr>
          <w:spacing w:val="8"/>
          <w:w w:val="105"/>
        </w:rPr>
        <w:t> </w:t>
      </w:r>
      <w:r>
        <w:rPr>
          <w:w w:val="105"/>
        </w:rPr>
        <w:t>alcohol</w:t>
      </w:r>
      <w:r>
        <w:rPr>
          <w:spacing w:val="8"/>
          <w:w w:val="105"/>
        </w:rPr>
        <w:t> </w:t>
      </w:r>
      <w:r>
        <w:rPr>
          <w:w w:val="105"/>
        </w:rPr>
        <w:t>consumption</w:t>
      </w:r>
      <w:r>
        <w:rPr>
          <w:spacing w:val="9"/>
          <w:w w:val="105"/>
        </w:rPr>
        <w:t> </w:t>
      </w:r>
      <w:r>
        <w:rPr>
          <w:w w:val="105"/>
        </w:rPr>
        <w:t>and</w:t>
      </w:r>
      <w:r>
        <w:rPr>
          <w:spacing w:val="7"/>
          <w:w w:val="105"/>
        </w:rPr>
        <w:t> </w:t>
      </w:r>
      <w:r>
        <w:rPr>
          <w:w w:val="105"/>
        </w:rPr>
        <w:t>cigarette</w:t>
      </w:r>
      <w:r>
        <w:rPr>
          <w:spacing w:val="9"/>
          <w:w w:val="105"/>
        </w:rPr>
        <w:t> </w:t>
      </w:r>
      <w:r>
        <w:rPr>
          <w:w w:val="105"/>
        </w:rPr>
        <w:t>smoking</w:t>
      </w:r>
      <w:r>
        <w:rPr>
          <w:spacing w:val="9"/>
          <w:w w:val="105"/>
        </w:rPr>
        <w:t> </w:t>
      </w:r>
      <w:r>
        <w:rPr>
          <w:w w:val="105"/>
        </w:rPr>
        <w:t>(e.g.,</w:t>
      </w:r>
      <w:r>
        <w:rPr>
          <w:spacing w:val="9"/>
          <w:w w:val="105"/>
        </w:rPr>
        <w:t> </w:t>
      </w:r>
      <w:r>
        <w:rPr>
          <w:w w:val="105"/>
        </w:rPr>
        <w:t>Wiers,</w:t>
      </w:r>
    </w:p>
    <w:p>
      <w:pPr>
        <w:pStyle w:val="BodyText"/>
        <w:ind w:left="293"/>
      </w:pPr>
      <w:r>
        <w:rPr>
          <w:rFonts w:ascii="Arial"/>
          <w:sz w:val="12"/>
        </w:rPr>
        <w:t>77 </w:t>
      </w:r>
      <w:r>
        <w:rPr/>
        <w:t>Eberl, Rinck, Becker, &amp; Lindenmeyer, 2011; Wittekind, Feist, Schneider, Moritz, &amp; Fritzsche,</w:t>
      </w:r>
    </w:p>
    <w:p>
      <w:pPr>
        <w:pStyle w:val="BodyText"/>
        <w:ind w:left="293"/>
      </w:pPr>
      <w:r>
        <w:rPr>
          <w:rFonts w:ascii="Arial"/>
          <w:w w:val="105"/>
          <w:sz w:val="12"/>
        </w:rPr>
        <w:t>78 </w:t>
      </w:r>
      <w:r>
        <w:rPr>
          <w:w w:val="105"/>
        </w:rPr>
        <w:t>2015). The AAT is assumed to capture automatic action tendencies when participants are</w:t>
      </w:r>
    </w:p>
    <w:p>
      <w:pPr>
        <w:pStyle w:val="BodyText"/>
        <w:ind w:left="293"/>
      </w:pPr>
      <w:r>
        <w:rPr>
          <w:rFonts w:ascii="Arial"/>
          <w:w w:val="105"/>
          <w:sz w:val="12"/>
        </w:rPr>
        <w:t>79    </w:t>
      </w:r>
      <w:r>
        <w:rPr>
          <w:rFonts w:ascii="Arial"/>
          <w:spacing w:val="31"/>
          <w:w w:val="105"/>
          <w:sz w:val="12"/>
        </w:rPr>
        <w:t> </w:t>
      </w:r>
      <w:r>
        <w:rPr>
          <w:w w:val="105"/>
        </w:rPr>
        <w:t>instructed</w:t>
      </w:r>
      <w:r>
        <w:rPr>
          <w:spacing w:val="17"/>
          <w:w w:val="105"/>
        </w:rPr>
        <w:t> </w:t>
      </w:r>
      <w:r>
        <w:rPr>
          <w:w w:val="105"/>
        </w:rPr>
        <w:t>to</w:t>
      </w:r>
      <w:r>
        <w:rPr>
          <w:spacing w:val="18"/>
          <w:w w:val="105"/>
        </w:rPr>
        <w:t> </w:t>
      </w:r>
      <w:r>
        <w:rPr>
          <w:w w:val="105"/>
        </w:rPr>
        <w:t>respond</w:t>
      </w:r>
      <w:r>
        <w:rPr>
          <w:spacing w:val="17"/>
          <w:w w:val="105"/>
        </w:rPr>
        <w:t> </w:t>
      </w:r>
      <w:r>
        <w:rPr>
          <w:w w:val="105"/>
        </w:rPr>
        <w:t>to</w:t>
      </w:r>
      <w:r>
        <w:rPr>
          <w:spacing w:val="17"/>
          <w:w w:val="105"/>
        </w:rPr>
        <w:t> </w:t>
      </w:r>
      <w:r>
        <w:rPr>
          <w:w w:val="105"/>
        </w:rPr>
        <w:t>an</w:t>
      </w:r>
      <w:r>
        <w:rPr>
          <w:spacing w:val="17"/>
          <w:w w:val="105"/>
        </w:rPr>
        <w:t> </w:t>
      </w:r>
      <w:r>
        <w:rPr>
          <w:spacing w:val="-3"/>
          <w:w w:val="105"/>
        </w:rPr>
        <w:t>irrelevant</w:t>
      </w:r>
      <w:r>
        <w:rPr>
          <w:spacing w:val="17"/>
          <w:w w:val="105"/>
        </w:rPr>
        <w:t> </w:t>
      </w:r>
      <w:r>
        <w:rPr>
          <w:w w:val="105"/>
        </w:rPr>
        <w:t>feature</w:t>
      </w:r>
      <w:r>
        <w:rPr>
          <w:spacing w:val="18"/>
          <w:w w:val="105"/>
        </w:rPr>
        <w:t> </w:t>
      </w:r>
      <w:r>
        <w:rPr>
          <w:w w:val="105"/>
        </w:rPr>
        <w:t>of</w:t>
      </w:r>
      <w:r>
        <w:rPr>
          <w:spacing w:val="17"/>
          <w:w w:val="105"/>
        </w:rPr>
        <w:t> </w:t>
      </w:r>
      <w:r>
        <w:rPr>
          <w:w w:val="105"/>
        </w:rPr>
        <w:t>a</w:t>
      </w:r>
      <w:r>
        <w:rPr>
          <w:spacing w:val="17"/>
          <w:w w:val="105"/>
        </w:rPr>
        <w:t> </w:t>
      </w:r>
      <w:r>
        <w:rPr>
          <w:w w:val="105"/>
        </w:rPr>
        <w:t>presented</w:t>
      </w:r>
      <w:r>
        <w:rPr>
          <w:spacing w:val="17"/>
          <w:w w:val="105"/>
        </w:rPr>
        <w:t> </w:t>
      </w:r>
      <w:r>
        <w:rPr>
          <w:w w:val="105"/>
        </w:rPr>
        <w:t>picture,</w:t>
      </w:r>
      <w:r>
        <w:rPr>
          <w:spacing w:val="17"/>
          <w:w w:val="105"/>
        </w:rPr>
        <w:t> </w:t>
      </w:r>
      <w:r>
        <w:rPr>
          <w:w w:val="105"/>
        </w:rPr>
        <w:t>such</w:t>
      </w:r>
      <w:r>
        <w:rPr>
          <w:spacing w:val="17"/>
          <w:w w:val="105"/>
        </w:rPr>
        <w:t> </w:t>
      </w:r>
      <w:r>
        <w:rPr>
          <w:w w:val="105"/>
        </w:rPr>
        <w:t>as</w:t>
      </w:r>
      <w:r>
        <w:rPr>
          <w:spacing w:val="17"/>
          <w:w w:val="105"/>
        </w:rPr>
        <w:t> </w:t>
      </w:r>
      <w:r>
        <w:rPr>
          <w:w w:val="105"/>
        </w:rPr>
        <w:t>the</w:t>
      </w:r>
      <w:r>
        <w:rPr>
          <w:spacing w:val="17"/>
          <w:w w:val="105"/>
        </w:rPr>
        <w:t> </w:t>
      </w:r>
      <w:r>
        <w:rPr>
          <w:w w:val="105"/>
        </w:rPr>
        <w:t>orientation</w:t>
      </w:r>
    </w:p>
    <w:p>
      <w:pPr>
        <w:pStyle w:val="BodyText"/>
        <w:ind w:left="293"/>
      </w:pPr>
      <w:r>
        <w:rPr>
          <w:rFonts w:ascii="Arial"/>
          <w:w w:val="105"/>
          <w:sz w:val="12"/>
        </w:rPr>
        <w:t>80   </w:t>
      </w:r>
      <w:r>
        <w:rPr>
          <w:rFonts w:ascii="Arial"/>
          <w:spacing w:val="19"/>
          <w:w w:val="105"/>
          <w:sz w:val="12"/>
        </w:rPr>
        <w:t> </w:t>
      </w:r>
      <w:r>
        <w:rPr>
          <w:w w:val="105"/>
        </w:rPr>
        <w:t>(portrait</w:t>
      </w:r>
      <w:r>
        <w:rPr>
          <w:spacing w:val="8"/>
          <w:w w:val="105"/>
        </w:rPr>
        <w:t> </w:t>
      </w:r>
      <w:r>
        <w:rPr>
          <w:w w:val="105"/>
        </w:rPr>
        <w:t>or</w:t>
      </w:r>
      <w:r>
        <w:rPr>
          <w:spacing w:val="9"/>
          <w:w w:val="105"/>
        </w:rPr>
        <w:t> </w:t>
      </w:r>
      <w:r>
        <w:rPr>
          <w:w w:val="105"/>
        </w:rPr>
        <w:t>landscape),</w:t>
      </w:r>
      <w:r>
        <w:rPr>
          <w:spacing w:val="9"/>
          <w:w w:val="105"/>
        </w:rPr>
        <w:t> </w:t>
      </w:r>
      <w:r>
        <w:rPr>
          <w:spacing w:val="-4"/>
          <w:w w:val="105"/>
        </w:rPr>
        <w:t>by</w:t>
      </w:r>
      <w:r>
        <w:rPr>
          <w:spacing w:val="8"/>
          <w:w w:val="105"/>
        </w:rPr>
        <w:t> </w:t>
      </w:r>
      <w:r>
        <w:rPr>
          <w:w w:val="105"/>
        </w:rPr>
        <w:t>pulling</w:t>
      </w:r>
      <w:r>
        <w:rPr>
          <w:spacing w:val="9"/>
          <w:w w:val="105"/>
        </w:rPr>
        <w:t> </w:t>
      </w:r>
      <w:r>
        <w:rPr>
          <w:w w:val="105"/>
        </w:rPr>
        <w:t>or</w:t>
      </w:r>
      <w:r>
        <w:rPr>
          <w:spacing w:val="8"/>
          <w:w w:val="105"/>
        </w:rPr>
        <w:t> </w:t>
      </w:r>
      <w:r>
        <w:rPr>
          <w:w w:val="105"/>
        </w:rPr>
        <w:t>pushing</w:t>
      </w:r>
      <w:r>
        <w:rPr>
          <w:spacing w:val="9"/>
          <w:w w:val="105"/>
        </w:rPr>
        <w:t> </w:t>
      </w:r>
      <w:r>
        <w:rPr>
          <w:w w:val="105"/>
        </w:rPr>
        <w:t>a</w:t>
      </w:r>
      <w:r>
        <w:rPr>
          <w:spacing w:val="8"/>
          <w:w w:val="105"/>
        </w:rPr>
        <w:t> </w:t>
      </w:r>
      <w:r>
        <w:rPr>
          <w:spacing w:val="-3"/>
          <w:w w:val="105"/>
        </w:rPr>
        <w:t>joystick</w:t>
      </w:r>
      <w:r>
        <w:rPr>
          <w:spacing w:val="9"/>
          <w:w w:val="105"/>
        </w:rPr>
        <w:t> </w:t>
      </w:r>
      <w:r>
        <w:rPr>
          <w:w w:val="105"/>
        </w:rPr>
        <w:t>(C.</w:t>
      </w:r>
      <w:r>
        <w:rPr>
          <w:spacing w:val="8"/>
          <w:w w:val="105"/>
        </w:rPr>
        <w:t> </w:t>
      </w:r>
      <w:r>
        <w:rPr>
          <w:w w:val="105"/>
        </w:rPr>
        <w:t>E.</w:t>
      </w:r>
      <w:r>
        <w:rPr>
          <w:spacing w:val="8"/>
          <w:w w:val="105"/>
        </w:rPr>
        <w:t> </w:t>
      </w:r>
      <w:r>
        <w:rPr>
          <w:w w:val="105"/>
        </w:rPr>
        <w:t>Wiers</w:t>
      </w:r>
      <w:r>
        <w:rPr>
          <w:spacing w:val="9"/>
          <w:w w:val="105"/>
        </w:rPr>
        <w:t> </w:t>
      </w:r>
      <w:r>
        <w:rPr>
          <w:w w:val="105"/>
        </w:rPr>
        <w:t>et</w:t>
      </w:r>
      <w:r>
        <w:rPr>
          <w:spacing w:val="8"/>
          <w:w w:val="105"/>
        </w:rPr>
        <w:t> </w:t>
      </w:r>
      <w:r>
        <w:rPr>
          <w:w w:val="105"/>
        </w:rPr>
        <w:t>al.,</w:t>
      </w:r>
      <w:r>
        <w:rPr>
          <w:spacing w:val="9"/>
          <w:w w:val="105"/>
        </w:rPr>
        <w:t> </w:t>
      </w:r>
      <w:r>
        <w:rPr>
          <w:w w:val="105"/>
        </w:rPr>
        <w:t>2013).</w:t>
      </w:r>
      <w:r>
        <w:rPr>
          <w:spacing w:val="33"/>
          <w:w w:val="105"/>
        </w:rPr>
        <w:t> </w:t>
      </w:r>
      <w:r>
        <w:rPr>
          <w:w w:val="105"/>
        </w:rPr>
        <w:t>The</w:t>
      </w:r>
      <w:r>
        <w:rPr>
          <w:spacing w:val="9"/>
          <w:w w:val="105"/>
        </w:rPr>
        <w:t> </w:t>
      </w:r>
      <w:r>
        <w:rPr>
          <w:spacing w:val="-7"/>
          <w:w w:val="105"/>
        </w:rPr>
        <w:t>AAT</w:t>
      </w:r>
    </w:p>
    <w:p>
      <w:pPr>
        <w:pStyle w:val="BodyText"/>
        <w:spacing w:before="203"/>
        <w:ind w:left="293"/>
      </w:pPr>
      <w:r>
        <w:rPr>
          <w:rFonts w:ascii="Arial"/>
          <w:w w:val="105"/>
          <w:sz w:val="12"/>
        </w:rPr>
        <w:t>81 </w:t>
      </w:r>
      <w:r>
        <w:rPr>
          <w:w w:val="105"/>
        </w:rPr>
        <w:t>can also pair actions with visual feedback, so that the picture gets bigger when participant</w:t>
      </w:r>
    </w:p>
    <w:p>
      <w:pPr>
        <w:pStyle w:val="BodyText"/>
        <w:ind w:left="293"/>
      </w:pPr>
      <w:r>
        <w:rPr>
          <w:rFonts w:ascii="Arial"/>
          <w:w w:val="105"/>
          <w:sz w:val="12"/>
        </w:rPr>
        <w:t>82 </w:t>
      </w:r>
      <w:r>
        <w:rPr>
          <w:w w:val="105"/>
        </w:rPr>
        <w:t>pull the joystick towards them (zoom-in) and gets smaller when they push it away</w:t>
      </w:r>
    </w:p>
    <w:p>
      <w:pPr>
        <w:pStyle w:val="BodyText"/>
        <w:ind w:left="293"/>
      </w:pPr>
      <w:r>
        <w:rPr>
          <w:rFonts w:ascii="Arial"/>
          <w:w w:val="105"/>
          <w:sz w:val="12"/>
        </w:rPr>
        <w:t>83 </w:t>
      </w:r>
      <w:r>
        <w:rPr>
          <w:w w:val="105"/>
        </w:rPr>
        <w:t>(zoom-out). Arm extension could indicate an approach response towards an appetitive food</w:t>
      </w:r>
    </w:p>
    <w:p>
      <w:pPr>
        <w:pStyle w:val="BodyText"/>
        <w:ind w:left="293"/>
      </w:pPr>
      <w:r>
        <w:rPr>
          <w:rFonts w:ascii="Arial"/>
          <w:w w:val="105"/>
          <w:sz w:val="12"/>
        </w:rPr>
        <w:t>84 </w:t>
      </w:r>
      <w:r>
        <w:rPr>
          <w:w w:val="105"/>
        </w:rPr>
        <w:t>(object-reference) or an avoidance response where the food is pushed away from the</w:t>
      </w:r>
    </w:p>
    <w:p>
      <w:pPr>
        <w:pStyle w:val="BodyText"/>
        <w:ind w:left="293"/>
      </w:pPr>
      <w:r>
        <w:rPr>
          <w:rFonts w:ascii="Arial"/>
          <w:sz w:val="12"/>
        </w:rPr>
        <w:t>85       </w:t>
      </w:r>
      <w:r>
        <w:rPr/>
        <w:t>body/self  (self-reference; Phaf,  Mohr, Rotteveel, &amp; Wicherts,  2014) and thus  visual </w:t>
      </w:r>
      <w:r>
        <w:rPr>
          <w:spacing w:val="34"/>
        </w:rPr>
        <w:t> </w:t>
      </w:r>
      <w:r>
        <w:rPr/>
        <w:t>feedback</w:t>
      </w:r>
    </w:p>
    <w:p>
      <w:pPr>
        <w:pStyle w:val="BodyText"/>
        <w:ind w:left="293"/>
      </w:pPr>
      <w:r>
        <w:rPr>
          <w:rFonts w:ascii="Arial" w:hAnsi="Arial"/>
          <w:sz w:val="12"/>
        </w:rPr>
        <w:t>86     </w:t>
      </w:r>
      <w:r>
        <w:rPr>
          <w:rFonts w:ascii="Arial" w:hAnsi="Arial"/>
          <w:spacing w:val="23"/>
          <w:sz w:val="12"/>
        </w:rPr>
        <w:t> </w:t>
      </w:r>
      <w:r>
        <w:rPr/>
        <w:t>provides</w:t>
      </w:r>
      <w:r>
        <w:rPr>
          <w:spacing w:val="24"/>
        </w:rPr>
        <w:t> </w:t>
      </w:r>
      <w:r>
        <w:rPr/>
        <w:t>the</w:t>
      </w:r>
      <w:r>
        <w:rPr>
          <w:spacing w:val="24"/>
        </w:rPr>
        <w:t> </w:t>
      </w:r>
      <w:r>
        <w:rPr/>
        <w:t>self-reference</w:t>
      </w:r>
      <w:r>
        <w:rPr>
          <w:spacing w:val="24"/>
        </w:rPr>
        <w:t> </w:t>
      </w:r>
      <w:r>
        <w:rPr/>
        <w:t>attribute</w:t>
      </w:r>
      <w:r>
        <w:rPr>
          <w:spacing w:val="24"/>
        </w:rPr>
        <w:t> </w:t>
      </w:r>
      <w:r>
        <w:rPr/>
        <w:t>to</w:t>
      </w:r>
      <w:r>
        <w:rPr>
          <w:spacing w:val="24"/>
        </w:rPr>
        <w:t> </w:t>
      </w:r>
      <w:r>
        <w:rPr/>
        <w:t>the</w:t>
      </w:r>
      <w:r>
        <w:rPr>
          <w:spacing w:val="24"/>
        </w:rPr>
        <w:t> </w:t>
      </w:r>
      <w:r>
        <w:rPr/>
        <w:t>responses</w:t>
      </w:r>
      <w:r>
        <w:rPr>
          <w:spacing w:val="24"/>
        </w:rPr>
        <w:t> </w:t>
      </w:r>
      <w:r>
        <w:rPr/>
        <w:t>(e.g.,</w:t>
      </w:r>
      <w:r>
        <w:rPr>
          <w:spacing w:val="24"/>
        </w:rPr>
        <w:t> </w:t>
      </w:r>
      <w:r>
        <w:rPr/>
        <w:t>object</w:t>
      </w:r>
      <w:r>
        <w:rPr>
          <w:spacing w:val="24"/>
        </w:rPr>
        <w:t> </w:t>
      </w:r>
      <w:r>
        <w:rPr/>
        <w:t>comes</w:t>
      </w:r>
      <w:r>
        <w:rPr>
          <w:spacing w:val="24"/>
        </w:rPr>
        <w:t> </w:t>
      </w:r>
      <w:r>
        <w:rPr/>
        <w:t>closer</w:t>
      </w:r>
      <w:r>
        <w:rPr>
          <w:spacing w:val="24"/>
        </w:rPr>
        <w:t> </w:t>
      </w:r>
      <w:r>
        <w:rPr/>
        <w:t>to</w:t>
      </w:r>
      <w:r>
        <w:rPr>
          <w:spacing w:val="25"/>
        </w:rPr>
        <w:t> </w:t>
      </w:r>
      <w:r>
        <w:rPr/>
        <w:t>one’s</w:t>
      </w:r>
      <w:r>
        <w:rPr>
          <w:spacing w:val="24"/>
        </w:rPr>
        <w:t> </w:t>
      </w:r>
      <w:r>
        <w:rPr/>
        <w:t>body).</w:t>
      </w:r>
    </w:p>
    <w:p>
      <w:pPr>
        <w:pStyle w:val="BodyText"/>
        <w:spacing w:before="203"/>
        <w:ind w:left="293"/>
      </w:pPr>
      <w:r>
        <w:rPr>
          <w:rFonts w:ascii="Arial" w:hAnsi="Arial"/>
          <w:w w:val="105"/>
          <w:sz w:val="12"/>
        </w:rPr>
        <w:t>87 </w:t>
      </w:r>
      <w:r>
        <w:rPr>
          <w:w w:val="105"/>
        </w:rPr>
        <w:t>The “zooming” feature disambiguates the mapping of responses to approach and avoidance</w:t>
      </w:r>
    </w:p>
    <w:p>
      <w:pPr>
        <w:pStyle w:val="BodyText"/>
        <w:ind w:left="293"/>
      </w:pPr>
      <w:r>
        <w:rPr>
          <w:rFonts w:ascii="Arial"/>
          <w:w w:val="105"/>
          <w:sz w:val="12"/>
        </w:rPr>
        <w:t>88 </w:t>
      </w:r>
      <w:r>
        <w:rPr>
          <w:w w:val="105"/>
        </w:rPr>
        <w:t>actions, whereby pulling the joystick represents approach and pushing it reflects avoidance</w:t>
      </w:r>
    </w:p>
    <w:p>
      <w:pPr>
        <w:pStyle w:val="BodyText"/>
        <w:ind w:left="293"/>
      </w:pPr>
      <w:r>
        <w:rPr>
          <w:rFonts w:ascii="Arial"/>
          <w:w w:val="105"/>
          <w:sz w:val="12"/>
        </w:rPr>
        <w:t>89 </w:t>
      </w:r>
      <w:r>
        <w:rPr>
          <w:w w:val="105"/>
        </w:rPr>
        <w:t>(Neumann &amp; Strack, 2000). In </w:t>
      </w:r>
      <w:r>
        <w:rPr>
          <w:spacing w:val="-7"/>
          <w:w w:val="105"/>
        </w:rPr>
        <w:t>AAT </w:t>
      </w:r>
      <w:r>
        <w:rPr>
          <w:w w:val="105"/>
        </w:rPr>
        <w:t>training, contingencies between actions and stimuli</w:t>
      </w:r>
      <w:r>
        <w:rPr>
          <w:spacing w:val="58"/>
          <w:w w:val="105"/>
        </w:rPr>
        <w:t> </w:t>
      </w:r>
      <w:r>
        <w:rPr>
          <w:w w:val="105"/>
        </w:rPr>
        <w:t>are</w:t>
      </w:r>
    </w:p>
    <w:p>
      <w:pPr>
        <w:pStyle w:val="BodyText"/>
        <w:ind w:left="293"/>
      </w:pPr>
      <w:r>
        <w:rPr>
          <w:rFonts w:ascii="Arial"/>
          <w:w w:val="105"/>
          <w:sz w:val="12"/>
        </w:rPr>
        <w:t>90 </w:t>
      </w:r>
      <w:r>
        <w:rPr>
          <w:w w:val="105"/>
        </w:rPr>
        <w:t>manipulated so that appetitive cues are associated with push actions (avoidance) and</w:t>
      </w:r>
    </w:p>
    <w:p>
      <w:pPr>
        <w:pStyle w:val="BodyText"/>
        <w:ind w:left="293"/>
      </w:pPr>
      <w:r>
        <w:rPr>
          <w:rFonts w:ascii="Arial"/>
          <w:w w:val="105"/>
          <w:sz w:val="12"/>
        </w:rPr>
        <w:t>91    </w:t>
      </w:r>
      <w:r>
        <w:rPr>
          <w:rFonts w:ascii="Arial"/>
          <w:spacing w:val="19"/>
          <w:w w:val="105"/>
          <w:sz w:val="12"/>
        </w:rPr>
        <w:t> </w:t>
      </w:r>
      <w:r>
        <w:rPr>
          <w:w w:val="105"/>
        </w:rPr>
        <w:t>neutral</w:t>
      </w:r>
      <w:r>
        <w:rPr>
          <w:spacing w:val="13"/>
          <w:w w:val="105"/>
        </w:rPr>
        <w:t> </w:t>
      </w:r>
      <w:r>
        <w:rPr>
          <w:w w:val="105"/>
        </w:rPr>
        <w:t>items</w:t>
      </w:r>
      <w:r>
        <w:rPr>
          <w:spacing w:val="13"/>
          <w:w w:val="105"/>
        </w:rPr>
        <w:t> </w:t>
      </w:r>
      <w:r>
        <w:rPr>
          <w:w w:val="105"/>
        </w:rPr>
        <w:t>are</w:t>
      </w:r>
      <w:r>
        <w:rPr>
          <w:spacing w:val="13"/>
          <w:w w:val="105"/>
        </w:rPr>
        <w:t> </w:t>
      </w:r>
      <w:r>
        <w:rPr>
          <w:w w:val="105"/>
        </w:rPr>
        <w:t>paired</w:t>
      </w:r>
      <w:r>
        <w:rPr>
          <w:spacing w:val="12"/>
          <w:w w:val="105"/>
        </w:rPr>
        <w:t> </w:t>
      </w:r>
      <w:r>
        <w:rPr>
          <w:w w:val="105"/>
        </w:rPr>
        <w:t>with</w:t>
      </w:r>
      <w:r>
        <w:rPr>
          <w:spacing w:val="14"/>
          <w:w w:val="105"/>
        </w:rPr>
        <w:t> </w:t>
      </w:r>
      <w:r>
        <w:rPr>
          <w:w w:val="105"/>
        </w:rPr>
        <w:t>pull</w:t>
      </w:r>
      <w:r>
        <w:rPr>
          <w:spacing w:val="12"/>
          <w:w w:val="105"/>
        </w:rPr>
        <w:t> </w:t>
      </w:r>
      <w:r>
        <w:rPr>
          <w:w w:val="105"/>
        </w:rPr>
        <w:t>actions</w:t>
      </w:r>
      <w:r>
        <w:rPr>
          <w:spacing w:val="13"/>
          <w:w w:val="105"/>
        </w:rPr>
        <w:t> </w:t>
      </w:r>
      <w:r>
        <w:rPr>
          <w:w w:val="105"/>
        </w:rPr>
        <w:t>(approach).</w:t>
      </w:r>
      <w:r>
        <w:rPr>
          <w:spacing w:val="38"/>
          <w:w w:val="105"/>
        </w:rPr>
        <w:t> </w:t>
      </w:r>
      <w:r>
        <w:rPr>
          <w:w w:val="105"/>
        </w:rPr>
        <w:t>Several</w:t>
      </w:r>
      <w:r>
        <w:rPr>
          <w:spacing w:val="14"/>
          <w:w w:val="105"/>
        </w:rPr>
        <w:t> </w:t>
      </w:r>
      <w:r>
        <w:rPr>
          <w:w w:val="105"/>
        </w:rPr>
        <w:t>studies</w:t>
      </w:r>
      <w:r>
        <w:rPr>
          <w:spacing w:val="13"/>
          <w:w w:val="105"/>
        </w:rPr>
        <w:t> </w:t>
      </w:r>
      <w:r>
        <w:rPr>
          <w:w w:val="105"/>
        </w:rPr>
        <w:t>employing</w:t>
      </w:r>
      <w:r>
        <w:rPr>
          <w:spacing w:val="14"/>
          <w:w w:val="105"/>
        </w:rPr>
        <w:t> </w:t>
      </w:r>
      <w:r>
        <w:rPr>
          <w:spacing w:val="-3"/>
          <w:w w:val="105"/>
        </w:rPr>
        <w:t>various</w:t>
      </w:r>
    </w:p>
    <w:p>
      <w:pPr>
        <w:pStyle w:val="BodyText"/>
        <w:spacing w:before="203"/>
        <w:ind w:left="293"/>
      </w:pPr>
      <w:r>
        <w:rPr>
          <w:rFonts w:ascii="Arial"/>
          <w:w w:val="105"/>
          <w:sz w:val="12"/>
        </w:rPr>
        <w:t>92    </w:t>
      </w:r>
      <w:r>
        <w:rPr>
          <w:rFonts w:ascii="Arial"/>
          <w:spacing w:val="11"/>
          <w:w w:val="105"/>
          <w:sz w:val="12"/>
        </w:rPr>
        <w:t> </w:t>
      </w:r>
      <w:r>
        <w:rPr>
          <w:spacing w:val="-7"/>
          <w:w w:val="105"/>
        </w:rPr>
        <w:t>AAT</w:t>
      </w:r>
      <w:r>
        <w:rPr>
          <w:spacing w:val="13"/>
          <w:w w:val="105"/>
        </w:rPr>
        <w:t> </w:t>
      </w:r>
      <w:r>
        <w:rPr>
          <w:w w:val="105"/>
        </w:rPr>
        <w:t>protocols</w:t>
      </w:r>
      <w:r>
        <w:rPr>
          <w:spacing w:val="14"/>
          <w:w w:val="105"/>
        </w:rPr>
        <w:t> </w:t>
      </w:r>
      <w:r>
        <w:rPr>
          <w:spacing w:val="-4"/>
          <w:w w:val="105"/>
        </w:rPr>
        <w:t>have</w:t>
      </w:r>
      <w:r>
        <w:rPr>
          <w:spacing w:val="13"/>
          <w:w w:val="105"/>
        </w:rPr>
        <w:t> </w:t>
      </w:r>
      <w:r>
        <w:rPr>
          <w:w w:val="105"/>
        </w:rPr>
        <w:t>found</w:t>
      </w:r>
      <w:r>
        <w:rPr>
          <w:spacing w:val="14"/>
          <w:w w:val="105"/>
        </w:rPr>
        <w:t> </w:t>
      </w:r>
      <w:r>
        <w:rPr>
          <w:w w:val="105"/>
        </w:rPr>
        <w:t>that</w:t>
      </w:r>
      <w:r>
        <w:rPr>
          <w:spacing w:val="13"/>
          <w:w w:val="105"/>
        </w:rPr>
        <w:t> </w:t>
      </w:r>
      <w:r>
        <w:rPr>
          <w:w w:val="105"/>
        </w:rPr>
        <w:t>training</w:t>
      </w:r>
      <w:r>
        <w:rPr>
          <w:spacing w:val="13"/>
          <w:w w:val="105"/>
        </w:rPr>
        <w:t> </w:t>
      </w:r>
      <w:r>
        <w:rPr>
          <w:w w:val="105"/>
        </w:rPr>
        <w:t>can</w:t>
      </w:r>
      <w:r>
        <w:rPr>
          <w:spacing w:val="13"/>
          <w:w w:val="105"/>
        </w:rPr>
        <w:t> </w:t>
      </w:r>
      <w:r>
        <w:rPr>
          <w:spacing w:val="3"/>
          <w:w w:val="105"/>
        </w:rPr>
        <w:t>be</w:t>
      </w:r>
      <w:r>
        <w:rPr>
          <w:spacing w:val="14"/>
          <w:w w:val="105"/>
        </w:rPr>
        <w:t> </w:t>
      </w:r>
      <w:r>
        <w:rPr>
          <w:w w:val="105"/>
        </w:rPr>
        <w:t>effective</w:t>
      </w:r>
      <w:r>
        <w:rPr>
          <w:spacing w:val="13"/>
          <w:w w:val="105"/>
        </w:rPr>
        <w:t> </w:t>
      </w:r>
      <w:r>
        <w:rPr>
          <w:w w:val="105"/>
        </w:rPr>
        <w:t>in</w:t>
      </w:r>
      <w:r>
        <w:rPr>
          <w:spacing w:val="13"/>
          <w:w w:val="105"/>
        </w:rPr>
        <w:t> </w:t>
      </w:r>
      <w:r>
        <w:rPr>
          <w:w w:val="105"/>
        </w:rPr>
        <w:t>re-training</w:t>
      </w:r>
      <w:r>
        <w:rPr>
          <w:spacing w:val="13"/>
          <w:w w:val="105"/>
        </w:rPr>
        <w:t> </w:t>
      </w:r>
      <w:r>
        <w:rPr>
          <w:w w:val="105"/>
        </w:rPr>
        <w:t>approach</w:t>
      </w:r>
      <w:r>
        <w:rPr>
          <w:spacing w:val="14"/>
          <w:w w:val="105"/>
        </w:rPr>
        <w:t> </w:t>
      </w:r>
      <w:r>
        <w:rPr>
          <w:w w:val="105"/>
        </w:rPr>
        <w:t>bias</w:t>
      </w:r>
      <w:r>
        <w:rPr>
          <w:spacing w:val="12"/>
          <w:w w:val="105"/>
        </w:rPr>
        <w:t> </w:t>
      </w:r>
      <w:r>
        <w:rPr>
          <w:w w:val="105"/>
        </w:rPr>
        <w:t>for</w:t>
      </w:r>
    </w:p>
    <w:p>
      <w:pPr>
        <w:pStyle w:val="BodyText"/>
        <w:ind w:left="293"/>
      </w:pPr>
      <w:r>
        <w:rPr>
          <w:rFonts w:ascii="Arial"/>
          <w:sz w:val="12"/>
        </w:rPr>
        <w:t>93 </w:t>
      </w:r>
      <w:r>
        <w:rPr/>
        <w:t>foods (Brockmeyer, Hahn, Reetz, Schmidt, &amp; Friederich, 2015; Kemps et al., 2013) and even</w:t>
      </w:r>
    </w:p>
    <w:p>
      <w:pPr>
        <w:spacing w:after="0"/>
        <w:sectPr>
          <w:pgSz w:w="12240" w:h="15840"/>
          <w:pgMar w:header="649" w:footer="0" w:top="1320" w:bottom="280" w:left="820" w:right="1140"/>
        </w:sectPr>
      </w:pPr>
    </w:p>
    <w:p>
      <w:pPr>
        <w:pStyle w:val="BodyText"/>
        <w:spacing w:before="191"/>
        <w:ind w:left="293"/>
      </w:pPr>
      <w:r>
        <w:rPr>
          <w:rFonts w:ascii="Arial"/>
          <w:w w:val="105"/>
          <w:sz w:val="12"/>
        </w:rPr>
        <w:t>94 </w:t>
      </w:r>
      <w:r>
        <w:rPr>
          <w:w w:val="105"/>
        </w:rPr>
        <w:t>reduce food intake in the laboratory (Schumacher, Kemps, &amp; Tiggemann, 2016; see</w:t>
      </w:r>
    </w:p>
    <w:p>
      <w:pPr>
        <w:pStyle w:val="BodyText"/>
        <w:ind w:left="293"/>
      </w:pPr>
      <w:r>
        <w:rPr>
          <w:rFonts w:ascii="Arial"/>
          <w:sz w:val="12"/>
        </w:rPr>
        <w:t>95 </w:t>
      </w:r>
      <w:r>
        <w:rPr/>
        <w:t>Kakoschke et al., 2017a for review).</w:t>
      </w:r>
    </w:p>
    <w:p>
      <w:pPr>
        <w:pStyle w:val="BodyText"/>
        <w:spacing w:before="0"/>
        <w:ind w:left="0"/>
        <w:rPr>
          <w:sz w:val="20"/>
        </w:rPr>
      </w:pPr>
    </w:p>
    <w:p>
      <w:pPr>
        <w:pStyle w:val="BodyText"/>
        <w:spacing w:before="3"/>
        <w:ind w:left="0"/>
        <w:rPr>
          <w:sz w:val="18"/>
        </w:rPr>
      </w:pPr>
    </w:p>
    <w:p>
      <w:pPr>
        <w:pStyle w:val="BodyText"/>
        <w:tabs>
          <w:tab w:pos="1195" w:val="left" w:leader="none"/>
        </w:tabs>
        <w:spacing w:before="146"/>
        <w:ind w:left="293"/>
      </w:pPr>
      <w:r>
        <w:rPr>
          <w:rFonts w:ascii="Arial"/>
          <w:w w:val="105"/>
          <w:sz w:val="12"/>
        </w:rPr>
        <w:t>96</w:t>
        <w:tab/>
      </w:r>
      <w:r>
        <w:rPr>
          <w:w w:val="105"/>
        </w:rPr>
        <w:t>In</w:t>
      </w:r>
      <w:r>
        <w:rPr>
          <w:spacing w:val="8"/>
          <w:w w:val="105"/>
        </w:rPr>
        <w:t> </w:t>
      </w:r>
      <w:r>
        <w:rPr>
          <w:w w:val="105"/>
        </w:rPr>
        <w:t>the</w:t>
      </w:r>
      <w:r>
        <w:rPr>
          <w:spacing w:val="9"/>
          <w:w w:val="105"/>
        </w:rPr>
        <w:t> </w:t>
      </w:r>
      <w:r>
        <w:rPr>
          <w:w w:val="105"/>
        </w:rPr>
        <w:t>context</w:t>
      </w:r>
      <w:r>
        <w:rPr>
          <w:spacing w:val="8"/>
          <w:w w:val="105"/>
        </w:rPr>
        <w:t> </w:t>
      </w:r>
      <w:r>
        <w:rPr>
          <w:w w:val="105"/>
        </w:rPr>
        <w:t>of</w:t>
      </w:r>
      <w:r>
        <w:rPr>
          <w:spacing w:val="8"/>
          <w:w w:val="105"/>
        </w:rPr>
        <w:t> </w:t>
      </w:r>
      <w:r>
        <w:rPr>
          <w:w w:val="105"/>
        </w:rPr>
        <w:t>controlled</w:t>
      </w:r>
      <w:r>
        <w:rPr>
          <w:spacing w:val="8"/>
          <w:w w:val="105"/>
        </w:rPr>
        <w:t> </w:t>
      </w:r>
      <w:r>
        <w:rPr>
          <w:w w:val="105"/>
        </w:rPr>
        <w:t>processes,</w:t>
      </w:r>
      <w:r>
        <w:rPr>
          <w:spacing w:val="8"/>
          <w:w w:val="105"/>
        </w:rPr>
        <w:t> </w:t>
      </w:r>
      <w:r>
        <w:rPr>
          <w:w w:val="105"/>
        </w:rPr>
        <w:t>ICT</w:t>
      </w:r>
      <w:r>
        <w:rPr>
          <w:spacing w:val="9"/>
          <w:w w:val="105"/>
        </w:rPr>
        <w:t> </w:t>
      </w:r>
      <w:r>
        <w:rPr>
          <w:spacing w:val="-3"/>
          <w:w w:val="105"/>
        </w:rPr>
        <w:t>interventions</w:t>
      </w:r>
      <w:r>
        <w:rPr>
          <w:spacing w:val="9"/>
          <w:w w:val="105"/>
        </w:rPr>
        <w:t> </w:t>
      </w:r>
      <w:r>
        <w:rPr>
          <w:spacing w:val="-4"/>
          <w:w w:val="105"/>
        </w:rPr>
        <w:t>involve</w:t>
      </w:r>
      <w:r>
        <w:rPr>
          <w:spacing w:val="8"/>
          <w:w w:val="105"/>
        </w:rPr>
        <w:t> </w:t>
      </w:r>
      <w:r>
        <w:rPr>
          <w:w w:val="105"/>
        </w:rPr>
        <w:t>cue-specific</w:t>
      </w:r>
      <w:r>
        <w:rPr>
          <w:spacing w:val="9"/>
          <w:w w:val="105"/>
        </w:rPr>
        <w:t> </w:t>
      </w:r>
      <w:r>
        <w:rPr>
          <w:w w:val="105"/>
        </w:rPr>
        <w:t>go/no-go</w:t>
      </w:r>
    </w:p>
    <w:p>
      <w:pPr>
        <w:pStyle w:val="BodyText"/>
        <w:ind w:left="293"/>
      </w:pPr>
      <w:r>
        <w:rPr>
          <w:rFonts w:ascii="Arial"/>
          <w:w w:val="105"/>
          <w:sz w:val="12"/>
        </w:rPr>
        <w:t>97    </w:t>
      </w:r>
      <w:r>
        <w:rPr>
          <w:rFonts w:ascii="Arial"/>
          <w:spacing w:val="18"/>
          <w:w w:val="105"/>
          <w:sz w:val="12"/>
        </w:rPr>
        <w:t> </w:t>
      </w:r>
      <w:r>
        <w:rPr>
          <w:w w:val="105"/>
        </w:rPr>
        <w:t>or</w:t>
      </w:r>
      <w:r>
        <w:rPr>
          <w:spacing w:val="12"/>
          <w:w w:val="105"/>
        </w:rPr>
        <w:t> </w:t>
      </w:r>
      <w:r>
        <w:rPr>
          <w:w w:val="105"/>
        </w:rPr>
        <w:t>stop-signal</w:t>
      </w:r>
      <w:r>
        <w:rPr>
          <w:spacing w:val="13"/>
          <w:w w:val="105"/>
        </w:rPr>
        <w:t> </w:t>
      </w:r>
      <w:r>
        <w:rPr>
          <w:w w:val="105"/>
        </w:rPr>
        <w:t>tasks</w:t>
      </w:r>
      <w:r>
        <w:rPr>
          <w:spacing w:val="11"/>
          <w:w w:val="105"/>
        </w:rPr>
        <w:t> </w:t>
      </w:r>
      <w:r>
        <w:rPr>
          <w:w w:val="105"/>
        </w:rPr>
        <w:t>whereby</w:t>
      </w:r>
      <w:r>
        <w:rPr>
          <w:spacing w:val="12"/>
          <w:w w:val="105"/>
        </w:rPr>
        <w:t> </w:t>
      </w:r>
      <w:r>
        <w:rPr>
          <w:w w:val="105"/>
        </w:rPr>
        <w:t>participants</w:t>
      </w:r>
      <w:r>
        <w:rPr>
          <w:spacing w:val="12"/>
          <w:w w:val="105"/>
        </w:rPr>
        <w:t> </w:t>
      </w:r>
      <w:r>
        <w:rPr>
          <w:w w:val="105"/>
        </w:rPr>
        <w:t>are</w:t>
      </w:r>
      <w:r>
        <w:rPr>
          <w:spacing w:val="12"/>
          <w:w w:val="105"/>
        </w:rPr>
        <w:t> </w:t>
      </w:r>
      <w:r>
        <w:rPr>
          <w:w w:val="105"/>
        </w:rPr>
        <w:t>instructed</w:t>
      </w:r>
      <w:r>
        <w:rPr>
          <w:spacing w:val="13"/>
          <w:w w:val="105"/>
        </w:rPr>
        <w:t> </w:t>
      </w:r>
      <w:r>
        <w:rPr>
          <w:w w:val="105"/>
        </w:rPr>
        <w:t>to</w:t>
      </w:r>
      <w:r>
        <w:rPr>
          <w:spacing w:val="12"/>
          <w:w w:val="105"/>
        </w:rPr>
        <w:t> </w:t>
      </w:r>
      <w:r>
        <w:rPr>
          <w:w w:val="105"/>
        </w:rPr>
        <w:t>make</w:t>
      </w:r>
      <w:r>
        <w:rPr>
          <w:spacing w:val="12"/>
          <w:w w:val="105"/>
        </w:rPr>
        <w:t> </w:t>
      </w:r>
      <w:r>
        <w:rPr>
          <w:w w:val="105"/>
        </w:rPr>
        <w:t>a</w:t>
      </w:r>
      <w:r>
        <w:rPr>
          <w:spacing w:val="13"/>
          <w:w w:val="105"/>
        </w:rPr>
        <w:t> </w:t>
      </w:r>
      <w:r>
        <w:rPr>
          <w:w w:val="105"/>
        </w:rPr>
        <w:t>speeded</w:t>
      </w:r>
      <w:r>
        <w:rPr>
          <w:spacing w:val="13"/>
          <w:w w:val="105"/>
        </w:rPr>
        <w:t> </w:t>
      </w:r>
      <w:r>
        <w:rPr>
          <w:w w:val="105"/>
        </w:rPr>
        <w:t>choice</w:t>
      </w:r>
      <w:r>
        <w:rPr>
          <w:spacing w:val="12"/>
          <w:w w:val="105"/>
        </w:rPr>
        <w:t> </w:t>
      </w:r>
      <w:r>
        <w:rPr>
          <w:w w:val="105"/>
        </w:rPr>
        <w:t>response</w:t>
      </w:r>
    </w:p>
    <w:p>
      <w:pPr>
        <w:pStyle w:val="BodyText"/>
        <w:ind w:left="293"/>
      </w:pPr>
      <w:r>
        <w:rPr>
          <w:rFonts w:ascii="Arial"/>
          <w:w w:val="110"/>
          <w:sz w:val="12"/>
        </w:rPr>
        <w:t>98  </w:t>
      </w:r>
      <w:r>
        <w:rPr>
          <w:rFonts w:ascii="Arial"/>
          <w:spacing w:val="29"/>
          <w:w w:val="110"/>
          <w:sz w:val="12"/>
        </w:rPr>
        <w:t> </w:t>
      </w:r>
      <w:r>
        <w:rPr>
          <w:w w:val="110"/>
        </w:rPr>
        <w:t>to</w:t>
      </w:r>
      <w:r>
        <w:rPr>
          <w:spacing w:val="-12"/>
          <w:w w:val="110"/>
        </w:rPr>
        <w:t> </w:t>
      </w:r>
      <w:r>
        <w:rPr>
          <w:w w:val="110"/>
        </w:rPr>
        <w:t>appetitive</w:t>
      </w:r>
      <w:r>
        <w:rPr>
          <w:spacing w:val="-12"/>
          <w:w w:val="110"/>
        </w:rPr>
        <w:t> </w:t>
      </w:r>
      <w:r>
        <w:rPr>
          <w:w w:val="110"/>
        </w:rPr>
        <w:t>stimuli</w:t>
      </w:r>
      <w:r>
        <w:rPr>
          <w:spacing w:val="-11"/>
          <w:w w:val="110"/>
        </w:rPr>
        <w:t> </w:t>
      </w:r>
      <w:r>
        <w:rPr>
          <w:w w:val="110"/>
        </w:rPr>
        <w:t>such</w:t>
      </w:r>
      <w:r>
        <w:rPr>
          <w:spacing w:val="-12"/>
          <w:w w:val="110"/>
        </w:rPr>
        <w:t> </w:t>
      </w:r>
      <w:r>
        <w:rPr>
          <w:w w:val="110"/>
        </w:rPr>
        <w:t>as</w:t>
      </w:r>
      <w:r>
        <w:rPr>
          <w:spacing w:val="-13"/>
          <w:w w:val="110"/>
        </w:rPr>
        <w:t> </w:t>
      </w:r>
      <w:r>
        <w:rPr>
          <w:spacing w:val="2"/>
          <w:w w:val="110"/>
        </w:rPr>
        <w:t>foods</w:t>
      </w:r>
      <w:r>
        <w:rPr>
          <w:spacing w:val="-12"/>
          <w:w w:val="110"/>
        </w:rPr>
        <w:t> </w:t>
      </w:r>
      <w:r>
        <w:rPr>
          <w:w w:val="110"/>
        </w:rPr>
        <w:t>or</w:t>
      </w:r>
      <w:r>
        <w:rPr>
          <w:spacing w:val="-12"/>
          <w:w w:val="110"/>
        </w:rPr>
        <w:t> </w:t>
      </w:r>
      <w:r>
        <w:rPr>
          <w:w w:val="110"/>
        </w:rPr>
        <w:t>alcohol,</w:t>
      </w:r>
      <w:r>
        <w:rPr>
          <w:spacing w:val="-11"/>
          <w:w w:val="110"/>
        </w:rPr>
        <w:t> </w:t>
      </w:r>
      <w:r>
        <w:rPr>
          <w:w w:val="110"/>
        </w:rPr>
        <w:t>but</w:t>
      </w:r>
      <w:r>
        <w:rPr>
          <w:spacing w:val="-12"/>
          <w:w w:val="110"/>
        </w:rPr>
        <w:t> </w:t>
      </w:r>
      <w:r>
        <w:rPr>
          <w:w w:val="110"/>
        </w:rPr>
        <w:t>to</w:t>
      </w:r>
      <w:r>
        <w:rPr>
          <w:spacing w:val="-13"/>
          <w:w w:val="110"/>
        </w:rPr>
        <w:t> </w:t>
      </w:r>
      <w:r>
        <w:rPr>
          <w:w w:val="110"/>
        </w:rPr>
        <w:t>withhold</w:t>
      </w:r>
      <w:r>
        <w:rPr>
          <w:spacing w:val="-11"/>
          <w:w w:val="110"/>
        </w:rPr>
        <w:t> </w:t>
      </w:r>
      <w:r>
        <w:rPr>
          <w:w w:val="110"/>
        </w:rPr>
        <w:t>that</w:t>
      </w:r>
      <w:r>
        <w:rPr>
          <w:spacing w:val="-12"/>
          <w:w w:val="110"/>
        </w:rPr>
        <w:t> </w:t>
      </w:r>
      <w:r>
        <w:rPr>
          <w:w w:val="110"/>
        </w:rPr>
        <w:t>response</w:t>
      </w:r>
      <w:r>
        <w:rPr>
          <w:spacing w:val="-12"/>
          <w:w w:val="110"/>
        </w:rPr>
        <w:t> </w:t>
      </w:r>
      <w:r>
        <w:rPr>
          <w:w w:val="110"/>
        </w:rPr>
        <w:t>when</w:t>
      </w:r>
      <w:r>
        <w:rPr>
          <w:spacing w:val="-12"/>
          <w:w w:val="110"/>
        </w:rPr>
        <w:t> </w:t>
      </w:r>
      <w:r>
        <w:rPr>
          <w:w w:val="110"/>
        </w:rPr>
        <w:t>a</w:t>
      </w:r>
      <w:r>
        <w:rPr>
          <w:spacing w:val="-12"/>
          <w:w w:val="110"/>
        </w:rPr>
        <w:t> </w:t>
      </w:r>
      <w:r>
        <w:rPr>
          <w:w w:val="110"/>
        </w:rPr>
        <w:t>visual,</w:t>
      </w:r>
    </w:p>
    <w:p>
      <w:pPr>
        <w:pStyle w:val="BodyText"/>
        <w:spacing w:before="203"/>
        <w:ind w:left="293"/>
      </w:pPr>
      <w:r>
        <w:rPr>
          <w:rFonts w:ascii="Arial"/>
          <w:sz w:val="12"/>
        </w:rPr>
        <w:t>99      </w:t>
      </w:r>
      <w:r>
        <w:rPr>
          <w:rFonts w:ascii="Arial"/>
          <w:spacing w:val="20"/>
          <w:sz w:val="12"/>
        </w:rPr>
        <w:t> </w:t>
      </w:r>
      <w:r>
        <w:rPr/>
        <w:t>or</w:t>
      </w:r>
      <w:r>
        <w:rPr>
          <w:spacing w:val="35"/>
        </w:rPr>
        <w:t> </w:t>
      </w:r>
      <w:r>
        <w:rPr>
          <w:spacing w:val="-3"/>
        </w:rPr>
        <w:t>auditory,</w:t>
      </w:r>
      <w:r>
        <w:rPr>
          <w:spacing w:val="36"/>
        </w:rPr>
        <w:t> </w:t>
      </w:r>
      <w:r>
        <w:rPr/>
        <w:t>signal</w:t>
      </w:r>
      <w:r>
        <w:rPr>
          <w:spacing w:val="36"/>
        </w:rPr>
        <w:t> </w:t>
      </w:r>
      <w:r>
        <w:rPr/>
        <w:t>is</w:t>
      </w:r>
      <w:r>
        <w:rPr>
          <w:spacing w:val="35"/>
        </w:rPr>
        <w:t> </w:t>
      </w:r>
      <w:r>
        <w:rPr/>
        <w:t>presented. </w:t>
      </w:r>
      <w:r>
        <w:rPr>
          <w:spacing w:val="12"/>
        </w:rPr>
        <w:t> </w:t>
      </w:r>
      <w:r>
        <w:rPr/>
        <w:t>Signal-stimulus</w:t>
      </w:r>
      <w:r>
        <w:rPr>
          <w:spacing w:val="35"/>
        </w:rPr>
        <w:t> </w:t>
      </w:r>
      <w:r>
        <w:rPr/>
        <w:t>mappings</w:t>
      </w:r>
      <w:r>
        <w:rPr>
          <w:spacing w:val="36"/>
        </w:rPr>
        <w:t> </w:t>
      </w:r>
      <w:r>
        <w:rPr/>
        <w:t>are</w:t>
      </w:r>
      <w:r>
        <w:rPr>
          <w:spacing w:val="35"/>
        </w:rPr>
        <w:t> </w:t>
      </w:r>
      <w:r>
        <w:rPr/>
        <w:t>manipulated</w:t>
      </w:r>
      <w:r>
        <w:rPr>
          <w:spacing w:val="36"/>
        </w:rPr>
        <w:t> </w:t>
      </w:r>
      <w:r>
        <w:rPr/>
        <w:t>so</w:t>
      </w:r>
      <w:r>
        <w:rPr>
          <w:spacing w:val="35"/>
        </w:rPr>
        <w:t> </w:t>
      </w:r>
      <w:r>
        <w:rPr/>
        <w:t>that</w:t>
      </w:r>
      <w:r>
        <w:rPr>
          <w:spacing w:val="36"/>
        </w:rPr>
        <w:t> </w:t>
      </w:r>
      <w:r>
        <w:rPr/>
        <w:t>appetitive</w:t>
      </w:r>
    </w:p>
    <w:p>
      <w:pPr>
        <w:pStyle w:val="BodyText"/>
      </w:pPr>
      <w:r>
        <w:rPr>
          <w:rFonts w:ascii="Arial"/>
          <w:w w:val="105"/>
          <w:sz w:val="12"/>
        </w:rPr>
        <w:t>100     </w:t>
      </w:r>
      <w:r>
        <w:rPr>
          <w:w w:val="105"/>
        </w:rPr>
        <w:t>cues (e.g., unhealthy foods) are consistently paired with a stop signal.  Stopping to</w:t>
      </w:r>
      <w:r>
        <w:rPr>
          <w:spacing w:val="-6"/>
          <w:w w:val="105"/>
        </w:rPr>
        <w:t> </w:t>
      </w:r>
      <w:r>
        <w:rPr>
          <w:w w:val="105"/>
        </w:rPr>
        <w:t>unhealthy</w:t>
      </w:r>
    </w:p>
    <w:p>
      <w:pPr>
        <w:pStyle w:val="BodyText"/>
      </w:pPr>
      <w:r>
        <w:rPr>
          <w:rFonts w:ascii="Arial"/>
          <w:w w:val="105"/>
          <w:sz w:val="12"/>
        </w:rPr>
        <w:t>101 </w:t>
      </w:r>
      <w:r>
        <w:rPr>
          <w:w w:val="105"/>
        </w:rPr>
        <w:t>foods has been shown to reduce food consumption (Adams, Lawrence, Verbruggen, &amp;</w:t>
      </w:r>
    </w:p>
    <w:p>
      <w:pPr>
        <w:pStyle w:val="BodyText"/>
      </w:pPr>
      <w:r>
        <w:rPr>
          <w:rFonts w:ascii="Arial"/>
          <w:sz w:val="12"/>
        </w:rPr>
        <w:t>102     </w:t>
      </w:r>
      <w:r>
        <w:rPr>
          <w:rFonts w:ascii="Arial"/>
          <w:spacing w:val="2"/>
          <w:sz w:val="12"/>
        </w:rPr>
        <w:t> </w:t>
      </w:r>
      <w:r>
        <w:rPr/>
        <w:t>Chambers,</w:t>
      </w:r>
      <w:r>
        <w:rPr>
          <w:spacing w:val="18"/>
        </w:rPr>
        <w:t> </w:t>
      </w:r>
      <w:r>
        <w:rPr/>
        <w:t>2017;</w:t>
      </w:r>
      <w:r>
        <w:rPr>
          <w:spacing w:val="17"/>
        </w:rPr>
        <w:t> </w:t>
      </w:r>
      <w:r>
        <w:rPr/>
        <w:t>Houben</w:t>
      </w:r>
      <w:r>
        <w:rPr>
          <w:spacing w:val="17"/>
        </w:rPr>
        <w:t> </w:t>
      </w:r>
      <w:r>
        <w:rPr/>
        <w:t>&amp;</w:t>
      </w:r>
      <w:r>
        <w:rPr>
          <w:spacing w:val="18"/>
        </w:rPr>
        <w:t> </w:t>
      </w:r>
      <w:r>
        <w:rPr/>
        <w:t>Jansen,</w:t>
      </w:r>
      <w:r>
        <w:rPr>
          <w:spacing w:val="17"/>
        </w:rPr>
        <w:t> </w:t>
      </w:r>
      <w:r>
        <w:rPr/>
        <w:t>2011,</w:t>
      </w:r>
      <w:r>
        <w:rPr>
          <w:spacing w:val="17"/>
        </w:rPr>
        <w:t> </w:t>
      </w:r>
      <w:r>
        <w:rPr/>
        <w:t>2015;</w:t>
      </w:r>
      <w:r>
        <w:rPr>
          <w:spacing w:val="18"/>
        </w:rPr>
        <w:t> </w:t>
      </w:r>
      <w:r>
        <w:rPr/>
        <w:t>N.</w:t>
      </w:r>
      <w:r>
        <w:rPr>
          <w:spacing w:val="17"/>
        </w:rPr>
        <w:t> </w:t>
      </w:r>
      <w:r>
        <w:rPr/>
        <w:t>S.</w:t>
      </w:r>
      <w:r>
        <w:rPr>
          <w:spacing w:val="18"/>
        </w:rPr>
        <w:t> </w:t>
      </w:r>
      <w:r>
        <w:rPr/>
        <w:t>Lawrence</w:t>
      </w:r>
      <w:r>
        <w:rPr>
          <w:spacing w:val="17"/>
        </w:rPr>
        <w:t> </w:t>
      </w:r>
      <w:r>
        <w:rPr/>
        <w:t>et</w:t>
      </w:r>
      <w:r>
        <w:rPr>
          <w:spacing w:val="17"/>
        </w:rPr>
        <w:t> </w:t>
      </w:r>
      <w:r>
        <w:rPr/>
        <w:t>al.,</w:t>
      </w:r>
      <w:r>
        <w:rPr>
          <w:spacing w:val="18"/>
        </w:rPr>
        <w:t> </w:t>
      </w:r>
      <w:r>
        <w:rPr/>
        <w:t>2015;</w:t>
      </w:r>
      <w:r>
        <w:rPr>
          <w:spacing w:val="17"/>
        </w:rPr>
        <w:t> </w:t>
      </w:r>
      <w:r>
        <w:rPr>
          <w:spacing w:val="-3"/>
        </w:rPr>
        <w:t>Veling,</w:t>
      </w:r>
      <w:r>
        <w:rPr>
          <w:spacing w:val="18"/>
        </w:rPr>
        <w:t> </w:t>
      </w:r>
      <w:r>
        <w:rPr/>
        <w:t>Aarts,</w:t>
      </w:r>
      <w:r>
        <w:rPr>
          <w:spacing w:val="17"/>
        </w:rPr>
        <w:t> </w:t>
      </w:r>
      <w:r>
        <w:rPr/>
        <w:t>&amp;</w:t>
      </w:r>
    </w:p>
    <w:p>
      <w:pPr>
        <w:pStyle w:val="BodyText"/>
      </w:pPr>
      <w:r>
        <w:rPr>
          <w:rFonts w:ascii="Arial"/>
          <w:sz w:val="12"/>
        </w:rPr>
        <w:t>103       </w:t>
      </w:r>
      <w:r>
        <w:rPr/>
        <w:t>Papies,  2011;  also see Allom,  Mullan,  &amp; Hagger,</w:t>
      </w:r>
      <w:r>
        <w:rPr>
          <w:spacing w:val="-35"/>
        </w:rPr>
        <w:t> </w:t>
      </w:r>
      <w:r>
        <w:rPr/>
        <w:t>2016 for meta-analysis) and promote healthy</w:t>
      </w:r>
    </w:p>
    <w:p>
      <w:pPr>
        <w:pStyle w:val="BodyText"/>
        <w:spacing w:before="203"/>
      </w:pPr>
      <w:r>
        <w:rPr>
          <w:rFonts w:ascii="Arial"/>
          <w:w w:val="105"/>
          <w:sz w:val="12"/>
        </w:rPr>
        <w:t>104     </w:t>
      </w:r>
      <w:r>
        <w:rPr>
          <w:spacing w:val="3"/>
          <w:w w:val="105"/>
        </w:rPr>
        <w:t>food </w:t>
      </w:r>
      <w:r>
        <w:rPr>
          <w:w w:val="105"/>
        </w:rPr>
        <w:t>choices in the laboratory </w:t>
      </w:r>
      <w:r>
        <w:rPr>
          <w:spacing w:val="-3"/>
          <w:w w:val="105"/>
        </w:rPr>
        <w:t>(Veling </w:t>
      </w:r>
      <w:r>
        <w:rPr>
          <w:w w:val="105"/>
        </w:rPr>
        <w:t>et al., 2013a; </w:t>
      </w:r>
      <w:r>
        <w:rPr>
          <w:spacing w:val="-3"/>
          <w:w w:val="105"/>
        </w:rPr>
        <w:t>Veling, </w:t>
      </w:r>
      <w:r>
        <w:rPr>
          <w:w w:val="105"/>
        </w:rPr>
        <w:t>Chen, et al., 2017) and has</w:t>
      </w:r>
      <w:r>
        <w:rPr>
          <w:spacing w:val="50"/>
          <w:w w:val="105"/>
        </w:rPr>
        <w:t> </w:t>
      </w:r>
      <w:r>
        <w:rPr>
          <w:w w:val="105"/>
        </w:rPr>
        <w:t>even</w:t>
      </w:r>
    </w:p>
    <w:p>
      <w:pPr>
        <w:pStyle w:val="BodyText"/>
      </w:pPr>
      <w:r>
        <w:rPr>
          <w:rFonts w:ascii="Arial" w:hAnsi="Arial"/>
          <w:w w:val="105"/>
          <w:sz w:val="12"/>
        </w:rPr>
        <w:t>105     </w:t>
      </w:r>
      <w:r>
        <w:rPr>
          <w:w w:val="105"/>
        </w:rPr>
        <w:t>been associated with increased </w:t>
      </w:r>
      <w:r>
        <w:rPr>
          <w:spacing w:val="-3"/>
          <w:w w:val="105"/>
        </w:rPr>
        <w:t>weight </w:t>
      </w:r>
      <w:r>
        <w:rPr>
          <w:w w:val="105"/>
        </w:rPr>
        <w:t>loss (N. S. Lawrence, </w:t>
      </w:r>
      <w:r>
        <w:rPr>
          <w:spacing w:val="-3"/>
          <w:w w:val="105"/>
        </w:rPr>
        <w:t>O’Sullivan, </w:t>
      </w:r>
      <w:r>
        <w:rPr>
          <w:w w:val="105"/>
        </w:rPr>
        <w:t>et al., 2015;</w:t>
      </w:r>
      <w:r>
        <w:rPr>
          <w:spacing w:val="44"/>
          <w:w w:val="105"/>
        </w:rPr>
        <w:t> </w:t>
      </w:r>
      <w:r>
        <w:rPr>
          <w:spacing w:val="-3"/>
          <w:w w:val="105"/>
        </w:rPr>
        <w:t>Veling,</w:t>
      </w:r>
    </w:p>
    <w:p>
      <w:pPr>
        <w:pStyle w:val="BodyText"/>
      </w:pPr>
      <w:r>
        <w:rPr>
          <w:rFonts w:ascii="Arial"/>
          <w:sz w:val="12"/>
        </w:rPr>
        <w:t>106       </w:t>
      </w:r>
      <w:r>
        <w:rPr>
          <w:spacing w:val="-5"/>
        </w:rPr>
        <w:t>van  </w:t>
      </w:r>
      <w:r>
        <w:rPr/>
        <w:t>Koningsbruggen,  Aarts, &amp;  Stroebe,  2014).  A  potential mechanism of  action  behind</w:t>
      </w:r>
      <w:r>
        <w:rPr>
          <w:spacing w:val="-7"/>
        </w:rPr>
        <w:t> </w:t>
      </w:r>
      <w:r>
        <w:rPr/>
        <w:t>ICT</w:t>
      </w:r>
    </w:p>
    <w:p>
      <w:pPr>
        <w:pStyle w:val="BodyText"/>
      </w:pPr>
      <w:r>
        <w:rPr>
          <w:rFonts w:ascii="Arial"/>
          <w:w w:val="105"/>
          <w:sz w:val="12"/>
        </w:rPr>
        <w:t>107 </w:t>
      </w:r>
      <w:r>
        <w:rPr>
          <w:w w:val="105"/>
        </w:rPr>
        <w:t>effects on food consumption is stimulus devaluation (Veling et al., 2017), whereby the</w:t>
      </w:r>
    </w:p>
    <w:p>
      <w:pPr>
        <w:pStyle w:val="BodyText"/>
      </w:pPr>
      <w:r>
        <w:rPr>
          <w:rFonts w:ascii="Arial"/>
          <w:w w:val="105"/>
          <w:sz w:val="12"/>
        </w:rPr>
        <w:t>108 </w:t>
      </w:r>
      <w:r>
        <w:rPr>
          <w:w w:val="105"/>
        </w:rPr>
        <w:t>evaluations of appetitive foods are reduced during training to facilitate performance when</w:t>
      </w:r>
    </w:p>
    <w:p>
      <w:pPr>
        <w:pStyle w:val="BodyText"/>
      </w:pPr>
      <w:r>
        <w:rPr>
          <w:rFonts w:ascii="Arial"/>
          <w:sz w:val="12"/>
        </w:rPr>
        <w:t>109 </w:t>
      </w:r>
      <w:r>
        <w:rPr/>
        <w:t>response inhibition is required (e.g., Chen, Veling, Dijksterhuis, &amp; Holland, 2016). A possible</w:t>
      </w:r>
    </w:p>
    <w:p>
      <w:pPr>
        <w:pStyle w:val="BodyText"/>
        <w:spacing w:before="203"/>
      </w:pPr>
      <w:r>
        <w:rPr>
          <w:rFonts w:ascii="Arial"/>
          <w:w w:val="105"/>
          <w:sz w:val="12"/>
        </w:rPr>
        <w:t>110 </w:t>
      </w:r>
      <w:r>
        <w:rPr>
          <w:w w:val="105"/>
        </w:rPr>
        <w:t>explanation for this devaluation effect is provided by the Behaviour Stimulus Interaction</w:t>
      </w:r>
    </w:p>
    <w:p>
      <w:pPr>
        <w:pStyle w:val="BodyText"/>
      </w:pPr>
      <w:r>
        <w:rPr>
          <w:rFonts w:ascii="Arial"/>
          <w:w w:val="105"/>
          <w:sz w:val="12"/>
        </w:rPr>
        <w:t>111   </w:t>
      </w:r>
      <w:r>
        <w:rPr>
          <w:rFonts w:ascii="Arial"/>
          <w:spacing w:val="22"/>
          <w:w w:val="105"/>
          <w:sz w:val="12"/>
        </w:rPr>
        <w:t> </w:t>
      </w:r>
      <w:r>
        <w:rPr>
          <w:w w:val="105"/>
        </w:rPr>
        <w:t>(BSI)</w:t>
      </w:r>
      <w:r>
        <w:rPr>
          <w:spacing w:val="10"/>
          <w:w w:val="105"/>
        </w:rPr>
        <w:t> </w:t>
      </w:r>
      <w:r>
        <w:rPr>
          <w:w w:val="105"/>
        </w:rPr>
        <w:t>theory</w:t>
      </w:r>
      <w:r>
        <w:rPr>
          <w:spacing w:val="11"/>
          <w:w w:val="105"/>
        </w:rPr>
        <w:t> </w:t>
      </w:r>
      <w:r>
        <w:rPr>
          <w:w w:val="105"/>
        </w:rPr>
        <w:t>which</w:t>
      </w:r>
      <w:r>
        <w:rPr>
          <w:spacing w:val="11"/>
          <w:w w:val="105"/>
        </w:rPr>
        <w:t> </w:t>
      </w:r>
      <w:r>
        <w:rPr>
          <w:w w:val="105"/>
        </w:rPr>
        <w:t>posits</w:t>
      </w:r>
      <w:r>
        <w:rPr>
          <w:spacing w:val="10"/>
          <w:w w:val="105"/>
        </w:rPr>
        <w:t> </w:t>
      </w:r>
      <w:r>
        <w:rPr>
          <w:w w:val="105"/>
        </w:rPr>
        <w:t>that</w:t>
      </w:r>
      <w:r>
        <w:rPr>
          <w:spacing w:val="11"/>
          <w:w w:val="105"/>
        </w:rPr>
        <w:t> </w:t>
      </w:r>
      <w:r>
        <w:rPr>
          <w:spacing w:val="3"/>
          <w:w w:val="105"/>
        </w:rPr>
        <w:t>food</w:t>
      </w:r>
      <w:r>
        <w:rPr>
          <w:spacing w:val="10"/>
          <w:w w:val="105"/>
        </w:rPr>
        <w:t> </w:t>
      </w:r>
      <w:r>
        <w:rPr>
          <w:w w:val="105"/>
        </w:rPr>
        <w:t>stimuli</w:t>
      </w:r>
      <w:r>
        <w:rPr>
          <w:spacing w:val="11"/>
          <w:w w:val="105"/>
        </w:rPr>
        <w:t> </w:t>
      </w:r>
      <w:r>
        <w:rPr>
          <w:w w:val="105"/>
        </w:rPr>
        <w:t>are</w:t>
      </w:r>
      <w:r>
        <w:rPr>
          <w:spacing w:val="10"/>
          <w:w w:val="105"/>
        </w:rPr>
        <w:t> </w:t>
      </w:r>
      <w:r>
        <w:rPr>
          <w:spacing w:val="-3"/>
          <w:w w:val="105"/>
        </w:rPr>
        <w:t>devalued</w:t>
      </w:r>
      <w:r>
        <w:rPr>
          <w:spacing w:val="11"/>
          <w:w w:val="105"/>
        </w:rPr>
        <w:t> </w:t>
      </w:r>
      <w:r>
        <w:rPr>
          <w:w w:val="105"/>
        </w:rPr>
        <w:t>when</w:t>
      </w:r>
      <w:r>
        <w:rPr>
          <w:spacing w:val="11"/>
          <w:w w:val="105"/>
        </w:rPr>
        <w:t> </w:t>
      </w:r>
      <w:r>
        <w:rPr>
          <w:w w:val="105"/>
        </w:rPr>
        <w:t>negative</w:t>
      </w:r>
      <w:r>
        <w:rPr>
          <w:spacing w:val="11"/>
          <w:w w:val="105"/>
        </w:rPr>
        <w:t> </w:t>
      </w:r>
      <w:r>
        <w:rPr>
          <w:w w:val="105"/>
        </w:rPr>
        <w:t>affect</w:t>
      </w:r>
      <w:r>
        <w:rPr>
          <w:spacing w:val="10"/>
          <w:w w:val="105"/>
        </w:rPr>
        <w:t> </w:t>
      </w:r>
      <w:r>
        <w:rPr>
          <w:w w:val="105"/>
        </w:rPr>
        <w:t>is</w:t>
      </w:r>
      <w:r>
        <w:rPr>
          <w:spacing w:val="11"/>
          <w:w w:val="105"/>
        </w:rPr>
        <w:t> </w:t>
      </w:r>
      <w:r>
        <w:rPr>
          <w:w w:val="105"/>
        </w:rPr>
        <w:t>induced</w:t>
      </w:r>
      <w:r>
        <w:rPr>
          <w:spacing w:val="10"/>
          <w:w w:val="105"/>
        </w:rPr>
        <w:t> </w:t>
      </w:r>
      <w:r>
        <w:rPr>
          <w:w w:val="105"/>
        </w:rPr>
        <w:t>to</w:t>
      </w:r>
    </w:p>
    <w:p>
      <w:pPr>
        <w:pStyle w:val="BodyText"/>
      </w:pPr>
      <w:r>
        <w:rPr>
          <w:rFonts w:ascii="Arial"/>
          <w:w w:val="105"/>
          <w:sz w:val="12"/>
        </w:rPr>
        <w:t>112 </w:t>
      </w:r>
      <w:r>
        <w:rPr>
          <w:rFonts w:ascii="Arial"/>
          <w:spacing w:val="14"/>
          <w:w w:val="105"/>
          <w:sz w:val="12"/>
        </w:rPr>
        <w:t> </w:t>
      </w:r>
      <w:r>
        <w:rPr>
          <w:w w:val="105"/>
        </w:rPr>
        <w:t>resolve the ongoing conflict between triggered approach reactions to appetitive </w:t>
      </w:r>
      <w:r>
        <w:rPr>
          <w:spacing w:val="2"/>
          <w:w w:val="105"/>
        </w:rPr>
        <w:t>foods </w:t>
      </w:r>
      <w:r>
        <w:rPr>
          <w:w w:val="105"/>
        </w:rPr>
        <w:t>and the</w:t>
      </w:r>
    </w:p>
    <w:p>
      <w:pPr>
        <w:pStyle w:val="BodyText"/>
      </w:pPr>
      <w:r>
        <w:rPr>
          <w:rFonts w:ascii="Arial"/>
          <w:w w:val="105"/>
          <w:sz w:val="12"/>
        </w:rPr>
        <w:t>113 </w:t>
      </w:r>
      <w:r>
        <w:rPr>
          <w:w w:val="105"/>
        </w:rPr>
        <w:t>need to inhibit responses towards those stimuli (Chen et al., 2016; Veling, Holland, &amp; van</w:t>
      </w:r>
    </w:p>
    <w:p>
      <w:pPr>
        <w:pStyle w:val="BodyText"/>
      </w:pPr>
      <w:r>
        <w:rPr>
          <w:rFonts w:ascii="Arial"/>
          <w:sz w:val="12"/>
        </w:rPr>
        <w:t>114     </w:t>
      </w:r>
      <w:r>
        <w:rPr>
          <w:rFonts w:ascii="Arial"/>
          <w:spacing w:val="21"/>
          <w:sz w:val="12"/>
        </w:rPr>
        <w:t> </w:t>
      </w:r>
      <w:r>
        <w:rPr/>
        <w:t>Knippenberg,</w:t>
      </w:r>
      <w:r>
        <w:rPr>
          <w:spacing w:val="26"/>
        </w:rPr>
        <w:t> </w:t>
      </w:r>
      <w:r>
        <w:rPr/>
        <w:t>2008;</w:t>
      </w:r>
      <w:r>
        <w:rPr>
          <w:spacing w:val="26"/>
        </w:rPr>
        <w:t> </w:t>
      </w:r>
      <w:r>
        <w:rPr>
          <w:spacing w:val="-4"/>
        </w:rPr>
        <w:t>Veling</w:t>
      </w:r>
      <w:r>
        <w:rPr>
          <w:spacing w:val="25"/>
        </w:rPr>
        <w:t> </w:t>
      </w:r>
      <w:r>
        <w:rPr/>
        <w:t>et</w:t>
      </w:r>
      <w:r>
        <w:rPr>
          <w:spacing w:val="25"/>
        </w:rPr>
        <w:t> </w:t>
      </w:r>
      <w:r>
        <w:rPr/>
        <w:t>al.,</w:t>
      </w:r>
      <w:r>
        <w:rPr>
          <w:spacing w:val="24"/>
        </w:rPr>
        <w:t> </w:t>
      </w:r>
      <w:r>
        <w:rPr/>
        <w:t>2017).</w:t>
      </w:r>
      <w:r>
        <w:rPr>
          <w:spacing w:val="55"/>
        </w:rPr>
        <w:t> </w:t>
      </w:r>
      <w:r>
        <w:rPr/>
        <w:t>When</w:t>
      </w:r>
      <w:r>
        <w:rPr>
          <w:spacing w:val="25"/>
        </w:rPr>
        <w:t> </w:t>
      </w:r>
      <w:r>
        <w:rPr/>
        <w:t>a</w:t>
      </w:r>
      <w:r>
        <w:rPr>
          <w:spacing w:val="25"/>
        </w:rPr>
        <w:t> </w:t>
      </w:r>
      <w:r>
        <w:rPr>
          <w:spacing w:val="3"/>
        </w:rPr>
        <w:t>food</w:t>
      </w:r>
      <w:r>
        <w:rPr>
          <w:spacing w:val="25"/>
        </w:rPr>
        <w:t> </w:t>
      </w:r>
      <w:r>
        <w:rPr/>
        <w:t>is</w:t>
      </w:r>
      <w:r>
        <w:rPr>
          <w:spacing w:val="24"/>
        </w:rPr>
        <w:t> </w:t>
      </w:r>
      <w:r>
        <w:rPr>
          <w:spacing w:val="-3"/>
        </w:rPr>
        <w:t>devalued,</w:t>
      </w:r>
      <w:r>
        <w:rPr>
          <w:spacing w:val="26"/>
        </w:rPr>
        <w:t> </w:t>
      </w:r>
      <w:r>
        <w:rPr/>
        <w:t>the</w:t>
      </w:r>
      <w:r>
        <w:rPr>
          <w:spacing w:val="25"/>
        </w:rPr>
        <w:t> </w:t>
      </w:r>
      <w:r>
        <w:rPr/>
        <w:t>approach</w:t>
      </w:r>
      <w:r>
        <w:rPr>
          <w:spacing w:val="25"/>
        </w:rPr>
        <w:t> </w:t>
      </w:r>
      <w:r>
        <w:rPr/>
        <w:t>bias</w:t>
      </w:r>
      <w:r>
        <w:rPr>
          <w:spacing w:val="24"/>
        </w:rPr>
        <w:t> </w:t>
      </w:r>
      <w:r>
        <w:rPr>
          <w:spacing w:val="-3"/>
        </w:rPr>
        <w:t>towards</w:t>
      </w:r>
    </w:p>
    <w:p>
      <w:pPr>
        <w:pStyle w:val="BodyText"/>
        <w:spacing w:before="203"/>
      </w:pPr>
      <w:r>
        <w:rPr>
          <w:rFonts w:ascii="Arial"/>
          <w:w w:val="105"/>
          <w:sz w:val="12"/>
        </w:rPr>
        <w:t>115     </w:t>
      </w:r>
      <w:r>
        <w:rPr>
          <w:w w:val="105"/>
        </w:rPr>
        <w:t>that cue is reduced and therefore inhibition can successfully </w:t>
      </w:r>
      <w:r>
        <w:rPr>
          <w:spacing w:val="-3"/>
          <w:w w:val="105"/>
        </w:rPr>
        <w:t>take </w:t>
      </w:r>
      <w:r>
        <w:rPr>
          <w:w w:val="105"/>
        </w:rPr>
        <w:t>place.  </w:t>
      </w:r>
      <w:r>
        <w:rPr>
          <w:spacing w:val="-5"/>
          <w:w w:val="105"/>
        </w:rPr>
        <w:t>Would </w:t>
      </w:r>
      <w:r>
        <w:rPr>
          <w:w w:val="105"/>
        </w:rPr>
        <w:t>it </w:t>
      </w:r>
      <w:r>
        <w:rPr>
          <w:spacing w:val="3"/>
          <w:w w:val="105"/>
        </w:rPr>
        <w:t>be</w:t>
      </w:r>
      <w:r>
        <w:rPr>
          <w:spacing w:val="-14"/>
          <w:w w:val="105"/>
        </w:rPr>
        <w:t> </w:t>
      </w:r>
      <w:r>
        <w:rPr>
          <w:w w:val="105"/>
        </w:rPr>
        <w:t>possible</w:t>
      </w:r>
    </w:p>
    <w:p>
      <w:pPr>
        <w:pStyle w:val="BodyText"/>
      </w:pPr>
      <w:r>
        <w:rPr>
          <w:rFonts w:ascii="Arial"/>
          <w:w w:val="105"/>
          <w:sz w:val="12"/>
        </w:rPr>
        <w:t>116 </w:t>
      </w:r>
      <w:r>
        <w:rPr>
          <w:w w:val="105"/>
        </w:rPr>
        <w:t>for this reduction in approach bias to be learned via ICT paradigms?</w:t>
      </w:r>
    </w:p>
    <w:p>
      <w:pPr>
        <w:pStyle w:val="BodyText"/>
        <w:spacing w:before="0"/>
        <w:ind w:left="0"/>
        <w:rPr>
          <w:sz w:val="20"/>
        </w:rPr>
      </w:pPr>
    </w:p>
    <w:p>
      <w:pPr>
        <w:pStyle w:val="BodyText"/>
        <w:spacing w:before="3"/>
        <w:ind w:left="0"/>
        <w:rPr>
          <w:sz w:val="18"/>
        </w:rPr>
      </w:pPr>
    </w:p>
    <w:p>
      <w:pPr>
        <w:pStyle w:val="BodyText"/>
        <w:tabs>
          <w:tab w:pos="1195" w:val="left" w:leader="none"/>
        </w:tabs>
        <w:spacing w:before="145"/>
      </w:pPr>
      <w:r>
        <w:rPr>
          <w:rFonts w:ascii="Arial"/>
          <w:w w:val="105"/>
          <w:sz w:val="12"/>
        </w:rPr>
        <w:t>117</w:t>
        <w:tab/>
      </w:r>
      <w:r>
        <w:rPr>
          <w:w w:val="105"/>
        </w:rPr>
        <w:t>This</w:t>
      </w:r>
      <w:r>
        <w:rPr>
          <w:spacing w:val="17"/>
          <w:w w:val="105"/>
        </w:rPr>
        <w:t> </w:t>
      </w:r>
      <w:r>
        <w:rPr>
          <w:w w:val="105"/>
        </w:rPr>
        <w:t>study</w:t>
      </w:r>
      <w:r>
        <w:rPr>
          <w:spacing w:val="17"/>
          <w:w w:val="105"/>
        </w:rPr>
        <w:t> </w:t>
      </w:r>
      <w:r>
        <w:rPr>
          <w:w w:val="105"/>
        </w:rPr>
        <w:t>attempts</w:t>
      </w:r>
      <w:r>
        <w:rPr>
          <w:spacing w:val="16"/>
          <w:w w:val="105"/>
        </w:rPr>
        <w:t> </w:t>
      </w:r>
      <w:r>
        <w:rPr>
          <w:w w:val="105"/>
        </w:rPr>
        <w:t>to</w:t>
      </w:r>
      <w:r>
        <w:rPr>
          <w:spacing w:val="16"/>
          <w:w w:val="105"/>
        </w:rPr>
        <w:t> </w:t>
      </w:r>
      <w:r>
        <w:rPr>
          <w:w w:val="105"/>
        </w:rPr>
        <w:t>answer</w:t>
      </w:r>
      <w:r>
        <w:rPr>
          <w:spacing w:val="17"/>
          <w:w w:val="105"/>
        </w:rPr>
        <w:t> </w:t>
      </w:r>
      <w:r>
        <w:rPr>
          <w:w w:val="105"/>
        </w:rPr>
        <w:t>this</w:t>
      </w:r>
      <w:r>
        <w:rPr>
          <w:spacing w:val="17"/>
          <w:w w:val="105"/>
        </w:rPr>
        <w:t> </w:t>
      </w:r>
      <w:r>
        <w:rPr>
          <w:w w:val="105"/>
        </w:rPr>
        <w:t>question</w:t>
      </w:r>
      <w:r>
        <w:rPr>
          <w:spacing w:val="16"/>
          <w:w w:val="105"/>
        </w:rPr>
        <w:t> </w:t>
      </w:r>
      <w:r>
        <w:rPr>
          <w:spacing w:val="-4"/>
          <w:w w:val="105"/>
        </w:rPr>
        <w:t>by</w:t>
      </w:r>
      <w:r>
        <w:rPr>
          <w:spacing w:val="16"/>
          <w:w w:val="105"/>
        </w:rPr>
        <w:t> </w:t>
      </w:r>
      <w:r>
        <w:rPr>
          <w:w w:val="105"/>
        </w:rPr>
        <w:t>employing</w:t>
      </w:r>
      <w:r>
        <w:rPr>
          <w:spacing w:val="16"/>
          <w:w w:val="105"/>
        </w:rPr>
        <w:t> </w:t>
      </w:r>
      <w:r>
        <w:rPr>
          <w:w w:val="105"/>
        </w:rPr>
        <w:t>a</w:t>
      </w:r>
      <w:r>
        <w:rPr>
          <w:spacing w:val="17"/>
          <w:w w:val="105"/>
        </w:rPr>
        <w:t> </w:t>
      </w:r>
      <w:r>
        <w:rPr>
          <w:w w:val="105"/>
        </w:rPr>
        <w:t>go/no-go</w:t>
      </w:r>
      <w:r>
        <w:rPr>
          <w:spacing w:val="17"/>
          <w:w w:val="105"/>
        </w:rPr>
        <w:t> </w:t>
      </w:r>
      <w:r>
        <w:rPr>
          <w:w w:val="105"/>
        </w:rPr>
        <w:t>training</w:t>
      </w:r>
    </w:p>
    <w:p>
      <w:pPr>
        <w:pStyle w:val="BodyText"/>
        <w:spacing w:before="203"/>
      </w:pPr>
      <w:r>
        <w:rPr>
          <w:rFonts w:ascii="Arial"/>
          <w:w w:val="105"/>
          <w:sz w:val="12"/>
        </w:rPr>
        <w:t>118    </w:t>
      </w:r>
      <w:r>
        <w:rPr>
          <w:rFonts w:ascii="Arial"/>
          <w:spacing w:val="5"/>
          <w:w w:val="105"/>
          <w:sz w:val="12"/>
        </w:rPr>
        <w:t> </w:t>
      </w:r>
      <w:r>
        <w:rPr>
          <w:w w:val="105"/>
        </w:rPr>
        <w:t>paradigm</w:t>
      </w:r>
      <w:r>
        <w:rPr>
          <w:spacing w:val="8"/>
          <w:w w:val="105"/>
        </w:rPr>
        <w:t> </w:t>
      </w:r>
      <w:r>
        <w:rPr>
          <w:w w:val="105"/>
        </w:rPr>
        <w:t>with</w:t>
      </w:r>
      <w:r>
        <w:rPr>
          <w:spacing w:val="8"/>
          <w:w w:val="105"/>
        </w:rPr>
        <w:t> </w:t>
      </w:r>
      <w:r>
        <w:rPr>
          <w:w w:val="105"/>
        </w:rPr>
        <w:t>unhealthy</w:t>
      </w:r>
      <w:r>
        <w:rPr>
          <w:spacing w:val="6"/>
          <w:w w:val="105"/>
        </w:rPr>
        <w:t> </w:t>
      </w:r>
      <w:r>
        <w:rPr>
          <w:spacing w:val="3"/>
          <w:w w:val="105"/>
        </w:rPr>
        <w:t>food</w:t>
      </w:r>
      <w:r>
        <w:rPr>
          <w:spacing w:val="8"/>
          <w:w w:val="105"/>
        </w:rPr>
        <w:t> </w:t>
      </w:r>
      <w:r>
        <w:rPr>
          <w:w w:val="105"/>
        </w:rPr>
        <w:t>stimuli</w:t>
      </w:r>
      <w:r>
        <w:rPr>
          <w:spacing w:val="8"/>
          <w:w w:val="105"/>
        </w:rPr>
        <w:t> </w:t>
      </w:r>
      <w:r>
        <w:rPr>
          <w:w w:val="105"/>
        </w:rPr>
        <w:t>and</w:t>
      </w:r>
      <w:r>
        <w:rPr>
          <w:spacing w:val="7"/>
          <w:w w:val="105"/>
        </w:rPr>
        <w:t> </w:t>
      </w:r>
      <w:r>
        <w:rPr>
          <w:w w:val="105"/>
        </w:rPr>
        <w:t>measure</w:t>
      </w:r>
      <w:r>
        <w:rPr>
          <w:spacing w:val="7"/>
          <w:w w:val="105"/>
        </w:rPr>
        <w:t> </w:t>
      </w:r>
      <w:r>
        <w:rPr>
          <w:w w:val="105"/>
        </w:rPr>
        <w:t>automatic</w:t>
      </w:r>
      <w:r>
        <w:rPr>
          <w:spacing w:val="7"/>
          <w:w w:val="105"/>
        </w:rPr>
        <w:t> </w:t>
      </w:r>
      <w:r>
        <w:rPr>
          <w:w w:val="105"/>
        </w:rPr>
        <w:t>action</w:t>
      </w:r>
      <w:r>
        <w:rPr>
          <w:spacing w:val="7"/>
          <w:w w:val="105"/>
        </w:rPr>
        <w:t> </w:t>
      </w:r>
      <w:r>
        <w:rPr>
          <w:w w:val="105"/>
        </w:rPr>
        <w:t>tendencies</w:t>
      </w:r>
      <w:r>
        <w:rPr>
          <w:spacing w:val="7"/>
          <w:w w:val="105"/>
        </w:rPr>
        <w:t> </w:t>
      </w:r>
      <w:r>
        <w:rPr>
          <w:w w:val="105"/>
        </w:rPr>
        <w:t>via</w:t>
      </w:r>
      <w:r>
        <w:rPr>
          <w:spacing w:val="7"/>
          <w:w w:val="105"/>
        </w:rPr>
        <w:t> </w:t>
      </w:r>
      <w:r>
        <w:rPr>
          <w:w w:val="105"/>
        </w:rPr>
        <w:t>an</w:t>
      </w:r>
      <w:r>
        <w:rPr>
          <w:spacing w:val="7"/>
          <w:w w:val="105"/>
        </w:rPr>
        <w:t> </w:t>
      </w:r>
      <w:r>
        <w:rPr>
          <w:spacing w:val="-7"/>
          <w:w w:val="105"/>
        </w:rPr>
        <w:t>AAT</w:t>
      </w:r>
    </w:p>
    <w:p>
      <w:pPr>
        <w:pStyle w:val="BodyText"/>
      </w:pPr>
      <w:r>
        <w:rPr>
          <w:rFonts w:ascii="Arial"/>
          <w:w w:val="105"/>
          <w:sz w:val="12"/>
        </w:rPr>
        <w:t>119     </w:t>
      </w:r>
      <w:r>
        <w:rPr>
          <w:w w:val="105"/>
        </w:rPr>
        <w:t>before and after training to establish whether individuals show reduced approach bias for</w:t>
      </w:r>
      <w:r>
        <w:rPr>
          <w:spacing w:val="-22"/>
          <w:w w:val="105"/>
        </w:rPr>
        <w:t> </w:t>
      </w:r>
      <w:r>
        <w:rPr>
          <w:w w:val="105"/>
        </w:rPr>
        <w:t>the</w:t>
      </w:r>
    </w:p>
    <w:p>
      <w:pPr>
        <w:spacing w:after="0"/>
        <w:sectPr>
          <w:pgSz w:w="12240" w:h="15840"/>
          <w:pgMar w:header="649" w:footer="0" w:top="1320" w:bottom="280" w:left="820" w:right="1140"/>
        </w:sectPr>
      </w:pPr>
    </w:p>
    <w:p>
      <w:pPr>
        <w:pStyle w:val="BodyText"/>
        <w:spacing w:before="191"/>
      </w:pPr>
      <w:r>
        <w:rPr>
          <w:rFonts w:ascii="Arial"/>
          <w:w w:val="105"/>
          <w:sz w:val="12"/>
        </w:rPr>
        <w:t>120 </w:t>
      </w:r>
      <w:r>
        <w:rPr>
          <w:w w:val="105"/>
        </w:rPr>
        <w:t>foods associated with response inhibition. If an approach action tendency is consistently</w:t>
      </w:r>
    </w:p>
    <w:p>
      <w:pPr>
        <w:pStyle w:val="BodyText"/>
      </w:pPr>
      <w:r>
        <w:rPr>
          <w:rFonts w:ascii="Arial"/>
          <w:w w:val="105"/>
          <w:sz w:val="12"/>
        </w:rPr>
        <w:t>121    </w:t>
      </w:r>
      <w:r>
        <w:rPr>
          <w:rFonts w:ascii="Arial"/>
          <w:spacing w:val="20"/>
          <w:w w:val="105"/>
          <w:sz w:val="12"/>
        </w:rPr>
        <w:t> </w:t>
      </w:r>
      <w:r>
        <w:rPr>
          <w:w w:val="105"/>
        </w:rPr>
        <w:t>reduced</w:t>
      </w:r>
      <w:r>
        <w:rPr>
          <w:spacing w:val="12"/>
          <w:w w:val="105"/>
        </w:rPr>
        <w:t> </w:t>
      </w:r>
      <w:r>
        <w:rPr>
          <w:w w:val="105"/>
        </w:rPr>
        <w:t>through</w:t>
      </w:r>
      <w:r>
        <w:rPr>
          <w:spacing w:val="13"/>
          <w:w w:val="105"/>
        </w:rPr>
        <w:t> </w:t>
      </w:r>
      <w:r>
        <w:rPr>
          <w:w w:val="105"/>
        </w:rPr>
        <w:t>devaluation</w:t>
      </w:r>
      <w:r>
        <w:rPr>
          <w:spacing w:val="13"/>
          <w:w w:val="105"/>
        </w:rPr>
        <w:t> </w:t>
      </w:r>
      <w:r>
        <w:rPr>
          <w:w w:val="105"/>
        </w:rPr>
        <w:t>to</w:t>
      </w:r>
      <w:r>
        <w:rPr>
          <w:spacing w:val="13"/>
          <w:w w:val="105"/>
        </w:rPr>
        <w:t> </w:t>
      </w:r>
      <w:r>
        <w:rPr>
          <w:w w:val="105"/>
        </w:rPr>
        <w:t>facilitate</w:t>
      </w:r>
      <w:r>
        <w:rPr>
          <w:spacing w:val="14"/>
          <w:w w:val="105"/>
        </w:rPr>
        <w:t> </w:t>
      </w:r>
      <w:r>
        <w:rPr>
          <w:w w:val="105"/>
        </w:rPr>
        <w:t>inhibition</w:t>
      </w:r>
      <w:r>
        <w:rPr>
          <w:spacing w:val="12"/>
          <w:w w:val="105"/>
        </w:rPr>
        <w:t> </w:t>
      </w:r>
      <w:r>
        <w:rPr>
          <w:w w:val="105"/>
        </w:rPr>
        <w:t>of</w:t>
      </w:r>
      <w:r>
        <w:rPr>
          <w:spacing w:val="14"/>
          <w:w w:val="105"/>
        </w:rPr>
        <w:t> </w:t>
      </w:r>
      <w:r>
        <w:rPr>
          <w:w w:val="105"/>
        </w:rPr>
        <w:t>responses</w:t>
      </w:r>
      <w:r>
        <w:rPr>
          <w:spacing w:val="12"/>
          <w:w w:val="105"/>
        </w:rPr>
        <w:t> </w:t>
      </w:r>
      <w:r>
        <w:rPr>
          <w:spacing w:val="-3"/>
          <w:w w:val="105"/>
        </w:rPr>
        <w:t>towards</w:t>
      </w:r>
      <w:r>
        <w:rPr>
          <w:spacing w:val="13"/>
          <w:w w:val="105"/>
        </w:rPr>
        <w:t> </w:t>
      </w:r>
      <w:r>
        <w:rPr>
          <w:w w:val="105"/>
        </w:rPr>
        <w:t>appetitive</w:t>
      </w:r>
      <w:r>
        <w:rPr>
          <w:spacing w:val="13"/>
          <w:w w:val="105"/>
        </w:rPr>
        <w:t> </w:t>
      </w:r>
      <w:r>
        <w:rPr>
          <w:w w:val="105"/>
        </w:rPr>
        <w:t>foods,</w:t>
      </w:r>
    </w:p>
    <w:p>
      <w:pPr>
        <w:pStyle w:val="BodyText"/>
        <w:spacing w:before="203"/>
      </w:pPr>
      <w:r>
        <w:rPr>
          <w:rFonts w:ascii="Arial"/>
          <w:w w:val="105"/>
          <w:sz w:val="12"/>
        </w:rPr>
        <w:t>122      </w:t>
      </w:r>
      <w:r>
        <w:rPr>
          <w:w w:val="105"/>
        </w:rPr>
        <w:t>then ICT </w:t>
      </w:r>
      <w:r>
        <w:rPr>
          <w:spacing w:val="-3"/>
          <w:w w:val="105"/>
        </w:rPr>
        <w:t>may </w:t>
      </w:r>
      <w:r>
        <w:rPr>
          <w:spacing w:val="-4"/>
          <w:w w:val="105"/>
        </w:rPr>
        <w:t>have  </w:t>
      </w:r>
      <w:r>
        <w:rPr>
          <w:w w:val="105"/>
        </w:rPr>
        <w:t>an indirect effect on approach bias.  Additional theoretical ground </w:t>
      </w:r>
      <w:r>
        <w:rPr>
          <w:spacing w:val="16"/>
          <w:w w:val="105"/>
        </w:rPr>
        <w:t> </w:t>
      </w:r>
      <w:r>
        <w:rPr>
          <w:w w:val="105"/>
        </w:rPr>
        <w:t>for</w:t>
      </w:r>
    </w:p>
    <w:p>
      <w:pPr>
        <w:pStyle w:val="BodyText"/>
      </w:pPr>
      <w:r>
        <w:rPr>
          <w:rFonts w:ascii="Arial" w:hAnsi="Arial"/>
          <w:w w:val="105"/>
          <w:sz w:val="12"/>
        </w:rPr>
        <w:t>123 </w:t>
      </w:r>
      <w:r>
        <w:rPr>
          <w:w w:val="105"/>
        </w:rPr>
        <w:t>this research question has been adopted from the concept of an “associative stop system”,</w:t>
      </w:r>
    </w:p>
    <w:p>
      <w:pPr>
        <w:pStyle w:val="BodyText"/>
      </w:pPr>
      <w:r>
        <w:rPr>
          <w:rFonts w:ascii="Arial"/>
          <w:w w:val="105"/>
          <w:sz w:val="12"/>
        </w:rPr>
        <w:t>124 </w:t>
      </w:r>
      <w:r>
        <w:rPr>
          <w:w w:val="105"/>
        </w:rPr>
        <w:t>whereby stimuli associated with stopping can be devalued through an interaction of a stop</w:t>
      </w:r>
    </w:p>
    <w:p>
      <w:pPr>
        <w:pStyle w:val="BodyText"/>
      </w:pPr>
      <w:r>
        <w:rPr>
          <w:rFonts w:ascii="Arial"/>
          <w:sz w:val="12"/>
        </w:rPr>
        <w:t>125 </w:t>
      </w:r>
      <w:r>
        <w:rPr/>
        <w:t>system and an aversive system (see Verbruggen, Best, Bowditch, Stevens, &amp; McLaren, 2014).</w:t>
      </w:r>
    </w:p>
    <w:p>
      <w:pPr>
        <w:pStyle w:val="BodyText"/>
      </w:pPr>
      <w:r>
        <w:rPr>
          <w:rFonts w:ascii="Arial"/>
          <w:w w:val="105"/>
          <w:sz w:val="12"/>
        </w:rPr>
        <w:t>126 </w:t>
      </w:r>
      <w:r>
        <w:rPr>
          <w:w w:val="105"/>
        </w:rPr>
        <w:t>Consistent with previous ICT literature, the study also examined impulsive food choice and</w:t>
      </w:r>
    </w:p>
    <w:p>
      <w:pPr>
        <w:pStyle w:val="BodyText"/>
      </w:pPr>
      <w:r>
        <w:rPr>
          <w:rFonts w:ascii="Arial"/>
          <w:w w:val="105"/>
          <w:sz w:val="12"/>
        </w:rPr>
        <w:t>127 </w:t>
      </w:r>
      <w:r>
        <w:rPr>
          <w:w w:val="105"/>
        </w:rPr>
        <w:t>food liking (i.e., stimulus devaluation manipulation check) as secondary training outcomes.</w:t>
      </w:r>
    </w:p>
    <w:p>
      <w:pPr>
        <w:pStyle w:val="BodyText"/>
        <w:spacing w:before="0"/>
        <w:ind w:left="0"/>
        <w:rPr>
          <w:sz w:val="20"/>
        </w:rPr>
      </w:pPr>
    </w:p>
    <w:p>
      <w:pPr>
        <w:pStyle w:val="BodyText"/>
        <w:spacing w:before="2"/>
        <w:ind w:left="0"/>
        <w:rPr>
          <w:sz w:val="28"/>
        </w:rPr>
      </w:pPr>
    </w:p>
    <w:p>
      <w:pPr>
        <w:tabs>
          <w:tab w:pos="4622" w:val="left" w:leader="none"/>
        </w:tabs>
        <w:spacing w:before="148"/>
        <w:ind w:left="230" w:right="0" w:firstLine="0"/>
        <w:jc w:val="left"/>
        <w:rPr>
          <w:b/>
          <w:sz w:val="24"/>
        </w:rPr>
      </w:pPr>
      <w:r>
        <w:rPr>
          <w:rFonts w:ascii="Arial"/>
          <w:w w:val="110"/>
          <w:sz w:val="12"/>
        </w:rPr>
        <w:t>128</w:t>
        <w:tab/>
      </w:r>
      <w:bookmarkStart w:name="Hypotheses" w:id="4"/>
      <w:bookmarkEnd w:id="4"/>
      <w:r>
        <w:rPr>
          <w:rFonts w:ascii="Arial"/>
          <w:w w:val="110"/>
          <w:sz w:val="12"/>
        </w:rPr>
      </w:r>
      <w:bookmarkStart w:name="_bookmark1" w:id="5"/>
      <w:bookmarkEnd w:id="5"/>
      <w:r>
        <w:rPr>
          <w:rFonts w:ascii="Arial"/>
          <w:w w:val="110"/>
          <w:sz w:val="12"/>
        </w:rPr>
      </w:r>
      <w:r>
        <w:rPr>
          <w:b/>
          <w:w w:val="110"/>
          <w:sz w:val="24"/>
        </w:rPr>
        <w:t>Hypotheses</w:t>
      </w:r>
    </w:p>
    <w:p>
      <w:pPr>
        <w:pStyle w:val="BodyText"/>
        <w:spacing w:before="0"/>
        <w:ind w:left="0"/>
        <w:rPr>
          <w:b/>
          <w:sz w:val="20"/>
        </w:rPr>
      </w:pPr>
    </w:p>
    <w:p>
      <w:pPr>
        <w:pStyle w:val="BodyText"/>
        <w:spacing w:before="4"/>
        <w:ind w:left="0"/>
        <w:rPr>
          <w:b/>
          <w:sz w:val="19"/>
        </w:rPr>
      </w:pPr>
    </w:p>
    <w:p>
      <w:pPr>
        <w:pStyle w:val="BodyText"/>
        <w:tabs>
          <w:tab w:pos="1195" w:val="left" w:leader="none"/>
        </w:tabs>
        <w:spacing w:before="130"/>
        <w:rPr>
          <w:sz w:val="16"/>
        </w:rPr>
      </w:pPr>
      <w:r>
        <w:rPr>
          <w:rFonts w:ascii="Arial"/>
          <w:sz w:val="12"/>
        </w:rPr>
        <w:t>129</w:t>
        <w:tab/>
      </w:r>
      <w:r>
        <w:rPr/>
        <w:t>All  hypotheses described  in this  section  are confirmatory  and </w:t>
      </w:r>
      <w:r>
        <w:rPr>
          <w:spacing w:val="-4"/>
        </w:rPr>
        <w:t>have  </w:t>
      </w:r>
      <w:r>
        <w:rPr/>
        <w:t>been</w:t>
      </w:r>
      <w:r>
        <w:rPr>
          <w:spacing w:val="37"/>
        </w:rPr>
        <w:t> </w:t>
      </w:r>
      <w:r>
        <w:rPr/>
        <w:t>pre-registered</w:t>
      </w:r>
      <w:r>
        <w:rPr>
          <w:position w:val="9"/>
          <w:sz w:val="16"/>
        </w:rPr>
        <w:t>2</w:t>
      </w:r>
    </w:p>
    <w:p>
      <w:pPr>
        <w:pStyle w:val="BodyText"/>
      </w:pPr>
      <w:r>
        <w:rPr>
          <w:rFonts w:ascii="Arial"/>
          <w:w w:val="110"/>
          <w:sz w:val="12"/>
        </w:rPr>
        <w:t>130  </w:t>
      </w:r>
      <w:r>
        <w:rPr>
          <w:rFonts w:ascii="Arial"/>
          <w:spacing w:val="8"/>
          <w:w w:val="110"/>
          <w:sz w:val="12"/>
        </w:rPr>
        <w:t> </w:t>
      </w:r>
      <w:r>
        <w:rPr>
          <w:w w:val="110"/>
        </w:rPr>
        <w:t>on</w:t>
      </w:r>
      <w:r>
        <w:rPr>
          <w:spacing w:val="-20"/>
          <w:w w:val="110"/>
        </w:rPr>
        <w:t> </w:t>
      </w:r>
      <w:r>
        <w:rPr>
          <w:w w:val="110"/>
        </w:rPr>
        <w:t>the</w:t>
      </w:r>
      <w:r>
        <w:rPr>
          <w:spacing w:val="-20"/>
          <w:w w:val="110"/>
        </w:rPr>
        <w:t> </w:t>
      </w:r>
      <w:r>
        <w:rPr>
          <w:w w:val="110"/>
        </w:rPr>
        <w:t>Open</w:t>
      </w:r>
      <w:r>
        <w:rPr>
          <w:spacing w:val="-20"/>
          <w:w w:val="110"/>
        </w:rPr>
        <w:t> </w:t>
      </w:r>
      <w:r>
        <w:rPr>
          <w:w w:val="110"/>
        </w:rPr>
        <w:t>Science</w:t>
      </w:r>
      <w:r>
        <w:rPr>
          <w:spacing w:val="-19"/>
          <w:w w:val="110"/>
        </w:rPr>
        <w:t> </w:t>
      </w:r>
      <w:r>
        <w:rPr>
          <w:spacing w:val="-4"/>
          <w:w w:val="110"/>
        </w:rPr>
        <w:t>Framework</w:t>
      </w:r>
      <w:r>
        <w:rPr>
          <w:spacing w:val="-21"/>
          <w:w w:val="110"/>
        </w:rPr>
        <w:t> </w:t>
      </w:r>
      <w:r>
        <w:rPr>
          <w:w w:val="110"/>
        </w:rPr>
        <w:t>(h</w:t>
      </w:r>
      <w:hyperlink r:id="rId8">
        <w:r>
          <w:rPr>
            <w:w w:val="110"/>
          </w:rPr>
          <w:t>ttps://osf.io/wav8p/).</w:t>
        </w:r>
      </w:hyperlink>
      <w:r>
        <w:rPr>
          <w:spacing w:val="-4"/>
          <w:w w:val="110"/>
        </w:rPr>
        <w:t> </w:t>
      </w:r>
      <w:r>
        <w:rPr>
          <w:w w:val="110"/>
        </w:rPr>
        <w:t>Effects</w:t>
      </w:r>
      <w:r>
        <w:rPr>
          <w:spacing w:val="-19"/>
          <w:w w:val="110"/>
        </w:rPr>
        <w:t> </w:t>
      </w:r>
      <w:r>
        <w:rPr>
          <w:w w:val="110"/>
        </w:rPr>
        <w:t>of</w:t>
      </w:r>
      <w:r>
        <w:rPr>
          <w:spacing w:val="-20"/>
          <w:w w:val="110"/>
        </w:rPr>
        <w:t> </w:t>
      </w:r>
      <w:r>
        <w:rPr>
          <w:w w:val="110"/>
        </w:rPr>
        <w:t>ICT</w:t>
      </w:r>
      <w:r>
        <w:rPr>
          <w:spacing w:val="-20"/>
          <w:w w:val="110"/>
        </w:rPr>
        <w:t> </w:t>
      </w:r>
      <w:r>
        <w:rPr>
          <w:w w:val="110"/>
        </w:rPr>
        <w:t>(go/no-go</w:t>
      </w:r>
      <w:r>
        <w:rPr>
          <w:spacing w:val="-20"/>
          <w:w w:val="110"/>
        </w:rPr>
        <w:t> </w:t>
      </w:r>
      <w:r>
        <w:rPr>
          <w:w w:val="110"/>
        </w:rPr>
        <w:t>training;</w:t>
      </w:r>
    </w:p>
    <w:p>
      <w:pPr>
        <w:spacing w:before="202"/>
        <w:ind w:left="230" w:right="0" w:firstLine="0"/>
        <w:jc w:val="left"/>
        <w:rPr>
          <w:sz w:val="24"/>
        </w:rPr>
      </w:pPr>
      <w:r>
        <w:rPr>
          <w:rFonts w:ascii="Arial"/>
          <w:w w:val="105"/>
          <w:sz w:val="12"/>
        </w:rPr>
        <w:t>131 </w:t>
      </w:r>
      <w:r>
        <w:rPr>
          <w:w w:val="105"/>
          <w:sz w:val="24"/>
        </w:rPr>
        <w:t>see </w:t>
      </w:r>
      <w:hyperlink w:history="true" w:anchor="_bookmark6">
        <w:r>
          <w:rPr>
            <w:i/>
            <w:w w:val="105"/>
            <w:sz w:val="24"/>
          </w:rPr>
          <w:t>Go/No-go training</w:t>
        </w:r>
      </w:hyperlink>
      <w:r>
        <w:rPr>
          <w:w w:val="105"/>
          <w:sz w:val="24"/>
        </w:rPr>
        <w:t>) on automatic action tendencies (see </w:t>
      </w:r>
      <w:hyperlink w:history="true" w:anchor="_bookmark8">
        <w:r>
          <w:rPr>
            <w:i/>
            <w:w w:val="105"/>
            <w:sz w:val="24"/>
          </w:rPr>
          <w:t>Approach avoidance task</w:t>
        </w:r>
      </w:hyperlink>
      <w:r>
        <w:rPr>
          <w:w w:val="105"/>
          <w:sz w:val="24"/>
        </w:rPr>
        <w:t>) and</w:t>
      </w:r>
    </w:p>
    <w:p>
      <w:pPr>
        <w:spacing w:before="202"/>
        <w:ind w:left="230" w:right="0" w:firstLine="0"/>
        <w:jc w:val="left"/>
        <w:rPr>
          <w:sz w:val="24"/>
        </w:rPr>
      </w:pPr>
      <w:r>
        <w:rPr>
          <w:rFonts w:ascii="Arial"/>
          <w:sz w:val="12"/>
        </w:rPr>
        <w:t>132 </w:t>
      </w:r>
      <w:r>
        <w:rPr>
          <w:sz w:val="24"/>
        </w:rPr>
        <w:t>liking (see </w:t>
      </w:r>
      <w:hyperlink w:history="true" w:anchor="_bookmark9">
        <w:r>
          <w:rPr>
            <w:i/>
            <w:sz w:val="24"/>
          </w:rPr>
          <w:t>Food liking ratings</w:t>
        </w:r>
      </w:hyperlink>
      <w:r>
        <w:rPr>
          <w:sz w:val="24"/>
        </w:rPr>
        <w:t>) for unhealthy foods were investigated using change scores from</w:t>
      </w:r>
    </w:p>
    <w:p>
      <w:pPr>
        <w:pStyle w:val="BodyText"/>
        <w:spacing w:before="203"/>
      </w:pPr>
      <w:r>
        <w:rPr>
          <w:rFonts w:ascii="Arial"/>
          <w:w w:val="105"/>
          <w:sz w:val="12"/>
        </w:rPr>
        <w:t>133 </w:t>
      </w:r>
      <w:r>
        <w:rPr>
          <w:w w:val="105"/>
        </w:rPr>
        <w:t>pre-to post-training for both outcomes (H1, H3). The training condition was also expected</w:t>
      </w:r>
    </w:p>
    <w:p>
      <w:pPr>
        <w:spacing w:before="202"/>
        <w:ind w:left="230" w:right="0" w:firstLine="0"/>
        <w:jc w:val="left"/>
        <w:rPr>
          <w:sz w:val="24"/>
        </w:rPr>
      </w:pPr>
      <w:r>
        <w:rPr>
          <w:rFonts w:ascii="Arial"/>
          <w:w w:val="105"/>
          <w:sz w:val="12"/>
        </w:rPr>
        <w:t>134 </w:t>
      </w:r>
      <w:r>
        <w:rPr>
          <w:w w:val="105"/>
          <w:sz w:val="24"/>
        </w:rPr>
        <w:t>to have an effect on food choice behaviour (H2; see </w:t>
      </w:r>
      <w:hyperlink w:history="true" w:anchor="_bookmark10">
        <w:r>
          <w:rPr>
            <w:i/>
            <w:w w:val="105"/>
            <w:sz w:val="24"/>
          </w:rPr>
          <w:t>Food choice task</w:t>
        </w:r>
      </w:hyperlink>
      <w:r>
        <w:rPr>
          <w:w w:val="105"/>
          <w:sz w:val="24"/>
        </w:rPr>
        <w:t>). The study assessed</w:t>
      </w:r>
    </w:p>
    <w:p>
      <w:pPr>
        <w:pStyle w:val="BodyText"/>
      </w:pPr>
      <w:r>
        <w:rPr>
          <w:rFonts w:ascii="Arial"/>
          <w:w w:val="105"/>
          <w:sz w:val="12"/>
        </w:rPr>
        <w:t>135 </w:t>
      </w:r>
      <w:r>
        <w:rPr>
          <w:w w:val="105"/>
        </w:rPr>
        <w:t>contingency learning mechanisms for the training paradigm, as a manipulation check (H4).</w:t>
      </w:r>
    </w:p>
    <w:p>
      <w:pPr>
        <w:pStyle w:val="BodyText"/>
        <w:spacing w:before="0"/>
        <w:ind w:left="0"/>
        <w:rPr>
          <w:sz w:val="20"/>
        </w:rPr>
      </w:pPr>
    </w:p>
    <w:p>
      <w:pPr>
        <w:pStyle w:val="BodyText"/>
        <w:spacing w:before="2"/>
        <w:ind w:left="0"/>
        <w:rPr>
          <w:sz w:val="28"/>
        </w:rPr>
      </w:pPr>
    </w:p>
    <w:p>
      <w:pPr>
        <w:pStyle w:val="Heading1"/>
      </w:pPr>
      <w:r>
        <w:rPr>
          <w:rFonts w:ascii="Arial"/>
          <w:b w:val="0"/>
          <w:w w:val="115"/>
          <w:sz w:val="12"/>
        </w:rPr>
        <w:t>136</w:t>
      </w:r>
      <w:bookmarkStart w:name="Training effects on automatic action ten" w:id="6"/>
      <w:bookmarkEnd w:id="6"/>
      <w:r>
        <w:rPr>
          <w:rFonts w:ascii="Arial"/>
          <w:b w:val="0"/>
          <w:w w:val="115"/>
          <w:sz w:val="12"/>
        </w:rPr>
      </w:r>
      <w:r>
        <w:rPr>
          <w:rFonts w:ascii="Arial"/>
          <w:b w:val="0"/>
          <w:w w:val="115"/>
          <w:sz w:val="12"/>
        </w:rPr>
        <w:t> </w:t>
      </w:r>
      <w:r>
        <w:rPr>
          <w:w w:val="115"/>
        </w:rPr>
        <w:t>Training effects on automatic action tendencies</w:t>
      </w:r>
    </w:p>
    <w:p>
      <w:pPr>
        <w:pStyle w:val="BodyText"/>
        <w:spacing w:before="0"/>
        <w:ind w:left="0"/>
        <w:rPr>
          <w:b/>
          <w:sz w:val="20"/>
        </w:rPr>
      </w:pPr>
    </w:p>
    <w:p>
      <w:pPr>
        <w:pStyle w:val="BodyText"/>
        <w:spacing w:before="3"/>
        <w:ind w:left="0"/>
        <w:rPr>
          <w:b/>
          <w:sz w:val="19"/>
        </w:rPr>
      </w:pPr>
    </w:p>
    <w:p>
      <w:pPr>
        <w:pStyle w:val="BodyText"/>
        <w:tabs>
          <w:tab w:pos="1195" w:val="left" w:leader="none"/>
        </w:tabs>
        <w:spacing w:before="146"/>
      </w:pPr>
      <w:r>
        <w:rPr>
          <w:rFonts w:ascii="Arial"/>
          <w:w w:val="110"/>
          <w:sz w:val="12"/>
        </w:rPr>
        <w:t>137</w:t>
        <w:tab/>
      </w:r>
      <w:r>
        <w:rPr>
          <w:w w:val="110"/>
        </w:rPr>
        <w:t>The primary outcome measure in the study </w:t>
      </w:r>
      <w:r>
        <w:rPr>
          <w:spacing w:val="-3"/>
          <w:w w:val="110"/>
        </w:rPr>
        <w:t>was </w:t>
      </w:r>
      <w:r>
        <w:rPr>
          <w:w w:val="110"/>
        </w:rPr>
        <w:t>the change in automatic</w:t>
      </w:r>
      <w:r>
        <w:rPr>
          <w:spacing w:val="-1"/>
          <w:w w:val="110"/>
        </w:rPr>
        <w:t> </w:t>
      </w:r>
      <w:r>
        <w:rPr>
          <w:w w:val="110"/>
        </w:rPr>
        <w:t>action</w:t>
      </w:r>
    </w:p>
    <w:p>
      <w:pPr>
        <w:pStyle w:val="BodyText"/>
      </w:pPr>
      <w:r>
        <w:rPr>
          <w:rFonts w:ascii="Arial"/>
          <w:w w:val="105"/>
          <w:sz w:val="12"/>
        </w:rPr>
        <w:t>138 </w:t>
      </w:r>
      <w:r>
        <w:rPr>
          <w:w w:val="105"/>
        </w:rPr>
        <w:t>tendencies from pre-to post- ICT training for the foods associated with different conditions</w:t>
      </w:r>
    </w:p>
    <w:p>
      <w:pPr>
        <w:pStyle w:val="BodyText"/>
      </w:pPr>
      <w:r>
        <w:rPr>
          <w:rFonts w:ascii="Arial"/>
          <w:w w:val="105"/>
          <w:sz w:val="12"/>
        </w:rPr>
        <w:t>139 </w:t>
      </w:r>
      <w:r>
        <w:rPr>
          <w:w w:val="105"/>
        </w:rPr>
        <w:t>(go, no-go and control - see Figure </w:t>
      </w:r>
      <w:hyperlink w:history="true" w:anchor="_bookmark5">
        <w:r>
          <w:rPr>
            <w:w w:val="105"/>
          </w:rPr>
          <w:t>1).</w:t>
        </w:r>
      </w:hyperlink>
      <w:r>
        <w:rPr>
          <w:w w:val="105"/>
        </w:rPr>
        <w:t> Action tendencies were indirectly measured via the</w:t>
      </w:r>
    </w:p>
    <w:p>
      <w:pPr>
        <w:pStyle w:val="BodyText"/>
      </w:pPr>
      <w:r>
        <w:rPr>
          <w:rFonts w:ascii="Arial"/>
          <w:w w:val="105"/>
          <w:sz w:val="12"/>
        </w:rPr>
        <w:t>140     </w:t>
      </w:r>
      <w:r>
        <w:rPr>
          <w:spacing w:val="-7"/>
          <w:w w:val="105"/>
        </w:rPr>
        <w:t>AAT </w:t>
      </w:r>
      <w:r>
        <w:rPr>
          <w:w w:val="105"/>
        </w:rPr>
        <w:t>and approach-avoidance bias scores were obtained </w:t>
      </w:r>
      <w:r>
        <w:rPr>
          <w:spacing w:val="-4"/>
          <w:w w:val="105"/>
        </w:rPr>
        <w:t>by </w:t>
      </w:r>
      <w:r>
        <w:rPr>
          <w:w w:val="105"/>
        </w:rPr>
        <w:t>subtracting the median</w:t>
      </w:r>
      <w:r>
        <w:rPr>
          <w:spacing w:val="62"/>
          <w:w w:val="105"/>
        </w:rPr>
        <w:t> </w:t>
      </w:r>
      <w:r>
        <w:rPr>
          <w:w w:val="105"/>
        </w:rPr>
        <w:t>response</w:t>
      </w:r>
    </w:p>
    <w:p>
      <w:pPr>
        <w:pStyle w:val="BodyText"/>
        <w:spacing w:before="9"/>
        <w:ind w:left="0"/>
        <w:rPr>
          <w:sz w:val="9"/>
        </w:rPr>
      </w:pPr>
      <w:r>
        <w:rPr/>
        <w:pict>
          <v:line style="position:absolute;mso-position-horizontal-relative:page;mso-position-vertical-relative:paragraph;z-index:-1000;mso-wrap-distance-left:0;mso-wrap-distance-right:0" from="72pt,7.677106pt" to="108pt,7.677106pt" stroked="true" strokeweight=".125pt" strokecolor="#000000">
            <v:stroke dashstyle="solid"/>
            <w10:wrap type="topAndBottom"/>
          </v:line>
        </w:pict>
      </w:r>
    </w:p>
    <w:p>
      <w:pPr>
        <w:spacing w:line="412" w:lineRule="auto" w:before="140"/>
        <w:ind w:left="612" w:right="270" w:firstLine="7"/>
        <w:jc w:val="both"/>
        <w:rPr>
          <w:sz w:val="20"/>
        </w:rPr>
      </w:pPr>
      <w:r>
        <w:rPr>
          <w:w w:val="105"/>
          <w:position w:val="7"/>
          <w:sz w:val="14"/>
        </w:rPr>
        <w:t>2</w:t>
      </w:r>
      <w:bookmarkStart w:name="_bookmark2" w:id="7"/>
      <w:bookmarkEnd w:id="7"/>
      <w:r>
        <w:rPr>
          <w:w w:val="105"/>
          <w:position w:val="7"/>
          <w:sz w:val="14"/>
        </w:rPr>
      </w:r>
      <w:r>
        <w:rPr>
          <w:w w:val="105"/>
          <w:position w:val="7"/>
          <w:sz w:val="14"/>
        </w:rPr>
        <w:t> </w:t>
      </w:r>
      <w:r>
        <w:rPr>
          <w:w w:val="105"/>
          <w:sz w:val="20"/>
        </w:rPr>
        <w:t>Exact hypotheses from the pre-registered protocol </w:t>
      </w:r>
      <w:r>
        <w:rPr>
          <w:spacing w:val="-4"/>
          <w:w w:val="105"/>
          <w:sz w:val="20"/>
        </w:rPr>
        <w:t>have </w:t>
      </w:r>
      <w:r>
        <w:rPr>
          <w:w w:val="105"/>
          <w:sz w:val="20"/>
        </w:rPr>
        <w:t>been re-ordered according to outcomes for </w:t>
      </w:r>
      <w:r>
        <w:rPr>
          <w:spacing w:val="-3"/>
          <w:w w:val="105"/>
          <w:sz w:val="20"/>
        </w:rPr>
        <w:t>clarity. </w:t>
      </w:r>
      <w:r>
        <w:rPr>
          <w:w w:val="105"/>
          <w:sz w:val="20"/>
        </w:rPr>
        <w:t>There were no deviations from the protocol for the hypotheses and corresponding statistical tests, with the exception</w:t>
      </w:r>
      <w:r>
        <w:rPr>
          <w:spacing w:val="15"/>
          <w:w w:val="105"/>
          <w:sz w:val="20"/>
        </w:rPr>
        <w:t> </w:t>
      </w:r>
      <w:r>
        <w:rPr>
          <w:w w:val="105"/>
          <w:sz w:val="20"/>
        </w:rPr>
        <w:t>of</w:t>
      </w:r>
      <w:r>
        <w:rPr>
          <w:spacing w:val="16"/>
          <w:w w:val="105"/>
          <w:sz w:val="20"/>
        </w:rPr>
        <w:t> </w:t>
      </w:r>
      <w:r>
        <w:rPr>
          <w:w w:val="105"/>
          <w:sz w:val="20"/>
        </w:rPr>
        <w:t>minor</w:t>
      </w:r>
      <w:r>
        <w:rPr>
          <w:spacing w:val="16"/>
          <w:w w:val="105"/>
          <w:sz w:val="20"/>
        </w:rPr>
        <w:t> </w:t>
      </w:r>
      <w:r>
        <w:rPr>
          <w:w w:val="105"/>
          <w:sz w:val="20"/>
        </w:rPr>
        <w:t>alterations</w:t>
      </w:r>
      <w:r>
        <w:rPr>
          <w:spacing w:val="16"/>
          <w:w w:val="105"/>
          <w:sz w:val="20"/>
        </w:rPr>
        <w:t> </w:t>
      </w:r>
      <w:r>
        <w:rPr>
          <w:w w:val="105"/>
          <w:sz w:val="20"/>
        </w:rPr>
        <w:t>regarding</w:t>
      </w:r>
      <w:r>
        <w:rPr>
          <w:spacing w:val="15"/>
          <w:w w:val="105"/>
          <w:sz w:val="20"/>
        </w:rPr>
        <w:t> </w:t>
      </w:r>
      <w:r>
        <w:rPr>
          <w:w w:val="105"/>
          <w:sz w:val="20"/>
        </w:rPr>
        <w:t>the</w:t>
      </w:r>
      <w:r>
        <w:rPr>
          <w:spacing w:val="16"/>
          <w:w w:val="105"/>
          <w:sz w:val="20"/>
        </w:rPr>
        <w:t> </w:t>
      </w:r>
      <w:r>
        <w:rPr>
          <w:w w:val="105"/>
          <w:sz w:val="20"/>
        </w:rPr>
        <w:t>supplementary</w:t>
      </w:r>
      <w:r>
        <w:rPr>
          <w:spacing w:val="16"/>
          <w:w w:val="105"/>
          <w:sz w:val="20"/>
        </w:rPr>
        <w:t> </w:t>
      </w:r>
      <w:r>
        <w:rPr>
          <w:w w:val="105"/>
          <w:sz w:val="20"/>
        </w:rPr>
        <w:t>frequentist</w:t>
      </w:r>
      <w:r>
        <w:rPr>
          <w:spacing w:val="16"/>
          <w:w w:val="105"/>
          <w:sz w:val="20"/>
        </w:rPr>
        <w:t> </w:t>
      </w:r>
      <w:r>
        <w:rPr>
          <w:w w:val="105"/>
          <w:sz w:val="20"/>
        </w:rPr>
        <w:t>statitics</w:t>
      </w:r>
      <w:r>
        <w:rPr>
          <w:spacing w:val="15"/>
          <w:w w:val="105"/>
          <w:sz w:val="20"/>
        </w:rPr>
        <w:t> </w:t>
      </w:r>
      <w:r>
        <w:rPr>
          <w:w w:val="105"/>
          <w:sz w:val="20"/>
        </w:rPr>
        <w:t>(see</w:t>
      </w:r>
      <w:r>
        <w:rPr>
          <w:spacing w:val="15"/>
          <w:w w:val="105"/>
          <w:sz w:val="20"/>
        </w:rPr>
        <w:t> </w:t>
      </w:r>
      <w:hyperlink w:history="true" w:anchor="_bookmark14">
        <w:r>
          <w:rPr>
            <w:i/>
            <w:spacing w:val="-4"/>
            <w:w w:val="105"/>
            <w:sz w:val="20"/>
          </w:rPr>
          <w:t>Pre-registered</w:t>
        </w:r>
        <w:r>
          <w:rPr>
            <w:i/>
            <w:spacing w:val="21"/>
            <w:w w:val="105"/>
            <w:sz w:val="20"/>
          </w:rPr>
          <w:t> </w:t>
        </w:r>
        <w:r>
          <w:rPr>
            <w:i/>
            <w:w w:val="105"/>
            <w:sz w:val="20"/>
          </w:rPr>
          <w:t>analyses</w:t>
        </w:r>
      </w:hyperlink>
      <w:r>
        <w:rPr>
          <w:w w:val="105"/>
          <w:sz w:val="20"/>
        </w:rPr>
        <w:t>).</w:t>
      </w:r>
    </w:p>
    <w:p>
      <w:pPr>
        <w:spacing w:after="0" w:line="412" w:lineRule="auto"/>
        <w:jc w:val="both"/>
        <w:rPr>
          <w:sz w:val="20"/>
        </w:rPr>
        <w:sectPr>
          <w:pgSz w:w="12240" w:h="15840"/>
          <w:pgMar w:header="649" w:footer="0" w:top="1320" w:bottom="280" w:left="820" w:right="1140"/>
        </w:sectPr>
      </w:pPr>
    </w:p>
    <w:p>
      <w:pPr>
        <w:pStyle w:val="BodyText"/>
        <w:spacing w:before="191"/>
      </w:pPr>
      <w:r>
        <w:rPr>
          <w:rFonts w:ascii="Arial"/>
          <w:w w:val="105"/>
          <w:sz w:val="12"/>
        </w:rPr>
        <w:t>141 </w:t>
      </w:r>
      <w:r>
        <w:rPr>
          <w:w w:val="105"/>
        </w:rPr>
        <w:t>times (RTs) in avoid trials (push action) from the RTs in approach trials (pull action) at the</w:t>
      </w:r>
    </w:p>
    <w:p>
      <w:pPr>
        <w:pStyle w:val="BodyText"/>
      </w:pPr>
      <w:r>
        <w:rPr>
          <w:rFonts w:ascii="Arial"/>
          <w:w w:val="105"/>
          <w:sz w:val="12"/>
        </w:rPr>
        <w:t>142 </w:t>
      </w:r>
      <w:r>
        <w:rPr>
          <w:w w:val="105"/>
        </w:rPr>
        <w:t>participant level, for each training condition and then calculating the change from pre-to</w:t>
      </w:r>
    </w:p>
    <w:p>
      <w:pPr>
        <w:pStyle w:val="BodyText"/>
        <w:spacing w:before="203"/>
      </w:pPr>
      <w:r>
        <w:rPr>
          <w:rFonts w:ascii="Arial"/>
          <w:w w:val="105"/>
          <w:sz w:val="12"/>
        </w:rPr>
        <w:t>143 </w:t>
      </w:r>
      <w:r>
        <w:rPr>
          <w:w w:val="105"/>
        </w:rPr>
        <w:t>post-training. It was hypothesized that ICT training would lead to a reduction in approach</w:t>
      </w:r>
    </w:p>
    <w:p>
      <w:pPr>
        <w:pStyle w:val="BodyText"/>
      </w:pPr>
      <w:r>
        <w:rPr>
          <w:rFonts w:ascii="Arial"/>
          <w:w w:val="105"/>
          <w:sz w:val="12"/>
        </w:rPr>
        <w:t>144 </w:t>
      </w:r>
      <w:r>
        <w:rPr>
          <w:w w:val="105"/>
        </w:rPr>
        <w:t>bias for no-go goods and increase in approach bias for go goods compared to the control</w:t>
      </w:r>
    </w:p>
    <w:p>
      <w:pPr>
        <w:spacing w:before="202"/>
        <w:ind w:left="230" w:right="0" w:firstLine="0"/>
        <w:jc w:val="left"/>
        <w:rPr>
          <w:sz w:val="24"/>
        </w:rPr>
      </w:pPr>
      <w:r>
        <w:rPr>
          <w:rFonts w:ascii="Arial"/>
          <w:sz w:val="12"/>
        </w:rPr>
        <w:t>145 </w:t>
      </w:r>
      <w:r>
        <w:rPr>
          <w:sz w:val="24"/>
        </w:rPr>
        <w:t>foods.</w:t>
      </w:r>
    </w:p>
    <w:p>
      <w:pPr>
        <w:pStyle w:val="BodyText"/>
        <w:spacing w:before="0"/>
        <w:ind w:left="0"/>
        <w:rPr>
          <w:sz w:val="20"/>
        </w:rPr>
      </w:pPr>
    </w:p>
    <w:p>
      <w:pPr>
        <w:pStyle w:val="BodyText"/>
        <w:spacing w:before="8"/>
        <w:ind w:left="0"/>
        <w:rPr>
          <w:sz w:val="20"/>
        </w:rPr>
      </w:pPr>
    </w:p>
    <w:p>
      <w:pPr>
        <w:pStyle w:val="BodyText"/>
        <w:spacing w:before="145"/>
      </w:pPr>
      <w:r>
        <w:rPr>
          <w:rFonts w:ascii="Arial"/>
          <w:sz w:val="12"/>
        </w:rPr>
        <w:t>146 </w:t>
      </w:r>
      <w:r>
        <w:rPr/>
        <w:t>H1.</w:t>
      </w:r>
      <w:r>
        <w:rPr>
          <w:spacing w:val="57"/>
        </w:rPr>
        <w:t> </w:t>
      </w:r>
      <w:r>
        <w:rPr/>
        <w:t>There will </w:t>
      </w:r>
      <w:r>
        <w:rPr>
          <w:spacing w:val="3"/>
        </w:rPr>
        <w:t>be </w:t>
      </w:r>
      <w:r>
        <w:rPr>
          <w:i/>
          <w:spacing w:val="-3"/>
        </w:rPr>
        <w:t>moderate </w:t>
      </w:r>
      <w:r>
        <w:rPr/>
        <w:t>evidence for an effect of training condition (go, no-go, control)</w:t>
      </w:r>
    </w:p>
    <w:p>
      <w:pPr>
        <w:pStyle w:val="BodyText"/>
      </w:pPr>
      <w:r>
        <w:rPr>
          <w:rFonts w:ascii="Arial"/>
          <w:w w:val="105"/>
          <w:sz w:val="12"/>
        </w:rPr>
        <w:t>147 </w:t>
      </w:r>
      <w:r>
        <w:rPr>
          <w:w w:val="105"/>
        </w:rPr>
        <w:t>on the change in approach-avoid bias scores from pre-to post-training.</w:t>
      </w:r>
    </w:p>
    <w:p>
      <w:pPr>
        <w:pStyle w:val="BodyText"/>
        <w:spacing w:before="0"/>
        <w:ind w:left="0"/>
        <w:rPr>
          <w:sz w:val="20"/>
        </w:rPr>
      </w:pPr>
    </w:p>
    <w:p>
      <w:pPr>
        <w:pStyle w:val="BodyText"/>
        <w:spacing w:before="8"/>
        <w:ind w:left="0"/>
        <w:rPr>
          <w:sz w:val="20"/>
        </w:rPr>
      </w:pPr>
    </w:p>
    <w:p>
      <w:pPr>
        <w:pStyle w:val="BodyText"/>
        <w:spacing w:before="146"/>
      </w:pPr>
      <w:r>
        <w:rPr>
          <w:rFonts w:ascii="Arial"/>
          <w:w w:val="105"/>
          <w:sz w:val="12"/>
        </w:rPr>
        <w:t>148 </w:t>
      </w:r>
      <w:r>
        <w:rPr>
          <w:w w:val="105"/>
        </w:rPr>
        <w:t>H1a. Participants will show a reduction in approach bias for no-go foods compared to the</w:t>
      </w:r>
    </w:p>
    <w:p>
      <w:pPr>
        <w:pStyle w:val="BodyText"/>
        <w:tabs>
          <w:tab w:pos="1205" w:val="left" w:leader="none"/>
        </w:tabs>
      </w:pPr>
      <w:r>
        <w:rPr>
          <w:rFonts w:ascii="Arial"/>
          <w:w w:val="105"/>
          <w:sz w:val="12"/>
        </w:rPr>
        <w:t>149</w:t>
        <w:tab/>
      </w:r>
      <w:r>
        <w:rPr>
          <w:w w:val="105"/>
        </w:rPr>
        <w:t>control foods, from pre-to post-</w:t>
      </w:r>
      <w:r>
        <w:rPr>
          <w:spacing w:val="8"/>
          <w:w w:val="105"/>
        </w:rPr>
        <w:t> </w:t>
      </w:r>
      <w:r>
        <w:rPr>
          <w:w w:val="105"/>
        </w:rPr>
        <w:t>training.</w:t>
      </w:r>
    </w:p>
    <w:p>
      <w:pPr>
        <w:pStyle w:val="BodyText"/>
      </w:pPr>
      <w:r>
        <w:rPr>
          <w:rFonts w:ascii="Arial"/>
          <w:w w:val="105"/>
          <w:sz w:val="12"/>
        </w:rPr>
        <w:t>150 </w:t>
      </w:r>
      <w:r>
        <w:rPr>
          <w:w w:val="105"/>
        </w:rPr>
        <w:t>H1b. Participants will have increased approach bias towards go foods relative to the control</w:t>
      </w:r>
    </w:p>
    <w:p>
      <w:pPr>
        <w:pStyle w:val="BodyText"/>
        <w:tabs>
          <w:tab w:pos="1205" w:val="left" w:leader="none"/>
        </w:tabs>
      </w:pPr>
      <w:r>
        <w:rPr>
          <w:rFonts w:ascii="Arial"/>
          <w:w w:val="105"/>
          <w:sz w:val="12"/>
        </w:rPr>
        <w:t>151</w:t>
        <w:tab/>
      </w:r>
      <w:r>
        <w:rPr>
          <w:w w:val="105"/>
        </w:rPr>
        <w:t>foods, from pre-to post-</w:t>
      </w:r>
      <w:r>
        <w:rPr>
          <w:spacing w:val="58"/>
          <w:w w:val="105"/>
        </w:rPr>
        <w:t> </w:t>
      </w:r>
      <w:r>
        <w:rPr>
          <w:w w:val="105"/>
        </w:rPr>
        <w:t>training.</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6"/>
        <w:ind w:left="0"/>
        <w:rPr>
          <w:sz w:val="21"/>
        </w:rPr>
      </w:pPr>
    </w:p>
    <w:p>
      <w:pPr>
        <w:pStyle w:val="Heading1"/>
      </w:pPr>
      <w:r>
        <w:rPr>
          <w:rFonts w:ascii="Arial"/>
          <w:b w:val="0"/>
          <w:w w:val="110"/>
          <w:sz w:val="12"/>
        </w:rPr>
        <w:t>152</w:t>
      </w:r>
      <w:bookmarkStart w:name="Training effects on impulsive food choic" w:id="8"/>
      <w:bookmarkEnd w:id="8"/>
      <w:r>
        <w:rPr>
          <w:rFonts w:ascii="Arial"/>
          <w:b w:val="0"/>
          <w:w w:val="110"/>
          <w:sz w:val="12"/>
        </w:rPr>
      </w:r>
      <w:r>
        <w:rPr>
          <w:rFonts w:ascii="Arial"/>
          <w:b w:val="0"/>
          <w:w w:val="110"/>
          <w:sz w:val="12"/>
        </w:rPr>
        <w:t> </w:t>
      </w:r>
      <w:r>
        <w:rPr>
          <w:w w:val="110"/>
        </w:rPr>
        <w:t>Training effects on impulsive food choices</w:t>
      </w: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3"/>
        <w:ind w:left="0"/>
        <w:rPr>
          <w:b/>
          <w:sz w:val="17"/>
        </w:rPr>
      </w:pPr>
    </w:p>
    <w:p>
      <w:pPr>
        <w:pStyle w:val="BodyText"/>
        <w:tabs>
          <w:tab w:pos="1195" w:val="left" w:leader="none"/>
        </w:tabs>
        <w:spacing w:before="146"/>
      </w:pPr>
      <w:r>
        <w:rPr>
          <w:rFonts w:ascii="Arial"/>
          <w:sz w:val="12"/>
        </w:rPr>
        <w:t>153</w:t>
        <w:tab/>
      </w:r>
      <w:r>
        <w:rPr/>
        <w:t>As</w:t>
      </w:r>
      <w:r>
        <w:rPr>
          <w:spacing w:val="26"/>
        </w:rPr>
        <w:t> </w:t>
      </w:r>
      <w:r>
        <w:rPr/>
        <w:t>a</w:t>
      </w:r>
      <w:r>
        <w:rPr>
          <w:spacing w:val="28"/>
        </w:rPr>
        <w:t> </w:t>
      </w:r>
      <w:r>
        <w:rPr/>
        <w:t>secondary</w:t>
      </w:r>
      <w:r>
        <w:rPr>
          <w:spacing w:val="28"/>
        </w:rPr>
        <w:t> </w:t>
      </w:r>
      <w:r>
        <w:rPr/>
        <w:t>outcome,</w:t>
      </w:r>
      <w:r>
        <w:rPr>
          <w:spacing w:val="27"/>
        </w:rPr>
        <w:t> </w:t>
      </w:r>
      <w:r>
        <w:rPr/>
        <w:t>the</w:t>
      </w:r>
      <w:r>
        <w:rPr>
          <w:spacing w:val="28"/>
        </w:rPr>
        <w:t> </w:t>
      </w:r>
      <w:r>
        <w:rPr/>
        <w:t>effects</w:t>
      </w:r>
      <w:r>
        <w:rPr>
          <w:spacing w:val="28"/>
        </w:rPr>
        <w:t> </w:t>
      </w:r>
      <w:r>
        <w:rPr/>
        <w:t>of</w:t>
      </w:r>
      <w:r>
        <w:rPr>
          <w:spacing w:val="27"/>
        </w:rPr>
        <w:t> </w:t>
      </w:r>
      <w:r>
        <w:rPr/>
        <w:t>ICT</w:t>
      </w:r>
      <w:r>
        <w:rPr>
          <w:spacing w:val="28"/>
        </w:rPr>
        <w:t> </w:t>
      </w:r>
      <w:r>
        <w:rPr/>
        <w:t>on</w:t>
      </w:r>
      <w:r>
        <w:rPr>
          <w:spacing w:val="28"/>
        </w:rPr>
        <w:t> </w:t>
      </w:r>
      <w:r>
        <w:rPr/>
        <w:t>impulsive</w:t>
      </w:r>
      <w:r>
        <w:rPr>
          <w:spacing w:val="28"/>
        </w:rPr>
        <w:t> </w:t>
      </w:r>
      <w:r>
        <w:rPr>
          <w:spacing w:val="3"/>
        </w:rPr>
        <w:t>food</w:t>
      </w:r>
      <w:r>
        <w:rPr>
          <w:spacing w:val="28"/>
        </w:rPr>
        <w:t> </w:t>
      </w:r>
      <w:r>
        <w:rPr/>
        <w:t>choices</w:t>
      </w:r>
      <w:r>
        <w:rPr>
          <w:spacing w:val="28"/>
        </w:rPr>
        <w:t> </w:t>
      </w:r>
      <w:r>
        <w:rPr/>
        <w:t>for</w:t>
      </w:r>
      <w:r>
        <w:rPr>
          <w:spacing w:val="28"/>
        </w:rPr>
        <w:t> </w:t>
      </w:r>
      <w:r>
        <w:rPr/>
        <w:t>unhealthy</w:t>
      </w:r>
    </w:p>
    <w:p>
      <w:pPr>
        <w:pStyle w:val="BodyText"/>
      </w:pPr>
      <w:r>
        <w:rPr>
          <w:rFonts w:ascii="Arial"/>
          <w:w w:val="105"/>
          <w:sz w:val="12"/>
        </w:rPr>
        <w:t>154 </w:t>
      </w:r>
      <w:r>
        <w:rPr>
          <w:w w:val="105"/>
        </w:rPr>
        <w:t>foods were tested by comparing the probabilities of choosing a food from each training</w:t>
      </w:r>
    </w:p>
    <w:p>
      <w:pPr>
        <w:pStyle w:val="BodyText"/>
      </w:pPr>
      <w:r>
        <w:rPr>
          <w:rFonts w:ascii="Arial"/>
          <w:w w:val="105"/>
          <w:sz w:val="12"/>
        </w:rPr>
        <w:t>155 </w:t>
      </w:r>
      <w:r>
        <w:rPr>
          <w:w w:val="105"/>
        </w:rPr>
        <w:t>condition. Specifically, it was expected that after ICT participants would show reduced</w:t>
      </w:r>
    </w:p>
    <w:p>
      <w:pPr>
        <w:pStyle w:val="BodyText"/>
      </w:pPr>
      <w:r>
        <w:rPr>
          <w:rFonts w:ascii="Arial"/>
          <w:sz w:val="12"/>
        </w:rPr>
        <w:t>156 </w:t>
      </w:r>
      <w:r>
        <w:rPr/>
        <w:t>impulsive choices for no-go foods and increased choices for go foods relative to control foods.</w:t>
      </w:r>
    </w:p>
    <w:p>
      <w:pPr>
        <w:pStyle w:val="BodyText"/>
        <w:spacing w:before="0"/>
        <w:ind w:left="0"/>
        <w:rPr>
          <w:sz w:val="20"/>
        </w:rPr>
      </w:pPr>
    </w:p>
    <w:p>
      <w:pPr>
        <w:pStyle w:val="BodyText"/>
        <w:spacing w:before="8"/>
        <w:ind w:left="0"/>
        <w:rPr>
          <w:sz w:val="20"/>
        </w:rPr>
      </w:pPr>
    </w:p>
    <w:p>
      <w:pPr>
        <w:pStyle w:val="BodyText"/>
        <w:spacing w:before="146"/>
      </w:pPr>
      <w:r>
        <w:rPr>
          <w:rFonts w:ascii="Arial"/>
          <w:w w:val="105"/>
          <w:sz w:val="12"/>
        </w:rPr>
        <w:t>157 </w:t>
      </w:r>
      <w:r>
        <w:rPr>
          <w:w w:val="105"/>
        </w:rPr>
        <w:t>H2. Two Bayesian paired samples t-tests were conducted for the mean proportions of</w:t>
      </w:r>
    </w:p>
    <w:p>
      <w:pPr>
        <w:pStyle w:val="BodyText"/>
      </w:pPr>
      <w:r>
        <w:rPr>
          <w:rFonts w:ascii="Arial"/>
          <w:w w:val="105"/>
          <w:sz w:val="12"/>
        </w:rPr>
        <w:t>158 </w:t>
      </w:r>
      <w:r>
        <w:rPr>
          <w:w w:val="105"/>
        </w:rPr>
        <w:t>selected foods in the go and no-go training condition compared to the control.</w:t>
      </w:r>
    </w:p>
    <w:p>
      <w:pPr>
        <w:pStyle w:val="BodyText"/>
        <w:spacing w:before="0"/>
        <w:ind w:left="0"/>
        <w:rPr>
          <w:sz w:val="20"/>
        </w:rPr>
      </w:pPr>
    </w:p>
    <w:p>
      <w:pPr>
        <w:pStyle w:val="BodyText"/>
        <w:spacing w:before="8"/>
        <w:ind w:left="0"/>
        <w:rPr>
          <w:sz w:val="20"/>
        </w:rPr>
      </w:pPr>
    </w:p>
    <w:p>
      <w:pPr>
        <w:pStyle w:val="BodyText"/>
        <w:spacing w:before="145"/>
      </w:pPr>
      <w:r>
        <w:rPr>
          <w:rFonts w:ascii="Arial"/>
          <w:w w:val="105"/>
          <w:sz w:val="12"/>
        </w:rPr>
        <w:t>159 </w:t>
      </w:r>
      <w:r>
        <w:rPr>
          <w:w w:val="105"/>
        </w:rPr>
        <w:t>H2a. Participants will show reduced choices for no-go </w:t>
      </w:r>
      <w:r>
        <w:rPr>
          <w:spacing w:val="2"/>
          <w:w w:val="105"/>
        </w:rPr>
        <w:t>foods </w:t>
      </w:r>
      <w:r>
        <w:rPr>
          <w:w w:val="105"/>
        </w:rPr>
        <w:t>relative to the control</w:t>
      </w:r>
      <w:r>
        <w:rPr>
          <w:spacing w:val="57"/>
          <w:w w:val="105"/>
        </w:rPr>
        <w:t> </w:t>
      </w:r>
      <w:r>
        <w:rPr>
          <w:w w:val="105"/>
        </w:rPr>
        <w:t>foods.</w:t>
      </w:r>
    </w:p>
    <w:p>
      <w:pPr>
        <w:pStyle w:val="BodyText"/>
      </w:pPr>
      <w:r>
        <w:rPr>
          <w:rFonts w:ascii="Arial"/>
          <w:w w:val="105"/>
          <w:sz w:val="12"/>
        </w:rPr>
        <w:t>160 </w:t>
      </w:r>
      <w:r>
        <w:rPr>
          <w:w w:val="105"/>
        </w:rPr>
        <w:t>H2b. Participants will show increased choices for go </w:t>
      </w:r>
      <w:r>
        <w:rPr>
          <w:spacing w:val="2"/>
          <w:w w:val="105"/>
        </w:rPr>
        <w:t>foods </w:t>
      </w:r>
      <w:r>
        <w:rPr>
          <w:w w:val="105"/>
        </w:rPr>
        <w:t>relative to the control</w:t>
      </w:r>
      <w:r>
        <w:rPr>
          <w:spacing w:val="58"/>
          <w:w w:val="105"/>
        </w:rPr>
        <w:t> </w:t>
      </w:r>
      <w:r>
        <w:rPr>
          <w:w w:val="105"/>
        </w:rPr>
        <w:t>foods.</w:t>
      </w:r>
    </w:p>
    <w:p>
      <w:pPr>
        <w:spacing w:after="0"/>
        <w:sectPr>
          <w:pgSz w:w="12240" w:h="15840"/>
          <w:pgMar w:header="649" w:footer="0" w:top="1320" w:bottom="280" w:left="820" w:right="1140"/>
        </w:sectPr>
      </w:pPr>
    </w:p>
    <w:p>
      <w:pPr>
        <w:pStyle w:val="Heading1"/>
        <w:spacing w:before="191"/>
      </w:pPr>
      <w:r>
        <w:rPr>
          <w:rFonts w:ascii="Arial"/>
          <w:b w:val="0"/>
          <w:w w:val="110"/>
          <w:sz w:val="12"/>
        </w:rPr>
        <w:t>161</w:t>
      </w:r>
      <w:bookmarkStart w:name="Manipulation check 1: Stimulus devaluati" w:id="9"/>
      <w:bookmarkEnd w:id="9"/>
      <w:r>
        <w:rPr>
          <w:rFonts w:ascii="Arial"/>
          <w:b w:val="0"/>
          <w:w w:val="110"/>
          <w:sz w:val="12"/>
        </w:rPr>
      </w:r>
      <w:r>
        <w:rPr>
          <w:rFonts w:ascii="Arial"/>
          <w:b w:val="0"/>
          <w:w w:val="110"/>
          <w:sz w:val="12"/>
        </w:rPr>
        <w:t> </w:t>
      </w:r>
      <w:r>
        <w:rPr>
          <w:w w:val="110"/>
        </w:rPr>
        <w:t>Manipulation check 1: Stimulus devaluation</w:t>
      </w:r>
    </w:p>
    <w:p>
      <w:pPr>
        <w:pStyle w:val="BodyText"/>
        <w:spacing w:before="0"/>
        <w:ind w:left="0"/>
        <w:rPr>
          <w:b/>
          <w:sz w:val="20"/>
        </w:rPr>
      </w:pPr>
    </w:p>
    <w:p>
      <w:pPr>
        <w:pStyle w:val="BodyText"/>
        <w:spacing w:before="0"/>
        <w:ind w:left="0"/>
        <w:rPr>
          <w:b/>
          <w:sz w:val="23"/>
        </w:rPr>
      </w:pPr>
    </w:p>
    <w:p>
      <w:pPr>
        <w:pStyle w:val="BodyText"/>
        <w:tabs>
          <w:tab w:pos="1195" w:val="left" w:leader="none"/>
        </w:tabs>
        <w:spacing w:before="145"/>
      </w:pPr>
      <w:r>
        <w:rPr>
          <w:rFonts w:ascii="Arial"/>
          <w:w w:val="105"/>
          <w:sz w:val="12"/>
        </w:rPr>
        <w:t>162</w:t>
        <w:tab/>
      </w:r>
      <w:r>
        <w:rPr>
          <w:w w:val="105"/>
        </w:rPr>
        <w:t>The</w:t>
      </w:r>
      <w:r>
        <w:rPr>
          <w:spacing w:val="11"/>
          <w:w w:val="105"/>
        </w:rPr>
        <w:t> </w:t>
      </w:r>
      <w:r>
        <w:rPr>
          <w:w w:val="105"/>
        </w:rPr>
        <w:t>mean</w:t>
      </w:r>
      <w:r>
        <w:rPr>
          <w:spacing w:val="12"/>
          <w:w w:val="105"/>
        </w:rPr>
        <w:t> </w:t>
      </w:r>
      <w:r>
        <w:rPr>
          <w:w w:val="105"/>
        </w:rPr>
        <w:t>change</w:t>
      </w:r>
      <w:r>
        <w:rPr>
          <w:spacing w:val="12"/>
          <w:w w:val="105"/>
        </w:rPr>
        <w:t> </w:t>
      </w:r>
      <w:r>
        <w:rPr>
          <w:w w:val="105"/>
        </w:rPr>
        <w:t>in</w:t>
      </w:r>
      <w:r>
        <w:rPr>
          <w:spacing w:val="11"/>
          <w:w w:val="105"/>
        </w:rPr>
        <w:t> </w:t>
      </w:r>
      <w:r>
        <w:rPr>
          <w:spacing w:val="3"/>
          <w:w w:val="105"/>
        </w:rPr>
        <w:t>food</w:t>
      </w:r>
      <w:r>
        <w:rPr>
          <w:spacing w:val="11"/>
          <w:w w:val="105"/>
        </w:rPr>
        <w:t> </w:t>
      </w:r>
      <w:r>
        <w:rPr>
          <w:w w:val="105"/>
        </w:rPr>
        <w:t>liking</w:t>
      </w:r>
      <w:r>
        <w:rPr>
          <w:spacing w:val="11"/>
          <w:w w:val="105"/>
        </w:rPr>
        <w:t> </w:t>
      </w:r>
      <w:r>
        <w:rPr>
          <w:w w:val="105"/>
        </w:rPr>
        <w:t>ratings</w:t>
      </w:r>
      <w:r>
        <w:rPr>
          <w:spacing w:val="11"/>
          <w:w w:val="105"/>
        </w:rPr>
        <w:t> </w:t>
      </w:r>
      <w:r>
        <w:rPr>
          <w:w w:val="105"/>
        </w:rPr>
        <w:t>from</w:t>
      </w:r>
      <w:r>
        <w:rPr>
          <w:spacing w:val="12"/>
          <w:w w:val="105"/>
        </w:rPr>
        <w:t> </w:t>
      </w:r>
      <w:r>
        <w:rPr>
          <w:w w:val="105"/>
        </w:rPr>
        <w:t>pre-to</w:t>
      </w:r>
      <w:r>
        <w:rPr>
          <w:spacing w:val="11"/>
          <w:w w:val="105"/>
        </w:rPr>
        <w:t> </w:t>
      </w:r>
      <w:r>
        <w:rPr>
          <w:w w:val="105"/>
        </w:rPr>
        <w:t>post-training</w:t>
      </w:r>
      <w:r>
        <w:rPr>
          <w:spacing w:val="10"/>
          <w:w w:val="105"/>
        </w:rPr>
        <w:t> </w:t>
      </w:r>
      <w:r>
        <w:rPr>
          <w:spacing w:val="-3"/>
          <w:w w:val="105"/>
        </w:rPr>
        <w:t>was</w:t>
      </w:r>
      <w:r>
        <w:rPr>
          <w:spacing w:val="12"/>
          <w:w w:val="105"/>
        </w:rPr>
        <w:t> </w:t>
      </w:r>
      <w:r>
        <w:rPr>
          <w:w w:val="105"/>
        </w:rPr>
        <w:t>examined</w:t>
      </w:r>
      <w:r>
        <w:rPr>
          <w:spacing w:val="12"/>
          <w:w w:val="105"/>
        </w:rPr>
        <w:t> </w:t>
      </w:r>
      <w:r>
        <w:rPr>
          <w:w w:val="105"/>
        </w:rPr>
        <w:t>for</w:t>
      </w:r>
    </w:p>
    <w:p>
      <w:pPr>
        <w:pStyle w:val="BodyText"/>
      </w:pPr>
      <w:r>
        <w:rPr>
          <w:rFonts w:ascii="Arial"/>
          <w:w w:val="105"/>
          <w:sz w:val="12"/>
        </w:rPr>
        <w:t>163 </w:t>
      </w:r>
      <w:r>
        <w:rPr>
          <w:w w:val="105"/>
        </w:rPr>
        <w:t>each training condition in order to test whether no-go training led to the devaluation of</w:t>
      </w:r>
    </w:p>
    <w:p>
      <w:pPr>
        <w:pStyle w:val="BodyText"/>
        <w:spacing w:before="203"/>
      </w:pPr>
      <w:r>
        <w:rPr>
          <w:rFonts w:ascii="Arial"/>
          <w:w w:val="105"/>
          <w:sz w:val="12"/>
        </w:rPr>
        <w:t>164 </w:t>
      </w:r>
      <w:r>
        <w:rPr>
          <w:w w:val="105"/>
        </w:rPr>
        <w:t>no-go foods compared to control foods. It should be noted that this was not a positive</w:t>
      </w:r>
    </w:p>
    <w:p>
      <w:pPr>
        <w:pStyle w:val="BodyText"/>
      </w:pPr>
      <w:r>
        <w:rPr>
          <w:rFonts w:ascii="Arial"/>
          <w:sz w:val="12"/>
        </w:rPr>
        <w:t>165      </w:t>
      </w:r>
      <w:r>
        <w:rPr>
          <w:rFonts w:ascii="Arial"/>
          <w:spacing w:val="14"/>
          <w:sz w:val="12"/>
        </w:rPr>
        <w:t> </w:t>
      </w:r>
      <w:r>
        <w:rPr/>
        <w:t>control</w:t>
      </w:r>
      <w:r>
        <w:rPr>
          <w:spacing w:val="36"/>
        </w:rPr>
        <w:t> </w:t>
      </w:r>
      <w:r>
        <w:rPr/>
        <w:t>for</w:t>
      </w:r>
      <w:r>
        <w:rPr>
          <w:spacing w:val="37"/>
        </w:rPr>
        <w:t> </w:t>
      </w:r>
      <w:r>
        <w:rPr/>
        <w:t>training</w:t>
      </w:r>
      <w:r>
        <w:rPr>
          <w:spacing w:val="37"/>
        </w:rPr>
        <w:t> </w:t>
      </w:r>
      <w:r>
        <w:rPr/>
        <w:t>effectiveness,</w:t>
      </w:r>
      <w:r>
        <w:rPr>
          <w:spacing w:val="37"/>
        </w:rPr>
        <w:t> </w:t>
      </w:r>
      <w:r>
        <w:rPr/>
        <w:t>as</w:t>
      </w:r>
      <w:r>
        <w:rPr>
          <w:spacing w:val="36"/>
        </w:rPr>
        <w:t> </w:t>
      </w:r>
      <w:r>
        <w:rPr/>
        <w:t>the</w:t>
      </w:r>
      <w:r>
        <w:rPr>
          <w:spacing w:val="36"/>
        </w:rPr>
        <w:t> </w:t>
      </w:r>
      <w:r>
        <w:rPr/>
        <w:t>findings</w:t>
      </w:r>
      <w:r>
        <w:rPr>
          <w:spacing w:val="37"/>
        </w:rPr>
        <w:t> </w:t>
      </w:r>
      <w:r>
        <w:rPr/>
        <w:t>for</w:t>
      </w:r>
      <w:r>
        <w:rPr>
          <w:spacing w:val="37"/>
        </w:rPr>
        <w:t> </w:t>
      </w:r>
      <w:r>
        <w:rPr/>
        <w:t>stimulus</w:t>
      </w:r>
      <w:r>
        <w:rPr>
          <w:spacing w:val="36"/>
        </w:rPr>
        <w:t> </w:t>
      </w:r>
      <w:r>
        <w:rPr/>
        <w:t>devaluation</w:t>
      </w:r>
      <w:r>
        <w:rPr>
          <w:spacing w:val="36"/>
        </w:rPr>
        <w:t> </w:t>
      </w:r>
      <w:r>
        <w:rPr/>
        <w:t>outcomes</w:t>
      </w:r>
      <w:r>
        <w:rPr>
          <w:spacing w:val="36"/>
        </w:rPr>
        <w:t> </w:t>
      </w:r>
      <w:r>
        <w:rPr/>
        <w:t>remain</w:t>
      </w:r>
    </w:p>
    <w:p>
      <w:pPr>
        <w:pStyle w:val="BodyText"/>
      </w:pPr>
      <w:r>
        <w:rPr>
          <w:rFonts w:ascii="Arial"/>
          <w:w w:val="105"/>
          <w:sz w:val="12"/>
        </w:rPr>
        <w:t>166      </w:t>
      </w:r>
      <w:r>
        <w:rPr>
          <w:w w:val="105"/>
        </w:rPr>
        <w:t>controversial (see Jones et al., 2016 for meta-analysis).  Stimulus devaluation in this</w:t>
      </w:r>
      <w:r>
        <w:rPr>
          <w:spacing w:val="57"/>
          <w:w w:val="105"/>
        </w:rPr>
        <w:t> </w:t>
      </w:r>
      <w:r>
        <w:rPr>
          <w:w w:val="105"/>
        </w:rPr>
        <w:t>study</w:t>
      </w:r>
    </w:p>
    <w:p>
      <w:pPr>
        <w:pStyle w:val="BodyText"/>
      </w:pPr>
      <w:r>
        <w:rPr>
          <w:rFonts w:ascii="Arial"/>
          <w:w w:val="105"/>
          <w:sz w:val="12"/>
        </w:rPr>
        <w:t>167 </w:t>
      </w:r>
      <w:r>
        <w:rPr>
          <w:w w:val="105"/>
        </w:rPr>
        <w:t>was therefore treated both as a manipulation check for the employed training paradigm and</w:t>
      </w:r>
    </w:p>
    <w:p>
      <w:pPr>
        <w:pStyle w:val="BodyText"/>
      </w:pPr>
      <w:r>
        <w:rPr>
          <w:rFonts w:ascii="Arial"/>
          <w:w w:val="105"/>
          <w:sz w:val="12"/>
        </w:rPr>
        <w:t>168 </w:t>
      </w:r>
      <w:r>
        <w:rPr>
          <w:w w:val="105"/>
        </w:rPr>
        <w:t>a secondary outcome measure.</w:t>
      </w:r>
    </w:p>
    <w:p>
      <w:pPr>
        <w:pStyle w:val="BodyText"/>
        <w:spacing w:before="3"/>
        <w:ind w:left="0"/>
        <w:rPr>
          <w:sz w:val="27"/>
        </w:rPr>
      </w:pPr>
    </w:p>
    <w:p>
      <w:pPr>
        <w:pStyle w:val="BodyText"/>
        <w:spacing w:before="145"/>
      </w:pPr>
      <w:r>
        <w:rPr>
          <w:rFonts w:ascii="Arial"/>
          <w:sz w:val="12"/>
        </w:rPr>
        <w:t>169 </w:t>
      </w:r>
      <w:r>
        <w:rPr/>
        <w:t>H3.</w:t>
      </w:r>
      <w:r>
        <w:rPr>
          <w:spacing w:val="57"/>
        </w:rPr>
        <w:t> </w:t>
      </w:r>
      <w:r>
        <w:rPr/>
        <w:t>There will </w:t>
      </w:r>
      <w:r>
        <w:rPr>
          <w:spacing w:val="3"/>
        </w:rPr>
        <w:t>be </w:t>
      </w:r>
      <w:r>
        <w:rPr>
          <w:i/>
          <w:spacing w:val="-3"/>
        </w:rPr>
        <w:t>moderate </w:t>
      </w:r>
      <w:r>
        <w:rPr/>
        <w:t>evidence for an effect of training condition (go, no-go, control)</w:t>
      </w:r>
    </w:p>
    <w:p>
      <w:pPr>
        <w:pStyle w:val="BodyText"/>
      </w:pPr>
      <w:r>
        <w:rPr>
          <w:rFonts w:ascii="Arial"/>
          <w:w w:val="105"/>
          <w:sz w:val="12"/>
        </w:rPr>
        <w:t>170 </w:t>
      </w:r>
      <w:r>
        <w:rPr>
          <w:w w:val="105"/>
        </w:rPr>
        <w:t>on the change in food liking from pre-to post-training.</w:t>
      </w:r>
    </w:p>
    <w:p>
      <w:pPr>
        <w:pStyle w:val="BodyText"/>
        <w:spacing w:before="3"/>
        <w:ind w:left="0"/>
        <w:rPr>
          <w:sz w:val="27"/>
        </w:rPr>
      </w:pPr>
    </w:p>
    <w:p>
      <w:pPr>
        <w:pStyle w:val="BodyText"/>
        <w:spacing w:before="145"/>
        <w:ind w:left="3501"/>
      </w:pPr>
      <w:r>
        <w:rPr/>
        <w:pict>
          <v:shape style="position:absolute;margin-left:50.011002pt;margin-top:4.979618pt;width:161.450pt;height:88.55pt;mso-position-horizontal-relative:page;mso-position-vertical-relative:paragraph;z-index:10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
                    <w:gridCol w:w="2596"/>
                  </w:tblGrid>
                  <w:tr>
                    <w:trPr>
                      <w:trHeight w:val="407" w:hRule="atLeast"/>
                    </w:trPr>
                    <w:tc>
                      <w:tcPr>
                        <w:tcW w:w="3229" w:type="dxa"/>
                        <w:gridSpan w:val="2"/>
                      </w:tcPr>
                      <w:p>
                        <w:pPr>
                          <w:pStyle w:val="TableParagraph"/>
                          <w:spacing w:before="45"/>
                          <w:ind w:left="50" w:right="-29"/>
                          <w:rPr>
                            <w:sz w:val="24"/>
                          </w:rPr>
                        </w:pPr>
                        <w:r>
                          <w:rPr>
                            <w:rFonts w:ascii="Arial"/>
                            <w:sz w:val="12"/>
                          </w:rPr>
                          <w:t>171 </w:t>
                        </w:r>
                        <w:r>
                          <w:rPr>
                            <w:sz w:val="24"/>
                          </w:rPr>
                          <w:t>H3a. Participants will</w:t>
                        </w:r>
                        <w:r>
                          <w:rPr>
                            <w:spacing w:val="5"/>
                            <w:sz w:val="24"/>
                          </w:rPr>
                          <w:t> </w:t>
                        </w:r>
                        <w:r>
                          <w:rPr>
                            <w:sz w:val="24"/>
                          </w:rPr>
                          <w:t>show</w:t>
                        </w:r>
                      </w:p>
                    </w:tc>
                  </w:tr>
                  <w:tr>
                    <w:trPr>
                      <w:trHeight w:val="478" w:hRule="atLeast"/>
                    </w:trPr>
                    <w:tc>
                      <w:tcPr>
                        <w:tcW w:w="633" w:type="dxa"/>
                      </w:tcPr>
                      <w:p>
                        <w:pPr>
                          <w:pStyle w:val="TableParagraph"/>
                          <w:spacing w:before="9"/>
                          <w:rPr>
                            <w:sz w:val="19"/>
                          </w:rPr>
                        </w:pPr>
                      </w:p>
                      <w:p>
                        <w:pPr>
                          <w:pStyle w:val="TableParagraph"/>
                          <w:ind w:left="50"/>
                          <w:rPr>
                            <w:rFonts w:ascii="Arial"/>
                            <w:sz w:val="12"/>
                          </w:rPr>
                        </w:pPr>
                        <w:r>
                          <w:rPr>
                            <w:rFonts w:ascii="Arial"/>
                            <w:sz w:val="12"/>
                          </w:rPr>
                          <w:t>172</w:t>
                        </w:r>
                      </w:p>
                    </w:tc>
                    <w:tc>
                      <w:tcPr>
                        <w:tcW w:w="2596" w:type="dxa"/>
                      </w:tcPr>
                      <w:p>
                        <w:pPr>
                          <w:pStyle w:val="TableParagraph"/>
                          <w:spacing w:before="116"/>
                          <w:ind w:right="48"/>
                          <w:jc w:val="right"/>
                          <w:rPr>
                            <w:sz w:val="24"/>
                          </w:rPr>
                        </w:pPr>
                        <w:r>
                          <w:rPr>
                            <w:w w:val="105"/>
                            <w:sz w:val="24"/>
                          </w:rPr>
                          <w:t>pre-to post- training.</w:t>
                        </w:r>
                      </w:p>
                    </w:tc>
                  </w:tr>
                  <w:tr>
                    <w:trPr>
                      <w:trHeight w:val="478" w:hRule="atLeast"/>
                    </w:trPr>
                    <w:tc>
                      <w:tcPr>
                        <w:tcW w:w="3229" w:type="dxa"/>
                        <w:gridSpan w:val="2"/>
                      </w:tcPr>
                      <w:p>
                        <w:pPr>
                          <w:pStyle w:val="TableParagraph"/>
                          <w:spacing w:before="116"/>
                          <w:ind w:left="50"/>
                          <w:rPr>
                            <w:sz w:val="24"/>
                          </w:rPr>
                        </w:pPr>
                        <w:r>
                          <w:rPr>
                            <w:rFonts w:ascii="Arial"/>
                            <w:sz w:val="12"/>
                          </w:rPr>
                          <w:t>173 </w:t>
                        </w:r>
                        <w:r>
                          <w:rPr>
                            <w:sz w:val="24"/>
                          </w:rPr>
                          <w:t>H3b. Participants will sho</w:t>
                        </w:r>
                      </w:p>
                    </w:tc>
                  </w:tr>
                  <w:tr>
                    <w:trPr>
                      <w:trHeight w:val="407" w:hRule="atLeast"/>
                    </w:trPr>
                    <w:tc>
                      <w:tcPr>
                        <w:tcW w:w="633" w:type="dxa"/>
                      </w:tcPr>
                      <w:p>
                        <w:pPr>
                          <w:pStyle w:val="TableParagraph"/>
                          <w:spacing w:before="9"/>
                          <w:rPr>
                            <w:sz w:val="19"/>
                          </w:rPr>
                        </w:pPr>
                      </w:p>
                      <w:p>
                        <w:pPr>
                          <w:pStyle w:val="TableParagraph"/>
                          <w:ind w:left="50"/>
                          <w:rPr>
                            <w:rFonts w:ascii="Arial"/>
                            <w:sz w:val="12"/>
                          </w:rPr>
                        </w:pPr>
                        <w:r>
                          <w:rPr>
                            <w:rFonts w:ascii="Arial"/>
                            <w:sz w:val="12"/>
                          </w:rPr>
                          <w:t>174</w:t>
                        </w:r>
                      </w:p>
                    </w:tc>
                    <w:tc>
                      <w:tcPr>
                        <w:tcW w:w="2596" w:type="dxa"/>
                      </w:tcPr>
                      <w:p>
                        <w:pPr>
                          <w:pStyle w:val="TableParagraph"/>
                          <w:spacing w:line="271" w:lineRule="exact" w:before="116"/>
                          <w:ind w:right="48"/>
                          <w:jc w:val="right"/>
                          <w:rPr>
                            <w:sz w:val="24"/>
                          </w:rPr>
                        </w:pPr>
                        <w:r>
                          <w:rPr>
                            <w:w w:val="105"/>
                            <w:sz w:val="24"/>
                          </w:rPr>
                          <w:t>pre-to post- training.</w:t>
                        </w:r>
                      </w:p>
                    </w:tc>
                  </w:tr>
                </w:tbl>
                <w:p>
                  <w:pPr>
                    <w:pStyle w:val="BodyText"/>
                    <w:spacing w:before="0"/>
                    <w:ind w:left="0"/>
                  </w:pPr>
                </w:p>
              </w:txbxContent>
            </v:textbox>
            <w10:wrap type="none"/>
          </v:shape>
        </w:pict>
      </w:r>
      <w:r>
        <w:rPr>
          <w:w w:val="105"/>
        </w:rPr>
        <w:t>reduced</w:t>
      </w:r>
      <w:r>
        <w:rPr>
          <w:spacing w:val="-11"/>
          <w:w w:val="105"/>
        </w:rPr>
        <w:t> </w:t>
      </w:r>
      <w:r>
        <w:rPr>
          <w:w w:val="105"/>
        </w:rPr>
        <w:t>liking</w:t>
      </w:r>
      <w:r>
        <w:rPr>
          <w:spacing w:val="-10"/>
          <w:w w:val="105"/>
        </w:rPr>
        <w:t> </w:t>
      </w:r>
      <w:r>
        <w:rPr>
          <w:w w:val="105"/>
        </w:rPr>
        <w:t>for</w:t>
      </w:r>
      <w:r>
        <w:rPr>
          <w:spacing w:val="-11"/>
          <w:w w:val="105"/>
        </w:rPr>
        <w:t> </w:t>
      </w:r>
      <w:r>
        <w:rPr>
          <w:w w:val="105"/>
        </w:rPr>
        <w:t>no-go</w:t>
      </w:r>
      <w:r>
        <w:rPr>
          <w:spacing w:val="-10"/>
          <w:w w:val="105"/>
        </w:rPr>
        <w:t> </w:t>
      </w:r>
      <w:r>
        <w:rPr>
          <w:spacing w:val="2"/>
          <w:w w:val="105"/>
        </w:rPr>
        <w:t>foods</w:t>
      </w:r>
      <w:r>
        <w:rPr>
          <w:spacing w:val="-11"/>
          <w:w w:val="105"/>
        </w:rPr>
        <w:t> </w:t>
      </w:r>
      <w:r>
        <w:rPr>
          <w:w w:val="105"/>
        </w:rPr>
        <w:t>relative</w:t>
      </w:r>
      <w:r>
        <w:rPr>
          <w:spacing w:val="-10"/>
          <w:w w:val="105"/>
        </w:rPr>
        <w:t> </w:t>
      </w:r>
      <w:r>
        <w:rPr>
          <w:w w:val="105"/>
        </w:rPr>
        <w:t>to</w:t>
      </w:r>
      <w:r>
        <w:rPr>
          <w:spacing w:val="-11"/>
          <w:w w:val="105"/>
        </w:rPr>
        <w:t> </w:t>
      </w:r>
      <w:r>
        <w:rPr>
          <w:w w:val="105"/>
        </w:rPr>
        <w:t>the</w:t>
      </w:r>
      <w:r>
        <w:rPr>
          <w:spacing w:val="-10"/>
          <w:w w:val="105"/>
        </w:rPr>
        <w:t> </w:t>
      </w:r>
      <w:r>
        <w:rPr>
          <w:w w:val="105"/>
        </w:rPr>
        <w:t>control</w:t>
      </w:r>
      <w:r>
        <w:rPr>
          <w:spacing w:val="-10"/>
          <w:w w:val="105"/>
        </w:rPr>
        <w:t> </w:t>
      </w:r>
      <w:r>
        <w:rPr>
          <w:w w:val="105"/>
        </w:rPr>
        <w:t>foods,</w:t>
      </w:r>
      <w:r>
        <w:rPr>
          <w:spacing w:val="-11"/>
          <w:w w:val="105"/>
        </w:rPr>
        <w:t> </w:t>
      </w:r>
      <w:r>
        <w:rPr>
          <w:w w:val="105"/>
        </w:rPr>
        <w:t>from</w:t>
      </w:r>
    </w:p>
    <w:p>
      <w:pPr>
        <w:pStyle w:val="BodyText"/>
        <w:spacing w:before="0"/>
        <w:ind w:left="0"/>
        <w:rPr>
          <w:sz w:val="34"/>
        </w:rPr>
      </w:pPr>
    </w:p>
    <w:p>
      <w:pPr>
        <w:pStyle w:val="BodyText"/>
        <w:spacing w:before="290"/>
        <w:ind w:left="3298"/>
      </w:pPr>
      <w:r>
        <w:rPr>
          <w:w w:val="105"/>
        </w:rPr>
        <w:t>w increased liking for go </w:t>
      </w:r>
      <w:r>
        <w:rPr>
          <w:spacing w:val="2"/>
          <w:w w:val="105"/>
        </w:rPr>
        <w:t>foods </w:t>
      </w:r>
      <w:r>
        <w:rPr>
          <w:w w:val="105"/>
        </w:rPr>
        <w:t>relative to the control foods,</w:t>
      </w:r>
      <w:r>
        <w:rPr>
          <w:spacing w:val="24"/>
          <w:w w:val="105"/>
        </w:rPr>
        <w:t> </w:t>
      </w:r>
      <w:r>
        <w:rPr>
          <w:w w:val="105"/>
        </w:rPr>
        <w:t>from</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8"/>
        <w:ind w:left="0"/>
        <w:rPr>
          <w:sz w:val="27"/>
        </w:rPr>
      </w:pPr>
    </w:p>
    <w:p>
      <w:pPr>
        <w:pStyle w:val="Heading1"/>
        <w:spacing w:before="0"/>
      </w:pPr>
      <w:r>
        <w:rPr>
          <w:rFonts w:ascii="Arial"/>
          <w:b w:val="0"/>
          <w:w w:val="110"/>
          <w:sz w:val="12"/>
        </w:rPr>
        <w:t>175</w:t>
      </w:r>
      <w:bookmarkStart w:name="Manipulation check 2: Contingency learni" w:id="10"/>
      <w:bookmarkEnd w:id="10"/>
      <w:r>
        <w:rPr>
          <w:rFonts w:ascii="Arial"/>
          <w:b w:val="0"/>
          <w:w w:val="110"/>
          <w:sz w:val="12"/>
        </w:rPr>
      </w:r>
      <w:r>
        <w:rPr>
          <w:rFonts w:ascii="Arial"/>
          <w:b w:val="0"/>
          <w:w w:val="110"/>
          <w:sz w:val="12"/>
        </w:rPr>
        <w:t> </w:t>
      </w:r>
      <w:r>
        <w:rPr>
          <w:w w:val="110"/>
        </w:rPr>
        <w:t>Manipulation check 2: Contingency learning</w:t>
      </w:r>
    </w:p>
    <w:p>
      <w:pPr>
        <w:pStyle w:val="BodyText"/>
        <w:spacing w:before="0"/>
        <w:ind w:left="0"/>
        <w:rPr>
          <w:b/>
          <w:sz w:val="20"/>
        </w:rPr>
      </w:pPr>
    </w:p>
    <w:p>
      <w:pPr>
        <w:pStyle w:val="BodyText"/>
        <w:spacing w:before="11"/>
        <w:ind w:left="0"/>
        <w:rPr>
          <w:b/>
          <w:sz w:val="22"/>
        </w:rPr>
      </w:pPr>
    </w:p>
    <w:p>
      <w:pPr>
        <w:pStyle w:val="BodyText"/>
        <w:tabs>
          <w:tab w:pos="1195" w:val="left" w:leader="none"/>
        </w:tabs>
        <w:spacing w:before="145"/>
      </w:pPr>
      <w:r>
        <w:rPr>
          <w:rFonts w:ascii="Arial"/>
          <w:w w:val="105"/>
          <w:sz w:val="12"/>
        </w:rPr>
        <w:t>176</w:t>
        <w:tab/>
      </w:r>
      <w:r>
        <w:rPr>
          <w:spacing w:val="-4"/>
          <w:w w:val="105"/>
        </w:rPr>
        <w:t>Training </w:t>
      </w:r>
      <w:r>
        <w:rPr>
          <w:w w:val="105"/>
        </w:rPr>
        <w:t>performance </w:t>
      </w:r>
      <w:r>
        <w:rPr>
          <w:spacing w:val="-3"/>
          <w:w w:val="105"/>
        </w:rPr>
        <w:t>was </w:t>
      </w:r>
      <w:r>
        <w:rPr>
          <w:w w:val="105"/>
        </w:rPr>
        <w:t>examined in terms of contingency learning. ICT</w:t>
      </w:r>
      <w:r>
        <w:rPr>
          <w:spacing w:val="43"/>
          <w:w w:val="105"/>
        </w:rPr>
        <w:t> </w:t>
      </w:r>
      <w:r>
        <w:rPr>
          <w:w w:val="105"/>
        </w:rPr>
        <w:t>paradigms,</w:t>
      </w:r>
    </w:p>
    <w:p>
      <w:pPr>
        <w:pStyle w:val="BodyText"/>
      </w:pPr>
      <w:r>
        <w:rPr>
          <w:rFonts w:ascii="Arial"/>
          <w:w w:val="105"/>
          <w:sz w:val="12"/>
        </w:rPr>
        <w:t>177 </w:t>
      </w:r>
      <w:r>
        <w:rPr>
          <w:w w:val="105"/>
        </w:rPr>
        <w:t>such as the go/no-go training task, might lead to stimulus-response associations and learning</w:t>
      </w:r>
    </w:p>
    <w:p>
      <w:pPr>
        <w:pStyle w:val="BodyText"/>
        <w:spacing w:before="203"/>
      </w:pPr>
      <w:r>
        <w:rPr>
          <w:rFonts w:ascii="Arial"/>
          <w:w w:val="105"/>
          <w:sz w:val="12"/>
        </w:rPr>
        <w:t>178 </w:t>
      </w:r>
      <w:r>
        <w:rPr>
          <w:w w:val="105"/>
        </w:rPr>
        <w:t>can be observed in the reaction times and error rates for the different stimulus-response</w:t>
      </w:r>
    </w:p>
    <w:p>
      <w:pPr>
        <w:pStyle w:val="BodyText"/>
      </w:pPr>
      <w:r>
        <w:rPr>
          <w:rFonts w:ascii="Arial" w:hAnsi="Arial"/>
          <w:sz w:val="12"/>
        </w:rPr>
        <w:t>179     </w:t>
      </w:r>
      <w:r>
        <w:rPr>
          <w:rFonts w:ascii="Arial" w:hAnsi="Arial"/>
          <w:spacing w:val="13"/>
          <w:sz w:val="12"/>
        </w:rPr>
        <w:t> </w:t>
      </w:r>
      <w:r>
        <w:rPr/>
        <w:t>mappings</w:t>
      </w:r>
      <w:r>
        <w:rPr>
          <w:spacing w:val="23"/>
        </w:rPr>
        <w:t> </w:t>
      </w:r>
      <w:r>
        <w:rPr/>
        <w:t>(e.g.,</w:t>
      </w:r>
      <w:r>
        <w:rPr>
          <w:spacing w:val="23"/>
        </w:rPr>
        <w:t> </w:t>
      </w:r>
      <w:r>
        <w:rPr/>
        <w:t>N.</w:t>
      </w:r>
      <w:r>
        <w:rPr>
          <w:spacing w:val="22"/>
        </w:rPr>
        <w:t> </w:t>
      </w:r>
      <w:r>
        <w:rPr/>
        <w:t>S.</w:t>
      </w:r>
      <w:r>
        <w:rPr>
          <w:spacing w:val="23"/>
        </w:rPr>
        <w:t> </w:t>
      </w:r>
      <w:r>
        <w:rPr/>
        <w:t>Lawrence,</w:t>
      </w:r>
      <w:r>
        <w:rPr>
          <w:spacing w:val="23"/>
        </w:rPr>
        <w:t> </w:t>
      </w:r>
      <w:r>
        <w:rPr>
          <w:spacing w:val="-3"/>
        </w:rPr>
        <w:t>O’Sullivan,</w:t>
      </w:r>
      <w:r>
        <w:rPr>
          <w:spacing w:val="22"/>
        </w:rPr>
        <w:t> </w:t>
      </w:r>
      <w:r>
        <w:rPr/>
        <w:t>et</w:t>
      </w:r>
      <w:r>
        <w:rPr>
          <w:spacing w:val="23"/>
        </w:rPr>
        <w:t> </w:t>
      </w:r>
      <w:r>
        <w:rPr/>
        <w:t>al.,</w:t>
      </w:r>
      <w:r>
        <w:rPr>
          <w:spacing w:val="23"/>
        </w:rPr>
        <w:t> </w:t>
      </w:r>
      <w:r>
        <w:rPr/>
        <w:t>2015).</w:t>
      </w:r>
      <w:r>
        <w:rPr>
          <w:spacing w:val="50"/>
        </w:rPr>
        <w:t> </w:t>
      </w:r>
      <w:r>
        <w:rPr/>
        <w:t>The</w:t>
      </w:r>
      <w:r>
        <w:rPr>
          <w:spacing w:val="23"/>
        </w:rPr>
        <w:t> </w:t>
      </w:r>
      <w:r>
        <w:rPr/>
        <w:t>percentage</w:t>
      </w:r>
      <w:r>
        <w:rPr>
          <w:spacing w:val="23"/>
        </w:rPr>
        <w:t> </w:t>
      </w:r>
      <w:r>
        <w:rPr/>
        <w:t>of</w:t>
      </w:r>
      <w:r>
        <w:rPr>
          <w:spacing w:val="23"/>
        </w:rPr>
        <w:t> </w:t>
      </w:r>
      <w:r>
        <w:rPr/>
        <w:t>successful</w:t>
      </w:r>
      <w:r>
        <w:rPr>
          <w:spacing w:val="22"/>
        </w:rPr>
        <w:t> </w:t>
      </w:r>
      <w:r>
        <w:rPr/>
        <w:t>signal</w:t>
      </w:r>
    </w:p>
    <w:p>
      <w:pPr>
        <w:pStyle w:val="BodyText"/>
      </w:pPr>
      <w:r>
        <w:rPr>
          <w:rFonts w:ascii="Arial"/>
          <w:w w:val="105"/>
          <w:sz w:val="12"/>
        </w:rPr>
        <w:t>180     </w:t>
      </w:r>
      <w:r>
        <w:rPr>
          <w:w w:val="105"/>
        </w:rPr>
        <w:t>trials (i.e., successful stops) and the reaction times from no-signal (go) trials were</w:t>
      </w:r>
      <w:r>
        <w:rPr>
          <w:spacing w:val="45"/>
          <w:w w:val="105"/>
        </w:rPr>
        <w:t> </w:t>
      </w:r>
      <w:r>
        <w:rPr>
          <w:w w:val="105"/>
        </w:rPr>
        <w:t>compared</w:t>
      </w:r>
    </w:p>
    <w:p>
      <w:pPr>
        <w:pStyle w:val="BodyText"/>
      </w:pPr>
      <w:r>
        <w:rPr>
          <w:rFonts w:ascii="Arial"/>
          <w:w w:val="105"/>
          <w:sz w:val="12"/>
        </w:rPr>
        <w:t>181 </w:t>
      </w:r>
      <w:r>
        <w:rPr>
          <w:w w:val="105"/>
        </w:rPr>
        <w:t>for specific training conditions, as stated in the hypotheses below.</w:t>
      </w:r>
    </w:p>
    <w:p>
      <w:pPr>
        <w:pStyle w:val="BodyText"/>
        <w:spacing w:before="3"/>
        <w:ind w:left="0"/>
        <w:rPr>
          <w:sz w:val="27"/>
        </w:rPr>
      </w:pPr>
    </w:p>
    <w:p>
      <w:pPr>
        <w:pStyle w:val="BodyText"/>
        <w:spacing w:before="145"/>
      </w:pPr>
      <w:r>
        <w:rPr>
          <w:rFonts w:ascii="Arial"/>
          <w:w w:val="105"/>
          <w:sz w:val="12"/>
        </w:rPr>
        <w:t>182 </w:t>
      </w:r>
      <w:r>
        <w:rPr>
          <w:w w:val="105"/>
        </w:rPr>
        <w:t>H4. Go/no-go training will result in contingency learning in terms of reaction times on</w:t>
      </w:r>
    </w:p>
    <w:p>
      <w:pPr>
        <w:pStyle w:val="BodyText"/>
      </w:pPr>
      <w:r>
        <w:rPr>
          <w:rFonts w:ascii="Arial"/>
          <w:w w:val="105"/>
          <w:sz w:val="12"/>
        </w:rPr>
        <w:t>183 </w:t>
      </w:r>
      <w:r>
        <w:rPr>
          <w:w w:val="105"/>
        </w:rPr>
        <w:t>no-signal trials and the percentage of successful inhibitions on signal trials.</w:t>
      </w:r>
    </w:p>
    <w:p>
      <w:pPr>
        <w:spacing w:after="0"/>
        <w:sectPr>
          <w:pgSz w:w="12240" w:h="15840"/>
          <w:pgMar w:header="649" w:footer="0" w:top="1320" w:bottom="280" w:left="820" w:right="1140"/>
        </w:sectPr>
      </w:pPr>
    </w:p>
    <w:p>
      <w:pPr>
        <w:pStyle w:val="BodyText"/>
        <w:spacing w:before="191"/>
      </w:pPr>
      <w:r>
        <w:rPr>
          <w:rFonts w:ascii="Arial"/>
          <w:w w:val="105"/>
          <w:sz w:val="12"/>
        </w:rPr>
        <w:t>184 </w:t>
      </w:r>
      <w:r>
        <w:rPr>
          <w:w w:val="105"/>
        </w:rPr>
        <w:t>H4a. Percentage of successful stops will </w:t>
      </w:r>
      <w:r>
        <w:rPr>
          <w:spacing w:val="3"/>
          <w:w w:val="105"/>
        </w:rPr>
        <w:t>be </w:t>
      </w:r>
      <w:r>
        <w:rPr>
          <w:w w:val="105"/>
        </w:rPr>
        <w:t>greater for no-go </w:t>
      </w:r>
      <w:r>
        <w:rPr>
          <w:spacing w:val="2"/>
          <w:w w:val="105"/>
        </w:rPr>
        <w:t>foods </w:t>
      </w:r>
      <w:r>
        <w:rPr>
          <w:w w:val="105"/>
        </w:rPr>
        <w:t>compared to the</w:t>
      </w:r>
      <w:r>
        <w:rPr>
          <w:spacing w:val="54"/>
          <w:w w:val="105"/>
        </w:rPr>
        <w:t> </w:t>
      </w:r>
      <w:r>
        <w:rPr>
          <w:w w:val="105"/>
        </w:rPr>
        <w:t>control</w:t>
      </w:r>
    </w:p>
    <w:p>
      <w:pPr>
        <w:pStyle w:val="BodyText"/>
        <w:tabs>
          <w:tab w:pos="1205" w:val="left" w:leader="none"/>
        </w:tabs>
      </w:pPr>
      <w:r>
        <w:rPr>
          <w:rFonts w:ascii="Arial"/>
          <w:w w:val="105"/>
          <w:sz w:val="12"/>
        </w:rPr>
        <w:t>185</w:t>
        <w:tab/>
      </w:r>
      <w:r>
        <w:rPr>
          <w:spacing w:val="2"/>
          <w:w w:val="105"/>
        </w:rPr>
        <w:t>foods </w:t>
      </w:r>
      <w:r>
        <w:rPr>
          <w:w w:val="105"/>
        </w:rPr>
        <w:t>associated with a signal</w:t>
      </w:r>
      <w:r>
        <w:rPr>
          <w:spacing w:val="7"/>
          <w:w w:val="105"/>
        </w:rPr>
        <w:t> </w:t>
      </w:r>
      <w:r>
        <w:rPr>
          <w:w w:val="105"/>
        </w:rPr>
        <w:t>(control</w:t>
      </w:r>
      <w:r>
        <w:rPr>
          <w:w w:val="105"/>
          <w:vertAlign w:val="subscript"/>
        </w:rPr>
        <w:t>nogo</w:t>
      </w:r>
      <w:r>
        <w:rPr>
          <w:w w:val="105"/>
          <w:vertAlign w:val="baseline"/>
        </w:rPr>
        <w:t>).</w:t>
      </w:r>
    </w:p>
    <w:p>
      <w:pPr>
        <w:pStyle w:val="BodyText"/>
        <w:spacing w:before="203"/>
        <w:ind w:left="2481"/>
      </w:pPr>
      <w:r>
        <w:rPr/>
        <w:pict>
          <v:shape style="position:absolute;margin-left:50.011002pt;margin-top:7.87963pt;width:109.15pt;height:133.75pt;mso-position-horizontal-relative:page;mso-position-vertical-relative:paragraph;z-index:109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0"/>
                    <w:gridCol w:w="1843"/>
                  </w:tblGrid>
                  <w:tr>
                    <w:trPr>
                      <w:trHeight w:val="407" w:hRule="atLeast"/>
                    </w:trPr>
                    <w:tc>
                      <w:tcPr>
                        <w:tcW w:w="340" w:type="dxa"/>
                      </w:tcPr>
                      <w:p>
                        <w:pPr>
                          <w:pStyle w:val="TableParagraph"/>
                          <w:spacing w:before="157"/>
                          <w:ind w:left="50"/>
                          <w:rPr>
                            <w:rFonts w:ascii="Arial"/>
                            <w:sz w:val="12"/>
                          </w:rPr>
                        </w:pPr>
                        <w:r>
                          <w:rPr>
                            <w:rFonts w:ascii="Arial"/>
                            <w:sz w:val="12"/>
                          </w:rPr>
                          <w:t>186</w:t>
                        </w:r>
                      </w:p>
                    </w:tc>
                    <w:tc>
                      <w:tcPr>
                        <w:tcW w:w="1843" w:type="dxa"/>
                      </w:tcPr>
                      <w:p>
                        <w:pPr>
                          <w:pStyle w:val="TableParagraph"/>
                          <w:spacing w:before="45"/>
                          <w:ind w:right="-44"/>
                          <w:jc w:val="right"/>
                          <w:rPr>
                            <w:sz w:val="24"/>
                          </w:rPr>
                        </w:pPr>
                        <w:r>
                          <w:rPr>
                            <w:w w:val="105"/>
                            <w:sz w:val="24"/>
                          </w:rPr>
                          <w:t>H4b. Go reaction</w:t>
                        </w:r>
                      </w:p>
                    </w:tc>
                  </w:tr>
                  <w:tr>
                    <w:trPr>
                      <w:trHeight w:val="736" w:hRule="atLeast"/>
                    </w:trPr>
                    <w:tc>
                      <w:tcPr>
                        <w:tcW w:w="340" w:type="dxa"/>
                      </w:tcPr>
                      <w:p>
                        <w:pPr>
                          <w:pStyle w:val="TableParagraph"/>
                          <w:spacing w:before="9"/>
                          <w:rPr>
                            <w:sz w:val="19"/>
                          </w:rPr>
                        </w:pPr>
                      </w:p>
                      <w:p>
                        <w:pPr>
                          <w:pStyle w:val="TableParagraph"/>
                          <w:ind w:left="50"/>
                          <w:rPr>
                            <w:rFonts w:ascii="Arial"/>
                            <w:sz w:val="12"/>
                          </w:rPr>
                        </w:pPr>
                        <w:r>
                          <w:rPr>
                            <w:rFonts w:ascii="Arial"/>
                            <w:sz w:val="12"/>
                          </w:rPr>
                          <w:t>187</w:t>
                        </w:r>
                      </w:p>
                    </w:tc>
                    <w:tc>
                      <w:tcPr>
                        <w:tcW w:w="1843" w:type="dxa"/>
                      </w:tcPr>
                      <w:p>
                        <w:pPr>
                          <w:pStyle w:val="TableParagraph"/>
                          <w:spacing w:before="116"/>
                          <w:ind w:right="48"/>
                          <w:jc w:val="right"/>
                          <w:rPr>
                            <w:sz w:val="24"/>
                          </w:rPr>
                        </w:pPr>
                        <w:r>
                          <w:rPr>
                            <w:w w:val="105"/>
                            <w:sz w:val="24"/>
                          </w:rPr>
                          <w:t>(control</w:t>
                        </w:r>
                        <w:r>
                          <w:rPr>
                            <w:w w:val="105"/>
                            <w:sz w:val="24"/>
                            <w:vertAlign w:val="subscript"/>
                          </w:rPr>
                          <w:t>go</w:t>
                        </w:r>
                        <w:r>
                          <w:rPr>
                            <w:w w:val="105"/>
                            <w:sz w:val="24"/>
                            <w:vertAlign w:val="baseline"/>
                          </w:rPr>
                          <w:t>).</w:t>
                        </w:r>
                      </w:p>
                    </w:tc>
                  </w:tr>
                  <w:tr>
                    <w:trPr>
                      <w:trHeight w:val="922" w:hRule="atLeast"/>
                    </w:trPr>
                    <w:tc>
                      <w:tcPr>
                        <w:tcW w:w="340" w:type="dxa"/>
                      </w:tcPr>
                      <w:p>
                        <w:pPr>
                          <w:pStyle w:val="TableParagraph"/>
                          <w:rPr>
                            <w:sz w:val="18"/>
                          </w:rPr>
                        </w:pPr>
                      </w:p>
                      <w:p>
                        <w:pPr>
                          <w:pStyle w:val="TableParagraph"/>
                          <w:spacing w:before="1"/>
                          <w:rPr>
                            <w:sz w:val="23"/>
                          </w:rPr>
                        </w:pPr>
                      </w:p>
                      <w:p>
                        <w:pPr>
                          <w:pStyle w:val="TableParagraph"/>
                          <w:ind w:left="50"/>
                          <w:rPr>
                            <w:rFonts w:ascii="Arial"/>
                            <w:sz w:val="12"/>
                          </w:rPr>
                        </w:pPr>
                        <w:r>
                          <w:rPr>
                            <w:rFonts w:ascii="Arial"/>
                            <w:sz w:val="12"/>
                          </w:rPr>
                          <w:t>188</w:t>
                        </w:r>
                      </w:p>
                    </w:tc>
                    <w:tc>
                      <w:tcPr>
                        <w:tcW w:w="1843" w:type="dxa"/>
                      </w:tcPr>
                      <w:p>
                        <w:pPr>
                          <w:pStyle w:val="TableParagraph"/>
                          <w:rPr>
                            <w:sz w:val="22"/>
                          </w:rPr>
                        </w:pPr>
                      </w:p>
                    </w:tc>
                  </w:tr>
                  <w:tr>
                    <w:trPr>
                      <w:trHeight w:val="608" w:hRule="atLeast"/>
                    </w:trPr>
                    <w:tc>
                      <w:tcPr>
                        <w:tcW w:w="340" w:type="dxa"/>
                      </w:tcPr>
                      <w:p>
                        <w:pPr>
                          <w:pStyle w:val="TableParagraph"/>
                          <w:rPr>
                            <w:sz w:val="18"/>
                          </w:rPr>
                        </w:pPr>
                      </w:p>
                      <w:p>
                        <w:pPr>
                          <w:pStyle w:val="TableParagraph"/>
                          <w:spacing w:before="1"/>
                          <w:rPr>
                            <w:sz w:val="19"/>
                          </w:rPr>
                        </w:pPr>
                      </w:p>
                      <w:p>
                        <w:pPr>
                          <w:pStyle w:val="TableParagraph"/>
                          <w:ind w:left="50"/>
                          <w:rPr>
                            <w:rFonts w:ascii="Arial"/>
                            <w:sz w:val="12"/>
                          </w:rPr>
                        </w:pPr>
                        <w:r>
                          <w:rPr>
                            <w:rFonts w:ascii="Arial"/>
                            <w:sz w:val="12"/>
                          </w:rPr>
                          <w:t>189</w:t>
                        </w:r>
                      </w:p>
                    </w:tc>
                    <w:tc>
                      <w:tcPr>
                        <w:tcW w:w="1843" w:type="dxa"/>
                      </w:tcPr>
                      <w:p>
                        <w:pPr>
                          <w:pStyle w:val="TableParagraph"/>
                          <w:spacing w:before="5"/>
                          <w:rPr>
                            <w:sz w:val="27"/>
                          </w:rPr>
                        </w:pPr>
                      </w:p>
                      <w:p>
                        <w:pPr>
                          <w:pStyle w:val="TableParagraph"/>
                          <w:spacing w:line="273" w:lineRule="exact"/>
                          <w:ind w:left="99"/>
                          <w:rPr>
                            <w:b/>
                            <w:sz w:val="24"/>
                          </w:rPr>
                        </w:pPr>
                        <w:r>
                          <w:rPr>
                            <w:b/>
                            <w:w w:val="115"/>
                            <w:sz w:val="24"/>
                          </w:rPr>
                          <w:t>Participants</w:t>
                        </w:r>
                      </w:p>
                    </w:tc>
                  </w:tr>
                </w:tbl>
                <w:p>
                  <w:pPr>
                    <w:pStyle w:val="BodyText"/>
                    <w:spacing w:before="0"/>
                    <w:ind w:left="0"/>
                  </w:pPr>
                </w:p>
              </w:txbxContent>
            </v:textbox>
            <w10:wrap type="none"/>
          </v:shape>
        </w:pict>
      </w:r>
      <w:r>
        <w:rPr>
          <w:w w:val="105"/>
        </w:rPr>
        <w:t>times will be faster for go foods compared to the no-signal control foods</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Heading1"/>
        <w:spacing w:before="263"/>
        <w:ind w:left="2783" w:right="2463"/>
        <w:jc w:val="center"/>
      </w:pPr>
      <w:bookmarkStart w:name="Methods" w:id="11"/>
      <w:bookmarkEnd w:id="11"/>
      <w:r>
        <w:rPr>
          <w:b w:val="0"/>
        </w:rPr>
      </w:r>
      <w:r>
        <w:rPr>
          <w:w w:val="115"/>
        </w:rPr>
        <w:t>Methods</w:t>
      </w: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9"/>
        <w:ind w:left="0"/>
        <w:rPr>
          <w:b/>
          <w:sz w:val="15"/>
        </w:rPr>
      </w:pPr>
    </w:p>
    <w:p>
      <w:pPr>
        <w:pStyle w:val="BodyText"/>
        <w:tabs>
          <w:tab w:pos="1195" w:val="left" w:leader="none"/>
        </w:tabs>
        <w:spacing w:before="146"/>
      </w:pPr>
      <w:r>
        <w:rPr>
          <w:rFonts w:ascii="Arial"/>
          <w:w w:val="105"/>
          <w:sz w:val="12"/>
        </w:rPr>
        <w:t>190</w:t>
        <w:tab/>
      </w:r>
      <w:bookmarkStart w:name="Participants" w:id="12"/>
      <w:bookmarkEnd w:id="12"/>
      <w:r>
        <w:rPr>
          <w:rFonts w:ascii="Arial"/>
          <w:w w:val="105"/>
          <w:sz w:val="12"/>
        </w:rPr>
      </w:r>
      <w:r>
        <w:rPr>
          <w:w w:val="105"/>
        </w:rPr>
        <w:t>255</w:t>
      </w:r>
      <w:r>
        <w:rPr>
          <w:spacing w:val="9"/>
          <w:w w:val="105"/>
        </w:rPr>
        <w:t> </w:t>
      </w:r>
      <w:r>
        <w:rPr>
          <w:w w:val="105"/>
        </w:rPr>
        <w:t>participants</w:t>
      </w:r>
      <w:r>
        <w:rPr>
          <w:spacing w:val="10"/>
          <w:w w:val="105"/>
        </w:rPr>
        <w:t> </w:t>
      </w:r>
      <w:r>
        <w:rPr>
          <w:w w:val="105"/>
        </w:rPr>
        <w:t>were</w:t>
      </w:r>
      <w:r>
        <w:rPr>
          <w:spacing w:val="10"/>
          <w:w w:val="105"/>
        </w:rPr>
        <w:t> </w:t>
      </w:r>
      <w:r>
        <w:rPr>
          <w:w w:val="105"/>
        </w:rPr>
        <w:t>recruited</w:t>
      </w:r>
      <w:r>
        <w:rPr>
          <w:spacing w:val="10"/>
          <w:w w:val="105"/>
        </w:rPr>
        <w:t> </w:t>
      </w:r>
      <w:r>
        <w:rPr>
          <w:w w:val="105"/>
        </w:rPr>
        <w:t>in</w:t>
      </w:r>
      <w:r>
        <w:rPr>
          <w:spacing w:val="10"/>
          <w:w w:val="105"/>
        </w:rPr>
        <w:t> </w:t>
      </w:r>
      <w:r>
        <w:rPr>
          <w:w w:val="105"/>
        </w:rPr>
        <w:t>total</w:t>
      </w:r>
      <w:r>
        <w:rPr>
          <w:spacing w:val="9"/>
          <w:w w:val="105"/>
        </w:rPr>
        <w:t> </w:t>
      </w:r>
      <w:r>
        <w:rPr>
          <w:w w:val="105"/>
        </w:rPr>
        <w:t>from</w:t>
      </w:r>
      <w:r>
        <w:rPr>
          <w:spacing w:val="10"/>
          <w:w w:val="105"/>
        </w:rPr>
        <w:t> </w:t>
      </w:r>
      <w:r>
        <w:rPr>
          <w:w w:val="105"/>
        </w:rPr>
        <w:t>the</w:t>
      </w:r>
      <w:r>
        <w:rPr>
          <w:spacing w:val="10"/>
          <w:w w:val="105"/>
        </w:rPr>
        <w:t> </w:t>
      </w:r>
      <w:r>
        <w:rPr>
          <w:w w:val="105"/>
        </w:rPr>
        <w:t>University</w:t>
      </w:r>
      <w:r>
        <w:rPr>
          <w:spacing w:val="9"/>
          <w:w w:val="105"/>
        </w:rPr>
        <w:t> </w:t>
      </w:r>
      <w:r>
        <w:rPr>
          <w:w w:val="105"/>
        </w:rPr>
        <w:t>campuses</w:t>
      </w:r>
      <w:r>
        <w:rPr>
          <w:spacing w:val="11"/>
          <w:w w:val="105"/>
        </w:rPr>
        <w:t> </w:t>
      </w:r>
      <w:r>
        <w:rPr>
          <w:w w:val="105"/>
        </w:rPr>
        <w:t>of</w:t>
      </w:r>
      <w:r>
        <w:rPr>
          <w:spacing w:val="10"/>
          <w:w w:val="105"/>
        </w:rPr>
        <w:t> </w:t>
      </w:r>
      <w:r>
        <w:rPr>
          <w:w w:val="105"/>
        </w:rPr>
        <w:t>Cardiff,</w:t>
      </w:r>
      <w:r>
        <w:rPr>
          <w:spacing w:val="10"/>
          <w:w w:val="105"/>
        </w:rPr>
        <w:t> </w:t>
      </w:r>
      <w:r>
        <w:rPr>
          <w:w w:val="105"/>
        </w:rPr>
        <w:t>Bath</w:t>
      </w:r>
    </w:p>
    <w:p>
      <w:pPr>
        <w:pStyle w:val="BodyText"/>
      </w:pPr>
      <w:r>
        <w:rPr>
          <w:rFonts w:ascii="Arial"/>
          <w:w w:val="105"/>
          <w:sz w:val="12"/>
        </w:rPr>
        <w:t>191 </w:t>
      </w:r>
      <w:r>
        <w:rPr>
          <w:w w:val="105"/>
        </w:rPr>
        <w:t>and Exeter via research participation schemes (e.g., Experimental Management system;</w:t>
      </w:r>
    </w:p>
    <w:p>
      <w:pPr>
        <w:pStyle w:val="BodyText"/>
      </w:pPr>
      <w:r>
        <w:rPr>
          <w:rFonts w:ascii="Arial"/>
          <w:w w:val="105"/>
          <w:sz w:val="12"/>
        </w:rPr>
        <w:t>192 </w:t>
      </w:r>
      <w:r>
        <w:rPr>
          <w:w w:val="105"/>
        </w:rPr>
        <w:t>EMS) and advertisements (see Figure A1 for recruitment details). Participants recruited</w:t>
      </w:r>
    </w:p>
    <w:p>
      <w:pPr>
        <w:pStyle w:val="BodyText"/>
      </w:pPr>
      <w:r>
        <w:rPr>
          <w:rFonts w:ascii="Arial"/>
          <w:w w:val="105"/>
          <w:sz w:val="12"/>
        </w:rPr>
        <w:t>193</w:t>
      </w:r>
      <w:r>
        <w:rPr>
          <w:rFonts w:ascii="Arial"/>
          <w:spacing w:val="12"/>
          <w:w w:val="105"/>
          <w:sz w:val="12"/>
        </w:rPr>
        <w:t> </w:t>
      </w:r>
      <w:r>
        <w:rPr>
          <w:w w:val="105"/>
        </w:rPr>
        <w:t>through participation schemes received course credits, whereas other individuals were offered</w:t>
      </w:r>
    </w:p>
    <w:p>
      <w:pPr>
        <w:pStyle w:val="BodyText"/>
        <w:spacing w:before="203"/>
      </w:pPr>
      <w:r>
        <w:rPr>
          <w:rFonts w:ascii="Arial" w:hAnsi="Arial"/>
          <w:w w:val="105"/>
          <w:sz w:val="12"/>
        </w:rPr>
        <w:t>194      </w:t>
      </w:r>
      <w:r>
        <w:rPr>
          <w:w w:val="105"/>
        </w:rPr>
        <w:t>entry into a prize draw for one of three £20 shopping vouchers.  Participants were </w:t>
      </w:r>
      <w:r>
        <w:rPr>
          <w:spacing w:val="11"/>
          <w:w w:val="105"/>
        </w:rPr>
        <w:t> </w:t>
      </w:r>
      <w:r>
        <w:rPr>
          <w:w w:val="105"/>
        </w:rPr>
        <w:t>informed</w:t>
      </w:r>
    </w:p>
    <w:p>
      <w:pPr>
        <w:pStyle w:val="BodyText"/>
      </w:pPr>
      <w:r>
        <w:rPr>
          <w:rFonts w:ascii="Arial"/>
          <w:w w:val="105"/>
          <w:sz w:val="12"/>
        </w:rPr>
        <w:t>195 </w:t>
      </w:r>
      <w:r>
        <w:rPr>
          <w:w w:val="105"/>
        </w:rPr>
        <w:t>about the study eligibility criteria and in order to ensure compliance they completed a</w:t>
      </w:r>
    </w:p>
    <w:p>
      <w:pPr>
        <w:pStyle w:val="BodyText"/>
      </w:pPr>
      <w:r>
        <w:rPr>
          <w:rFonts w:ascii="Arial"/>
          <w:sz w:val="12"/>
        </w:rPr>
        <w:t>196      </w:t>
      </w:r>
      <w:r>
        <w:rPr>
          <w:rFonts w:ascii="Arial"/>
          <w:spacing w:val="5"/>
          <w:sz w:val="12"/>
        </w:rPr>
        <w:t> </w:t>
      </w:r>
      <w:r>
        <w:rPr/>
        <w:t>screening</w:t>
      </w:r>
      <w:r>
        <w:rPr>
          <w:spacing w:val="33"/>
        </w:rPr>
        <w:t> </w:t>
      </w:r>
      <w:r>
        <w:rPr/>
        <w:t>survey</w:t>
      </w:r>
      <w:r>
        <w:rPr>
          <w:spacing w:val="33"/>
        </w:rPr>
        <w:t> </w:t>
      </w:r>
      <w:r>
        <w:rPr/>
        <w:t>in</w:t>
      </w:r>
      <w:r>
        <w:rPr>
          <w:spacing w:val="32"/>
        </w:rPr>
        <w:t> </w:t>
      </w:r>
      <w:r>
        <w:rPr/>
        <w:t>the</w:t>
      </w:r>
      <w:r>
        <w:rPr>
          <w:spacing w:val="33"/>
        </w:rPr>
        <w:t> </w:t>
      </w:r>
      <w:r>
        <w:rPr/>
        <w:t>beginning</w:t>
      </w:r>
      <w:r>
        <w:rPr>
          <w:spacing w:val="32"/>
        </w:rPr>
        <w:t> </w:t>
      </w:r>
      <w:r>
        <w:rPr/>
        <w:t>of</w:t>
      </w:r>
      <w:r>
        <w:rPr>
          <w:spacing w:val="33"/>
        </w:rPr>
        <w:t> </w:t>
      </w:r>
      <w:r>
        <w:rPr/>
        <w:t>the</w:t>
      </w:r>
      <w:r>
        <w:rPr>
          <w:spacing w:val="32"/>
        </w:rPr>
        <w:t> </w:t>
      </w:r>
      <w:r>
        <w:rPr/>
        <w:t>study</w:t>
      </w:r>
      <w:r>
        <w:rPr>
          <w:spacing w:val="33"/>
        </w:rPr>
        <w:t> </w:t>
      </w:r>
      <w:r>
        <w:rPr/>
        <w:t>and</w:t>
      </w:r>
      <w:r>
        <w:rPr>
          <w:spacing w:val="33"/>
        </w:rPr>
        <w:t> </w:t>
      </w:r>
      <w:r>
        <w:rPr/>
        <w:t>provided</w:t>
      </w:r>
      <w:r>
        <w:rPr>
          <w:spacing w:val="32"/>
        </w:rPr>
        <w:t> </w:t>
      </w:r>
      <w:r>
        <w:rPr/>
        <w:t>their</w:t>
      </w:r>
      <w:r>
        <w:rPr>
          <w:spacing w:val="33"/>
        </w:rPr>
        <w:t> </w:t>
      </w:r>
      <w:r>
        <w:rPr/>
        <w:t>consent. </w:t>
      </w:r>
      <w:r>
        <w:rPr>
          <w:spacing w:val="5"/>
        </w:rPr>
        <w:t> </w:t>
      </w:r>
      <w:r>
        <w:rPr/>
        <w:t>They</w:t>
      </w:r>
      <w:r>
        <w:rPr>
          <w:spacing w:val="32"/>
        </w:rPr>
        <w:t> </w:t>
      </w:r>
      <w:r>
        <w:rPr/>
        <w:t>were</w:t>
      </w:r>
      <w:r>
        <w:rPr>
          <w:spacing w:val="33"/>
        </w:rPr>
        <w:t> </w:t>
      </w:r>
      <w:r>
        <w:rPr/>
        <w:t>asked</w:t>
      </w:r>
    </w:p>
    <w:p>
      <w:pPr>
        <w:pStyle w:val="BodyText"/>
      </w:pPr>
      <w:r>
        <w:rPr>
          <w:rFonts w:ascii="Arial"/>
          <w:w w:val="105"/>
          <w:sz w:val="12"/>
        </w:rPr>
        <w:t>197    </w:t>
      </w:r>
      <w:r>
        <w:rPr>
          <w:rFonts w:ascii="Arial"/>
          <w:spacing w:val="31"/>
          <w:w w:val="105"/>
          <w:sz w:val="12"/>
        </w:rPr>
        <w:t> </w:t>
      </w:r>
      <w:r>
        <w:rPr>
          <w:w w:val="105"/>
        </w:rPr>
        <w:t>to</w:t>
      </w:r>
      <w:r>
        <w:rPr>
          <w:spacing w:val="16"/>
          <w:w w:val="105"/>
        </w:rPr>
        <w:t> </w:t>
      </w:r>
      <w:r>
        <w:rPr>
          <w:w w:val="105"/>
        </w:rPr>
        <w:t>refrain</w:t>
      </w:r>
      <w:r>
        <w:rPr>
          <w:spacing w:val="18"/>
          <w:w w:val="105"/>
        </w:rPr>
        <w:t> </w:t>
      </w:r>
      <w:r>
        <w:rPr>
          <w:w w:val="105"/>
        </w:rPr>
        <w:t>from</w:t>
      </w:r>
      <w:r>
        <w:rPr>
          <w:spacing w:val="18"/>
          <w:w w:val="105"/>
        </w:rPr>
        <w:t> </w:t>
      </w:r>
      <w:r>
        <w:rPr>
          <w:w w:val="105"/>
        </w:rPr>
        <w:t>eating</w:t>
      </w:r>
      <w:r>
        <w:rPr>
          <w:spacing w:val="18"/>
          <w:w w:val="105"/>
        </w:rPr>
        <w:t> </w:t>
      </w:r>
      <w:r>
        <w:rPr>
          <w:w w:val="105"/>
        </w:rPr>
        <w:t>for</w:t>
      </w:r>
      <w:r>
        <w:rPr>
          <w:spacing w:val="17"/>
          <w:w w:val="105"/>
        </w:rPr>
        <w:t> </w:t>
      </w:r>
      <w:r>
        <w:rPr>
          <w:w w:val="105"/>
        </w:rPr>
        <w:t>3</w:t>
      </w:r>
      <w:r>
        <w:rPr>
          <w:spacing w:val="17"/>
          <w:w w:val="105"/>
        </w:rPr>
        <w:t> </w:t>
      </w:r>
      <w:r>
        <w:rPr>
          <w:w w:val="105"/>
        </w:rPr>
        <w:t>hours</w:t>
      </w:r>
      <w:r>
        <w:rPr>
          <w:spacing w:val="17"/>
          <w:w w:val="105"/>
        </w:rPr>
        <w:t> </w:t>
      </w:r>
      <w:r>
        <w:rPr>
          <w:w w:val="105"/>
        </w:rPr>
        <w:t>before</w:t>
      </w:r>
      <w:r>
        <w:rPr>
          <w:spacing w:val="18"/>
          <w:w w:val="105"/>
        </w:rPr>
        <w:t> </w:t>
      </w:r>
      <w:r>
        <w:rPr>
          <w:w w:val="105"/>
        </w:rPr>
        <w:t>the</w:t>
      </w:r>
      <w:r>
        <w:rPr>
          <w:spacing w:val="16"/>
          <w:w w:val="105"/>
        </w:rPr>
        <w:t> </w:t>
      </w:r>
      <w:r>
        <w:rPr>
          <w:spacing w:val="-4"/>
          <w:w w:val="105"/>
        </w:rPr>
        <w:t>study.</w:t>
      </w:r>
      <w:r>
        <w:rPr>
          <w:spacing w:val="45"/>
          <w:w w:val="105"/>
        </w:rPr>
        <w:t> </w:t>
      </w:r>
      <w:r>
        <w:rPr>
          <w:w w:val="105"/>
        </w:rPr>
        <w:t>Participants</w:t>
      </w:r>
      <w:r>
        <w:rPr>
          <w:spacing w:val="17"/>
          <w:w w:val="105"/>
        </w:rPr>
        <w:t> </w:t>
      </w:r>
      <w:r>
        <w:rPr>
          <w:w w:val="105"/>
        </w:rPr>
        <w:t>had</w:t>
      </w:r>
      <w:r>
        <w:rPr>
          <w:spacing w:val="18"/>
          <w:w w:val="105"/>
        </w:rPr>
        <w:t> </w:t>
      </w:r>
      <w:r>
        <w:rPr>
          <w:w w:val="105"/>
        </w:rPr>
        <w:t>to</w:t>
      </w:r>
      <w:r>
        <w:rPr>
          <w:spacing w:val="16"/>
          <w:w w:val="105"/>
        </w:rPr>
        <w:t> </w:t>
      </w:r>
      <w:r>
        <w:rPr>
          <w:spacing w:val="3"/>
          <w:w w:val="105"/>
        </w:rPr>
        <w:t>be</w:t>
      </w:r>
      <w:r>
        <w:rPr>
          <w:spacing w:val="18"/>
          <w:w w:val="105"/>
        </w:rPr>
        <w:t> </w:t>
      </w:r>
      <w:r>
        <w:rPr>
          <w:w w:val="105"/>
        </w:rPr>
        <w:t>at</w:t>
      </w:r>
      <w:r>
        <w:rPr>
          <w:spacing w:val="17"/>
          <w:w w:val="105"/>
        </w:rPr>
        <w:t> </w:t>
      </w:r>
      <w:r>
        <w:rPr>
          <w:w w:val="105"/>
        </w:rPr>
        <w:t>least</w:t>
      </w:r>
      <w:r>
        <w:rPr>
          <w:spacing w:val="17"/>
          <w:w w:val="105"/>
        </w:rPr>
        <w:t> </w:t>
      </w:r>
      <w:r>
        <w:rPr>
          <w:w w:val="105"/>
        </w:rPr>
        <w:t>18</w:t>
      </w:r>
      <w:r>
        <w:rPr>
          <w:spacing w:val="17"/>
          <w:w w:val="105"/>
        </w:rPr>
        <w:t> </w:t>
      </w:r>
      <w:r>
        <w:rPr>
          <w:spacing w:val="-3"/>
          <w:w w:val="105"/>
        </w:rPr>
        <w:t>years</w:t>
      </w:r>
    </w:p>
    <w:p>
      <w:pPr>
        <w:pStyle w:val="BodyText"/>
      </w:pPr>
      <w:r>
        <w:rPr>
          <w:rFonts w:ascii="Arial"/>
          <w:w w:val="105"/>
          <w:sz w:val="12"/>
        </w:rPr>
        <w:t>198 </w:t>
      </w:r>
      <w:r>
        <w:rPr>
          <w:w w:val="105"/>
        </w:rPr>
        <w:t>of age, be fluent in spoken and written English and have normal or corrected-to-normal</w:t>
      </w:r>
    </w:p>
    <w:p>
      <w:pPr>
        <w:pStyle w:val="BodyText"/>
      </w:pPr>
      <w:r>
        <w:rPr>
          <w:rFonts w:ascii="Arial"/>
          <w:w w:val="105"/>
          <w:sz w:val="12"/>
        </w:rPr>
        <w:t>199 </w:t>
      </w:r>
      <w:r>
        <w:rPr>
          <w:w w:val="105"/>
        </w:rPr>
        <w:t>vision, including normal colour vision. Participants were excluded if they were dieting at the</w:t>
      </w:r>
    </w:p>
    <w:p>
      <w:pPr>
        <w:pStyle w:val="BodyText"/>
        <w:spacing w:before="203"/>
      </w:pPr>
      <w:r>
        <w:rPr>
          <w:rFonts w:ascii="Arial"/>
          <w:w w:val="105"/>
          <w:sz w:val="12"/>
        </w:rPr>
        <w:t>200 </w:t>
      </w:r>
      <w:r>
        <w:rPr>
          <w:w w:val="105"/>
        </w:rPr>
        <w:t>time of the study, with a weight goal and time-frame in mind, had a current and/or past</w:t>
      </w:r>
    </w:p>
    <w:p>
      <w:pPr>
        <w:pStyle w:val="BodyText"/>
        <w:spacing w:before="186"/>
        <w:rPr>
          <w:rFonts w:ascii="Arial"/>
          <w:sz w:val="16"/>
        </w:rPr>
      </w:pPr>
      <w:r>
        <w:rPr>
          <w:rFonts w:ascii="Arial"/>
          <w:sz w:val="12"/>
        </w:rPr>
        <w:t>201      </w:t>
      </w:r>
      <w:r>
        <w:rPr>
          <w:rFonts w:ascii="Arial"/>
          <w:spacing w:val="2"/>
          <w:sz w:val="12"/>
        </w:rPr>
        <w:t> </w:t>
      </w:r>
      <w:r>
        <w:rPr/>
        <w:t>diagnosis</w:t>
      </w:r>
      <w:r>
        <w:rPr>
          <w:spacing w:val="32"/>
        </w:rPr>
        <w:t> </w:t>
      </w:r>
      <w:r>
        <w:rPr/>
        <w:t>of</w:t>
      </w:r>
      <w:r>
        <w:rPr>
          <w:spacing w:val="31"/>
        </w:rPr>
        <w:t> </w:t>
      </w:r>
      <w:r>
        <w:rPr>
          <w:spacing w:val="-3"/>
        </w:rPr>
        <w:t>any</w:t>
      </w:r>
      <w:r>
        <w:rPr>
          <w:spacing w:val="31"/>
        </w:rPr>
        <w:t> </w:t>
      </w:r>
      <w:r>
        <w:rPr/>
        <w:t>eating</w:t>
      </w:r>
      <w:r>
        <w:rPr>
          <w:spacing w:val="32"/>
        </w:rPr>
        <w:t> </w:t>
      </w:r>
      <w:r>
        <w:rPr/>
        <w:t>disorder(s)</w:t>
      </w:r>
      <w:r>
        <w:rPr>
          <w:spacing w:val="32"/>
        </w:rPr>
        <w:t> </w:t>
      </w:r>
      <w:r>
        <w:rPr/>
        <w:t>and</w:t>
      </w:r>
      <w:r>
        <w:rPr>
          <w:spacing w:val="33"/>
        </w:rPr>
        <w:t> </w:t>
      </w:r>
      <w:r>
        <w:rPr/>
        <w:t>had</w:t>
      </w:r>
      <w:r>
        <w:rPr>
          <w:spacing w:val="32"/>
        </w:rPr>
        <w:t> </w:t>
      </w:r>
      <w:r>
        <w:rPr/>
        <w:t>a</w:t>
      </w:r>
      <w:r>
        <w:rPr>
          <w:spacing w:val="32"/>
        </w:rPr>
        <w:t> </w:t>
      </w:r>
      <w:r>
        <w:rPr/>
        <w:t>body-mass-index</w:t>
      </w:r>
      <w:r>
        <w:rPr>
          <w:spacing w:val="32"/>
        </w:rPr>
        <w:t> </w:t>
      </w:r>
      <w:r>
        <w:rPr/>
        <w:t>(BMI)</w:t>
      </w:r>
      <w:r>
        <w:rPr>
          <w:spacing w:val="31"/>
        </w:rPr>
        <w:t> </w:t>
      </w:r>
      <w:r>
        <w:rPr>
          <w:spacing w:val="-3"/>
        </w:rPr>
        <w:t>lower</w:t>
      </w:r>
      <w:r>
        <w:rPr>
          <w:spacing w:val="33"/>
        </w:rPr>
        <w:t> </w:t>
      </w:r>
      <w:r>
        <w:rPr/>
        <w:t>than</w:t>
      </w:r>
      <w:r>
        <w:rPr>
          <w:spacing w:val="32"/>
        </w:rPr>
        <w:t> </w:t>
      </w:r>
      <w:r>
        <w:rPr/>
        <w:t>18.5</w:t>
      </w:r>
      <w:r>
        <w:rPr>
          <w:spacing w:val="32"/>
        </w:rPr>
        <w:t> </w:t>
      </w:r>
      <w:r>
        <w:rPr/>
        <w:t>kg/m</w:t>
      </w:r>
      <w:r>
        <w:rPr>
          <w:rFonts w:ascii="Arial"/>
          <w:position w:val="9"/>
          <w:sz w:val="16"/>
        </w:rPr>
        <w:t>2</w:t>
      </w:r>
    </w:p>
    <w:p>
      <w:pPr>
        <w:pStyle w:val="BodyText"/>
      </w:pPr>
      <w:r>
        <w:rPr>
          <w:rFonts w:ascii="Arial"/>
          <w:w w:val="105"/>
          <w:sz w:val="12"/>
        </w:rPr>
        <w:t>202     </w:t>
      </w:r>
      <w:r>
        <w:rPr>
          <w:w w:val="105"/>
        </w:rPr>
        <w:t>(i.e., underweight category).  The study </w:t>
      </w:r>
      <w:r>
        <w:rPr>
          <w:spacing w:val="-3"/>
          <w:w w:val="105"/>
        </w:rPr>
        <w:t>was approved </w:t>
      </w:r>
      <w:r>
        <w:rPr>
          <w:spacing w:val="-4"/>
          <w:w w:val="105"/>
        </w:rPr>
        <w:t>by  </w:t>
      </w:r>
      <w:r>
        <w:rPr>
          <w:w w:val="105"/>
        </w:rPr>
        <w:t>the Ethics Committees of </w:t>
      </w:r>
      <w:r>
        <w:rPr>
          <w:spacing w:val="18"/>
          <w:w w:val="105"/>
        </w:rPr>
        <w:t> </w:t>
      </w:r>
      <w:r>
        <w:rPr>
          <w:w w:val="105"/>
        </w:rPr>
        <w:t>Cardiff</w:t>
      </w:r>
    </w:p>
    <w:p>
      <w:pPr>
        <w:pStyle w:val="BodyText"/>
      </w:pPr>
      <w:r>
        <w:rPr>
          <w:rFonts w:ascii="Arial"/>
          <w:w w:val="105"/>
          <w:sz w:val="12"/>
        </w:rPr>
        <w:t>203 </w:t>
      </w:r>
      <w:r>
        <w:rPr>
          <w:w w:val="105"/>
        </w:rPr>
        <w:t>University, University of Bath and the University of Exeter.</w:t>
      </w:r>
    </w:p>
    <w:p>
      <w:pPr>
        <w:pStyle w:val="BodyText"/>
        <w:spacing w:before="0"/>
        <w:ind w:left="0"/>
        <w:rPr>
          <w:sz w:val="20"/>
        </w:rPr>
      </w:pPr>
    </w:p>
    <w:p>
      <w:pPr>
        <w:pStyle w:val="BodyText"/>
        <w:spacing w:before="6"/>
        <w:ind w:left="0"/>
        <w:rPr>
          <w:sz w:val="28"/>
        </w:rPr>
      </w:pPr>
    </w:p>
    <w:p>
      <w:pPr>
        <w:spacing w:before="148"/>
        <w:ind w:left="230" w:right="0" w:firstLine="0"/>
        <w:jc w:val="left"/>
        <w:rPr>
          <w:b/>
          <w:sz w:val="24"/>
        </w:rPr>
      </w:pPr>
      <w:r>
        <w:rPr>
          <w:rFonts w:ascii="Arial"/>
          <w:w w:val="110"/>
          <w:sz w:val="12"/>
        </w:rPr>
        <w:t>204</w:t>
      </w:r>
      <w:bookmarkStart w:name="Sampling plan" w:id="13"/>
      <w:bookmarkEnd w:id="13"/>
      <w:r>
        <w:rPr>
          <w:rFonts w:ascii="Arial"/>
          <w:w w:val="110"/>
          <w:sz w:val="12"/>
        </w:rPr>
      </w:r>
      <w:bookmarkStart w:name="_bookmark3" w:id="14"/>
      <w:bookmarkEnd w:id="14"/>
      <w:r>
        <w:rPr>
          <w:rFonts w:ascii="Arial"/>
          <w:w w:val="110"/>
          <w:sz w:val="12"/>
        </w:rPr>
      </w:r>
      <w:r>
        <w:rPr>
          <w:rFonts w:ascii="Arial"/>
          <w:w w:val="110"/>
          <w:sz w:val="12"/>
        </w:rPr>
        <w:t> </w:t>
      </w:r>
      <w:r>
        <w:rPr>
          <w:b/>
          <w:w w:val="110"/>
          <w:sz w:val="24"/>
        </w:rPr>
        <w:t>Sampling plan</w:t>
      </w:r>
    </w:p>
    <w:p>
      <w:pPr>
        <w:pStyle w:val="BodyText"/>
        <w:spacing w:before="0"/>
        <w:ind w:left="0"/>
        <w:rPr>
          <w:b/>
          <w:sz w:val="20"/>
        </w:rPr>
      </w:pPr>
    </w:p>
    <w:p>
      <w:pPr>
        <w:pStyle w:val="BodyText"/>
        <w:spacing w:before="6"/>
        <w:ind w:left="0"/>
        <w:rPr>
          <w:b/>
          <w:sz w:val="19"/>
        </w:rPr>
      </w:pPr>
    </w:p>
    <w:p>
      <w:pPr>
        <w:pStyle w:val="BodyText"/>
        <w:tabs>
          <w:tab w:pos="1195" w:val="left" w:leader="none"/>
        </w:tabs>
        <w:spacing w:before="146"/>
      </w:pPr>
      <w:r>
        <w:rPr>
          <w:rFonts w:ascii="Arial"/>
          <w:w w:val="105"/>
          <w:sz w:val="12"/>
        </w:rPr>
        <w:t>205</w:t>
        <w:tab/>
      </w:r>
      <w:r>
        <w:rPr>
          <w:w w:val="105"/>
        </w:rPr>
        <w:t>The</w:t>
      </w:r>
      <w:r>
        <w:rPr>
          <w:spacing w:val="12"/>
          <w:w w:val="105"/>
        </w:rPr>
        <w:t> </w:t>
      </w:r>
      <w:r>
        <w:rPr>
          <w:w w:val="105"/>
        </w:rPr>
        <w:t>required</w:t>
      </w:r>
      <w:r>
        <w:rPr>
          <w:spacing w:val="13"/>
          <w:w w:val="105"/>
        </w:rPr>
        <w:t> </w:t>
      </w:r>
      <w:r>
        <w:rPr>
          <w:w w:val="105"/>
        </w:rPr>
        <w:t>sample</w:t>
      </w:r>
      <w:r>
        <w:rPr>
          <w:spacing w:val="13"/>
          <w:w w:val="105"/>
        </w:rPr>
        <w:t> </w:t>
      </w:r>
      <w:r>
        <w:rPr>
          <w:w w:val="105"/>
        </w:rPr>
        <w:t>size</w:t>
      </w:r>
      <w:r>
        <w:rPr>
          <w:spacing w:val="12"/>
          <w:w w:val="105"/>
        </w:rPr>
        <w:t> </w:t>
      </w:r>
      <w:r>
        <w:rPr>
          <w:spacing w:val="-3"/>
          <w:w w:val="105"/>
        </w:rPr>
        <w:t>was</w:t>
      </w:r>
      <w:r>
        <w:rPr>
          <w:spacing w:val="12"/>
          <w:w w:val="105"/>
        </w:rPr>
        <w:t> </w:t>
      </w:r>
      <w:r>
        <w:rPr>
          <w:w w:val="105"/>
        </w:rPr>
        <w:t>estimated</w:t>
      </w:r>
      <w:r>
        <w:rPr>
          <w:spacing w:val="13"/>
          <w:w w:val="105"/>
        </w:rPr>
        <w:t> </w:t>
      </w:r>
      <w:r>
        <w:rPr>
          <w:w w:val="105"/>
        </w:rPr>
        <w:t>based</w:t>
      </w:r>
      <w:r>
        <w:rPr>
          <w:spacing w:val="12"/>
          <w:w w:val="105"/>
        </w:rPr>
        <w:t> </w:t>
      </w:r>
      <w:r>
        <w:rPr>
          <w:w w:val="105"/>
        </w:rPr>
        <w:t>on</w:t>
      </w:r>
      <w:r>
        <w:rPr>
          <w:spacing w:val="11"/>
          <w:w w:val="105"/>
        </w:rPr>
        <w:t> </w:t>
      </w:r>
      <w:r>
        <w:rPr>
          <w:w w:val="105"/>
        </w:rPr>
        <w:t>a</w:t>
      </w:r>
      <w:r>
        <w:rPr>
          <w:spacing w:val="13"/>
          <w:w w:val="105"/>
        </w:rPr>
        <w:t> </w:t>
      </w:r>
      <w:r>
        <w:rPr>
          <w:w w:val="105"/>
        </w:rPr>
        <w:t>frequentist</w:t>
      </w:r>
      <w:r>
        <w:rPr>
          <w:spacing w:val="13"/>
          <w:w w:val="105"/>
        </w:rPr>
        <w:t> </w:t>
      </w:r>
      <w:r>
        <w:rPr>
          <w:w w:val="105"/>
        </w:rPr>
        <w:t>power</w:t>
      </w:r>
      <w:r>
        <w:rPr>
          <w:spacing w:val="12"/>
          <w:w w:val="105"/>
        </w:rPr>
        <w:t> </w:t>
      </w:r>
      <w:r>
        <w:rPr>
          <w:w w:val="105"/>
        </w:rPr>
        <w:t>analysis</w:t>
      </w:r>
    </w:p>
    <w:p>
      <w:pPr>
        <w:pStyle w:val="BodyText"/>
      </w:pPr>
      <w:r>
        <w:rPr>
          <w:rFonts w:ascii="Arial"/>
          <w:w w:val="105"/>
          <w:sz w:val="12"/>
        </w:rPr>
        <w:t>206 </w:t>
      </w:r>
      <w:r>
        <w:rPr>
          <w:w w:val="105"/>
        </w:rPr>
        <w:t>conducted for the primary outcome measure (i.e., change in approach-avoidance bias, from</w:t>
      </w:r>
    </w:p>
    <w:p>
      <w:pPr>
        <w:spacing w:after="0"/>
        <w:sectPr>
          <w:pgSz w:w="12240" w:h="15840"/>
          <w:pgMar w:header="649" w:footer="0" w:top="1320" w:bottom="280" w:left="820" w:right="1140"/>
        </w:sectPr>
      </w:pPr>
    </w:p>
    <w:p>
      <w:pPr>
        <w:pStyle w:val="BodyText"/>
        <w:spacing w:before="191"/>
      </w:pPr>
      <w:r>
        <w:rPr>
          <w:rFonts w:ascii="Arial"/>
          <w:w w:val="105"/>
          <w:sz w:val="12"/>
        </w:rPr>
        <w:t>207 </w:t>
      </w:r>
      <w:r>
        <w:rPr>
          <w:w w:val="105"/>
        </w:rPr>
        <w:t>pre-to post-training, between go and no-go foods; H1a and H1b) and the stimulus</w:t>
      </w:r>
    </w:p>
    <w:p>
      <w:pPr>
        <w:pStyle w:val="BodyText"/>
      </w:pPr>
      <w:r>
        <w:rPr>
          <w:rFonts w:ascii="Arial"/>
          <w:w w:val="105"/>
          <w:sz w:val="12"/>
        </w:rPr>
        <w:t>208 </w:t>
      </w:r>
      <w:r>
        <w:rPr>
          <w:w w:val="105"/>
        </w:rPr>
        <w:t>devaluation manipulation check (i.e., change in food liking, from pre-to-post training,</w:t>
      </w:r>
    </w:p>
    <w:p>
      <w:pPr>
        <w:pStyle w:val="BodyText"/>
        <w:spacing w:before="203"/>
      </w:pPr>
      <w:r>
        <w:rPr>
          <w:rFonts w:ascii="Arial"/>
          <w:w w:val="105"/>
          <w:sz w:val="12"/>
        </w:rPr>
        <w:t>209     </w:t>
      </w:r>
      <w:r>
        <w:rPr>
          <w:w w:val="105"/>
        </w:rPr>
        <w:t>between go and no-go foods; H3).  Both of these effect sizes were in the medium range</w:t>
      </w:r>
      <w:r>
        <w:rPr>
          <w:spacing w:val="30"/>
          <w:w w:val="105"/>
        </w:rPr>
        <w:t> </w:t>
      </w:r>
      <w:r>
        <w:rPr>
          <w:w w:val="105"/>
        </w:rPr>
        <w:t>and</w:t>
      </w:r>
    </w:p>
    <w:p>
      <w:pPr>
        <w:pStyle w:val="BodyText"/>
      </w:pPr>
      <w:r>
        <w:rPr>
          <w:rFonts w:ascii="Arial"/>
          <w:w w:val="105"/>
          <w:sz w:val="12"/>
        </w:rPr>
        <w:t>210      </w:t>
      </w:r>
      <w:r>
        <w:rPr>
          <w:w w:val="105"/>
        </w:rPr>
        <w:t>therefore calculations were based on the primary outcome measure.  </w:t>
      </w:r>
      <w:r>
        <w:rPr>
          <w:spacing w:val="-7"/>
          <w:w w:val="105"/>
        </w:rPr>
        <w:t>For </w:t>
      </w:r>
      <w:r>
        <w:rPr>
          <w:w w:val="105"/>
        </w:rPr>
        <w:t>an expected</w:t>
      </w:r>
      <w:r>
        <w:rPr>
          <w:spacing w:val="58"/>
          <w:w w:val="105"/>
        </w:rPr>
        <w:t> </w:t>
      </w:r>
      <w:r>
        <w:rPr>
          <w:w w:val="105"/>
        </w:rPr>
        <w:t>effect</w:t>
      </w:r>
    </w:p>
    <w:p>
      <w:pPr>
        <w:pStyle w:val="BodyText"/>
      </w:pPr>
      <w:r>
        <w:rPr>
          <w:rFonts w:ascii="Arial"/>
          <w:w w:val="105"/>
          <w:sz w:val="12"/>
        </w:rPr>
        <w:t>211 </w:t>
      </w:r>
      <w:r>
        <w:rPr>
          <w:w w:val="105"/>
        </w:rPr>
        <w:t>size, other studies that have measured approach bias pre-and post-approach-avoidance</w:t>
      </w:r>
    </w:p>
    <w:p>
      <w:pPr>
        <w:pStyle w:val="BodyText"/>
      </w:pPr>
      <w:r>
        <w:rPr>
          <w:rFonts w:ascii="Arial"/>
          <w:w w:val="105"/>
          <w:sz w:val="12"/>
        </w:rPr>
        <w:t>212    </w:t>
      </w:r>
      <w:r>
        <w:rPr>
          <w:rFonts w:ascii="Arial"/>
          <w:spacing w:val="7"/>
          <w:w w:val="105"/>
          <w:sz w:val="12"/>
        </w:rPr>
        <w:t> </w:t>
      </w:r>
      <w:r>
        <w:rPr>
          <w:w w:val="105"/>
        </w:rPr>
        <w:t>training</w:t>
      </w:r>
      <w:r>
        <w:rPr>
          <w:spacing w:val="8"/>
          <w:w w:val="105"/>
        </w:rPr>
        <w:t> </w:t>
      </w:r>
      <w:r>
        <w:rPr>
          <w:spacing w:val="-3"/>
          <w:w w:val="105"/>
        </w:rPr>
        <w:t>(Becker,</w:t>
      </w:r>
      <w:r>
        <w:rPr>
          <w:spacing w:val="8"/>
          <w:w w:val="105"/>
        </w:rPr>
        <w:t> </w:t>
      </w:r>
      <w:r>
        <w:rPr>
          <w:w w:val="105"/>
        </w:rPr>
        <w:t>Jostmann,</w:t>
      </w:r>
      <w:r>
        <w:rPr>
          <w:spacing w:val="8"/>
          <w:w w:val="105"/>
        </w:rPr>
        <w:t> </w:t>
      </w:r>
      <w:r>
        <w:rPr>
          <w:w w:val="105"/>
        </w:rPr>
        <w:t>Wiers,</w:t>
      </w:r>
      <w:r>
        <w:rPr>
          <w:spacing w:val="8"/>
          <w:w w:val="105"/>
        </w:rPr>
        <w:t> </w:t>
      </w:r>
      <w:r>
        <w:rPr>
          <w:w w:val="105"/>
        </w:rPr>
        <w:t>&amp;</w:t>
      </w:r>
      <w:r>
        <w:rPr>
          <w:spacing w:val="8"/>
          <w:w w:val="105"/>
        </w:rPr>
        <w:t> </w:t>
      </w:r>
      <w:r>
        <w:rPr>
          <w:w w:val="105"/>
        </w:rPr>
        <w:t>Holland,</w:t>
      </w:r>
      <w:r>
        <w:rPr>
          <w:spacing w:val="9"/>
          <w:w w:val="105"/>
        </w:rPr>
        <w:t> </w:t>
      </w:r>
      <w:r>
        <w:rPr>
          <w:w w:val="105"/>
        </w:rPr>
        <w:t>2015;</w:t>
      </w:r>
      <w:r>
        <w:rPr>
          <w:spacing w:val="8"/>
          <w:w w:val="105"/>
        </w:rPr>
        <w:t> </w:t>
      </w:r>
      <w:r>
        <w:rPr>
          <w:spacing w:val="-3"/>
          <w:w w:val="105"/>
        </w:rPr>
        <w:t>Schumacher</w:t>
      </w:r>
      <w:r>
        <w:rPr>
          <w:spacing w:val="8"/>
          <w:w w:val="105"/>
        </w:rPr>
        <w:t> </w:t>
      </w:r>
      <w:r>
        <w:rPr>
          <w:w w:val="105"/>
        </w:rPr>
        <w:t>et</w:t>
      </w:r>
      <w:r>
        <w:rPr>
          <w:spacing w:val="8"/>
          <w:w w:val="105"/>
        </w:rPr>
        <w:t> </w:t>
      </w:r>
      <w:r>
        <w:rPr>
          <w:w w:val="105"/>
        </w:rPr>
        <w:t>al.,</w:t>
      </w:r>
      <w:r>
        <w:rPr>
          <w:spacing w:val="8"/>
          <w:w w:val="105"/>
        </w:rPr>
        <w:t> </w:t>
      </w:r>
      <w:r>
        <w:rPr>
          <w:w w:val="105"/>
        </w:rPr>
        <w:t>2016)</w:t>
      </w:r>
      <w:r>
        <w:rPr>
          <w:spacing w:val="8"/>
          <w:w w:val="105"/>
        </w:rPr>
        <w:t> </w:t>
      </w:r>
      <w:r>
        <w:rPr>
          <w:w w:val="105"/>
        </w:rPr>
        <w:t>were</w:t>
      </w:r>
    </w:p>
    <w:p>
      <w:pPr>
        <w:pStyle w:val="BodyText"/>
        <w:spacing w:before="201"/>
      </w:pPr>
      <w:r>
        <w:rPr>
          <w:rFonts w:ascii="Arial" w:hAnsi="Arial"/>
          <w:w w:val="105"/>
          <w:sz w:val="12"/>
        </w:rPr>
        <w:t>213     </w:t>
      </w:r>
      <w:r>
        <w:rPr>
          <w:w w:val="105"/>
        </w:rPr>
        <w:t>considered.  Both studies reported an effect size of </w:t>
      </w:r>
      <w:r>
        <w:rPr>
          <w:i/>
          <w:spacing w:val="2"/>
          <w:w w:val="105"/>
        </w:rPr>
        <w:t>η</w:t>
      </w:r>
      <w:r>
        <w:rPr>
          <w:rFonts w:ascii="Arial" w:hAnsi="Arial"/>
          <w:i/>
          <w:spacing w:val="2"/>
          <w:w w:val="105"/>
          <w:vertAlign w:val="subscript"/>
        </w:rPr>
        <w:t>p</w:t>
      </w:r>
      <w:r>
        <w:rPr>
          <w:rFonts w:ascii="Arial" w:hAnsi="Arial"/>
          <w:spacing w:val="2"/>
          <w:w w:val="105"/>
          <w:vertAlign w:val="superscript"/>
        </w:rPr>
        <w:t>2</w:t>
      </w:r>
      <w:r>
        <w:rPr>
          <w:spacing w:val="2"/>
          <w:w w:val="105"/>
          <w:vertAlign w:val="baseline"/>
        </w:rPr>
        <w:t>=0.07 </w:t>
      </w:r>
      <w:r>
        <w:rPr>
          <w:w w:val="105"/>
          <w:vertAlign w:val="baseline"/>
        </w:rPr>
        <w:t>which corresponds to</w:t>
      </w:r>
      <w:r>
        <w:rPr>
          <w:spacing w:val="53"/>
          <w:w w:val="105"/>
          <w:vertAlign w:val="baseline"/>
        </w:rPr>
        <w:t> </w:t>
      </w:r>
      <w:r>
        <w:rPr>
          <w:w w:val="105"/>
          <w:vertAlign w:val="baseline"/>
        </w:rPr>
        <w:t>a</w:t>
      </w:r>
    </w:p>
    <w:p>
      <w:pPr>
        <w:pStyle w:val="BodyText"/>
      </w:pPr>
      <w:r>
        <w:rPr>
          <w:rFonts w:ascii="Arial" w:hAnsi="Arial"/>
          <w:sz w:val="12"/>
        </w:rPr>
        <w:t>214    </w:t>
      </w:r>
      <w:r>
        <w:rPr>
          <w:rFonts w:ascii="Arial" w:hAnsi="Arial"/>
          <w:spacing w:val="21"/>
          <w:sz w:val="12"/>
        </w:rPr>
        <w:t> </w:t>
      </w:r>
      <w:r>
        <w:rPr/>
        <w:t>“medium”</w:t>
      </w:r>
      <w:r>
        <w:rPr>
          <w:spacing w:val="28"/>
        </w:rPr>
        <w:t> </w:t>
      </w:r>
      <w:r>
        <w:rPr/>
        <w:t>effect</w:t>
      </w:r>
      <w:r>
        <w:rPr>
          <w:spacing w:val="29"/>
        </w:rPr>
        <w:t> </w:t>
      </w:r>
      <w:r>
        <w:rPr/>
        <w:t>size.</w:t>
      </w:r>
      <w:r>
        <w:rPr>
          <w:spacing w:val="58"/>
        </w:rPr>
        <w:t> </w:t>
      </w:r>
      <w:r>
        <w:rPr>
          <w:spacing w:val="-3"/>
        </w:rPr>
        <w:t>Becker</w:t>
      </w:r>
      <w:r>
        <w:rPr>
          <w:spacing w:val="29"/>
        </w:rPr>
        <w:t> </w:t>
      </w:r>
      <w:r>
        <w:rPr/>
        <w:t>et</w:t>
      </w:r>
      <w:r>
        <w:rPr>
          <w:spacing w:val="29"/>
        </w:rPr>
        <w:t> </w:t>
      </w:r>
      <w:r>
        <w:rPr/>
        <w:t>al.</w:t>
      </w:r>
      <w:r>
        <w:rPr>
          <w:spacing w:val="57"/>
        </w:rPr>
        <w:t> </w:t>
      </w:r>
      <w:r>
        <w:rPr/>
        <w:t>(2015)</w:t>
      </w:r>
      <w:r>
        <w:rPr>
          <w:spacing w:val="28"/>
        </w:rPr>
        <w:t> </w:t>
      </w:r>
      <w:r>
        <w:rPr/>
        <w:t>also</w:t>
      </w:r>
      <w:r>
        <w:rPr>
          <w:spacing w:val="28"/>
        </w:rPr>
        <w:t> </w:t>
      </w:r>
      <w:r>
        <w:rPr/>
        <w:t>reported</w:t>
      </w:r>
      <w:r>
        <w:rPr>
          <w:spacing w:val="28"/>
        </w:rPr>
        <w:t> </w:t>
      </w:r>
      <w:r>
        <w:rPr>
          <w:spacing w:val="-5"/>
        </w:rPr>
        <w:t>two</w:t>
      </w:r>
      <w:r>
        <w:rPr>
          <w:spacing w:val="28"/>
        </w:rPr>
        <w:t> </w:t>
      </w:r>
      <w:r>
        <w:rPr/>
        <w:t>non-significant</w:t>
      </w:r>
      <w:r>
        <w:rPr>
          <w:spacing w:val="28"/>
        </w:rPr>
        <w:t> </w:t>
      </w:r>
      <w:r>
        <w:rPr/>
        <w:t>results,</w:t>
      </w:r>
      <w:r>
        <w:rPr>
          <w:spacing w:val="27"/>
        </w:rPr>
        <w:t> </w:t>
      </w:r>
      <w:r>
        <w:rPr/>
        <w:t>although</w:t>
      </w:r>
    </w:p>
    <w:p>
      <w:pPr>
        <w:pStyle w:val="BodyText"/>
        <w:spacing w:before="203"/>
      </w:pPr>
      <w:r>
        <w:rPr>
          <w:rFonts w:ascii="Arial"/>
          <w:w w:val="105"/>
          <w:sz w:val="12"/>
        </w:rPr>
        <w:t>215     </w:t>
      </w:r>
      <w:r>
        <w:rPr>
          <w:w w:val="105"/>
        </w:rPr>
        <w:t>effect sizes were not provided.  Note, </w:t>
      </w:r>
      <w:r>
        <w:rPr>
          <w:spacing w:val="-3"/>
          <w:w w:val="105"/>
        </w:rPr>
        <w:t>however, </w:t>
      </w:r>
      <w:r>
        <w:rPr>
          <w:w w:val="105"/>
        </w:rPr>
        <w:t>that </w:t>
      </w:r>
      <w:r>
        <w:rPr>
          <w:spacing w:val="-3"/>
          <w:w w:val="105"/>
        </w:rPr>
        <w:t>Becker </w:t>
      </w:r>
      <w:r>
        <w:rPr>
          <w:w w:val="105"/>
        </w:rPr>
        <w:t>et al.  (2015) compared an</w:t>
      </w:r>
      <w:r>
        <w:rPr>
          <w:spacing w:val="30"/>
          <w:w w:val="105"/>
        </w:rPr>
        <w:t> </w:t>
      </w:r>
      <w:r>
        <w:rPr>
          <w:w w:val="105"/>
        </w:rPr>
        <w:t>active</w:t>
      </w:r>
    </w:p>
    <w:p>
      <w:pPr>
        <w:pStyle w:val="BodyText"/>
      </w:pPr>
      <w:r>
        <w:rPr>
          <w:rFonts w:ascii="Arial"/>
          <w:sz w:val="12"/>
        </w:rPr>
        <w:t>216     </w:t>
      </w:r>
      <w:r>
        <w:rPr>
          <w:rFonts w:ascii="Arial"/>
          <w:spacing w:val="22"/>
          <w:sz w:val="12"/>
        </w:rPr>
        <w:t> </w:t>
      </w:r>
      <w:r>
        <w:rPr/>
        <w:t>group</w:t>
      </w:r>
      <w:r>
        <w:rPr>
          <w:spacing w:val="22"/>
        </w:rPr>
        <w:t> </w:t>
      </w:r>
      <w:r>
        <w:rPr/>
        <w:t>with</w:t>
      </w:r>
      <w:r>
        <w:rPr>
          <w:spacing w:val="23"/>
        </w:rPr>
        <w:t> </w:t>
      </w:r>
      <w:r>
        <w:rPr/>
        <w:t>90:10</w:t>
      </w:r>
      <w:r>
        <w:rPr>
          <w:spacing w:val="23"/>
        </w:rPr>
        <w:t> </w:t>
      </w:r>
      <w:r>
        <w:rPr/>
        <w:t>mapping</w:t>
      </w:r>
      <w:r>
        <w:rPr>
          <w:spacing w:val="23"/>
        </w:rPr>
        <w:t> </w:t>
      </w:r>
      <w:r>
        <w:rPr/>
        <w:t>(i.e.,</w:t>
      </w:r>
      <w:r>
        <w:rPr>
          <w:spacing w:val="23"/>
        </w:rPr>
        <w:t> </w:t>
      </w:r>
      <w:r>
        <w:rPr>
          <w:spacing w:val="-3"/>
        </w:rPr>
        <w:t>avoidance</w:t>
      </w:r>
      <w:r>
        <w:rPr>
          <w:spacing w:val="23"/>
        </w:rPr>
        <w:t> </w:t>
      </w:r>
      <w:r>
        <w:rPr/>
        <w:t>of</w:t>
      </w:r>
      <w:r>
        <w:rPr>
          <w:spacing w:val="23"/>
        </w:rPr>
        <w:t> </w:t>
      </w:r>
      <w:r>
        <w:rPr/>
        <w:t>90%</w:t>
      </w:r>
      <w:r>
        <w:rPr>
          <w:spacing w:val="22"/>
        </w:rPr>
        <w:t> </w:t>
      </w:r>
      <w:r>
        <w:rPr/>
        <w:t>for</w:t>
      </w:r>
      <w:r>
        <w:rPr>
          <w:spacing w:val="23"/>
        </w:rPr>
        <w:t> </w:t>
      </w:r>
      <w:r>
        <w:rPr/>
        <w:t>unhealthy</w:t>
      </w:r>
      <w:r>
        <w:rPr>
          <w:spacing w:val="23"/>
        </w:rPr>
        <w:t> </w:t>
      </w:r>
      <w:r>
        <w:rPr/>
        <w:t>trials</w:t>
      </w:r>
      <w:r>
        <w:rPr>
          <w:spacing w:val="22"/>
        </w:rPr>
        <w:t> </w:t>
      </w:r>
      <w:r>
        <w:rPr/>
        <w:t>and</w:t>
      </w:r>
      <w:r>
        <w:rPr>
          <w:spacing w:val="23"/>
        </w:rPr>
        <w:t> </w:t>
      </w:r>
      <w:r>
        <w:rPr/>
        <w:t>10%</w:t>
      </w:r>
      <w:r>
        <w:rPr>
          <w:spacing w:val="23"/>
        </w:rPr>
        <w:t> </w:t>
      </w:r>
      <w:r>
        <w:rPr/>
        <w:t>healthy</w:t>
      </w:r>
      <w:r>
        <w:rPr>
          <w:spacing w:val="22"/>
        </w:rPr>
        <w:t> </w:t>
      </w:r>
      <w:r>
        <w:rPr/>
        <w:t>trials)</w:t>
      </w:r>
    </w:p>
    <w:p>
      <w:pPr>
        <w:pStyle w:val="BodyText"/>
      </w:pPr>
      <w:r>
        <w:rPr>
          <w:rFonts w:ascii="Arial"/>
          <w:w w:val="105"/>
          <w:sz w:val="12"/>
        </w:rPr>
        <w:t>217     </w:t>
      </w:r>
      <w:r>
        <w:rPr>
          <w:w w:val="105"/>
        </w:rPr>
        <w:t>to a control group with 50:50 mapping whereas </w:t>
      </w:r>
      <w:r>
        <w:rPr>
          <w:spacing w:val="-3"/>
          <w:w w:val="105"/>
        </w:rPr>
        <w:t>Schumacher </w:t>
      </w:r>
      <w:r>
        <w:rPr>
          <w:w w:val="105"/>
        </w:rPr>
        <w:t>et al.  (2016) compared a</w:t>
      </w:r>
      <w:r>
        <w:rPr>
          <w:spacing w:val="56"/>
          <w:w w:val="105"/>
        </w:rPr>
        <w:t> </w:t>
      </w:r>
      <w:r>
        <w:rPr>
          <w:w w:val="105"/>
        </w:rPr>
        <w:t>90:10</w:t>
      </w:r>
    </w:p>
    <w:p>
      <w:pPr>
        <w:pStyle w:val="BodyText"/>
      </w:pPr>
      <w:r>
        <w:rPr>
          <w:rFonts w:ascii="Arial"/>
          <w:w w:val="105"/>
          <w:sz w:val="12"/>
        </w:rPr>
        <w:t>218     </w:t>
      </w:r>
      <w:r>
        <w:rPr>
          <w:w w:val="105"/>
        </w:rPr>
        <w:t>active group with a 10:90 control group.  A conservative approach </w:t>
      </w:r>
      <w:r>
        <w:rPr>
          <w:spacing w:val="-3"/>
          <w:w w:val="105"/>
        </w:rPr>
        <w:t>was </w:t>
      </w:r>
      <w:r>
        <w:rPr>
          <w:w w:val="105"/>
        </w:rPr>
        <w:t>followed for</w:t>
      </w:r>
      <w:r>
        <w:rPr>
          <w:spacing w:val="-18"/>
          <w:w w:val="105"/>
        </w:rPr>
        <w:t> </w:t>
      </w:r>
      <w:r>
        <w:rPr>
          <w:w w:val="105"/>
        </w:rPr>
        <w:t>the</w:t>
      </w:r>
    </w:p>
    <w:p>
      <w:pPr>
        <w:pStyle w:val="BodyText"/>
      </w:pPr>
      <w:r>
        <w:rPr>
          <w:rFonts w:ascii="Arial"/>
          <w:w w:val="105"/>
          <w:sz w:val="12"/>
        </w:rPr>
        <w:t>219     </w:t>
      </w:r>
      <w:r>
        <w:rPr>
          <w:w w:val="105"/>
        </w:rPr>
        <w:t>sample size calculation.  </w:t>
      </w:r>
      <w:r>
        <w:rPr>
          <w:spacing w:val="-3"/>
          <w:w w:val="105"/>
        </w:rPr>
        <w:t>Firstly, </w:t>
      </w:r>
      <w:r>
        <w:rPr>
          <w:w w:val="105"/>
        </w:rPr>
        <w:t>the effect size </w:t>
      </w:r>
      <w:r>
        <w:rPr>
          <w:spacing w:val="-3"/>
          <w:w w:val="105"/>
        </w:rPr>
        <w:t>was </w:t>
      </w:r>
      <w:r>
        <w:rPr>
          <w:w w:val="105"/>
        </w:rPr>
        <w:t>reduced </w:t>
      </w:r>
      <w:r>
        <w:rPr>
          <w:spacing w:val="-4"/>
          <w:w w:val="105"/>
        </w:rPr>
        <w:t>by </w:t>
      </w:r>
      <w:r>
        <w:rPr>
          <w:w w:val="105"/>
        </w:rPr>
        <w:t>33% (i.e., </w:t>
      </w:r>
      <w:r>
        <w:rPr>
          <w:i/>
          <w:w w:val="105"/>
        </w:rPr>
        <w:t>dz  </w:t>
      </w:r>
      <w:r>
        <w:rPr>
          <w:w w:val="105"/>
        </w:rPr>
        <w:t>= 0.34) </w:t>
      </w:r>
      <w:r>
        <w:rPr>
          <w:spacing w:val="1"/>
          <w:w w:val="105"/>
        </w:rPr>
        <w:t> </w:t>
      </w:r>
      <w:r>
        <w:rPr>
          <w:w w:val="105"/>
        </w:rPr>
        <w:t>to</w:t>
      </w:r>
    </w:p>
    <w:p>
      <w:pPr>
        <w:pStyle w:val="BodyText"/>
        <w:spacing w:before="203"/>
      </w:pPr>
      <w:r>
        <w:rPr>
          <w:rFonts w:ascii="Arial"/>
          <w:w w:val="105"/>
          <w:sz w:val="12"/>
        </w:rPr>
        <w:t>220    </w:t>
      </w:r>
      <w:r>
        <w:rPr>
          <w:rFonts w:ascii="Arial"/>
          <w:spacing w:val="14"/>
          <w:w w:val="105"/>
          <w:sz w:val="12"/>
        </w:rPr>
        <w:t> </w:t>
      </w:r>
      <w:r>
        <w:rPr>
          <w:w w:val="105"/>
        </w:rPr>
        <w:t>account</w:t>
      </w:r>
      <w:r>
        <w:rPr>
          <w:spacing w:val="10"/>
          <w:w w:val="105"/>
        </w:rPr>
        <w:t> </w:t>
      </w:r>
      <w:r>
        <w:rPr>
          <w:w w:val="105"/>
        </w:rPr>
        <w:t>for</w:t>
      </w:r>
      <w:r>
        <w:rPr>
          <w:spacing w:val="11"/>
          <w:w w:val="105"/>
        </w:rPr>
        <w:t> </w:t>
      </w:r>
      <w:r>
        <w:rPr>
          <w:w w:val="105"/>
        </w:rPr>
        <w:t>publication</w:t>
      </w:r>
      <w:r>
        <w:rPr>
          <w:spacing w:val="11"/>
          <w:w w:val="105"/>
        </w:rPr>
        <w:t> </w:t>
      </w:r>
      <w:r>
        <w:rPr>
          <w:w w:val="105"/>
        </w:rPr>
        <w:t>bias</w:t>
      </w:r>
      <w:r>
        <w:rPr>
          <w:spacing w:val="10"/>
          <w:w w:val="105"/>
        </w:rPr>
        <w:t> </w:t>
      </w:r>
      <w:r>
        <w:rPr>
          <w:w w:val="105"/>
        </w:rPr>
        <w:t>(Button</w:t>
      </w:r>
      <w:r>
        <w:rPr>
          <w:spacing w:val="11"/>
          <w:w w:val="105"/>
        </w:rPr>
        <w:t> </w:t>
      </w:r>
      <w:r>
        <w:rPr>
          <w:w w:val="105"/>
        </w:rPr>
        <w:t>et</w:t>
      </w:r>
      <w:r>
        <w:rPr>
          <w:spacing w:val="11"/>
          <w:w w:val="105"/>
        </w:rPr>
        <w:t> </w:t>
      </w:r>
      <w:r>
        <w:rPr>
          <w:w w:val="105"/>
        </w:rPr>
        <w:t>al.,</w:t>
      </w:r>
      <w:r>
        <w:rPr>
          <w:spacing w:val="10"/>
          <w:w w:val="105"/>
        </w:rPr>
        <w:t> </w:t>
      </w:r>
      <w:r>
        <w:rPr>
          <w:w w:val="105"/>
        </w:rPr>
        <w:t>2013)</w:t>
      </w:r>
      <w:r>
        <w:rPr>
          <w:spacing w:val="10"/>
          <w:w w:val="105"/>
        </w:rPr>
        <w:t> </w:t>
      </w:r>
      <w:r>
        <w:rPr>
          <w:w w:val="105"/>
        </w:rPr>
        <w:t>and</w:t>
      </w:r>
      <w:r>
        <w:rPr>
          <w:spacing w:val="11"/>
          <w:w w:val="105"/>
        </w:rPr>
        <w:t> </w:t>
      </w:r>
      <w:r>
        <w:rPr>
          <w:w w:val="105"/>
        </w:rPr>
        <w:t>secondly</w:t>
      </w:r>
      <w:r>
        <w:rPr>
          <w:spacing w:val="12"/>
          <w:w w:val="105"/>
        </w:rPr>
        <w:t> </w:t>
      </w:r>
      <w:r>
        <w:rPr>
          <w:w w:val="105"/>
        </w:rPr>
        <w:t>an</w:t>
      </w:r>
      <w:r>
        <w:rPr>
          <w:spacing w:val="10"/>
          <w:w w:val="105"/>
        </w:rPr>
        <w:t> </w:t>
      </w:r>
      <w:r>
        <w:rPr>
          <w:w w:val="105"/>
        </w:rPr>
        <w:t>alpha</w:t>
      </w:r>
      <w:r>
        <w:rPr>
          <w:spacing w:val="11"/>
          <w:w w:val="105"/>
        </w:rPr>
        <w:t> </w:t>
      </w:r>
      <w:r>
        <w:rPr>
          <w:w w:val="105"/>
        </w:rPr>
        <w:t>of</w:t>
      </w:r>
      <w:r>
        <w:rPr>
          <w:spacing w:val="10"/>
          <w:w w:val="105"/>
        </w:rPr>
        <w:t> </w:t>
      </w:r>
      <w:r>
        <w:rPr>
          <w:w w:val="105"/>
        </w:rPr>
        <w:t>.005</w:t>
      </w:r>
      <w:r>
        <w:rPr>
          <w:spacing w:val="10"/>
          <w:w w:val="105"/>
        </w:rPr>
        <w:t> </w:t>
      </w:r>
      <w:r>
        <w:rPr>
          <w:spacing w:val="-3"/>
          <w:w w:val="105"/>
        </w:rPr>
        <w:t>was</w:t>
      </w:r>
      <w:r>
        <w:rPr>
          <w:spacing w:val="11"/>
          <w:w w:val="105"/>
        </w:rPr>
        <w:t> </w:t>
      </w:r>
      <w:r>
        <w:rPr>
          <w:w w:val="105"/>
        </w:rPr>
        <w:t>used,</w:t>
      </w:r>
    </w:p>
    <w:p>
      <w:pPr>
        <w:pStyle w:val="BodyText"/>
      </w:pPr>
      <w:r>
        <w:rPr>
          <w:rFonts w:ascii="Arial"/>
          <w:w w:val="105"/>
          <w:sz w:val="12"/>
        </w:rPr>
        <w:t>221    </w:t>
      </w:r>
      <w:r>
        <w:rPr>
          <w:rFonts w:ascii="Arial"/>
          <w:spacing w:val="6"/>
          <w:w w:val="105"/>
          <w:sz w:val="12"/>
        </w:rPr>
        <w:t> </w:t>
      </w:r>
      <w:r>
        <w:rPr>
          <w:w w:val="105"/>
        </w:rPr>
        <w:t>which</w:t>
      </w:r>
      <w:r>
        <w:rPr>
          <w:spacing w:val="10"/>
          <w:w w:val="105"/>
        </w:rPr>
        <w:t> </w:t>
      </w:r>
      <w:r>
        <w:rPr>
          <w:w w:val="105"/>
        </w:rPr>
        <w:t>has</w:t>
      </w:r>
      <w:r>
        <w:rPr>
          <w:spacing w:val="11"/>
          <w:w w:val="105"/>
        </w:rPr>
        <w:t> </w:t>
      </w:r>
      <w:r>
        <w:rPr>
          <w:w w:val="105"/>
        </w:rPr>
        <w:t>recently</w:t>
      </w:r>
      <w:r>
        <w:rPr>
          <w:spacing w:val="10"/>
          <w:w w:val="105"/>
        </w:rPr>
        <w:t> </w:t>
      </w:r>
      <w:r>
        <w:rPr>
          <w:w w:val="105"/>
        </w:rPr>
        <w:t>been</w:t>
      </w:r>
      <w:r>
        <w:rPr>
          <w:spacing w:val="12"/>
          <w:w w:val="105"/>
        </w:rPr>
        <w:t> </w:t>
      </w:r>
      <w:r>
        <w:rPr>
          <w:w w:val="105"/>
        </w:rPr>
        <w:t>recommended</w:t>
      </w:r>
      <w:r>
        <w:rPr>
          <w:spacing w:val="10"/>
          <w:w w:val="105"/>
        </w:rPr>
        <w:t> </w:t>
      </w:r>
      <w:r>
        <w:rPr>
          <w:w w:val="105"/>
        </w:rPr>
        <w:t>for</w:t>
      </w:r>
      <w:r>
        <w:rPr>
          <w:spacing w:val="11"/>
          <w:w w:val="105"/>
        </w:rPr>
        <w:t> </w:t>
      </w:r>
      <w:r>
        <w:rPr>
          <w:spacing w:val="-3"/>
          <w:w w:val="105"/>
        </w:rPr>
        <w:t>any</w:t>
      </w:r>
      <w:r>
        <w:rPr>
          <w:spacing w:val="12"/>
          <w:w w:val="105"/>
        </w:rPr>
        <w:t> </w:t>
      </w:r>
      <w:r>
        <w:rPr>
          <w:w w:val="105"/>
        </w:rPr>
        <w:t>research</w:t>
      </w:r>
      <w:r>
        <w:rPr>
          <w:spacing w:val="11"/>
          <w:w w:val="105"/>
        </w:rPr>
        <w:t> </w:t>
      </w:r>
      <w:r>
        <w:rPr>
          <w:w w:val="105"/>
        </w:rPr>
        <w:t>that</w:t>
      </w:r>
      <w:r>
        <w:rPr>
          <w:spacing w:val="11"/>
          <w:w w:val="105"/>
        </w:rPr>
        <w:t> </w:t>
      </w:r>
      <w:r>
        <w:rPr>
          <w:w w:val="105"/>
        </w:rPr>
        <w:t>cannot</w:t>
      </w:r>
      <w:r>
        <w:rPr>
          <w:spacing w:val="11"/>
          <w:w w:val="105"/>
        </w:rPr>
        <w:t> </w:t>
      </w:r>
      <w:r>
        <w:rPr>
          <w:spacing w:val="3"/>
          <w:w w:val="105"/>
        </w:rPr>
        <w:t>be</w:t>
      </w:r>
      <w:r>
        <w:rPr>
          <w:spacing w:val="11"/>
          <w:w w:val="105"/>
        </w:rPr>
        <w:t> </w:t>
      </w:r>
      <w:r>
        <w:rPr>
          <w:w w:val="105"/>
        </w:rPr>
        <w:t>considered</w:t>
      </w:r>
      <w:r>
        <w:rPr>
          <w:spacing w:val="12"/>
          <w:w w:val="105"/>
        </w:rPr>
        <w:t> </w:t>
      </w:r>
      <w:r>
        <w:rPr>
          <w:w w:val="105"/>
        </w:rPr>
        <w:t>a</w:t>
      </w:r>
      <w:r>
        <w:rPr>
          <w:spacing w:val="10"/>
          <w:w w:val="105"/>
        </w:rPr>
        <w:t> </w:t>
      </w:r>
      <w:r>
        <w:rPr>
          <w:w w:val="105"/>
        </w:rPr>
        <w:t>direct</w:t>
      </w:r>
    </w:p>
    <w:p>
      <w:pPr>
        <w:pStyle w:val="BodyText"/>
      </w:pPr>
      <w:r>
        <w:rPr>
          <w:rFonts w:ascii="Arial"/>
          <w:w w:val="105"/>
          <w:sz w:val="12"/>
        </w:rPr>
        <w:t>222 </w:t>
      </w:r>
      <w:r>
        <w:rPr>
          <w:w w:val="105"/>
        </w:rPr>
        <w:t>replication and can increase the reliability of new discoveries (Benjamin et al., 2017).</w:t>
      </w:r>
      <w:r>
        <w:rPr>
          <w:spacing w:val="57"/>
          <w:w w:val="105"/>
        </w:rPr>
        <w:t> </w:t>
      </w:r>
      <w:r>
        <w:rPr>
          <w:w w:val="105"/>
        </w:rPr>
        <w:t>Based</w:t>
      </w:r>
    </w:p>
    <w:p>
      <w:pPr>
        <w:pStyle w:val="BodyText"/>
      </w:pPr>
      <w:r>
        <w:rPr>
          <w:rFonts w:ascii="Arial"/>
          <w:w w:val="105"/>
          <w:sz w:val="12"/>
        </w:rPr>
        <w:t>223 </w:t>
      </w:r>
      <w:r>
        <w:rPr>
          <w:w w:val="105"/>
        </w:rPr>
        <w:t>on a priori power calculations using G*Power (Faul, Erdfelder, Buchner, &amp; Lang, 2009) it</w:t>
      </w:r>
    </w:p>
    <w:p>
      <w:pPr>
        <w:pStyle w:val="BodyText"/>
        <w:spacing w:before="187"/>
      </w:pPr>
      <w:r>
        <w:rPr>
          <w:rFonts w:ascii="Arial"/>
          <w:w w:val="105"/>
          <w:sz w:val="12"/>
        </w:rPr>
        <w:t>224 </w:t>
      </w:r>
      <w:r>
        <w:rPr>
          <w:w w:val="105"/>
        </w:rPr>
        <w:t>was estimated that a total sample of 149 participants</w:t>
      </w:r>
      <w:r>
        <w:rPr>
          <w:w w:val="105"/>
          <w:position w:val="9"/>
          <w:sz w:val="16"/>
        </w:rPr>
        <w:t>3 </w:t>
      </w:r>
      <w:r>
        <w:rPr>
          <w:w w:val="105"/>
        </w:rPr>
        <w:t>was necessary for 90% power.</w:t>
      </w:r>
    </w:p>
    <w:p>
      <w:pPr>
        <w:pStyle w:val="BodyText"/>
        <w:spacing w:before="8"/>
        <w:ind w:left="0"/>
        <w:rPr>
          <w:sz w:val="28"/>
        </w:rPr>
      </w:pPr>
    </w:p>
    <w:p>
      <w:pPr>
        <w:pStyle w:val="BodyText"/>
        <w:tabs>
          <w:tab w:pos="1195" w:val="left" w:leader="none"/>
        </w:tabs>
        <w:spacing w:before="146"/>
      </w:pPr>
      <w:r>
        <w:rPr>
          <w:rFonts w:ascii="Arial"/>
          <w:w w:val="105"/>
          <w:sz w:val="12"/>
        </w:rPr>
        <w:t>225</w:t>
        <w:tab/>
      </w:r>
      <w:r>
        <w:rPr>
          <w:w w:val="105"/>
        </w:rPr>
        <w:t>The</w:t>
      </w:r>
      <w:r>
        <w:rPr>
          <w:spacing w:val="14"/>
          <w:w w:val="105"/>
        </w:rPr>
        <w:t> </w:t>
      </w:r>
      <w:r>
        <w:rPr>
          <w:w w:val="105"/>
        </w:rPr>
        <w:t>sampling</w:t>
      </w:r>
      <w:r>
        <w:rPr>
          <w:spacing w:val="14"/>
          <w:w w:val="105"/>
        </w:rPr>
        <w:t> </w:t>
      </w:r>
      <w:r>
        <w:rPr>
          <w:w w:val="105"/>
        </w:rPr>
        <w:t>method</w:t>
      </w:r>
      <w:r>
        <w:rPr>
          <w:spacing w:val="14"/>
          <w:w w:val="105"/>
        </w:rPr>
        <w:t> </w:t>
      </w:r>
      <w:r>
        <w:rPr>
          <w:w w:val="105"/>
        </w:rPr>
        <w:t>and</w:t>
      </w:r>
      <w:r>
        <w:rPr>
          <w:spacing w:val="13"/>
          <w:w w:val="105"/>
        </w:rPr>
        <w:t> </w:t>
      </w:r>
      <w:r>
        <w:rPr>
          <w:w w:val="105"/>
        </w:rPr>
        <w:t>power</w:t>
      </w:r>
      <w:r>
        <w:rPr>
          <w:spacing w:val="15"/>
          <w:w w:val="105"/>
        </w:rPr>
        <w:t> </w:t>
      </w:r>
      <w:r>
        <w:rPr>
          <w:w w:val="105"/>
        </w:rPr>
        <w:t>analysis</w:t>
      </w:r>
      <w:r>
        <w:rPr>
          <w:spacing w:val="13"/>
          <w:w w:val="105"/>
        </w:rPr>
        <w:t> </w:t>
      </w:r>
      <w:r>
        <w:rPr>
          <w:w w:val="105"/>
        </w:rPr>
        <w:t>of</w:t>
      </w:r>
      <w:r>
        <w:rPr>
          <w:spacing w:val="14"/>
          <w:w w:val="105"/>
        </w:rPr>
        <w:t> </w:t>
      </w:r>
      <w:r>
        <w:rPr>
          <w:w w:val="105"/>
        </w:rPr>
        <w:t>the</w:t>
      </w:r>
      <w:r>
        <w:rPr>
          <w:spacing w:val="14"/>
          <w:w w:val="105"/>
        </w:rPr>
        <w:t> </w:t>
      </w:r>
      <w:r>
        <w:rPr>
          <w:w w:val="105"/>
        </w:rPr>
        <w:t>study</w:t>
      </w:r>
      <w:r>
        <w:rPr>
          <w:spacing w:val="15"/>
          <w:w w:val="105"/>
        </w:rPr>
        <w:t> </w:t>
      </w:r>
      <w:r>
        <w:rPr>
          <w:w w:val="105"/>
        </w:rPr>
        <w:t>adopted</w:t>
      </w:r>
      <w:r>
        <w:rPr>
          <w:spacing w:val="13"/>
          <w:w w:val="105"/>
        </w:rPr>
        <w:t> </w:t>
      </w:r>
      <w:r>
        <w:rPr>
          <w:w w:val="105"/>
        </w:rPr>
        <w:t>a</w:t>
      </w:r>
      <w:r>
        <w:rPr>
          <w:spacing w:val="15"/>
          <w:w w:val="105"/>
        </w:rPr>
        <w:t> </w:t>
      </w:r>
      <w:r>
        <w:rPr>
          <w:w w:val="105"/>
        </w:rPr>
        <w:t>conservative</w:t>
      </w:r>
    </w:p>
    <w:p>
      <w:pPr>
        <w:pStyle w:val="BodyText"/>
      </w:pPr>
      <w:r>
        <w:rPr>
          <w:rFonts w:ascii="Arial"/>
          <w:w w:val="105"/>
          <w:sz w:val="12"/>
        </w:rPr>
        <w:t>226 </w:t>
      </w:r>
      <w:r>
        <w:rPr>
          <w:w w:val="105"/>
        </w:rPr>
        <w:t>frequentist approach, but the pre-registered analyses were based on a Bayesian framework</w:t>
      </w:r>
    </w:p>
    <w:p>
      <w:pPr>
        <w:spacing w:before="202"/>
        <w:ind w:left="230" w:right="0" w:firstLine="0"/>
        <w:jc w:val="left"/>
        <w:rPr>
          <w:sz w:val="24"/>
        </w:rPr>
      </w:pPr>
      <w:r>
        <w:rPr>
          <w:rFonts w:ascii="Arial"/>
          <w:w w:val="105"/>
          <w:sz w:val="12"/>
        </w:rPr>
        <w:t>227 </w:t>
      </w:r>
      <w:r>
        <w:rPr>
          <w:w w:val="105"/>
          <w:sz w:val="24"/>
        </w:rPr>
        <w:t>(see </w:t>
      </w:r>
      <w:hyperlink w:history="true" w:anchor="_bookmark14">
        <w:r>
          <w:rPr>
            <w:i/>
            <w:w w:val="105"/>
            <w:sz w:val="24"/>
          </w:rPr>
          <w:t>Pre-registered analyses</w:t>
        </w:r>
      </w:hyperlink>
      <w:r>
        <w:rPr>
          <w:w w:val="105"/>
          <w:sz w:val="24"/>
        </w:rPr>
        <w:t>). Frequentist analyses were also reported in a supplementary</w:t>
      </w:r>
    </w:p>
    <w:p>
      <w:pPr>
        <w:pStyle w:val="BodyText"/>
        <w:spacing w:before="203"/>
      </w:pPr>
      <w:r>
        <w:rPr>
          <w:rFonts w:ascii="Arial" w:hAnsi="Arial"/>
          <w:w w:val="105"/>
          <w:sz w:val="12"/>
        </w:rPr>
        <w:t>228 </w:t>
      </w:r>
      <w:r>
        <w:rPr>
          <w:w w:val="105"/>
        </w:rPr>
        <w:t>fashion (</w:t>
      </w:r>
      <w:r>
        <w:rPr>
          <w:i/>
          <w:w w:val="105"/>
        </w:rPr>
        <w:t>α </w:t>
      </w:r>
      <w:r>
        <w:rPr>
          <w:w w:val="105"/>
        </w:rPr>
        <w:t>= .005). Bayes factors (BFs) informed the interpretations of the results and</w:t>
      </w:r>
    </w:p>
    <w:p>
      <w:pPr>
        <w:pStyle w:val="BodyText"/>
      </w:pPr>
      <w:r>
        <w:rPr>
          <w:rFonts w:ascii="Arial"/>
          <w:w w:val="105"/>
          <w:sz w:val="12"/>
        </w:rPr>
        <w:t>229      </w:t>
      </w:r>
      <w:r>
        <w:rPr>
          <w:w w:val="105"/>
        </w:rPr>
        <w:t>although debate exists about labelling evidence in terms of </w:t>
      </w:r>
      <w:r>
        <w:rPr>
          <w:spacing w:val="-7"/>
          <w:w w:val="105"/>
        </w:rPr>
        <w:t>BFs  </w:t>
      </w:r>
      <w:r>
        <w:rPr>
          <w:w w:val="105"/>
        </w:rPr>
        <w:t>(Richard D. </w:t>
      </w:r>
      <w:r>
        <w:rPr>
          <w:spacing w:val="-4"/>
          <w:w w:val="105"/>
        </w:rPr>
        <w:t>Morey, </w:t>
      </w:r>
      <w:r>
        <w:rPr>
          <w:spacing w:val="5"/>
          <w:w w:val="105"/>
        </w:rPr>
        <w:t> </w:t>
      </w:r>
      <w:r>
        <w:rPr>
          <w:w w:val="105"/>
        </w:rPr>
        <w:t>2015),</w:t>
      </w:r>
    </w:p>
    <w:p>
      <w:pPr>
        <w:pStyle w:val="BodyText"/>
      </w:pPr>
      <w:r>
        <w:rPr>
          <w:rFonts w:ascii="Arial"/>
          <w:w w:val="105"/>
          <w:sz w:val="12"/>
        </w:rPr>
        <w:t>230     </w:t>
      </w:r>
      <w:r>
        <w:rPr>
          <w:w w:val="105"/>
        </w:rPr>
        <w:t>the guidelines </w:t>
      </w:r>
      <w:r>
        <w:rPr>
          <w:spacing w:val="-4"/>
          <w:w w:val="105"/>
        </w:rPr>
        <w:t>by </w:t>
      </w:r>
      <w:r>
        <w:rPr>
          <w:w w:val="105"/>
        </w:rPr>
        <w:t>(Lee &amp; </w:t>
      </w:r>
      <w:r>
        <w:rPr>
          <w:spacing w:val="-3"/>
          <w:w w:val="105"/>
        </w:rPr>
        <w:t>Wagenmakers, </w:t>
      </w:r>
      <w:r>
        <w:rPr>
          <w:w w:val="105"/>
        </w:rPr>
        <w:t>2013) were followed.  A threshold of </w:t>
      </w:r>
      <w:r>
        <w:rPr>
          <w:i/>
          <w:w w:val="105"/>
        </w:rPr>
        <w:t>BF </w:t>
      </w:r>
      <w:r>
        <w:rPr>
          <w:w w:val="105"/>
          <w:vertAlign w:val="subscript"/>
        </w:rPr>
        <w:t>10</w:t>
      </w:r>
      <w:r>
        <w:rPr>
          <w:w w:val="105"/>
          <w:vertAlign w:val="baseline"/>
        </w:rPr>
        <w:t> &gt; 6</w:t>
      </w:r>
      <w:r>
        <w:rPr>
          <w:spacing w:val="-25"/>
          <w:w w:val="105"/>
          <w:vertAlign w:val="baseline"/>
        </w:rPr>
        <w:t> </w:t>
      </w:r>
      <w:r>
        <w:rPr>
          <w:spacing w:val="-3"/>
          <w:w w:val="105"/>
          <w:vertAlign w:val="baseline"/>
        </w:rPr>
        <w:t>was</w:t>
      </w:r>
    </w:p>
    <w:p>
      <w:pPr>
        <w:pStyle w:val="BodyText"/>
        <w:spacing w:before="9"/>
        <w:ind w:left="0"/>
        <w:rPr>
          <w:sz w:val="16"/>
        </w:rPr>
      </w:pPr>
      <w:r>
        <w:rPr/>
        <w:pict>
          <v:line style="position:absolute;mso-position-horizontal-relative:page;mso-position-vertical-relative:paragraph;z-index:-928;mso-wrap-distance-left:0;mso-wrap-distance-right:0" from="72pt,11.720758pt" to="108pt,11.720758pt" stroked="true" strokeweight=".125pt" strokecolor="#000000">
            <v:stroke dashstyle="solid"/>
            <w10:wrap type="topAndBottom"/>
          </v:line>
        </w:pict>
      </w:r>
    </w:p>
    <w:p>
      <w:pPr>
        <w:spacing w:line="412" w:lineRule="auto" w:before="140"/>
        <w:ind w:left="620" w:right="304" w:firstLine="0"/>
        <w:jc w:val="both"/>
        <w:rPr>
          <w:sz w:val="20"/>
        </w:rPr>
      </w:pPr>
      <w:r>
        <w:rPr>
          <w:w w:val="110"/>
          <w:position w:val="7"/>
          <w:sz w:val="14"/>
        </w:rPr>
        <w:t>3</w:t>
      </w:r>
      <w:bookmarkStart w:name="_bookmark4" w:id="15"/>
      <w:bookmarkEnd w:id="15"/>
      <w:r>
        <w:rPr>
          <w:w w:val="110"/>
          <w:position w:val="7"/>
          <w:sz w:val="14"/>
        </w:rPr>
      </w:r>
      <w:r>
        <w:rPr>
          <w:w w:val="110"/>
          <w:position w:val="7"/>
          <w:sz w:val="14"/>
        </w:rPr>
        <w:t> </w:t>
      </w:r>
      <w:r>
        <w:rPr>
          <w:w w:val="110"/>
          <w:sz w:val="20"/>
        </w:rPr>
        <w:t>Due to the large number of participant exclusions based on mean error rates in the AAT (see Figure A1) and the group testing laboratory setting at Cardiff University, final recruitment led to the expected sample size including 14 more participants (N=163).</w:t>
      </w:r>
    </w:p>
    <w:p>
      <w:pPr>
        <w:spacing w:after="0" w:line="412" w:lineRule="auto"/>
        <w:jc w:val="both"/>
        <w:rPr>
          <w:sz w:val="20"/>
        </w:rPr>
        <w:sectPr>
          <w:pgSz w:w="12240" w:h="15840"/>
          <w:pgMar w:header="649" w:footer="0" w:top="1320" w:bottom="280" w:left="820" w:right="1140"/>
        </w:sectPr>
      </w:pPr>
    </w:p>
    <w:p>
      <w:pPr>
        <w:pStyle w:val="BodyText"/>
        <w:spacing w:before="191"/>
      </w:pPr>
      <w:r>
        <w:rPr>
          <w:rFonts w:ascii="Arial"/>
          <w:w w:val="105"/>
          <w:sz w:val="12"/>
        </w:rPr>
        <w:t>231 </w:t>
      </w:r>
      <w:r>
        <w:rPr>
          <w:w w:val="105"/>
        </w:rPr>
        <w:t>used to indicate </w:t>
      </w:r>
      <w:r>
        <w:rPr>
          <w:i/>
          <w:w w:val="105"/>
        </w:rPr>
        <w:t>moderate </w:t>
      </w:r>
      <w:r>
        <w:rPr>
          <w:w w:val="105"/>
        </w:rPr>
        <w:t>evidence for the alternative hypothesis relative to the null, and</w:t>
      </w:r>
    </w:p>
    <w:p>
      <w:pPr>
        <w:pStyle w:val="BodyText"/>
      </w:pPr>
      <w:r>
        <w:rPr>
          <w:rFonts w:ascii="Arial"/>
          <w:w w:val="110"/>
          <w:sz w:val="12"/>
        </w:rPr>
        <w:t>232 </w:t>
      </w:r>
      <w:r>
        <w:rPr>
          <w:i/>
          <w:w w:val="110"/>
        </w:rPr>
        <w:t>BF </w:t>
      </w:r>
      <w:r>
        <w:rPr>
          <w:w w:val="110"/>
          <w:vertAlign w:val="subscript"/>
        </w:rPr>
        <w:t>10</w:t>
      </w:r>
      <w:r>
        <w:rPr>
          <w:w w:val="110"/>
          <w:vertAlign w:val="baseline"/>
        </w:rPr>
        <w:t> &lt; 1/6 reflected </w:t>
      </w:r>
      <w:r>
        <w:rPr>
          <w:i/>
          <w:w w:val="110"/>
          <w:vertAlign w:val="baseline"/>
        </w:rPr>
        <w:t>moderate </w:t>
      </w:r>
      <w:r>
        <w:rPr>
          <w:w w:val="110"/>
          <w:vertAlign w:val="baseline"/>
        </w:rPr>
        <w:t>evidence for the null relative to the respective alternative</w:t>
      </w:r>
    </w:p>
    <w:p>
      <w:pPr>
        <w:pStyle w:val="BodyText"/>
        <w:spacing w:before="203"/>
      </w:pPr>
      <w:r>
        <w:rPr>
          <w:rFonts w:ascii="Arial"/>
          <w:w w:val="105"/>
          <w:sz w:val="12"/>
        </w:rPr>
        <w:t>233 </w:t>
      </w:r>
      <w:r>
        <w:rPr>
          <w:w w:val="105"/>
        </w:rPr>
        <w:t>hypothesis. Bayes factor analyses were favoured for drawing conclusions from the study, as</w:t>
      </w:r>
    </w:p>
    <w:p>
      <w:pPr>
        <w:pStyle w:val="BodyText"/>
      </w:pPr>
      <w:r>
        <w:rPr>
          <w:rFonts w:ascii="Arial"/>
          <w:w w:val="105"/>
          <w:sz w:val="12"/>
        </w:rPr>
        <w:t>234 </w:t>
      </w:r>
      <w:r>
        <w:rPr>
          <w:w w:val="105"/>
        </w:rPr>
        <w:t>they would allow us to interpret null outcomes as evidence of absence when traditional</w:t>
      </w:r>
    </w:p>
    <w:p>
      <w:pPr>
        <w:pStyle w:val="BodyText"/>
      </w:pPr>
      <w:r>
        <w:rPr>
          <w:rFonts w:ascii="Arial"/>
          <w:sz w:val="12"/>
        </w:rPr>
        <w:t>235 </w:t>
      </w:r>
      <w:r>
        <w:rPr/>
        <w:t>analyses would not make such inferences feasible. For frequentist analyses, an alpha level of</w:t>
      </w:r>
    </w:p>
    <w:p>
      <w:pPr>
        <w:spacing w:before="202"/>
        <w:ind w:left="230" w:right="0" w:firstLine="0"/>
        <w:jc w:val="left"/>
        <w:rPr>
          <w:sz w:val="24"/>
        </w:rPr>
      </w:pPr>
      <w:r>
        <w:rPr>
          <w:rFonts w:ascii="Arial"/>
          <w:sz w:val="12"/>
        </w:rPr>
        <w:t>236 </w:t>
      </w:r>
      <w:r>
        <w:rPr>
          <w:sz w:val="24"/>
        </w:rPr>
        <w:t>0.005 was used.</w:t>
      </w:r>
    </w:p>
    <w:p>
      <w:pPr>
        <w:pStyle w:val="BodyText"/>
        <w:spacing w:before="0"/>
        <w:ind w:left="0"/>
        <w:rPr>
          <w:sz w:val="20"/>
        </w:rPr>
      </w:pPr>
    </w:p>
    <w:p>
      <w:pPr>
        <w:pStyle w:val="BodyText"/>
        <w:spacing w:before="10"/>
        <w:ind w:left="0"/>
        <w:rPr>
          <w:sz w:val="27"/>
        </w:rPr>
      </w:pPr>
    </w:p>
    <w:p>
      <w:pPr>
        <w:spacing w:before="148"/>
        <w:ind w:left="230" w:right="0" w:firstLine="0"/>
        <w:jc w:val="left"/>
        <w:rPr>
          <w:b/>
          <w:sz w:val="24"/>
        </w:rPr>
      </w:pPr>
      <w:r>
        <w:rPr>
          <w:rFonts w:ascii="Arial"/>
          <w:w w:val="110"/>
          <w:sz w:val="12"/>
        </w:rPr>
        <w:t>237</w:t>
      </w:r>
      <w:bookmarkStart w:name="Procedure" w:id="16"/>
      <w:bookmarkEnd w:id="16"/>
      <w:r>
        <w:rPr>
          <w:rFonts w:ascii="Arial"/>
          <w:w w:val="110"/>
          <w:sz w:val="12"/>
        </w:rPr>
      </w:r>
      <w:r>
        <w:rPr>
          <w:rFonts w:ascii="Arial"/>
          <w:w w:val="110"/>
          <w:sz w:val="12"/>
        </w:rPr>
        <w:t> </w:t>
      </w:r>
      <w:r>
        <w:rPr>
          <w:b/>
          <w:w w:val="110"/>
          <w:sz w:val="24"/>
        </w:rPr>
        <w:t>Procedure</w:t>
      </w:r>
    </w:p>
    <w:p>
      <w:pPr>
        <w:pStyle w:val="BodyText"/>
        <w:spacing w:before="0"/>
        <w:ind w:left="0"/>
        <w:rPr>
          <w:b/>
          <w:sz w:val="20"/>
        </w:rPr>
      </w:pPr>
    </w:p>
    <w:p>
      <w:pPr>
        <w:pStyle w:val="BodyText"/>
        <w:spacing w:before="2"/>
        <w:ind w:left="0"/>
        <w:rPr>
          <w:b/>
          <w:sz w:val="19"/>
        </w:rPr>
      </w:pPr>
    </w:p>
    <w:p>
      <w:pPr>
        <w:pStyle w:val="BodyText"/>
        <w:tabs>
          <w:tab w:pos="1195" w:val="left" w:leader="none"/>
        </w:tabs>
        <w:spacing w:before="145"/>
      </w:pPr>
      <w:r>
        <w:rPr>
          <w:rFonts w:ascii="Arial"/>
          <w:w w:val="105"/>
          <w:sz w:val="12"/>
        </w:rPr>
        <w:t>238</w:t>
        <w:tab/>
      </w:r>
      <w:r>
        <w:rPr>
          <w:w w:val="105"/>
        </w:rPr>
        <w:t>The</w:t>
      </w:r>
      <w:r>
        <w:rPr>
          <w:spacing w:val="12"/>
          <w:w w:val="105"/>
        </w:rPr>
        <w:t> </w:t>
      </w:r>
      <w:r>
        <w:rPr>
          <w:w w:val="105"/>
        </w:rPr>
        <w:t>study</w:t>
      </w:r>
      <w:r>
        <w:rPr>
          <w:spacing w:val="13"/>
          <w:w w:val="105"/>
        </w:rPr>
        <w:t> </w:t>
      </w:r>
      <w:r>
        <w:rPr>
          <w:w w:val="105"/>
        </w:rPr>
        <w:t>procedure</w:t>
      </w:r>
      <w:r>
        <w:rPr>
          <w:spacing w:val="13"/>
          <w:w w:val="105"/>
        </w:rPr>
        <w:t> </w:t>
      </w:r>
      <w:r>
        <w:rPr>
          <w:w w:val="105"/>
        </w:rPr>
        <w:t>can</w:t>
      </w:r>
      <w:r>
        <w:rPr>
          <w:spacing w:val="13"/>
          <w:w w:val="105"/>
        </w:rPr>
        <w:t> </w:t>
      </w:r>
      <w:r>
        <w:rPr>
          <w:spacing w:val="3"/>
          <w:w w:val="105"/>
        </w:rPr>
        <w:t>be</w:t>
      </w:r>
      <w:r>
        <w:rPr>
          <w:spacing w:val="13"/>
          <w:w w:val="105"/>
        </w:rPr>
        <w:t> </w:t>
      </w:r>
      <w:r>
        <w:rPr>
          <w:w w:val="105"/>
        </w:rPr>
        <w:t>seen</w:t>
      </w:r>
      <w:r>
        <w:rPr>
          <w:spacing w:val="12"/>
          <w:w w:val="105"/>
        </w:rPr>
        <w:t> </w:t>
      </w:r>
      <w:r>
        <w:rPr>
          <w:w w:val="105"/>
        </w:rPr>
        <w:t>in</w:t>
      </w:r>
      <w:r>
        <w:rPr>
          <w:spacing w:val="13"/>
          <w:w w:val="105"/>
        </w:rPr>
        <w:t> </w:t>
      </w:r>
      <w:r>
        <w:rPr>
          <w:w w:val="105"/>
        </w:rPr>
        <w:t>Figure</w:t>
      </w:r>
      <w:r>
        <w:rPr>
          <w:spacing w:val="12"/>
          <w:w w:val="105"/>
        </w:rPr>
        <w:t> </w:t>
      </w:r>
      <w:hyperlink w:history="true" w:anchor="_bookmark5">
        <w:r>
          <w:rPr>
            <w:w w:val="105"/>
          </w:rPr>
          <w:t>1</w:t>
        </w:r>
        <w:r>
          <w:rPr>
            <w:spacing w:val="12"/>
            <w:w w:val="105"/>
          </w:rPr>
          <w:t> </w:t>
        </w:r>
      </w:hyperlink>
      <w:r>
        <w:rPr>
          <w:w w:val="105"/>
        </w:rPr>
        <w:t>(panel</w:t>
      </w:r>
      <w:r>
        <w:rPr>
          <w:spacing w:val="13"/>
          <w:w w:val="105"/>
        </w:rPr>
        <w:t> </w:t>
      </w:r>
      <w:r>
        <w:rPr>
          <w:w w:val="105"/>
        </w:rPr>
        <w:t>A).</w:t>
      </w:r>
      <w:r>
        <w:rPr>
          <w:spacing w:val="11"/>
          <w:w w:val="105"/>
        </w:rPr>
        <w:t> </w:t>
      </w:r>
      <w:r>
        <w:rPr>
          <w:w w:val="105"/>
        </w:rPr>
        <w:t>After</w:t>
      </w:r>
      <w:r>
        <w:rPr>
          <w:spacing w:val="12"/>
          <w:w w:val="105"/>
        </w:rPr>
        <w:t> </w:t>
      </w:r>
      <w:r>
        <w:rPr>
          <w:w w:val="105"/>
        </w:rPr>
        <w:t>screening,</w:t>
      </w:r>
      <w:r>
        <w:rPr>
          <w:spacing w:val="13"/>
          <w:w w:val="105"/>
        </w:rPr>
        <w:t> </w:t>
      </w:r>
      <w:r>
        <w:rPr>
          <w:w w:val="105"/>
        </w:rPr>
        <w:t>eligible</w:t>
      </w:r>
    </w:p>
    <w:p>
      <w:pPr>
        <w:spacing w:before="203"/>
        <w:ind w:left="230" w:right="0" w:firstLine="0"/>
        <w:jc w:val="left"/>
        <w:rPr>
          <w:sz w:val="24"/>
        </w:rPr>
      </w:pPr>
      <w:r>
        <w:rPr>
          <w:rFonts w:ascii="Arial"/>
          <w:w w:val="105"/>
          <w:sz w:val="12"/>
        </w:rPr>
        <w:t>239 </w:t>
      </w:r>
      <w:r>
        <w:rPr>
          <w:w w:val="105"/>
          <w:sz w:val="24"/>
        </w:rPr>
        <w:t>participants were provided with a short survey (see </w:t>
      </w:r>
      <w:hyperlink w:history="true" w:anchor="_bookmark11">
        <w:r>
          <w:rPr>
            <w:i/>
            <w:w w:val="105"/>
            <w:sz w:val="24"/>
          </w:rPr>
          <w:t>Survey &amp; Questionnaires</w:t>
        </w:r>
      </w:hyperlink>
      <w:r>
        <w:rPr>
          <w:w w:val="105"/>
          <w:sz w:val="24"/>
        </w:rPr>
        <w:t>) and proceeded</w:t>
      </w:r>
    </w:p>
    <w:p>
      <w:pPr>
        <w:spacing w:before="202"/>
        <w:ind w:left="230" w:right="0" w:firstLine="0"/>
        <w:jc w:val="left"/>
        <w:rPr>
          <w:sz w:val="24"/>
        </w:rPr>
      </w:pPr>
      <w:r>
        <w:rPr>
          <w:rFonts w:ascii="Arial"/>
          <w:w w:val="105"/>
          <w:sz w:val="12"/>
        </w:rPr>
        <w:t>240      </w:t>
      </w:r>
      <w:r>
        <w:rPr>
          <w:w w:val="105"/>
          <w:sz w:val="24"/>
        </w:rPr>
        <w:t>to rate all </w:t>
      </w:r>
      <w:r>
        <w:rPr>
          <w:spacing w:val="3"/>
          <w:w w:val="105"/>
          <w:sz w:val="24"/>
        </w:rPr>
        <w:t>food </w:t>
      </w:r>
      <w:r>
        <w:rPr>
          <w:w w:val="105"/>
          <w:sz w:val="24"/>
        </w:rPr>
        <w:t>categories on </w:t>
      </w:r>
      <w:r>
        <w:rPr>
          <w:spacing w:val="-3"/>
          <w:w w:val="105"/>
          <w:sz w:val="24"/>
        </w:rPr>
        <w:t>how </w:t>
      </w:r>
      <w:r>
        <w:rPr>
          <w:spacing w:val="-4"/>
          <w:w w:val="105"/>
          <w:sz w:val="24"/>
        </w:rPr>
        <w:t>much </w:t>
      </w:r>
      <w:r>
        <w:rPr>
          <w:w w:val="105"/>
          <w:sz w:val="24"/>
        </w:rPr>
        <w:t>they like the taste (see </w:t>
      </w:r>
      <w:hyperlink w:history="true" w:anchor="_bookmark9">
        <w:r>
          <w:rPr>
            <w:i/>
            <w:spacing w:val="-11"/>
            <w:w w:val="105"/>
            <w:sz w:val="24"/>
          </w:rPr>
          <w:t>Food  </w:t>
        </w:r>
        <w:r>
          <w:rPr>
            <w:i/>
            <w:w w:val="105"/>
            <w:sz w:val="24"/>
          </w:rPr>
          <w:t>liking ratings</w:t>
        </w:r>
      </w:hyperlink>
      <w:r>
        <w:rPr>
          <w:w w:val="105"/>
          <w:sz w:val="24"/>
        </w:rPr>
        <w:t>).  </w:t>
      </w:r>
      <w:r>
        <w:rPr>
          <w:spacing w:val="2"/>
          <w:w w:val="105"/>
          <w:sz w:val="24"/>
        </w:rPr>
        <w:t> </w:t>
      </w:r>
      <w:r>
        <w:rPr>
          <w:w w:val="105"/>
          <w:sz w:val="24"/>
        </w:rPr>
        <w:t>Three</w:t>
      </w:r>
    </w:p>
    <w:p>
      <w:pPr>
        <w:pStyle w:val="BodyText"/>
      </w:pPr>
      <w:r>
        <w:rPr>
          <w:rFonts w:ascii="Arial"/>
          <w:w w:val="105"/>
          <w:sz w:val="12"/>
        </w:rPr>
        <w:t>241    </w:t>
      </w:r>
      <w:r>
        <w:rPr>
          <w:rFonts w:ascii="Arial"/>
          <w:spacing w:val="6"/>
          <w:w w:val="105"/>
          <w:sz w:val="12"/>
        </w:rPr>
        <w:t> </w:t>
      </w:r>
      <w:r>
        <w:rPr>
          <w:w w:val="105"/>
        </w:rPr>
        <w:t>blocks</w:t>
      </w:r>
      <w:r>
        <w:rPr>
          <w:spacing w:val="7"/>
          <w:w w:val="105"/>
        </w:rPr>
        <w:t> </w:t>
      </w:r>
      <w:r>
        <w:rPr>
          <w:w w:val="105"/>
        </w:rPr>
        <w:t>of</w:t>
      </w:r>
      <w:r>
        <w:rPr>
          <w:spacing w:val="9"/>
          <w:w w:val="105"/>
        </w:rPr>
        <w:t> </w:t>
      </w:r>
      <w:r>
        <w:rPr>
          <w:w w:val="105"/>
        </w:rPr>
        <w:t>the</w:t>
      </w:r>
      <w:r>
        <w:rPr>
          <w:spacing w:val="7"/>
          <w:w w:val="105"/>
        </w:rPr>
        <w:t> </w:t>
      </w:r>
      <w:r>
        <w:rPr>
          <w:w w:val="105"/>
        </w:rPr>
        <w:t>approach-avoidance</w:t>
      </w:r>
      <w:r>
        <w:rPr>
          <w:spacing w:val="8"/>
          <w:w w:val="105"/>
        </w:rPr>
        <w:t> </w:t>
      </w:r>
      <w:r>
        <w:rPr>
          <w:w w:val="105"/>
        </w:rPr>
        <w:t>task</w:t>
      </w:r>
      <w:r>
        <w:rPr>
          <w:spacing w:val="8"/>
          <w:w w:val="105"/>
        </w:rPr>
        <w:t> </w:t>
      </w:r>
      <w:r>
        <w:rPr>
          <w:spacing w:val="-5"/>
          <w:w w:val="105"/>
        </w:rPr>
        <w:t>(AAT)</w:t>
      </w:r>
      <w:r>
        <w:rPr>
          <w:spacing w:val="8"/>
          <w:w w:val="105"/>
        </w:rPr>
        <w:t> </w:t>
      </w:r>
      <w:r>
        <w:rPr>
          <w:w w:val="105"/>
        </w:rPr>
        <w:t>were</w:t>
      </w:r>
      <w:r>
        <w:rPr>
          <w:spacing w:val="8"/>
          <w:w w:val="105"/>
        </w:rPr>
        <w:t> </w:t>
      </w:r>
      <w:r>
        <w:rPr>
          <w:w w:val="105"/>
        </w:rPr>
        <w:t>completed</w:t>
      </w:r>
      <w:r>
        <w:rPr>
          <w:spacing w:val="9"/>
          <w:w w:val="105"/>
        </w:rPr>
        <w:t> </w:t>
      </w:r>
      <w:r>
        <w:rPr>
          <w:w w:val="105"/>
        </w:rPr>
        <w:t>before</w:t>
      </w:r>
      <w:r>
        <w:rPr>
          <w:spacing w:val="8"/>
          <w:w w:val="105"/>
        </w:rPr>
        <w:t> </w:t>
      </w:r>
      <w:r>
        <w:rPr>
          <w:w w:val="105"/>
        </w:rPr>
        <w:t>the</w:t>
      </w:r>
      <w:r>
        <w:rPr>
          <w:spacing w:val="8"/>
          <w:w w:val="105"/>
        </w:rPr>
        <w:t> </w:t>
      </w:r>
      <w:r>
        <w:rPr>
          <w:w w:val="105"/>
        </w:rPr>
        <w:t>go/no-go</w:t>
      </w:r>
      <w:r>
        <w:rPr>
          <w:spacing w:val="7"/>
          <w:w w:val="105"/>
        </w:rPr>
        <w:t> </w:t>
      </w:r>
      <w:r>
        <w:rPr>
          <w:w w:val="105"/>
        </w:rPr>
        <w:t>training</w:t>
      </w:r>
    </w:p>
    <w:p>
      <w:pPr>
        <w:pStyle w:val="BodyText"/>
      </w:pPr>
      <w:r>
        <w:rPr>
          <w:rFonts w:ascii="Arial"/>
          <w:w w:val="105"/>
          <w:sz w:val="12"/>
        </w:rPr>
        <w:t>242 </w:t>
      </w:r>
      <w:r>
        <w:rPr>
          <w:w w:val="105"/>
        </w:rPr>
        <w:t>paradigm was performed. Rated food categories were randomly assigned to three conditions</w:t>
      </w:r>
    </w:p>
    <w:p>
      <w:pPr>
        <w:pStyle w:val="BodyText"/>
      </w:pPr>
      <w:r>
        <w:rPr>
          <w:rFonts w:ascii="Arial"/>
          <w:w w:val="105"/>
          <w:sz w:val="12"/>
        </w:rPr>
        <w:t>243 </w:t>
      </w:r>
      <w:r>
        <w:rPr>
          <w:w w:val="105"/>
        </w:rPr>
        <w:t>for training: go, no-go and control, as shown in Figure </w:t>
      </w:r>
      <w:hyperlink w:history="true" w:anchor="_bookmark5">
        <w:r>
          <w:rPr>
            <w:w w:val="105"/>
          </w:rPr>
          <w:t>1 </w:t>
        </w:r>
      </w:hyperlink>
      <w:r>
        <w:rPr>
          <w:w w:val="105"/>
        </w:rPr>
        <w:t>(panel B). Post-training,</w:t>
      </w:r>
    </w:p>
    <w:p>
      <w:pPr>
        <w:pStyle w:val="BodyText"/>
      </w:pPr>
      <w:r>
        <w:rPr>
          <w:rFonts w:ascii="Arial"/>
          <w:w w:val="110"/>
          <w:sz w:val="12"/>
        </w:rPr>
        <w:t>244 </w:t>
      </w:r>
      <w:r>
        <w:rPr>
          <w:w w:val="110"/>
        </w:rPr>
        <w:t>participants were presented with another three blocks of the AAT, provided ratings for all</w:t>
      </w:r>
    </w:p>
    <w:p>
      <w:pPr>
        <w:spacing w:before="203"/>
        <w:ind w:left="230" w:right="0" w:firstLine="0"/>
        <w:jc w:val="left"/>
        <w:rPr>
          <w:sz w:val="24"/>
        </w:rPr>
      </w:pPr>
      <w:r>
        <w:rPr>
          <w:rFonts w:ascii="Arial"/>
          <w:w w:val="105"/>
          <w:sz w:val="12"/>
        </w:rPr>
        <w:t>245 </w:t>
      </w:r>
      <w:r>
        <w:rPr>
          <w:w w:val="105"/>
          <w:sz w:val="24"/>
        </w:rPr>
        <w:t>food stimuli again and finally completed a short food choice task (see </w:t>
      </w:r>
      <w:hyperlink w:history="true" w:anchor="_bookmark10">
        <w:r>
          <w:rPr>
            <w:i/>
            <w:w w:val="105"/>
            <w:sz w:val="24"/>
          </w:rPr>
          <w:t>Food choice task</w:t>
        </w:r>
      </w:hyperlink>
      <w:r>
        <w:rPr>
          <w:w w:val="105"/>
          <w:sz w:val="24"/>
        </w:rPr>
        <w:t>). At</w:t>
      </w:r>
    </w:p>
    <w:p>
      <w:pPr>
        <w:pStyle w:val="BodyText"/>
        <w:rPr>
          <w:i/>
        </w:rPr>
      </w:pPr>
      <w:r>
        <w:rPr>
          <w:rFonts w:ascii="Arial"/>
          <w:w w:val="105"/>
          <w:sz w:val="12"/>
        </w:rPr>
        <w:t>246 </w:t>
      </w:r>
      <w:r>
        <w:rPr>
          <w:w w:val="105"/>
        </w:rPr>
        <w:t>the end of the study, several questionnaires were presented in random order (see </w:t>
      </w:r>
      <w:hyperlink w:history="true" w:anchor="_bookmark11">
        <w:r>
          <w:rPr>
            <w:i/>
            <w:w w:val="105"/>
          </w:rPr>
          <w:t>Survey &amp;</w:t>
        </w:r>
      </w:hyperlink>
    </w:p>
    <w:p>
      <w:pPr>
        <w:spacing w:before="202"/>
        <w:ind w:left="230" w:right="0" w:firstLine="0"/>
        <w:jc w:val="left"/>
        <w:rPr>
          <w:sz w:val="24"/>
        </w:rPr>
      </w:pPr>
      <w:r>
        <w:rPr>
          <w:rFonts w:ascii="Arial"/>
          <w:w w:val="105"/>
          <w:sz w:val="12"/>
        </w:rPr>
        <w:t>247 </w:t>
      </w:r>
      <w:hyperlink w:history="true" w:anchor="_bookmark11">
        <w:r>
          <w:rPr>
            <w:i/>
            <w:w w:val="105"/>
            <w:sz w:val="24"/>
          </w:rPr>
          <w:t>Questionnaires</w:t>
        </w:r>
      </w:hyperlink>
      <w:r>
        <w:rPr>
          <w:w w:val="105"/>
          <w:sz w:val="24"/>
        </w:rPr>
        <w:t>) and participants were debriefed about the aims of the study.</w:t>
      </w:r>
    </w:p>
    <w:p>
      <w:pPr>
        <w:spacing w:after="0"/>
        <w:jc w:val="left"/>
        <w:rPr>
          <w:sz w:val="24"/>
        </w:rPr>
        <w:sectPr>
          <w:pgSz w:w="12240" w:h="15840"/>
          <w:pgMar w:header="649" w:footer="0" w:top="1320" w:bottom="280" w:left="820" w:right="1140"/>
        </w:sectPr>
      </w:pPr>
    </w:p>
    <w:p>
      <w:pPr>
        <w:pStyle w:val="BodyText"/>
        <w:spacing w:before="0" w:after="1"/>
        <w:ind w:left="0"/>
        <w:rPr>
          <w:sz w:val="23"/>
        </w:rPr>
      </w:pPr>
    </w:p>
    <w:p>
      <w:pPr>
        <w:pStyle w:val="BodyText"/>
        <w:spacing w:before="0"/>
        <w:ind w:left="639"/>
        <w:rPr>
          <w:sz w:val="20"/>
        </w:rPr>
      </w:pPr>
      <w:r>
        <w:rPr>
          <w:sz w:val="20"/>
        </w:rPr>
        <w:drawing>
          <wp:inline distT="0" distB="0" distL="0" distR="0">
            <wp:extent cx="5832729" cy="456057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5832729" cy="4560570"/>
                    </a:xfrm>
                    <a:prstGeom prst="rect">
                      <a:avLst/>
                    </a:prstGeom>
                  </pic:spPr>
                </pic:pic>
              </a:graphicData>
            </a:graphic>
          </wp:inline>
        </w:drawing>
      </w:r>
      <w:r>
        <w:rPr>
          <w:sz w:val="20"/>
        </w:rPr>
      </w:r>
    </w:p>
    <w:p>
      <w:pPr>
        <w:pStyle w:val="BodyText"/>
        <w:spacing w:before="3"/>
        <w:ind w:left="0"/>
      </w:pPr>
    </w:p>
    <w:p>
      <w:pPr>
        <w:spacing w:line="412" w:lineRule="auto" w:before="141"/>
        <w:ind w:left="596" w:right="270" w:firstLine="23"/>
        <w:jc w:val="both"/>
        <w:rPr>
          <w:sz w:val="20"/>
        </w:rPr>
      </w:pPr>
      <w:bookmarkStart w:name="_bookmark5" w:id="17"/>
      <w:bookmarkEnd w:id="17"/>
      <w:r>
        <w:rPr/>
      </w:r>
      <w:r>
        <w:rPr>
          <w:rFonts w:ascii="Arial-BoldItalicMT"/>
          <w:b/>
          <w:i/>
          <w:w w:val="110"/>
          <w:sz w:val="20"/>
        </w:rPr>
        <w:t>Figure 1 </w:t>
      </w:r>
      <w:r>
        <w:rPr>
          <w:b/>
          <w:w w:val="110"/>
          <w:sz w:val="20"/>
        </w:rPr>
        <w:t>. Schematic diagram of the study procedure, go/no-go  training  and  approach-  avoidance tasks. A. </w:t>
      </w:r>
      <w:r>
        <w:rPr>
          <w:w w:val="110"/>
          <w:sz w:val="20"/>
        </w:rPr>
        <w:t>After completing the screening and initial </w:t>
      </w:r>
      <w:r>
        <w:rPr>
          <w:spacing w:val="-4"/>
          <w:w w:val="110"/>
          <w:sz w:val="20"/>
        </w:rPr>
        <w:t>survey, </w:t>
      </w:r>
      <w:r>
        <w:rPr>
          <w:w w:val="110"/>
          <w:sz w:val="20"/>
        </w:rPr>
        <w:t>participants rated all </w:t>
      </w:r>
      <w:r>
        <w:rPr>
          <w:spacing w:val="2"/>
          <w:w w:val="110"/>
          <w:sz w:val="20"/>
        </w:rPr>
        <w:t>food </w:t>
      </w:r>
      <w:r>
        <w:rPr>
          <w:w w:val="110"/>
          <w:sz w:val="20"/>
        </w:rPr>
        <w:t>stimuli (liking) and proceeded to perform the pre-training approach-avoidance task </w:t>
      </w:r>
      <w:r>
        <w:rPr>
          <w:spacing w:val="-4"/>
          <w:w w:val="110"/>
          <w:sz w:val="20"/>
        </w:rPr>
        <w:t>(AAT) </w:t>
      </w:r>
      <w:r>
        <w:rPr>
          <w:w w:val="110"/>
          <w:sz w:val="20"/>
        </w:rPr>
        <w:t>blocks. In the training phase, participants completed six blocks of go/no-go training. The post-training </w:t>
      </w:r>
      <w:r>
        <w:rPr>
          <w:spacing w:val="-6"/>
          <w:w w:val="110"/>
          <w:sz w:val="20"/>
        </w:rPr>
        <w:t>AAT </w:t>
      </w:r>
      <w:r>
        <w:rPr>
          <w:w w:val="110"/>
          <w:sz w:val="20"/>
        </w:rPr>
        <w:t>blocks were then presented and followed </w:t>
      </w:r>
      <w:r>
        <w:rPr>
          <w:spacing w:val="-3"/>
          <w:w w:val="110"/>
          <w:sz w:val="20"/>
        </w:rPr>
        <w:t>by </w:t>
      </w:r>
      <w:r>
        <w:rPr>
          <w:spacing w:val="2"/>
          <w:w w:val="110"/>
          <w:sz w:val="20"/>
        </w:rPr>
        <w:t>food </w:t>
      </w:r>
      <w:r>
        <w:rPr>
          <w:w w:val="110"/>
          <w:sz w:val="20"/>
        </w:rPr>
        <w:t>liking ratings. </w:t>
      </w:r>
      <w:r>
        <w:rPr>
          <w:spacing w:val="-3"/>
          <w:w w:val="110"/>
          <w:sz w:val="20"/>
        </w:rPr>
        <w:t>At </w:t>
      </w:r>
      <w:r>
        <w:rPr>
          <w:w w:val="110"/>
          <w:sz w:val="20"/>
        </w:rPr>
        <w:t>the end of the </w:t>
      </w:r>
      <w:r>
        <w:rPr>
          <w:spacing w:val="-3"/>
          <w:w w:val="110"/>
          <w:sz w:val="20"/>
        </w:rPr>
        <w:t>study, </w:t>
      </w:r>
      <w:r>
        <w:rPr>
          <w:w w:val="110"/>
          <w:sz w:val="20"/>
        </w:rPr>
        <w:t>participants completed a short </w:t>
      </w:r>
      <w:r>
        <w:rPr>
          <w:spacing w:val="2"/>
          <w:w w:val="110"/>
          <w:sz w:val="20"/>
        </w:rPr>
        <w:t>food </w:t>
      </w:r>
      <w:r>
        <w:rPr>
          <w:w w:val="110"/>
          <w:sz w:val="20"/>
        </w:rPr>
        <w:t>choice task and several questionnaires, in random order. </w:t>
      </w:r>
      <w:r>
        <w:rPr>
          <w:b/>
          <w:w w:val="110"/>
          <w:sz w:val="20"/>
        </w:rPr>
        <w:t>B. </w:t>
      </w:r>
      <w:r>
        <w:rPr>
          <w:w w:val="110"/>
          <w:sz w:val="20"/>
        </w:rPr>
        <w:t>The go/no-go training paradigm </w:t>
      </w:r>
      <w:r>
        <w:rPr>
          <w:spacing w:val="-3"/>
          <w:w w:val="110"/>
          <w:sz w:val="20"/>
        </w:rPr>
        <w:t>involved </w:t>
      </w:r>
      <w:r>
        <w:rPr>
          <w:w w:val="110"/>
          <w:sz w:val="20"/>
        </w:rPr>
        <w:t>go (no-signal) and no-go (signal) trials that occurred with equal </w:t>
      </w:r>
      <w:r>
        <w:rPr>
          <w:spacing w:val="-3"/>
          <w:w w:val="110"/>
          <w:sz w:val="20"/>
        </w:rPr>
        <w:t>probability.  </w:t>
      </w:r>
      <w:r>
        <w:rPr>
          <w:w w:val="110"/>
          <w:sz w:val="20"/>
        </w:rPr>
        <w:t>On go trials,  participants had    to respond within 1250ms </w:t>
      </w:r>
      <w:r>
        <w:rPr>
          <w:spacing w:val="-3"/>
          <w:w w:val="110"/>
          <w:sz w:val="20"/>
        </w:rPr>
        <w:t>by </w:t>
      </w:r>
      <w:r>
        <w:rPr>
          <w:w w:val="110"/>
          <w:sz w:val="20"/>
        </w:rPr>
        <w:t>pressing the "C" and "M" keys to indicate the picture location (left or right, respectively). On no-go trials, participants were instructed not to respond at all. The inter-trial </w:t>
      </w:r>
      <w:r>
        <w:rPr>
          <w:spacing w:val="-3"/>
          <w:w w:val="110"/>
          <w:sz w:val="20"/>
        </w:rPr>
        <w:t>interval </w:t>
      </w:r>
      <w:r>
        <w:rPr>
          <w:w w:val="110"/>
          <w:sz w:val="20"/>
        </w:rPr>
        <w:t>(ITI)</w:t>
      </w:r>
      <w:r>
        <w:rPr>
          <w:spacing w:val="-7"/>
          <w:w w:val="110"/>
          <w:sz w:val="20"/>
        </w:rPr>
        <w:t> </w:t>
      </w:r>
      <w:r>
        <w:rPr>
          <w:w w:val="110"/>
          <w:sz w:val="20"/>
        </w:rPr>
        <w:t>was</w:t>
      </w:r>
      <w:r>
        <w:rPr>
          <w:spacing w:val="-6"/>
          <w:w w:val="110"/>
          <w:sz w:val="20"/>
        </w:rPr>
        <w:t> </w:t>
      </w:r>
      <w:r>
        <w:rPr>
          <w:w w:val="110"/>
          <w:sz w:val="20"/>
        </w:rPr>
        <w:t>1250ms.</w:t>
      </w:r>
      <w:r>
        <w:rPr>
          <w:spacing w:val="9"/>
          <w:w w:val="110"/>
          <w:sz w:val="20"/>
        </w:rPr>
        <w:t> </w:t>
      </w:r>
      <w:r>
        <w:rPr>
          <w:w w:val="110"/>
          <w:sz w:val="20"/>
        </w:rPr>
        <w:t>Food</w:t>
      </w:r>
      <w:r>
        <w:rPr>
          <w:spacing w:val="-6"/>
          <w:w w:val="110"/>
          <w:sz w:val="20"/>
        </w:rPr>
        <w:t> </w:t>
      </w:r>
      <w:r>
        <w:rPr>
          <w:w w:val="110"/>
          <w:sz w:val="20"/>
        </w:rPr>
        <w:t>categories</w:t>
      </w:r>
      <w:r>
        <w:rPr>
          <w:spacing w:val="-6"/>
          <w:w w:val="110"/>
          <w:sz w:val="20"/>
        </w:rPr>
        <w:t> </w:t>
      </w:r>
      <w:r>
        <w:rPr>
          <w:w w:val="110"/>
          <w:sz w:val="20"/>
        </w:rPr>
        <w:t>were</w:t>
      </w:r>
      <w:r>
        <w:rPr>
          <w:spacing w:val="-7"/>
          <w:w w:val="110"/>
          <w:sz w:val="20"/>
        </w:rPr>
        <w:t> </w:t>
      </w:r>
      <w:r>
        <w:rPr>
          <w:w w:val="110"/>
          <w:sz w:val="20"/>
        </w:rPr>
        <w:t>randomly</w:t>
      </w:r>
      <w:r>
        <w:rPr>
          <w:spacing w:val="-6"/>
          <w:w w:val="110"/>
          <w:sz w:val="20"/>
        </w:rPr>
        <w:t> </w:t>
      </w:r>
      <w:r>
        <w:rPr>
          <w:w w:val="110"/>
          <w:sz w:val="20"/>
        </w:rPr>
        <w:t>assigned</w:t>
      </w:r>
      <w:r>
        <w:rPr>
          <w:spacing w:val="-7"/>
          <w:w w:val="110"/>
          <w:sz w:val="20"/>
        </w:rPr>
        <w:t> </w:t>
      </w:r>
      <w:r>
        <w:rPr>
          <w:w w:val="110"/>
          <w:sz w:val="20"/>
        </w:rPr>
        <w:t>to</w:t>
      </w:r>
      <w:r>
        <w:rPr>
          <w:spacing w:val="-6"/>
          <w:w w:val="110"/>
          <w:sz w:val="20"/>
        </w:rPr>
        <w:t> </w:t>
      </w:r>
      <w:r>
        <w:rPr>
          <w:w w:val="110"/>
          <w:sz w:val="20"/>
        </w:rPr>
        <w:t>three</w:t>
      </w:r>
      <w:r>
        <w:rPr>
          <w:spacing w:val="-7"/>
          <w:w w:val="110"/>
          <w:sz w:val="20"/>
        </w:rPr>
        <w:t> </w:t>
      </w:r>
      <w:r>
        <w:rPr>
          <w:w w:val="110"/>
          <w:sz w:val="20"/>
        </w:rPr>
        <w:t>conditions.</w:t>
      </w:r>
      <w:r>
        <w:rPr>
          <w:spacing w:val="11"/>
          <w:w w:val="110"/>
          <w:sz w:val="20"/>
        </w:rPr>
        <w:t> </w:t>
      </w:r>
      <w:r>
        <w:rPr>
          <w:w w:val="110"/>
          <w:sz w:val="20"/>
        </w:rPr>
        <w:t>Go</w:t>
      </w:r>
      <w:r>
        <w:rPr>
          <w:spacing w:val="-6"/>
          <w:w w:val="110"/>
          <w:sz w:val="20"/>
        </w:rPr>
        <w:t> </w:t>
      </w:r>
      <w:r>
        <w:rPr>
          <w:w w:val="110"/>
          <w:sz w:val="20"/>
        </w:rPr>
        <w:t>foods</w:t>
      </w:r>
      <w:r>
        <w:rPr>
          <w:spacing w:val="-7"/>
          <w:w w:val="110"/>
          <w:sz w:val="20"/>
        </w:rPr>
        <w:t> </w:t>
      </w:r>
      <w:r>
        <w:rPr>
          <w:w w:val="110"/>
          <w:sz w:val="20"/>
        </w:rPr>
        <w:t>were</w:t>
      </w:r>
      <w:r>
        <w:rPr>
          <w:spacing w:val="-6"/>
          <w:w w:val="110"/>
          <w:sz w:val="20"/>
        </w:rPr>
        <w:t> </w:t>
      </w:r>
      <w:r>
        <w:rPr>
          <w:w w:val="110"/>
          <w:sz w:val="20"/>
        </w:rPr>
        <w:t>only</w:t>
      </w:r>
      <w:r>
        <w:rPr>
          <w:spacing w:val="-7"/>
          <w:w w:val="110"/>
          <w:sz w:val="20"/>
        </w:rPr>
        <w:t> </w:t>
      </w:r>
      <w:r>
        <w:rPr>
          <w:w w:val="110"/>
          <w:sz w:val="20"/>
        </w:rPr>
        <w:t>paired with no-signal trials and no-go foods were </w:t>
      </w:r>
      <w:r>
        <w:rPr>
          <w:spacing w:val="-3"/>
          <w:w w:val="110"/>
          <w:sz w:val="20"/>
        </w:rPr>
        <w:t>always </w:t>
      </w:r>
      <w:r>
        <w:rPr>
          <w:w w:val="110"/>
          <w:sz w:val="20"/>
        </w:rPr>
        <w:t>associated with no-signal trials. Control, or filler, foods were presented in both signal and no-signal trials</w:t>
      </w:r>
      <w:r>
        <w:rPr>
          <w:spacing w:val="14"/>
          <w:w w:val="110"/>
          <w:sz w:val="20"/>
        </w:rPr>
        <w:t> </w:t>
      </w:r>
      <w:r>
        <w:rPr>
          <w:w w:val="110"/>
          <w:sz w:val="20"/>
        </w:rPr>
        <w:t>(50:50).</w:t>
      </w:r>
    </w:p>
    <w:p>
      <w:pPr>
        <w:spacing w:after="0" w:line="412" w:lineRule="auto"/>
        <w:jc w:val="both"/>
        <w:rPr>
          <w:sz w:val="20"/>
        </w:rPr>
        <w:sectPr>
          <w:pgSz w:w="12240" w:h="15840"/>
          <w:pgMar w:header="649" w:footer="0" w:top="1320" w:bottom="280" w:left="820" w:right="1140"/>
        </w:sectPr>
      </w:pPr>
    </w:p>
    <w:p>
      <w:pPr>
        <w:pStyle w:val="BodyText"/>
        <w:spacing w:before="5"/>
        <w:ind w:left="0"/>
        <w:rPr>
          <w:sz w:val="28"/>
        </w:rPr>
      </w:pPr>
    </w:p>
    <w:p>
      <w:pPr>
        <w:spacing w:line="412" w:lineRule="auto" w:before="139"/>
        <w:ind w:left="612" w:right="259" w:firstLine="7"/>
        <w:jc w:val="both"/>
        <w:rPr>
          <w:sz w:val="20"/>
        </w:rPr>
      </w:pPr>
      <w:r>
        <w:rPr>
          <w:b/>
          <w:w w:val="105"/>
          <w:sz w:val="20"/>
        </w:rPr>
        <w:t>C. </w:t>
      </w:r>
      <w:r>
        <w:rPr>
          <w:w w:val="105"/>
          <w:sz w:val="20"/>
        </w:rPr>
        <w:t>In the </w:t>
      </w:r>
      <w:r>
        <w:rPr>
          <w:spacing w:val="-5"/>
          <w:w w:val="105"/>
          <w:sz w:val="20"/>
        </w:rPr>
        <w:t>AAT, </w:t>
      </w:r>
      <w:r>
        <w:rPr>
          <w:w w:val="105"/>
          <w:sz w:val="20"/>
        </w:rPr>
        <w:t>participants were asked to respond according to the format of the presented rectangle (portrait or landscape). Response-format assignments were approximately counterbalanced across participants. As an example, on approach trials a participant would </w:t>
      </w:r>
      <w:r>
        <w:rPr>
          <w:spacing w:val="-4"/>
          <w:w w:val="105"/>
          <w:sz w:val="20"/>
        </w:rPr>
        <w:t>have  </w:t>
      </w:r>
      <w:r>
        <w:rPr>
          <w:w w:val="105"/>
          <w:sz w:val="20"/>
        </w:rPr>
        <w:t>to pull the mouse towards them when the picture was     in portrait format (approach trial) and push it </w:t>
      </w:r>
      <w:r>
        <w:rPr>
          <w:spacing w:val="-5"/>
          <w:w w:val="105"/>
          <w:sz w:val="20"/>
        </w:rPr>
        <w:t>away  </w:t>
      </w:r>
      <w:r>
        <w:rPr>
          <w:w w:val="105"/>
          <w:sz w:val="20"/>
        </w:rPr>
        <w:t>from them when the picture was in landscape format.    Push and pull actions were paired with visual feedback, that is, zoom-out and zoom-in effects respectively.  The maximum reaction time </w:t>
      </w:r>
      <w:r>
        <w:rPr>
          <w:spacing w:val="-3"/>
          <w:w w:val="105"/>
          <w:sz w:val="20"/>
        </w:rPr>
        <w:t>(maxRT) </w:t>
      </w:r>
      <w:r>
        <w:rPr>
          <w:w w:val="105"/>
          <w:sz w:val="20"/>
        </w:rPr>
        <w:t>was 1500ms and the ITI was set to 500ms. Participants clicked on a central</w:t>
      </w:r>
      <w:r>
        <w:rPr>
          <w:spacing w:val="14"/>
          <w:w w:val="105"/>
          <w:sz w:val="20"/>
        </w:rPr>
        <w:t> </w:t>
      </w:r>
      <w:r>
        <w:rPr>
          <w:w w:val="105"/>
          <w:sz w:val="20"/>
        </w:rPr>
        <w:t>"X"</w:t>
      </w:r>
      <w:r>
        <w:rPr>
          <w:spacing w:val="15"/>
          <w:w w:val="105"/>
          <w:sz w:val="20"/>
        </w:rPr>
        <w:t> </w:t>
      </w:r>
      <w:r>
        <w:rPr>
          <w:w w:val="105"/>
          <w:sz w:val="20"/>
        </w:rPr>
        <w:t>to</w:t>
      </w:r>
      <w:r>
        <w:rPr>
          <w:spacing w:val="14"/>
          <w:w w:val="105"/>
          <w:sz w:val="20"/>
        </w:rPr>
        <w:t> </w:t>
      </w:r>
      <w:r>
        <w:rPr>
          <w:w w:val="105"/>
          <w:sz w:val="20"/>
        </w:rPr>
        <w:t>begin</w:t>
      </w:r>
      <w:r>
        <w:rPr>
          <w:spacing w:val="15"/>
          <w:w w:val="105"/>
          <w:sz w:val="20"/>
        </w:rPr>
        <w:t> </w:t>
      </w:r>
      <w:r>
        <w:rPr>
          <w:w w:val="105"/>
          <w:sz w:val="20"/>
        </w:rPr>
        <w:t>a</w:t>
      </w:r>
      <w:r>
        <w:rPr>
          <w:spacing w:val="15"/>
          <w:w w:val="105"/>
          <w:sz w:val="20"/>
        </w:rPr>
        <w:t> </w:t>
      </w:r>
      <w:r>
        <w:rPr>
          <w:w w:val="105"/>
          <w:sz w:val="20"/>
        </w:rPr>
        <w:t>trial</w:t>
      </w:r>
      <w:r>
        <w:rPr>
          <w:spacing w:val="14"/>
          <w:w w:val="105"/>
          <w:sz w:val="20"/>
        </w:rPr>
        <w:t> </w:t>
      </w:r>
      <w:r>
        <w:rPr>
          <w:w w:val="105"/>
          <w:sz w:val="20"/>
        </w:rPr>
        <w:t>(self-timed</w:t>
      </w:r>
      <w:r>
        <w:rPr>
          <w:spacing w:val="15"/>
          <w:w w:val="105"/>
          <w:sz w:val="20"/>
        </w:rPr>
        <w:t> </w:t>
      </w:r>
      <w:r>
        <w:rPr>
          <w:w w:val="105"/>
          <w:sz w:val="20"/>
        </w:rPr>
        <w:t>start).</w:t>
      </w:r>
    </w:p>
    <w:p>
      <w:pPr>
        <w:pStyle w:val="BodyText"/>
        <w:spacing w:before="0"/>
        <w:ind w:left="0"/>
        <w:rPr>
          <w:sz w:val="20"/>
        </w:rPr>
      </w:pPr>
    </w:p>
    <w:p>
      <w:pPr>
        <w:pStyle w:val="BodyText"/>
        <w:spacing w:before="0"/>
        <w:ind w:left="0"/>
        <w:rPr>
          <w:sz w:val="20"/>
        </w:rPr>
      </w:pPr>
    </w:p>
    <w:p>
      <w:pPr>
        <w:pStyle w:val="Heading1"/>
        <w:spacing w:before="294"/>
      </w:pPr>
      <w:r>
        <w:rPr>
          <w:rFonts w:ascii="Arial"/>
          <w:b w:val="0"/>
          <w:w w:val="110"/>
          <w:sz w:val="12"/>
        </w:rPr>
        <w:t>248</w:t>
      </w:r>
      <w:bookmarkStart w:name="Go/No-go training" w:id="18"/>
      <w:bookmarkEnd w:id="18"/>
      <w:r>
        <w:rPr>
          <w:rFonts w:ascii="Arial"/>
          <w:b w:val="0"/>
          <w:w w:val="110"/>
          <w:sz w:val="12"/>
        </w:rPr>
      </w:r>
      <w:bookmarkStart w:name="_bookmark6" w:id="19"/>
      <w:bookmarkEnd w:id="19"/>
      <w:r>
        <w:rPr>
          <w:rFonts w:ascii="Arial"/>
          <w:b w:val="0"/>
          <w:w w:val="110"/>
          <w:sz w:val="12"/>
        </w:rPr>
      </w:r>
      <w:r>
        <w:rPr>
          <w:rFonts w:ascii="Arial"/>
          <w:b w:val="0"/>
          <w:w w:val="110"/>
          <w:sz w:val="12"/>
        </w:rPr>
        <w:t> </w:t>
      </w:r>
      <w:r>
        <w:rPr>
          <w:w w:val="110"/>
        </w:rPr>
        <w:t>Go/No-go training</w:t>
      </w:r>
    </w:p>
    <w:p>
      <w:pPr>
        <w:pStyle w:val="BodyText"/>
        <w:spacing w:before="0"/>
        <w:ind w:left="0"/>
        <w:rPr>
          <w:b/>
          <w:sz w:val="20"/>
        </w:rPr>
      </w:pPr>
    </w:p>
    <w:p>
      <w:pPr>
        <w:pStyle w:val="BodyText"/>
        <w:spacing w:before="9"/>
        <w:ind w:left="0"/>
        <w:rPr>
          <w:b/>
          <w:sz w:val="21"/>
        </w:rPr>
      </w:pPr>
    </w:p>
    <w:p>
      <w:pPr>
        <w:pStyle w:val="BodyText"/>
        <w:tabs>
          <w:tab w:pos="1195" w:val="left" w:leader="none"/>
        </w:tabs>
        <w:spacing w:before="145"/>
      </w:pPr>
      <w:r>
        <w:rPr>
          <w:rFonts w:ascii="Arial"/>
          <w:w w:val="105"/>
          <w:sz w:val="12"/>
        </w:rPr>
        <w:t>249</w:t>
        <w:tab/>
      </w:r>
      <w:r>
        <w:rPr>
          <w:w w:val="105"/>
        </w:rPr>
        <w:t>The</w:t>
      </w:r>
      <w:r>
        <w:rPr>
          <w:spacing w:val="13"/>
          <w:w w:val="105"/>
        </w:rPr>
        <w:t> </w:t>
      </w:r>
      <w:r>
        <w:rPr>
          <w:w w:val="105"/>
        </w:rPr>
        <w:t>Go/No-Go</w:t>
      </w:r>
      <w:r>
        <w:rPr>
          <w:spacing w:val="14"/>
          <w:w w:val="105"/>
        </w:rPr>
        <w:t> </w:t>
      </w:r>
      <w:r>
        <w:rPr>
          <w:w w:val="105"/>
        </w:rPr>
        <w:t>(GNG)</w:t>
      </w:r>
      <w:r>
        <w:rPr>
          <w:spacing w:val="12"/>
          <w:w w:val="105"/>
        </w:rPr>
        <w:t> </w:t>
      </w:r>
      <w:r>
        <w:rPr>
          <w:w w:val="105"/>
        </w:rPr>
        <w:t>training</w:t>
      </w:r>
      <w:r>
        <w:rPr>
          <w:spacing w:val="13"/>
          <w:w w:val="105"/>
        </w:rPr>
        <w:t> </w:t>
      </w:r>
      <w:r>
        <w:rPr>
          <w:w w:val="105"/>
        </w:rPr>
        <w:t>paradigm</w:t>
      </w:r>
      <w:r>
        <w:rPr>
          <w:spacing w:val="13"/>
          <w:w w:val="105"/>
        </w:rPr>
        <w:t> </w:t>
      </w:r>
      <w:r>
        <w:rPr>
          <w:spacing w:val="-3"/>
          <w:w w:val="105"/>
        </w:rPr>
        <w:t>involved</w:t>
      </w:r>
      <w:r>
        <w:rPr>
          <w:spacing w:val="14"/>
          <w:w w:val="105"/>
        </w:rPr>
        <w:t> </w:t>
      </w:r>
      <w:r>
        <w:rPr>
          <w:w w:val="105"/>
        </w:rPr>
        <w:t>go</w:t>
      </w:r>
      <w:r>
        <w:rPr>
          <w:spacing w:val="14"/>
          <w:w w:val="105"/>
        </w:rPr>
        <w:t> </w:t>
      </w:r>
      <w:r>
        <w:rPr>
          <w:w w:val="105"/>
        </w:rPr>
        <w:t>and</w:t>
      </w:r>
      <w:r>
        <w:rPr>
          <w:spacing w:val="12"/>
          <w:w w:val="105"/>
        </w:rPr>
        <w:t> </w:t>
      </w:r>
      <w:r>
        <w:rPr>
          <w:w w:val="105"/>
        </w:rPr>
        <w:t>no-go</w:t>
      </w:r>
      <w:r>
        <w:rPr>
          <w:spacing w:val="13"/>
          <w:w w:val="105"/>
        </w:rPr>
        <w:t> </w:t>
      </w:r>
      <w:r>
        <w:rPr>
          <w:w w:val="105"/>
        </w:rPr>
        <w:t>responses</w:t>
      </w:r>
      <w:r>
        <w:rPr>
          <w:spacing w:val="12"/>
          <w:w w:val="105"/>
        </w:rPr>
        <w:t> </w:t>
      </w:r>
      <w:r>
        <w:rPr>
          <w:w w:val="105"/>
        </w:rPr>
        <w:t>to</w:t>
      </w:r>
      <w:r>
        <w:rPr>
          <w:spacing w:val="13"/>
          <w:w w:val="105"/>
        </w:rPr>
        <w:t> </w:t>
      </w:r>
      <w:r>
        <w:rPr>
          <w:w w:val="105"/>
        </w:rPr>
        <w:t>six</w:t>
      </w:r>
    </w:p>
    <w:p>
      <w:pPr>
        <w:pStyle w:val="BodyText"/>
      </w:pPr>
      <w:r>
        <w:rPr>
          <w:rFonts w:ascii="Arial"/>
          <w:w w:val="105"/>
          <w:sz w:val="12"/>
        </w:rPr>
        <w:t>250 </w:t>
      </w:r>
      <w:r>
        <w:rPr>
          <w:w w:val="105"/>
        </w:rPr>
        <w:t>pre-selected appetitive food categories. Food categories differed in terms of taste, so that</w:t>
      </w:r>
    </w:p>
    <w:p>
      <w:pPr>
        <w:pStyle w:val="BodyText"/>
        <w:spacing w:before="203"/>
      </w:pPr>
      <w:r>
        <w:rPr>
          <w:rFonts w:ascii="Arial"/>
          <w:w w:val="105"/>
          <w:sz w:val="12"/>
        </w:rPr>
        <w:t>251 </w:t>
      </w:r>
      <w:r>
        <w:rPr>
          <w:w w:val="105"/>
        </w:rPr>
        <w:t>three foods were savoury (i.e., pizza, crisps, chips) and three foods were sweet (i.e., biscuits,</w:t>
      </w:r>
    </w:p>
    <w:p>
      <w:pPr>
        <w:pStyle w:val="BodyText"/>
        <w:spacing w:before="187"/>
      </w:pPr>
      <w:r>
        <w:rPr>
          <w:rFonts w:ascii="Arial"/>
          <w:w w:val="105"/>
          <w:sz w:val="12"/>
        </w:rPr>
        <w:t>252 </w:t>
      </w:r>
      <w:r>
        <w:rPr>
          <w:w w:val="105"/>
        </w:rPr>
        <w:t>chocolate, cake)</w:t>
      </w:r>
      <w:r>
        <w:rPr>
          <w:w w:val="105"/>
          <w:position w:val="9"/>
          <w:sz w:val="16"/>
        </w:rPr>
        <w:t>4</w:t>
      </w:r>
      <w:r>
        <w:rPr>
          <w:w w:val="105"/>
        </w:rPr>
        <w:t>. Two food categories were randomly assigned to each training condition</w:t>
      </w:r>
    </w:p>
    <w:p>
      <w:pPr>
        <w:pStyle w:val="BodyText"/>
      </w:pPr>
      <w:r>
        <w:rPr>
          <w:rFonts w:ascii="Arial"/>
          <w:w w:val="105"/>
          <w:sz w:val="12"/>
        </w:rPr>
        <w:t>253 </w:t>
      </w:r>
      <w:r>
        <w:rPr>
          <w:w w:val="105"/>
        </w:rPr>
        <w:t>(go, no-go, filler foods) in the beginning of the experiment and food taste was</w:t>
      </w:r>
    </w:p>
    <w:p>
      <w:pPr>
        <w:pStyle w:val="BodyText"/>
      </w:pPr>
      <w:r>
        <w:rPr>
          <w:rFonts w:ascii="Arial"/>
          <w:w w:val="105"/>
          <w:sz w:val="12"/>
        </w:rPr>
        <w:t>254 </w:t>
      </w:r>
      <w:r>
        <w:rPr>
          <w:w w:val="105"/>
        </w:rPr>
        <w:t>counterbalanced so that each condition had one sweet and one savoury food. There were</w:t>
      </w:r>
    </w:p>
    <w:p>
      <w:pPr>
        <w:pStyle w:val="BodyText"/>
      </w:pPr>
      <w:r>
        <w:rPr>
          <w:rFonts w:ascii="Arial"/>
          <w:w w:val="105"/>
          <w:sz w:val="12"/>
        </w:rPr>
        <w:t>255 </w:t>
      </w:r>
      <w:r>
        <w:rPr>
          <w:w w:val="105"/>
        </w:rPr>
        <w:t>three training conditions according to the mapping of foods to signal (no-go) and no-signal</w:t>
      </w:r>
    </w:p>
    <w:p>
      <w:pPr>
        <w:pStyle w:val="BodyText"/>
      </w:pPr>
      <w:r>
        <w:rPr>
          <w:rFonts w:ascii="Arial"/>
          <w:w w:val="105"/>
          <w:sz w:val="12"/>
        </w:rPr>
        <w:t>256 </w:t>
      </w:r>
      <w:r>
        <w:rPr>
          <w:w w:val="105"/>
        </w:rPr>
        <w:t>(go) trials in the GNG. All go foods appeared in go (no-signal) trials and all no-go foods</w:t>
      </w:r>
    </w:p>
    <w:p>
      <w:pPr>
        <w:pStyle w:val="BodyText"/>
      </w:pPr>
      <w:r>
        <w:rPr>
          <w:rFonts w:ascii="Arial"/>
          <w:w w:val="105"/>
          <w:sz w:val="12"/>
        </w:rPr>
        <w:t>257 </w:t>
      </w:r>
      <w:r>
        <w:rPr>
          <w:w w:val="105"/>
        </w:rPr>
        <w:t>were presented in no-go (signal) trials (see Figure 1, panel C). Control, or filler, foods</w:t>
      </w:r>
    </w:p>
    <w:p>
      <w:pPr>
        <w:pStyle w:val="BodyText"/>
        <w:spacing w:before="203"/>
      </w:pPr>
      <w:r>
        <w:rPr>
          <w:rFonts w:ascii="Arial"/>
          <w:w w:val="105"/>
          <w:sz w:val="12"/>
        </w:rPr>
        <w:t>258 </w:t>
      </w:r>
      <w:r>
        <w:rPr>
          <w:w w:val="105"/>
        </w:rPr>
        <w:t>appeared on both go and no-go trials with equal probability (i.e., 50:50). Each food category</w:t>
      </w:r>
    </w:p>
    <w:p>
      <w:pPr>
        <w:pStyle w:val="BodyText"/>
      </w:pPr>
      <w:r>
        <w:rPr>
          <w:rFonts w:ascii="Arial"/>
          <w:w w:val="105"/>
          <w:sz w:val="12"/>
        </w:rPr>
        <w:t>259 </w:t>
      </w:r>
      <w:r>
        <w:rPr>
          <w:w w:val="105"/>
        </w:rPr>
        <w:t>had three exemplars which appeared twice in each block.</w:t>
      </w:r>
    </w:p>
    <w:p>
      <w:pPr>
        <w:pStyle w:val="BodyText"/>
        <w:spacing w:before="8"/>
        <w:ind w:left="0"/>
        <w:rPr>
          <w:sz w:val="26"/>
        </w:rPr>
      </w:pPr>
    </w:p>
    <w:p>
      <w:pPr>
        <w:pStyle w:val="BodyText"/>
        <w:tabs>
          <w:tab w:pos="1195" w:val="left" w:leader="none"/>
        </w:tabs>
        <w:spacing w:before="146"/>
      </w:pPr>
      <w:r>
        <w:rPr>
          <w:rFonts w:ascii="Arial"/>
          <w:w w:val="105"/>
          <w:sz w:val="12"/>
        </w:rPr>
        <w:t>260</w:t>
        <w:tab/>
      </w:r>
      <w:r>
        <w:rPr>
          <w:w w:val="105"/>
        </w:rPr>
        <w:t>All</w:t>
      </w:r>
      <w:r>
        <w:rPr>
          <w:spacing w:val="11"/>
          <w:w w:val="105"/>
        </w:rPr>
        <w:t> </w:t>
      </w:r>
      <w:r>
        <w:rPr>
          <w:spacing w:val="2"/>
          <w:w w:val="105"/>
        </w:rPr>
        <w:t>foods</w:t>
      </w:r>
      <w:r>
        <w:rPr>
          <w:spacing w:val="11"/>
          <w:w w:val="105"/>
        </w:rPr>
        <w:t> </w:t>
      </w:r>
      <w:r>
        <w:rPr>
          <w:w w:val="105"/>
        </w:rPr>
        <w:t>were</w:t>
      </w:r>
      <w:r>
        <w:rPr>
          <w:spacing w:val="13"/>
          <w:w w:val="105"/>
        </w:rPr>
        <w:t> </w:t>
      </w:r>
      <w:r>
        <w:rPr>
          <w:w w:val="105"/>
        </w:rPr>
        <w:t>presented</w:t>
      </w:r>
      <w:r>
        <w:rPr>
          <w:spacing w:val="11"/>
          <w:w w:val="105"/>
        </w:rPr>
        <w:t> </w:t>
      </w:r>
      <w:r>
        <w:rPr>
          <w:w w:val="105"/>
        </w:rPr>
        <w:t>on</w:t>
      </w:r>
      <w:r>
        <w:rPr>
          <w:spacing w:val="13"/>
          <w:w w:val="105"/>
        </w:rPr>
        <w:t> </w:t>
      </w:r>
      <w:r>
        <w:rPr>
          <w:w w:val="105"/>
        </w:rPr>
        <w:t>either</w:t>
      </w:r>
      <w:r>
        <w:rPr>
          <w:spacing w:val="12"/>
          <w:w w:val="105"/>
        </w:rPr>
        <w:t> </w:t>
      </w:r>
      <w:r>
        <w:rPr>
          <w:w w:val="105"/>
        </w:rPr>
        <w:t>the</w:t>
      </w:r>
      <w:r>
        <w:rPr>
          <w:spacing w:val="11"/>
          <w:w w:val="105"/>
        </w:rPr>
        <w:t> </w:t>
      </w:r>
      <w:r>
        <w:rPr>
          <w:w w:val="105"/>
        </w:rPr>
        <w:t>left</w:t>
      </w:r>
      <w:r>
        <w:rPr>
          <w:spacing w:val="12"/>
          <w:w w:val="105"/>
        </w:rPr>
        <w:t> </w:t>
      </w:r>
      <w:r>
        <w:rPr>
          <w:w w:val="105"/>
        </w:rPr>
        <w:t>or</w:t>
      </w:r>
      <w:r>
        <w:rPr>
          <w:spacing w:val="12"/>
          <w:w w:val="105"/>
        </w:rPr>
        <w:t> </w:t>
      </w:r>
      <w:r>
        <w:rPr>
          <w:w w:val="105"/>
        </w:rPr>
        <w:t>right</w:t>
      </w:r>
      <w:r>
        <w:rPr>
          <w:spacing w:val="12"/>
          <w:w w:val="105"/>
        </w:rPr>
        <w:t> </w:t>
      </w:r>
      <w:r>
        <w:rPr>
          <w:w w:val="105"/>
        </w:rPr>
        <w:t>hand</w:t>
      </w:r>
      <w:r>
        <w:rPr>
          <w:spacing w:val="11"/>
          <w:w w:val="105"/>
        </w:rPr>
        <w:t> </w:t>
      </w:r>
      <w:r>
        <w:rPr>
          <w:w w:val="105"/>
        </w:rPr>
        <w:t>side</w:t>
      </w:r>
      <w:r>
        <w:rPr>
          <w:spacing w:val="13"/>
          <w:w w:val="105"/>
        </w:rPr>
        <w:t> </w:t>
      </w:r>
      <w:r>
        <w:rPr>
          <w:w w:val="105"/>
        </w:rPr>
        <w:t>of</w:t>
      </w:r>
      <w:r>
        <w:rPr>
          <w:spacing w:val="11"/>
          <w:w w:val="105"/>
        </w:rPr>
        <w:t> </w:t>
      </w:r>
      <w:r>
        <w:rPr>
          <w:w w:val="105"/>
        </w:rPr>
        <w:t>the</w:t>
      </w:r>
      <w:r>
        <w:rPr>
          <w:spacing w:val="11"/>
          <w:w w:val="105"/>
        </w:rPr>
        <w:t> </w:t>
      </w:r>
      <w:r>
        <w:rPr>
          <w:w w:val="105"/>
        </w:rPr>
        <w:t>screen</w:t>
      </w:r>
      <w:r>
        <w:rPr>
          <w:spacing w:val="13"/>
          <w:w w:val="105"/>
        </w:rPr>
        <w:t> </w:t>
      </w:r>
      <w:r>
        <w:rPr>
          <w:w w:val="105"/>
        </w:rPr>
        <w:t>within</w:t>
      </w:r>
      <w:r>
        <w:rPr>
          <w:spacing w:val="12"/>
          <w:w w:val="105"/>
        </w:rPr>
        <w:t> </w:t>
      </w:r>
      <w:r>
        <w:rPr>
          <w:w w:val="105"/>
        </w:rPr>
        <w:t>a</w:t>
      </w:r>
    </w:p>
    <w:p>
      <w:pPr>
        <w:pStyle w:val="BodyText"/>
      </w:pPr>
      <w:r>
        <w:rPr>
          <w:rFonts w:ascii="Arial"/>
          <w:sz w:val="12"/>
        </w:rPr>
        <w:t>261 </w:t>
      </w:r>
      <w:r>
        <w:rPr/>
        <w:t>rectangle for 1250ms, which was the maximum reaction time (maxRT), as shown in Figure </w:t>
      </w:r>
      <w:hyperlink w:history="true" w:anchor="_bookmark5">
        <w:r>
          <w:rPr/>
          <w:t>1,</w:t>
        </w:r>
      </w:hyperlink>
    </w:p>
    <w:p>
      <w:pPr>
        <w:pStyle w:val="BodyText"/>
      </w:pPr>
      <w:r>
        <w:rPr>
          <w:rFonts w:ascii="Arial"/>
          <w:w w:val="110"/>
          <w:sz w:val="12"/>
        </w:rPr>
        <w:t>262 </w:t>
      </w:r>
      <w:r>
        <w:rPr>
          <w:w w:val="110"/>
        </w:rPr>
        <w:t>panel B. Participants were asked to respond to the location of the food as quickly and as</w:t>
      </w:r>
    </w:p>
    <w:p>
      <w:pPr>
        <w:pStyle w:val="BodyText"/>
      </w:pPr>
      <w:r>
        <w:rPr>
          <w:rFonts w:ascii="Arial" w:hAnsi="Arial"/>
          <w:w w:val="105"/>
          <w:sz w:val="12"/>
        </w:rPr>
        <w:t>263 </w:t>
      </w:r>
      <w:r>
        <w:rPr>
          <w:w w:val="105"/>
        </w:rPr>
        <w:t>accurately as possible by pressing the “C” and “M” buttons on the keyboard with their left</w:t>
      </w:r>
    </w:p>
    <w:p>
      <w:pPr>
        <w:pStyle w:val="BodyText"/>
      </w:pPr>
      <w:r>
        <w:rPr>
          <w:rFonts w:ascii="Arial"/>
          <w:w w:val="105"/>
          <w:sz w:val="12"/>
        </w:rPr>
        <w:t>264 </w:t>
      </w:r>
      <w:r>
        <w:rPr>
          <w:w w:val="105"/>
        </w:rPr>
        <w:t>and right index fingers, respectively. The central rectangle remained on the screen</w:t>
      </w:r>
    </w:p>
    <w:p>
      <w:pPr>
        <w:pStyle w:val="BodyText"/>
        <w:spacing w:before="7"/>
        <w:ind w:left="0"/>
        <w:rPr>
          <w:sz w:val="11"/>
        </w:rPr>
      </w:pPr>
      <w:r>
        <w:rPr/>
        <w:pict>
          <v:line style="position:absolute;mso-position-horizontal-relative:page;mso-position-vertical-relative:paragraph;z-index:-904;mso-wrap-distance-left:0;mso-wrap-distance-right:0" from="72pt,8.768272pt" to="108pt,8.768272pt" stroked="true" strokeweight=".125pt" strokecolor="#000000">
            <v:stroke dashstyle="solid"/>
            <w10:wrap type="topAndBottom"/>
          </v:line>
        </w:pict>
      </w:r>
    </w:p>
    <w:p>
      <w:pPr>
        <w:spacing w:before="140"/>
        <w:ind w:left="620" w:right="0" w:firstLine="0"/>
        <w:jc w:val="left"/>
        <w:rPr>
          <w:sz w:val="20"/>
        </w:rPr>
      </w:pPr>
      <w:r>
        <w:rPr>
          <w:w w:val="115"/>
          <w:position w:val="7"/>
          <w:sz w:val="14"/>
        </w:rPr>
        <w:t>4</w:t>
      </w:r>
      <w:bookmarkStart w:name="_bookmark7" w:id="20"/>
      <w:bookmarkEnd w:id="20"/>
      <w:r>
        <w:rPr>
          <w:w w:val="115"/>
          <w:position w:val="7"/>
          <w:sz w:val="14"/>
        </w:rPr>
      </w:r>
      <w:r>
        <w:rPr>
          <w:w w:val="115"/>
          <w:position w:val="7"/>
          <w:sz w:val="14"/>
        </w:rPr>
        <w:t> </w:t>
      </w:r>
      <w:r>
        <w:rPr>
          <w:w w:val="115"/>
          <w:sz w:val="20"/>
        </w:rPr>
        <w:t>All study materials are openly available at https://osf.io/wcf4r/</w:t>
      </w:r>
    </w:p>
    <w:p>
      <w:pPr>
        <w:spacing w:after="0"/>
        <w:jc w:val="left"/>
        <w:rPr>
          <w:sz w:val="20"/>
        </w:rPr>
        <w:sectPr>
          <w:pgSz w:w="12240" w:h="15840"/>
          <w:pgMar w:header="649" w:footer="0" w:top="1320" w:bottom="280" w:left="820" w:right="1140"/>
        </w:sectPr>
      </w:pPr>
    </w:p>
    <w:p>
      <w:pPr>
        <w:pStyle w:val="BodyText"/>
        <w:spacing w:before="191"/>
      </w:pPr>
      <w:r>
        <w:rPr>
          <w:rFonts w:ascii="Arial"/>
          <w:w w:val="105"/>
          <w:sz w:val="12"/>
        </w:rPr>
        <w:t>265 </w:t>
      </w:r>
      <w:r>
        <w:rPr>
          <w:w w:val="105"/>
        </w:rPr>
        <w:t>throughout the training, including the inter-trial-interval (ITI), which was 1250ms. On signal</w:t>
      </w:r>
    </w:p>
    <w:p>
      <w:pPr>
        <w:pStyle w:val="BodyText"/>
      </w:pPr>
      <w:r>
        <w:rPr>
          <w:rFonts w:ascii="Arial"/>
          <w:w w:val="105"/>
          <w:sz w:val="12"/>
        </w:rPr>
        <w:t>266 </w:t>
      </w:r>
      <w:r>
        <w:rPr>
          <w:w w:val="105"/>
        </w:rPr>
        <w:t>trials, the rectangle turned bold, indicating that participants should withhold their response.</w:t>
      </w:r>
    </w:p>
    <w:p>
      <w:pPr>
        <w:pStyle w:val="BodyText"/>
        <w:spacing w:before="203"/>
      </w:pPr>
      <w:r>
        <w:rPr>
          <w:rFonts w:ascii="Arial"/>
          <w:w w:val="105"/>
          <w:sz w:val="12"/>
        </w:rPr>
        <w:t>267 </w:t>
      </w:r>
      <w:r>
        <w:rPr>
          <w:w w:val="105"/>
        </w:rPr>
        <w:t>In line with the GNG training paradigm, this signal appeared on stimulus onset (i.e., no</w:t>
      </w:r>
    </w:p>
    <w:p>
      <w:pPr>
        <w:pStyle w:val="BodyText"/>
      </w:pPr>
      <w:r>
        <w:rPr>
          <w:rFonts w:ascii="Arial"/>
          <w:w w:val="105"/>
          <w:sz w:val="12"/>
        </w:rPr>
        <w:t>268 </w:t>
      </w:r>
      <w:r>
        <w:rPr>
          <w:w w:val="105"/>
        </w:rPr>
        <w:t>delay between stimulus and signal) and stayed on the screen until the end of the trial. A</w:t>
      </w:r>
    </w:p>
    <w:p>
      <w:pPr>
        <w:pStyle w:val="BodyText"/>
      </w:pPr>
      <w:r>
        <w:rPr>
          <w:rFonts w:ascii="Arial"/>
          <w:w w:val="105"/>
          <w:sz w:val="12"/>
        </w:rPr>
        <w:t>269     </w:t>
      </w:r>
      <w:r>
        <w:rPr>
          <w:w w:val="105"/>
        </w:rPr>
        <w:t>correct response on no-signal trials </w:t>
      </w:r>
      <w:r>
        <w:rPr>
          <w:spacing w:val="-3"/>
          <w:w w:val="105"/>
        </w:rPr>
        <w:t>was </w:t>
      </w:r>
      <w:r>
        <w:rPr>
          <w:w w:val="105"/>
        </w:rPr>
        <w:t>registered when participants responded accurately</w:t>
      </w:r>
      <w:r>
        <w:rPr>
          <w:spacing w:val="-18"/>
          <w:w w:val="105"/>
        </w:rPr>
        <w:t> </w:t>
      </w:r>
      <w:r>
        <w:rPr>
          <w:w w:val="105"/>
        </w:rPr>
        <w:t>to</w:t>
      </w:r>
    </w:p>
    <w:p>
      <w:pPr>
        <w:pStyle w:val="BodyText"/>
      </w:pPr>
      <w:r>
        <w:rPr>
          <w:rFonts w:ascii="Arial"/>
          <w:w w:val="105"/>
          <w:sz w:val="12"/>
        </w:rPr>
        <w:t>270    </w:t>
      </w:r>
      <w:r>
        <w:rPr>
          <w:rFonts w:ascii="Arial"/>
          <w:spacing w:val="2"/>
          <w:w w:val="105"/>
          <w:sz w:val="12"/>
        </w:rPr>
        <w:t> </w:t>
      </w:r>
      <w:r>
        <w:rPr>
          <w:w w:val="105"/>
        </w:rPr>
        <w:t>the</w:t>
      </w:r>
      <w:r>
        <w:rPr>
          <w:spacing w:val="5"/>
          <w:w w:val="105"/>
        </w:rPr>
        <w:t> </w:t>
      </w:r>
      <w:r>
        <w:rPr>
          <w:w w:val="105"/>
        </w:rPr>
        <w:t>location</w:t>
      </w:r>
      <w:r>
        <w:rPr>
          <w:spacing w:val="7"/>
          <w:w w:val="105"/>
        </w:rPr>
        <w:t> </w:t>
      </w:r>
      <w:r>
        <w:rPr>
          <w:w w:val="105"/>
        </w:rPr>
        <w:t>of</w:t>
      </w:r>
      <w:r>
        <w:rPr>
          <w:spacing w:val="5"/>
          <w:w w:val="105"/>
        </w:rPr>
        <w:t> </w:t>
      </w:r>
      <w:r>
        <w:rPr>
          <w:w w:val="105"/>
        </w:rPr>
        <w:t>the</w:t>
      </w:r>
      <w:r>
        <w:rPr>
          <w:spacing w:val="7"/>
          <w:w w:val="105"/>
        </w:rPr>
        <w:t> </w:t>
      </w:r>
      <w:r>
        <w:rPr>
          <w:spacing w:val="3"/>
          <w:w w:val="105"/>
        </w:rPr>
        <w:t>food</w:t>
      </w:r>
      <w:r>
        <w:rPr>
          <w:spacing w:val="6"/>
          <w:w w:val="105"/>
        </w:rPr>
        <w:t> </w:t>
      </w:r>
      <w:r>
        <w:rPr>
          <w:w w:val="105"/>
        </w:rPr>
        <w:t>within</w:t>
      </w:r>
      <w:r>
        <w:rPr>
          <w:spacing w:val="7"/>
          <w:w w:val="105"/>
        </w:rPr>
        <w:t> </w:t>
      </w:r>
      <w:r>
        <w:rPr>
          <w:w w:val="105"/>
        </w:rPr>
        <w:t>the</w:t>
      </w:r>
      <w:r>
        <w:rPr>
          <w:spacing w:val="5"/>
          <w:w w:val="105"/>
        </w:rPr>
        <w:t> </w:t>
      </w:r>
      <w:r>
        <w:rPr>
          <w:spacing w:val="-4"/>
          <w:w w:val="105"/>
        </w:rPr>
        <w:t>maxRT</w:t>
      </w:r>
      <w:r>
        <w:rPr>
          <w:spacing w:val="7"/>
          <w:w w:val="105"/>
        </w:rPr>
        <w:t> </w:t>
      </w:r>
      <w:r>
        <w:rPr>
          <w:w w:val="105"/>
        </w:rPr>
        <w:t>window</w:t>
      </w:r>
      <w:r>
        <w:rPr>
          <w:spacing w:val="6"/>
          <w:w w:val="105"/>
        </w:rPr>
        <w:t> </w:t>
      </w:r>
      <w:r>
        <w:rPr>
          <w:w w:val="105"/>
        </w:rPr>
        <w:t>and</w:t>
      </w:r>
      <w:r>
        <w:rPr>
          <w:spacing w:val="6"/>
          <w:w w:val="105"/>
        </w:rPr>
        <w:t> </w:t>
      </w:r>
      <w:r>
        <w:rPr>
          <w:w w:val="105"/>
        </w:rPr>
        <w:t>a</w:t>
      </w:r>
      <w:r>
        <w:rPr>
          <w:spacing w:val="6"/>
          <w:w w:val="105"/>
        </w:rPr>
        <w:t> </w:t>
      </w:r>
      <w:r>
        <w:rPr>
          <w:w w:val="105"/>
        </w:rPr>
        <w:t>successful</w:t>
      </w:r>
      <w:r>
        <w:rPr>
          <w:spacing w:val="6"/>
          <w:w w:val="105"/>
        </w:rPr>
        <w:t> </w:t>
      </w:r>
      <w:r>
        <w:rPr>
          <w:w w:val="105"/>
        </w:rPr>
        <w:t>stop</w:t>
      </w:r>
      <w:r>
        <w:rPr>
          <w:spacing w:val="7"/>
          <w:w w:val="105"/>
        </w:rPr>
        <w:t> </w:t>
      </w:r>
      <w:r>
        <w:rPr>
          <w:w w:val="105"/>
        </w:rPr>
        <w:t>(i.e.,</w:t>
      </w:r>
      <w:r>
        <w:rPr>
          <w:spacing w:val="6"/>
          <w:w w:val="105"/>
        </w:rPr>
        <w:t> </w:t>
      </w:r>
      <w:r>
        <w:rPr>
          <w:w w:val="105"/>
        </w:rPr>
        <w:t>correct</w:t>
      </w:r>
      <w:r>
        <w:rPr>
          <w:spacing w:val="7"/>
          <w:w w:val="105"/>
        </w:rPr>
        <w:t> </w:t>
      </w:r>
      <w:r>
        <w:rPr>
          <w:w w:val="105"/>
        </w:rPr>
        <w:t>signal</w:t>
      </w:r>
    </w:p>
    <w:p>
      <w:pPr>
        <w:pStyle w:val="BodyText"/>
      </w:pPr>
      <w:r>
        <w:rPr>
          <w:rFonts w:ascii="Arial"/>
          <w:w w:val="110"/>
          <w:sz w:val="12"/>
        </w:rPr>
        <w:t>271 </w:t>
      </w:r>
      <w:r>
        <w:rPr>
          <w:w w:val="110"/>
        </w:rPr>
        <w:t>trial) was considered when participants did not respond at all. Incorrect responses in</w:t>
      </w:r>
    </w:p>
    <w:p>
      <w:pPr>
        <w:pStyle w:val="BodyText"/>
      </w:pPr>
      <w:r>
        <w:rPr>
          <w:rFonts w:ascii="Arial"/>
          <w:w w:val="105"/>
          <w:sz w:val="12"/>
        </w:rPr>
        <w:t>272     </w:t>
      </w:r>
      <w:r>
        <w:rPr>
          <w:w w:val="105"/>
        </w:rPr>
        <w:t>no-signal trials refer to either to a wrong location judgement or a missed response.  Left</w:t>
      </w:r>
      <w:r>
        <w:rPr>
          <w:spacing w:val="60"/>
          <w:w w:val="105"/>
        </w:rPr>
        <w:t> </w:t>
      </w:r>
      <w:r>
        <w:rPr>
          <w:w w:val="105"/>
        </w:rPr>
        <w:t>and</w:t>
      </w:r>
    </w:p>
    <w:p>
      <w:pPr>
        <w:pStyle w:val="BodyText"/>
        <w:spacing w:before="203"/>
      </w:pPr>
      <w:r>
        <w:rPr>
          <w:rFonts w:ascii="Arial"/>
          <w:w w:val="105"/>
          <w:sz w:val="12"/>
        </w:rPr>
        <w:t>273    </w:t>
      </w:r>
      <w:r>
        <w:rPr>
          <w:rFonts w:ascii="Arial"/>
          <w:spacing w:val="9"/>
          <w:w w:val="105"/>
          <w:sz w:val="12"/>
        </w:rPr>
        <w:t> </w:t>
      </w:r>
      <w:r>
        <w:rPr>
          <w:w w:val="105"/>
        </w:rPr>
        <w:t>right</w:t>
      </w:r>
      <w:r>
        <w:rPr>
          <w:spacing w:val="9"/>
          <w:w w:val="105"/>
        </w:rPr>
        <w:t> </w:t>
      </w:r>
      <w:r>
        <w:rPr>
          <w:w w:val="105"/>
        </w:rPr>
        <w:t>responses</w:t>
      </w:r>
      <w:r>
        <w:rPr>
          <w:spacing w:val="9"/>
          <w:w w:val="105"/>
        </w:rPr>
        <w:t> </w:t>
      </w:r>
      <w:r>
        <w:rPr>
          <w:w w:val="105"/>
        </w:rPr>
        <w:t>were</w:t>
      </w:r>
      <w:r>
        <w:rPr>
          <w:spacing w:val="9"/>
          <w:w w:val="105"/>
        </w:rPr>
        <w:t> </w:t>
      </w:r>
      <w:r>
        <w:rPr>
          <w:w w:val="105"/>
        </w:rPr>
        <w:t>counterbalanced</w:t>
      </w:r>
      <w:r>
        <w:rPr>
          <w:spacing w:val="10"/>
          <w:w w:val="105"/>
        </w:rPr>
        <w:t> </w:t>
      </w:r>
      <w:r>
        <w:rPr>
          <w:w w:val="105"/>
        </w:rPr>
        <w:t>across</w:t>
      </w:r>
      <w:r>
        <w:rPr>
          <w:spacing w:val="8"/>
          <w:w w:val="105"/>
        </w:rPr>
        <w:t> </w:t>
      </w:r>
      <w:r>
        <w:rPr>
          <w:w w:val="105"/>
        </w:rPr>
        <w:t>all</w:t>
      </w:r>
      <w:r>
        <w:rPr>
          <w:spacing w:val="9"/>
          <w:w w:val="105"/>
        </w:rPr>
        <w:t> </w:t>
      </w:r>
      <w:r>
        <w:rPr>
          <w:w w:val="105"/>
        </w:rPr>
        <w:t>manipulated</w:t>
      </w:r>
      <w:r>
        <w:rPr>
          <w:spacing w:val="9"/>
          <w:w w:val="105"/>
        </w:rPr>
        <w:t> </w:t>
      </w:r>
      <w:r>
        <w:rPr>
          <w:spacing w:val="-3"/>
          <w:w w:val="105"/>
        </w:rPr>
        <w:t>variables</w:t>
      </w:r>
      <w:r>
        <w:rPr>
          <w:spacing w:val="9"/>
          <w:w w:val="105"/>
        </w:rPr>
        <w:t> </w:t>
      </w:r>
      <w:r>
        <w:rPr>
          <w:w w:val="105"/>
        </w:rPr>
        <w:t>for</w:t>
      </w:r>
      <w:r>
        <w:rPr>
          <w:spacing w:val="9"/>
          <w:w w:val="105"/>
        </w:rPr>
        <w:t> </w:t>
      </w:r>
      <w:r>
        <w:rPr>
          <w:w w:val="105"/>
        </w:rPr>
        <w:t>each</w:t>
      </w:r>
      <w:r>
        <w:rPr>
          <w:spacing w:val="8"/>
          <w:w w:val="105"/>
        </w:rPr>
        <w:t> </w:t>
      </w:r>
      <w:r>
        <w:rPr>
          <w:w w:val="105"/>
        </w:rPr>
        <w:t>type</w:t>
      </w:r>
      <w:r>
        <w:rPr>
          <w:spacing w:val="10"/>
          <w:w w:val="105"/>
        </w:rPr>
        <w:t> </w:t>
      </w:r>
      <w:r>
        <w:rPr>
          <w:w w:val="105"/>
        </w:rPr>
        <w:t>of</w:t>
      </w:r>
      <w:r>
        <w:rPr>
          <w:spacing w:val="9"/>
          <w:w w:val="105"/>
        </w:rPr>
        <w:t> </w:t>
      </w:r>
      <w:r>
        <w:rPr>
          <w:w w:val="105"/>
        </w:rPr>
        <w:t>trial.</w:t>
      </w:r>
    </w:p>
    <w:p>
      <w:pPr>
        <w:pStyle w:val="BodyText"/>
      </w:pPr>
      <w:r>
        <w:rPr>
          <w:rFonts w:ascii="Arial"/>
          <w:w w:val="105"/>
          <w:sz w:val="12"/>
        </w:rPr>
        <w:t>274    </w:t>
      </w:r>
      <w:r>
        <w:rPr>
          <w:rFonts w:ascii="Arial"/>
          <w:spacing w:val="3"/>
          <w:w w:val="105"/>
          <w:sz w:val="12"/>
        </w:rPr>
        <w:t> </w:t>
      </w:r>
      <w:r>
        <w:rPr>
          <w:spacing w:val="-4"/>
          <w:w w:val="105"/>
        </w:rPr>
        <w:t>Training</w:t>
      </w:r>
      <w:r>
        <w:rPr>
          <w:spacing w:val="10"/>
          <w:w w:val="105"/>
        </w:rPr>
        <w:t> </w:t>
      </w:r>
      <w:r>
        <w:rPr>
          <w:spacing w:val="-3"/>
          <w:w w:val="105"/>
        </w:rPr>
        <w:t>was</w:t>
      </w:r>
      <w:r>
        <w:rPr>
          <w:spacing w:val="9"/>
          <w:w w:val="105"/>
        </w:rPr>
        <w:t> </w:t>
      </w:r>
      <w:r>
        <w:rPr>
          <w:w w:val="105"/>
        </w:rPr>
        <w:t>split</w:t>
      </w:r>
      <w:r>
        <w:rPr>
          <w:spacing w:val="10"/>
          <w:w w:val="105"/>
        </w:rPr>
        <w:t> </w:t>
      </w:r>
      <w:r>
        <w:rPr>
          <w:w w:val="105"/>
        </w:rPr>
        <w:t>into</w:t>
      </w:r>
      <w:r>
        <w:rPr>
          <w:spacing w:val="10"/>
          <w:w w:val="105"/>
        </w:rPr>
        <w:t> </w:t>
      </w:r>
      <w:r>
        <w:rPr>
          <w:w w:val="105"/>
        </w:rPr>
        <w:t>6</w:t>
      </w:r>
      <w:r>
        <w:rPr>
          <w:spacing w:val="9"/>
          <w:w w:val="105"/>
        </w:rPr>
        <w:t> </w:t>
      </w:r>
      <w:r>
        <w:rPr>
          <w:w w:val="105"/>
        </w:rPr>
        <w:t>blocks</w:t>
      </w:r>
      <w:r>
        <w:rPr>
          <w:spacing w:val="10"/>
          <w:w w:val="105"/>
        </w:rPr>
        <w:t> </w:t>
      </w:r>
      <w:r>
        <w:rPr>
          <w:w w:val="105"/>
        </w:rPr>
        <w:t>of</w:t>
      </w:r>
      <w:r>
        <w:rPr>
          <w:spacing w:val="9"/>
          <w:w w:val="105"/>
        </w:rPr>
        <w:t> </w:t>
      </w:r>
      <w:r>
        <w:rPr>
          <w:w w:val="105"/>
        </w:rPr>
        <w:t>36</w:t>
      </w:r>
      <w:r>
        <w:rPr>
          <w:spacing w:val="10"/>
          <w:w w:val="105"/>
        </w:rPr>
        <w:t> </w:t>
      </w:r>
      <w:r>
        <w:rPr>
          <w:w w:val="105"/>
        </w:rPr>
        <w:t>trials</w:t>
      </w:r>
      <w:r>
        <w:rPr>
          <w:spacing w:val="9"/>
          <w:w w:val="105"/>
        </w:rPr>
        <w:t> </w:t>
      </w:r>
      <w:r>
        <w:rPr>
          <w:w w:val="105"/>
        </w:rPr>
        <w:t>(216</w:t>
      </w:r>
      <w:r>
        <w:rPr>
          <w:spacing w:val="9"/>
          <w:w w:val="105"/>
        </w:rPr>
        <w:t> </w:t>
      </w:r>
      <w:r>
        <w:rPr>
          <w:w w:val="105"/>
        </w:rPr>
        <w:t>trials</w:t>
      </w:r>
      <w:r>
        <w:rPr>
          <w:spacing w:val="10"/>
          <w:w w:val="105"/>
        </w:rPr>
        <w:t> </w:t>
      </w:r>
      <w:r>
        <w:rPr>
          <w:w w:val="105"/>
        </w:rPr>
        <w:t>in</w:t>
      </w:r>
      <w:r>
        <w:rPr>
          <w:spacing w:val="9"/>
          <w:w w:val="105"/>
        </w:rPr>
        <w:t> </w:t>
      </w:r>
      <w:r>
        <w:rPr>
          <w:w w:val="105"/>
        </w:rPr>
        <w:t>total)</w:t>
      </w:r>
      <w:r>
        <w:rPr>
          <w:spacing w:val="10"/>
          <w:w w:val="105"/>
        </w:rPr>
        <w:t> </w:t>
      </w:r>
      <w:r>
        <w:rPr>
          <w:w w:val="105"/>
        </w:rPr>
        <w:t>and</w:t>
      </w:r>
      <w:r>
        <w:rPr>
          <w:spacing w:val="9"/>
          <w:w w:val="105"/>
        </w:rPr>
        <w:t> </w:t>
      </w:r>
      <w:r>
        <w:rPr>
          <w:w w:val="105"/>
        </w:rPr>
        <w:t>lasted</w:t>
      </w:r>
      <w:r>
        <w:rPr>
          <w:spacing w:val="9"/>
          <w:w w:val="105"/>
        </w:rPr>
        <w:t> </w:t>
      </w:r>
      <w:r>
        <w:rPr>
          <w:w w:val="105"/>
        </w:rPr>
        <w:t>approximately</w:t>
      </w:r>
      <w:r>
        <w:rPr>
          <w:spacing w:val="10"/>
          <w:w w:val="105"/>
        </w:rPr>
        <w:t> </w:t>
      </w:r>
      <w:r>
        <w:rPr>
          <w:w w:val="105"/>
        </w:rPr>
        <w:t>10</w:t>
      </w:r>
    </w:p>
    <w:p>
      <w:pPr>
        <w:pStyle w:val="BodyText"/>
      </w:pPr>
      <w:r>
        <w:rPr>
          <w:rFonts w:ascii="Arial"/>
          <w:w w:val="105"/>
          <w:sz w:val="12"/>
        </w:rPr>
        <w:t>275 </w:t>
      </w:r>
      <w:r>
        <w:rPr>
          <w:w w:val="105"/>
        </w:rPr>
        <w:t>minutes with inter-block breaks (15s). Task practice included 12 trials of go and no-go</w:t>
      </w:r>
    </w:p>
    <w:p>
      <w:pPr>
        <w:pStyle w:val="BodyText"/>
      </w:pPr>
      <w:r>
        <w:rPr>
          <w:rFonts w:ascii="Arial"/>
          <w:w w:val="105"/>
          <w:sz w:val="12"/>
        </w:rPr>
        <w:t>276 </w:t>
      </w:r>
      <w:r>
        <w:rPr>
          <w:w w:val="105"/>
        </w:rPr>
        <w:t>responses (50%-50%) and participants responded to the location of grey squares, instead of</w:t>
      </w:r>
    </w:p>
    <w:p>
      <w:pPr>
        <w:pStyle w:val="BodyText"/>
      </w:pPr>
      <w:r>
        <w:rPr>
          <w:rFonts w:ascii="Arial"/>
          <w:w w:val="105"/>
          <w:sz w:val="12"/>
        </w:rPr>
        <w:t>277 </w:t>
      </w:r>
      <w:r>
        <w:rPr>
          <w:w w:val="105"/>
        </w:rPr>
        <w:t>food pictures. For the practice trials, accuracy feedback was provided during the ITI.</w:t>
      </w:r>
    </w:p>
    <w:p>
      <w:pPr>
        <w:pStyle w:val="BodyText"/>
        <w:spacing w:before="0"/>
        <w:ind w:left="0"/>
        <w:rPr>
          <w:sz w:val="20"/>
        </w:rPr>
      </w:pPr>
    </w:p>
    <w:p>
      <w:pPr>
        <w:pStyle w:val="BodyText"/>
        <w:spacing w:before="0"/>
        <w:ind w:left="0"/>
        <w:rPr>
          <w:sz w:val="20"/>
        </w:rPr>
      </w:pPr>
    </w:p>
    <w:p>
      <w:pPr>
        <w:pStyle w:val="BodyText"/>
        <w:spacing w:before="0"/>
        <w:ind w:left="0"/>
        <w:rPr>
          <w:sz w:val="26"/>
        </w:rPr>
      </w:pPr>
    </w:p>
    <w:p>
      <w:pPr>
        <w:pStyle w:val="Heading1"/>
      </w:pPr>
      <w:r>
        <w:rPr>
          <w:rFonts w:ascii="Arial"/>
          <w:b w:val="0"/>
          <w:w w:val="110"/>
          <w:sz w:val="12"/>
        </w:rPr>
        <w:t>278</w:t>
      </w:r>
      <w:bookmarkStart w:name="Approach avoidance task" w:id="21"/>
      <w:bookmarkEnd w:id="21"/>
      <w:r>
        <w:rPr>
          <w:rFonts w:ascii="Arial"/>
          <w:b w:val="0"/>
          <w:w w:val="110"/>
          <w:sz w:val="12"/>
        </w:rPr>
      </w:r>
      <w:bookmarkStart w:name="_bookmark8" w:id="22"/>
      <w:bookmarkEnd w:id="22"/>
      <w:r>
        <w:rPr>
          <w:rFonts w:ascii="Arial"/>
          <w:b w:val="0"/>
          <w:w w:val="110"/>
          <w:sz w:val="12"/>
        </w:rPr>
      </w:r>
      <w:r>
        <w:rPr>
          <w:rFonts w:ascii="Arial"/>
          <w:b w:val="0"/>
          <w:w w:val="110"/>
          <w:sz w:val="12"/>
        </w:rPr>
        <w:t> </w:t>
      </w:r>
      <w:r>
        <w:rPr>
          <w:w w:val="110"/>
        </w:rPr>
        <w:t>Approach avoidance task</w:t>
      </w:r>
    </w:p>
    <w:p>
      <w:pPr>
        <w:pStyle w:val="BodyText"/>
        <w:spacing w:before="0"/>
        <w:ind w:left="0"/>
        <w:rPr>
          <w:b/>
          <w:sz w:val="20"/>
        </w:rPr>
      </w:pPr>
    </w:p>
    <w:p>
      <w:pPr>
        <w:pStyle w:val="BodyText"/>
        <w:spacing w:before="0"/>
        <w:ind w:left="0"/>
        <w:rPr>
          <w:b/>
          <w:sz w:val="20"/>
        </w:rPr>
      </w:pPr>
    </w:p>
    <w:p>
      <w:pPr>
        <w:pStyle w:val="BodyText"/>
        <w:tabs>
          <w:tab w:pos="1195" w:val="left" w:leader="none"/>
        </w:tabs>
        <w:spacing w:before="283"/>
      </w:pPr>
      <w:r>
        <w:rPr>
          <w:rFonts w:ascii="Arial"/>
          <w:w w:val="105"/>
          <w:sz w:val="12"/>
        </w:rPr>
        <w:t>279</w:t>
        <w:tab/>
      </w:r>
      <w:r>
        <w:rPr>
          <w:w w:val="105"/>
        </w:rPr>
        <w:t>The approach-avoidance task </w:t>
      </w:r>
      <w:r>
        <w:rPr>
          <w:spacing w:val="-5"/>
          <w:w w:val="105"/>
        </w:rPr>
        <w:t>(AAT) </w:t>
      </w:r>
      <w:r>
        <w:rPr>
          <w:spacing w:val="-3"/>
          <w:w w:val="105"/>
        </w:rPr>
        <w:t>was </w:t>
      </w:r>
      <w:r>
        <w:rPr>
          <w:w w:val="105"/>
        </w:rPr>
        <w:t>adapted from an existent paradigm (Rinck</w:t>
      </w:r>
      <w:r>
        <w:rPr>
          <w:spacing w:val="61"/>
          <w:w w:val="105"/>
        </w:rPr>
        <w:t> </w:t>
      </w:r>
      <w:r>
        <w:rPr>
          <w:w w:val="105"/>
        </w:rPr>
        <w:t>&amp;</w:t>
      </w:r>
    </w:p>
    <w:p>
      <w:pPr>
        <w:pStyle w:val="BodyText"/>
      </w:pPr>
      <w:r>
        <w:rPr>
          <w:rFonts w:ascii="Arial" w:hAnsi="Arial"/>
          <w:sz w:val="12"/>
        </w:rPr>
        <w:t>280    </w:t>
      </w:r>
      <w:r>
        <w:rPr>
          <w:rFonts w:ascii="Arial" w:hAnsi="Arial"/>
          <w:spacing w:val="33"/>
          <w:sz w:val="12"/>
        </w:rPr>
        <w:t> </w:t>
      </w:r>
      <w:r>
        <w:rPr/>
        <w:t>Becker,</w:t>
      </w:r>
      <w:r>
        <w:rPr>
          <w:spacing w:val="11"/>
        </w:rPr>
        <w:t> </w:t>
      </w:r>
      <w:r>
        <w:rPr/>
        <w:t>2007;</w:t>
      </w:r>
      <w:r>
        <w:rPr>
          <w:spacing w:val="13"/>
        </w:rPr>
        <w:t> </w:t>
      </w:r>
      <w:r>
        <w:rPr/>
        <w:t>Wiers,</w:t>
      </w:r>
      <w:r>
        <w:rPr>
          <w:spacing w:val="12"/>
        </w:rPr>
        <w:t> </w:t>
      </w:r>
      <w:r>
        <w:rPr/>
        <w:t>Rinck,</w:t>
      </w:r>
      <w:r>
        <w:rPr>
          <w:spacing w:val="11"/>
        </w:rPr>
        <w:t> </w:t>
      </w:r>
      <w:r>
        <w:rPr/>
        <w:t>Dictus,</w:t>
      </w:r>
      <w:r>
        <w:rPr>
          <w:spacing w:val="11"/>
        </w:rPr>
        <w:t> </w:t>
      </w:r>
      <w:r>
        <w:rPr/>
        <w:t>&amp;</w:t>
      </w:r>
      <w:r>
        <w:rPr>
          <w:spacing w:val="10"/>
        </w:rPr>
        <w:t> </w:t>
      </w:r>
      <w:r>
        <w:rPr>
          <w:spacing w:val="-7"/>
        </w:rPr>
        <w:t>Van</w:t>
      </w:r>
      <w:r>
        <w:rPr>
          <w:spacing w:val="11"/>
        </w:rPr>
        <w:t> </w:t>
      </w:r>
      <w:r>
        <w:rPr/>
        <w:t>Den</w:t>
      </w:r>
      <w:r>
        <w:rPr>
          <w:spacing w:val="10"/>
        </w:rPr>
        <w:t> </w:t>
      </w:r>
      <w:r>
        <w:rPr/>
        <w:t>Wildenberg,</w:t>
      </w:r>
      <w:r>
        <w:rPr>
          <w:spacing w:val="11"/>
        </w:rPr>
        <w:t> </w:t>
      </w:r>
      <w:r>
        <w:rPr/>
        <w:t>2009),</w:t>
      </w:r>
      <w:r>
        <w:rPr>
          <w:spacing w:val="11"/>
        </w:rPr>
        <w:t> </w:t>
      </w:r>
      <w:r>
        <w:rPr/>
        <w:t>which</w:t>
      </w:r>
      <w:r>
        <w:rPr>
          <w:spacing w:val="11"/>
        </w:rPr>
        <w:t> </w:t>
      </w:r>
      <w:r>
        <w:rPr>
          <w:spacing w:val="-3"/>
        </w:rPr>
        <w:t>involves</w:t>
      </w:r>
      <w:r>
        <w:rPr>
          <w:spacing w:val="10"/>
        </w:rPr>
        <w:t> </w:t>
      </w:r>
      <w:r>
        <w:rPr/>
        <w:t>“pull”</w:t>
      </w:r>
      <w:r>
        <w:rPr>
          <w:spacing w:val="10"/>
        </w:rPr>
        <w:t> </w:t>
      </w:r>
      <w:r>
        <w:rPr/>
        <w:t>(i.e.,</w:t>
      </w:r>
    </w:p>
    <w:p>
      <w:pPr>
        <w:pStyle w:val="BodyText"/>
      </w:pPr>
      <w:r>
        <w:rPr>
          <w:rFonts w:ascii="Arial" w:hAnsi="Arial"/>
          <w:w w:val="105"/>
          <w:sz w:val="12"/>
        </w:rPr>
        <w:t>281 </w:t>
      </w:r>
      <w:r>
        <w:rPr>
          <w:w w:val="105"/>
        </w:rPr>
        <w:t>towards self) and “push” (i.e, away from self) movements of a joystick. Each type of motor</w:t>
      </w:r>
    </w:p>
    <w:p>
      <w:pPr>
        <w:pStyle w:val="BodyText"/>
        <w:spacing w:before="203"/>
      </w:pPr>
      <w:r>
        <w:rPr>
          <w:rFonts w:ascii="Arial"/>
          <w:w w:val="105"/>
          <w:sz w:val="12"/>
        </w:rPr>
        <w:t>282 </w:t>
      </w:r>
      <w:r>
        <w:rPr>
          <w:w w:val="105"/>
        </w:rPr>
        <w:t>response is paired with visual feedback so that when the joystick is pulled, the image gets</w:t>
      </w:r>
    </w:p>
    <w:p>
      <w:pPr>
        <w:pStyle w:val="BodyText"/>
      </w:pPr>
      <w:r>
        <w:rPr>
          <w:rFonts w:ascii="Arial" w:hAnsi="Arial"/>
          <w:w w:val="105"/>
          <w:sz w:val="12"/>
        </w:rPr>
        <w:t>283 </w:t>
      </w:r>
      <w:r>
        <w:rPr>
          <w:w w:val="105"/>
        </w:rPr>
        <w:t>bigger (zoom-in) and when it is pushed, the image gets smaller (zoom-out). This “zooming”</w:t>
      </w:r>
    </w:p>
    <w:p>
      <w:pPr>
        <w:pStyle w:val="BodyText"/>
      </w:pPr>
      <w:r>
        <w:rPr>
          <w:rFonts w:ascii="Arial"/>
          <w:sz w:val="12"/>
        </w:rPr>
        <w:t>284     </w:t>
      </w:r>
      <w:r>
        <w:rPr>
          <w:rFonts w:ascii="Arial"/>
          <w:spacing w:val="21"/>
          <w:sz w:val="12"/>
        </w:rPr>
        <w:t> </w:t>
      </w:r>
      <w:r>
        <w:rPr/>
        <w:t>effects</w:t>
      </w:r>
      <w:r>
        <w:rPr>
          <w:spacing w:val="25"/>
        </w:rPr>
        <w:t> </w:t>
      </w:r>
      <w:r>
        <w:rPr/>
        <w:t>acts</w:t>
      </w:r>
      <w:r>
        <w:rPr>
          <w:spacing w:val="25"/>
        </w:rPr>
        <w:t> </w:t>
      </w:r>
      <w:r>
        <w:rPr/>
        <w:t>as</w:t>
      </w:r>
      <w:r>
        <w:rPr>
          <w:spacing w:val="24"/>
        </w:rPr>
        <w:t> </w:t>
      </w:r>
      <w:r>
        <w:rPr/>
        <w:t>an</w:t>
      </w:r>
      <w:r>
        <w:rPr>
          <w:spacing w:val="25"/>
        </w:rPr>
        <w:t> </w:t>
      </w:r>
      <w:r>
        <w:rPr/>
        <w:t>exteroceptive</w:t>
      </w:r>
      <w:r>
        <w:rPr>
          <w:spacing w:val="25"/>
        </w:rPr>
        <w:t> </w:t>
      </w:r>
      <w:r>
        <w:rPr/>
        <w:t>cue</w:t>
      </w:r>
      <w:r>
        <w:rPr>
          <w:spacing w:val="25"/>
        </w:rPr>
        <w:t> </w:t>
      </w:r>
      <w:r>
        <w:rPr/>
        <w:t>of</w:t>
      </w:r>
      <w:r>
        <w:rPr>
          <w:spacing w:val="24"/>
        </w:rPr>
        <w:t> </w:t>
      </w:r>
      <w:r>
        <w:rPr/>
        <w:t>either</w:t>
      </w:r>
      <w:r>
        <w:rPr>
          <w:spacing w:val="25"/>
        </w:rPr>
        <w:t> </w:t>
      </w:r>
      <w:r>
        <w:rPr/>
        <w:t>an</w:t>
      </w:r>
      <w:r>
        <w:rPr>
          <w:spacing w:val="25"/>
        </w:rPr>
        <w:t> </w:t>
      </w:r>
      <w:r>
        <w:rPr/>
        <w:t>approach</w:t>
      </w:r>
      <w:r>
        <w:rPr>
          <w:spacing w:val="24"/>
        </w:rPr>
        <w:t> </w:t>
      </w:r>
      <w:r>
        <w:rPr/>
        <w:t>or</w:t>
      </w:r>
      <w:r>
        <w:rPr>
          <w:spacing w:val="25"/>
        </w:rPr>
        <w:t> </w:t>
      </w:r>
      <w:r>
        <w:rPr>
          <w:spacing w:val="-3"/>
        </w:rPr>
        <w:t>avoidance</w:t>
      </w:r>
      <w:r>
        <w:rPr>
          <w:spacing w:val="25"/>
        </w:rPr>
        <w:t> </w:t>
      </w:r>
      <w:r>
        <w:rPr/>
        <w:t>response</w:t>
      </w:r>
      <w:r>
        <w:rPr>
          <w:spacing w:val="25"/>
        </w:rPr>
        <w:t> </w:t>
      </w:r>
      <w:r>
        <w:rPr/>
        <w:t>(Neumann</w:t>
      </w:r>
      <w:r>
        <w:rPr>
          <w:spacing w:val="24"/>
        </w:rPr>
        <w:t> </w:t>
      </w:r>
      <w:r>
        <w:rPr/>
        <w:t>&amp;</w:t>
      </w:r>
    </w:p>
    <w:p>
      <w:pPr>
        <w:pStyle w:val="BodyText"/>
      </w:pPr>
      <w:r>
        <w:rPr>
          <w:rFonts w:ascii="Arial"/>
          <w:sz w:val="12"/>
        </w:rPr>
        <w:t>285     </w:t>
      </w:r>
      <w:r>
        <w:rPr>
          <w:rFonts w:ascii="Arial"/>
          <w:spacing w:val="32"/>
          <w:sz w:val="12"/>
        </w:rPr>
        <w:t> </w:t>
      </w:r>
      <w:r>
        <w:rPr/>
        <w:t>Strack,</w:t>
      </w:r>
      <w:r>
        <w:rPr>
          <w:spacing w:val="27"/>
        </w:rPr>
        <w:t> </w:t>
      </w:r>
      <w:r>
        <w:rPr/>
        <w:t>2000).</w:t>
      </w:r>
      <w:r>
        <w:rPr>
          <w:spacing w:val="59"/>
        </w:rPr>
        <w:t> </w:t>
      </w:r>
      <w:r>
        <w:rPr/>
        <w:t>This</w:t>
      </w:r>
      <w:r>
        <w:rPr>
          <w:spacing w:val="25"/>
        </w:rPr>
        <w:t> </w:t>
      </w:r>
      <w:r>
        <w:rPr/>
        <w:t>feature</w:t>
      </w:r>
      <w:r>
        <w:rPr>
          <w:spacing w:val="27"/>
        </w:rPr>
        <w:t> </w:t>
      </w:r>
      <w:r>
        <w:rPr/>
        <w:t>of</w:t>
      </w:r>
      <w:r>
        <w:rPr>
          <w:spacing w:val="25"/>
        </w:rPr>
        <w:t> </w:t>
      </w:r>
      <w:r>
        <w:rPr/>
        <w:t>the</w:t>
      </w:r>
      <w:r>
        <w:rPr>
          <w:spacing w:val="27"/>
        </w:rPr>
        <w:t> </w:t>
      </w:r>
      <w:r>
        <w:rPr>
          <w:spacing w:val="-3"/>
        </w:rPr>
        <w:t>joystick</w:t>
      </w:r>
      <w:r>
        <w:rPr>
          <w:spacing w:val="26"/>
        </w:rPr>
        <w:t> </w:t>
      </w:r>
      <w:r>
        <w:rPr>
          <w:spacing w:val="-7"/>
        </w:rPr>
        <w:t>AAT</w:t>
      </w:r>
      <w:r>
        <w:rPr>
          <w:spacing w:val="25"/>
        </w:rPr>
        <w:t> </w:t>
      </w:r>
      <w:r>
        <w:rPr/>
        <w:t>complements</w:t>
      </w:r>
      <w:r>
        <w:rPr>
          <w:spacing w:val="26"/>
        </w:rPr>
        <w:t> </w:t>
      </w:r>
      <w:r>
        <w:rPr/>
        <w:t>the</w:t>
      </w:r>
      <w:r>
        <w:rPr>
          <w:spacing w:val="26"/>
        </w:rPr>
        <w:t> </w:t>
      </w:r>
      <w:r>
        <w:rPr/>
        <w:t>proprioceptive</w:t>
      </w:r>
      <w:r>
        <w:rPr>
          <w:spacing w:val="27"/>
        </w:rPr>
        <w:t> </w:t>
      </w:r>
      <w:r>
        <w:rPr/>
        <w:t>properties</w:t>
      </w:r>
      <w:r>
        <w:rPr>
          <w:spacing w:val="26"/>
        </w:rPr>
        <w:t> </w:t>
      </w:r>
      <w:r>
        <w:rPr/>
        <w:t>of</w:t>
      </w:r>
    </w:p>
    <w:p>
      <w:pPr>
        <w:pStyle w:val="BodyText"/>
      </w:pPr>
      <w:r>
        <w:rPr>
          <w:rFonts w:ascii="Arial"/>
          <w:w w:val="105"/>
          <w:sz w:val="12"/>
        </w:rPr>
        <w:t>286 </w:t>
      </w:r>
      <w:r>
        <w:rPr>
          <w:w w:val="105"/>
        </w:rPr>
        <w:t>the task, where responses requiring arm flexion and extension correspond to approach and</w:t>
      </w:r>
    </w:p>
    <w:p>
      <w:pPr>
        <w:pStyle w:val="BodyText"/>
      </w:pPr>
      <w:r>
        <w:rPr>
          <w:rFonts w:ascii="Arial"/>
          <w:w w:val="105"/>
          <w:sz w:val="12"/>
        </w:rPr>
        <w:t>287 </w:t>
      </w:r>
      <w:r>
        <w:rPr>
          <w:w w:val="105"/>
        </w:rPr>
        <w:t>avoidance trials, respectively. This task also disambiguates approach and avoidance</w:t>
      </w:r>
    </w:p>
    <w:p>
      <w:pPr>
        <w:pStyle w:val="BodyText"/>
        <w:spacing w:before="203"/>
      </w:pPr>
      <w:r>
        <w:rPr>
          <w:rFonts w:ascii="Arial" w:hAnsi="Arial"/>
          <w:w w:val="105"/>
          <w:sz w:val="12"/>
        </w:rPr>
        <w:t>288     </w:t>
      </w:r>
      <w:r>
        <w:rPr>
          <w:w w:val="105"/>
        </w:rPr>
        <w:t>responses </w:t>
      </w:r>
      <w:r>
        <w:rPr>
          <w:spacing w:val="-4"/>
          <w:w w:val="105"/>
        </w:rPr>
        <w:t>by </w:t>
      </w:r>
      <w:r>
        <w:rPr>
          <w:w w:val="105"/>
        </w:rPr>
        <w:t>using the “zooming” feature (Wiers et al., 2009), as previously explained. </w:t>
      </w:r>
      <w:r>
        <w:rPr>
          <w:spacing w:val="34"/>
          <w:w w:val="105"/>
        </w:rPr>
        <w:t> </w:t>
      </w:r>
      <w:r>
        <w:rPr>
          <w:w w:val="105"/>
        </w:rPr>
        <w:t>The</w:t>
      </w:r>
    </w:p>
    <w:p>
      <w:pPr>
        <w:pStyle w:val="BodyText"/>
      </w:pPr>
      <w:r>
        <w:rPr>
          <w:rFonts w:ascii="Arial"/>
          <w:w w:val="105"/>
          <w:sz w:val="12"/>
        </w:rPr>
        <w:t>289    </w:t>
      </w:r>
      <w:r>
        <w:rPr>
          <w:rFonts w:ascii="Arial"/>
          <w:spacing w:val="6"/>
          <w:w w:val="105"/>
          <w:sz w:val="12"/>
        </w:rPr>
        <w:t> </w:t>
      </w:r>
      <w:r>
        <w:rPr>
          <w:spacing w:val="-3"/>
          <w:w w:val="105"/>
        </w:rPr>
        <w:t>evaluation-irrelevant</w:t>
      </w:r>
      <w:r>
        <w:rPr>
          <w:spacing w:val="8"/>
          <w:w w:val="105"/>
        </w:rPr>
        <w:t> </w:t>
      </w:r>
      <w:r>
        <w:rPr>
          <w:w w:val="105"/>
        </w:rPr>
        <w:t>feature</w:t>
      </w:r>
      <w:r>
        <w:rPr>
          <w:spacing w:val="8"/>
          <w:w w:val="105"/>
        </w:rPr>
        <w:t> </w:t>
      </w:r>
      <w:r>
        <w:rPr>
          <w:w w:val="105"/>
        </w:rPr>
        <w:t>of</w:t>
      </w:r>
      <w:r>
        <w:rPr>
          <w:spacing w:val="7"/>
          <w:w w:val="105"/>
        </w:rPr>
        <w:t> </w:t>
      </w:r>
      <w:r>
        <w:rPr>
          <w:w w:val="105"/>
        </w:rPr>
        <w:t>the</w:t>
      </w:r>
      <w:r>
        <w:rPr>
          <w:spacing w:val="7"/>
          <w:w w:val="105"/>
        </w:rPr>
        <w:t> </w:t>
      </w:r>
      <w:r>
        <w:rPr>
          <w:w w:val="105"/>
        </w:rPr>
        <w:t>paradigm</w:t>
      </w:r>
      <w:r>
        <w:rPr>
          <w:spacing w:val="9"/>
          <w:w w:val="105"/>
        </w:rPr>
        <w:t> </w:t>
      </w:r>
      <w:r>
        <w:rPr>
          <w:spacing w:val="-3"/>
          <w:w w:val="105"/>
        </w:rPr>
        <w:t>was</w:t>
      </w:r>
      <w:r>
        <w:rPr>
          <w:spacing w:val="7"/>
          <w:w w:val="105"/>
        </w:rPr>
        <w:t> </w:t>
      </w:r>
      <w:r>
        <w:rPr>
          <w:w w:val="105"/>
        </w:rPr>
        <w:t>also</w:t>
      </w:r>
      <w:r>
        <w:rPr>
          <w:spacing w:val="7"/>
          <w:w w:val="105"/>
        </w:rPr>
        <w:t> </w:t>
      </w:r>
      <w:r>
        <w:rPr>
          <w:w w:val="105"/>
        </w:rPr>
        <w:t>incorporated</w:t>
      </w:r>
      <w:r>
        <w:rPr>
          <w:spacing w:val="8"/>
          <w:w w:val="105"/>
        </w:rPr>
        <w:t> </w:t>
      </w:r>
      <w:r>
        <w:rPr>
          <w:w w:val="105"/>
        </w:rPr>
        <w:t>and</w:t>
      </w:r>
      <w:r>
        <w:rPr>
          <w:spacing w:val="7"/>
          <w:w w:val="105"/>
        </w:rPr>
        <w:t> </w:t>
      </w:r>
      <w:r>
        <w:rPr>
          <w:w w:val="105"/>
        </w:rPr>
        <w:t>participants</w:t>
      </w:r>
      <w:r>
        <w:rPr>
          <w:spacing w:val="7"/>
          <w:w w:val="105"/>
        </w:rPr>
        <w:t> </w:t>
      </w:r>
      <w:r>
        <w:rPr>
          <w:w w:val="105"/>
        </w:rPr>
        <w:t>respond</w:t>
      </w:r>
    </w:p>
    <w:p>
      <w:pPr>
        <w:spacing w:after="0"/>
        <w:sectPr>
          <w:pgSz w:w="12240" w:h="15840"/>
          <w:pgMar w:header="649" w:footer="0" w:top="1320" w:bottom="280" w:left="820" w:right="1140"/>
        </w:sectPr>
      </w:pPr>
    </w:p>
    <w:p>
      <w:pPr>
        <w:pStyle w:val="BodyText"/>
        <w:spacing w:before="191"/>
      </w:pPr>
      <w:r>
        <w:rPr>
          <w:rFonts w:ascii="Arial"/>
          <w:w w:val="105"/>
          <w:sz w:val="12"/>
        </w:rPr>
        <w:t>290 </w:t>
      </w:r>
      <w:r>
        <w:rPr>
          <w:w w:val="105"/>
        </w:rPr>
        <w:t>according to the format of the picture (portrait or landscape; e.g., Wiers et al., 2010).</w:t>
      </w:r>
    </w:p>
    <w:p>
      <w:pPr>
        <w:pStyle w:val="BodyText"/>
        <w:spacing w:before="0"/>
        <w:ind w:left="0"/>
        <w:rPr>
          <w:sz w:val="20"/>
        </w:rPr>
      </w:pPr>
    </w:p>
    <w:p>
      <w:pPr>
        <w:pStyle w:val="BodyText"/>
        <w:spacing w:before="3"/>
        <w:ind w:left="0"/>
        <w:rPr>
          <w:sz w:val="18"/>
        </w:rPr>
      </w:pPr>
    </w:p>
    <w:p>
      <w:pPr>
        <w:pStyle w:val="BodyText"/>
        <w:tabs>
          <w:tab w:pos="1195" w:val="left" w:leader="none"/>
        </w:tabs>
        <w:spacing w:before="146"/>
      </w:pPr>
      <w:r>
        <w:rPr>
          <w:rFonts w:ascii="Arial" w:hAnsi="Arial"/>
          <w:w w:val="105"/>
          <w:sz w:val="12"/>
        </w:rPr>
        <w:t>291</w:t>
        <w:tab/>
      </w:r>
      <w:r>
        <w:rPr>
          <w:spacing w:val="-7"/>
          <w:w w:val="105"/>
        </w:rPr>
        <w:t>AAT </w:t>
      </w:r>
      <w:r>
        <w:rPr>
          <w:w w:val="105"/>
        </w:rPr>
        <w:t>responses </w:t>
      </w:r>
      <w:r>
        <w:rPr>
          <w:spacing w:val="-3"/>
          <w:w w:val="105"/>
        </w:rPr>
        <w:t>involved </w:t>
      </w:r>
      <w:r>
        <w:rPr>
          <w:w w:val="105"/>
        </w:rPr>
        <w:t>“push” and “pull” </w:t>
      </w:r>
      <w:r>
        <w:rPr>
          <w:spacing w:val="-3"/>
          <w:w w:val="105"/>
        </w:rPr>
        <w:t>movements </w:t>
      </w:r>
      <w:r>
        <w:rPr>
          <w:w w:val="105"/>
        </w:rPr>
        <w:t>of the computer</w:t>
      </w:r>
      <w:r>
        <w:rPr>
          <w:spacing w:val="11"/>
          <w:w w:val="105"/>
        </w:rPr>
        <w:t> </w:t>
      </w:r>
      <w:r>
        <w:rPr>
          <w:w w:val="105"/>
        </w:rPr>
        <w:t>mouse</w:t>
      </w:r>
    </w:p>
    <w:p>
      <w:pPr>
        <w:pStyle w:val="BodyText"/>
      </w:pPr>
      <w:r>
        <w:rPr>
          <w:rFonts w:ascii="Arial"/>
          <w:w w:val="105"/>
          <w:sz w:val="12"/>
        </w:rPr>
        <w:t>292 </w:t>
      </w:r>
      <w:r>
        <w:rPr>
          <w:w w:val="105"/>
        </w:rPr>
        <w:t>(adaptation of the joystick version). Food stimuli were presented in the centre of the screen</w:t>
      </w:r>
    </w:p>
    <w:p>
      <w:pPr>
        <w:pStyle w:val="BodyText"/>
      </w:pPr>
      <w:r>
        <w:rPr>
          <w:rFonts w:ascii="Arial"/>
          <w:w w:val="110"/>
          <w:sz w:val="12"/>
        </w:rPr>
        <w:t>293 </w:t>
      </w:r>
      <w:r>
        <w:rPr>
          <w:w w:val="110"/>
        </w:rPr>
        <w:t>and participants were instructed to pull the mouse towards them or push the mouse away</w:t>
      </w:r>
    </w:p>
    <w:p>
      <w:pPr>
        <w:pStyle w:val="BodyText"/>
      </w:pPr>
      <w:r>
        <w:rPr>
          <w:rFonts w:ascii="Arial"/>
          <w:w w:val="105"/>
          <w:sz w:val="12"/>
        </w:rPr>
        <w:t>294 </w:t>
      </w:r>
      <w:r>
        <w:rPr>
          <w:w w:val="105"/>
        </w:rPr>
        <w:t>from them according to whether the image was in portrait or landscape format (see Figure </w:t>
      </w:r>
      <w:hyperlink w:history="true" w:anchor="_bookmark5">
        <w:r>
          <w:rPr>
            <w:w w:val="105"/>
          </w:rPr>
          <w:t>1,</w:t>
        </w:r>
      </w:hyperlink>
    </w:p>
    <w:p>
      <w:pPr>
        <w:pStyle w:val="BodyText"/>
        <w:spacing w:before="203"/>
      </w:pPr>
      <w:r>
        <w:rPr>
          <w:rFonts w:ascii="Arial"/>
          <w:w w:val="105"/>
          <w:sz w:val="12"/>
        </w:rPr>
        <w:t>295 </w:t>
      </w:r>
      <w:r>
        <w:rPr>
          <w:w w:val="105"/>
        </w:rPr>
        <w:t>panel C). Response-format assignments were approximately counterbalanced across</w:t>
      </w:r>
    </w:p>
    <w:p>
      <w:pPr>
        <w:pStyle w:val="BodyText"/>
      </w:pPr>
      <w:r>
        <w:rPr>
          <w:rFonts w:ascii="Arial"/>
          <w:w w:val="105"/>
          <w:sz w:val="12"/>
        </w:rPr>
        <w:t>296 </w:t>
      </w:r>
      <w:r>
        <w:rPr>
          <w:w w:val="105"/>
        </w:rPr>
        <w:t>participants (45.4% portrait-approach, 54.6% landscape-approach). Instructions highlighted</w:t>
      </w:r>
    </w:p>
    <w:p>
      <w:pPr>
        <w:pStyle w:val="BodyText"/>
      </w:pPr>
      <w:r>
        <w:rPr>
          <w:rFonts w:ascii="Arial"/>
          <w:w w:val="105"/>
          <w:sz w:val="12"/>
        </w:rPr>
        <w:t>297    </w:t>
      </w:r>
      <w:r>
        <w:rPr>
          <w:rFonts w:ascii="Arial"/>
          <w:spacing w:val="18"/>
          <w:w w:val="105"/>
          <w:sz w:val="12"/>
        </w:rPr>
        <w:t> </w:t>
      </w:r>
      <w:r>
        <w:rPr>
          <w:w w:val="105"/>
        </w:rPr>
        <w:t>moving</w:t>
      </w:r>
      <w:r>
        <w:rPr>
          <w:spacing w:val="12"/>
          <w:w w:val="105"/>
        </w:rPr>
        <w:t> </w:t>
      </w:r>
      <w:r>
        <w:rPr>
          <w:w w:val="105"/>
        </w:rPr>
        <w:t>the</w:t>
      </w:r>
      <w:r>
        <w:rPr>
          <w:spacing w:val="12"/>
          <w:w w:val="105"/>
        </w:rPr>
        <w:t> </w:t>
      </w:r>
      <w:r>
        <w:rPr>
          <w:w w:val="105"/>
        </w:rPr>
        <w:t>mouse</w:t>
      </w:r>
      <w:r>
        <w:rPr>
          <w:spacing w:val="13"/>
          <w:w w:val="105"/>
        </w:rPr>
        <w:t> </w:t>
      </w:r>
      <w:r>
        <w:rPr>
          <w:w w:val="105"/>
        </w:rPr>
        <w:t>cursor</w:t>
      </w:r>
      <w:r>
        <w:rPr>
          <w:spacing w:val="13"/>
          <w:w w:val="105"/>
        </w:rPr>
        <w:t> </w:t>
      </w:r>
      <w:r>
        <w:rPr>
          <w:w w:val="105"/>
        </w:rPr>
        <w:t>until</w:t>
      </w:r>
      <w:r>
        <w:rPr>
          <w:spacing w:val="12"/>
          <w:w w:val="105"/>
        </w:rPr>
        <w:t> </w:t>
      </w:r>
      <w:r>
        <w:rPr>
          <w:w w:val="105"/>
        </w:rPr>
        <w:t>it</w:t>
      </w:r>
      <w:r>
        <w:rPr>
          <w:spacing w:val="13"/>
          <w:w w:val="105"/>
        </w:rPr>
        <w:t> </w:t>
      </w:r>
      <w:r>
        <w:rPr>
          <w:w w:val="105"/>
        </w:rPr>
        <w:t>reaches</w:t>
      </w:r>
      <w:r>
        <w:rPr>
          <w:spacing w:val="13"/>
          <w:w w:val="105"/>
        </w:rPr>
        <w:t> </w:t>
      </w:r>
      <w:r>
        <w:rPr>
          <w:w w:val="105"/>
        </w:rPr>
        <w:t>the</w:t>
      </w:r>
      <w:r>
        <w:rPr>
          <w:spacing w:val="12"/>
          <w:w w:val="105"/>
        </w:rPr>
        <w:t> </w:t>
      </w:r>
      <w:r>
        <w:rPr>
          <w:w w:val="105"/>
        </w:rPr>
        <w:t>end</w:t>
      </w:r>
      <w:r>
        <w:rPr>
          <w:spacing w:val="13"/>
          <w:w w:val="105"/>
        </w:rPr>
        <w:t> </w:t>
      </w:r>
      <w:r>
        <w:rPr>
          <w:w w:val="105"/>
        </w:rPr>
        <w:t>of</w:t>
      </w:r>
      <w:r>
        <w:rPr>
          <w:spacing w:val="13"/>
          <w:w w:val="105"/>
        </w:rPr>
        <w:t> </w:t>
      </w:r>
      <w:r>
        <w:rPr>
          <w:w w:val="105"/>
        </w:rPr>
        <w:t>the</w:t>
      </w:r>
      <w:r>
        <w:rPr>
          <w:spacing w:val="12"/>
          <w:w w:val="105"/>
        </w:rPr>
        <w:t> </w:t>
      </w:r>
      <w:r>
        <w:rPr>
          <w:w w:val="105"/>
        </w:rPr>
        <w:t>screen</w:t>
      </w:r>
      <w:r>
        <w:rPr>
          <w:spacing w:val="13"/>
          <w:w w:val="105"/>
        </w:rPr>
        <w:t> </w:t>
      </w:r>
      <w:r>
        <w:rPr>
          <w:w w:val="105"/>
        </w:rPr>
        <w:t>(top</w:t>
      </w:r>
      <w:r>
        <w:rPr>
          <w:spacing w:val="13"/>
          <w:w w:val="105"/>
        </w:rPr>
        <w:t> </w:t>
      </w:r>
      <w:r>
        <w:rPr>
          <w:w w:val="105"/>
        </w:rPr>
        <w:t>or</w:t>
      </w:r>
      <w:r>
        <w:rPr>
          <w:spacing w:val="12"/>
          <w:w w:val="105"/>
        </w:rPr>
        <w:t> </w:t>
      </w:r>
      <w:r>
        <w:rPr>
          <w:w w:val="105"/>
        </w:rPr>
        <w:t>bottom</w:t>
      </w:r>
      <w:r>
        <w:rPr>
          <w:spacing w:val="12"/>
          <w:w w:val="105"/>
        </w:rPr>
        <w:t> </w:t>
      </w:r>
      <w:r>
        <w:rPr>
          <w:w w:val="105"/>
        </w:rPr>
        <w:t>edge)</w:t>
      </w:r>
      <w:r>
        <w:rPr>
          <w:spacing w:val="13"/>
          <w:w w:val="105"/>
        </w:rPr>
        <w:t> </w:t>
      </w:r>
      <w:r>
        <w:rPr>
          <w:w w:val="105"/>
        </w:rPr>
        <w:t>for</w:t>
      </w:r>
      <w:r>
        <w:rPr>
          <w:spacing w:val="13"/>
          <w:w w:val="105"/>
        </w:rPr>
        <w:t> </w:t>
      </w:r>
      <w:r>
        <w:rPr>
          <w:w w:val="105"/>
        </w:rPr>
        <w:t>a</w:t>
      </w:r>
    </w:p>
    <w:p>
      <w:pPr>
        <w:pStyle w:val="BodyText"/>
      </w:pPr>
      <w:r>
        <w:rPr>
          <w:rFonts w:ascii="Arial"/>
          <w:w w:val="105"/>
          <w:sz w:val="12"/>
        </w:rPr>
        <w:t>298    </w:t>
      </w:r>
      <w:r>
        <w:rPr>
          <w:rFonts w:ascii="Arial"/>
          <w:spacing w:val="24"/>
          <w:w w:val="105"/>
          <w:sz w:val="12"/>
        </w:rPr>
        <w:t> </w:t>
      </w:r>
      <w:r>
        <w:rPr>
          <w:w w:val="105"/>
        </w:rPr>
        <w:t>correct</w:t>
      </w:r>
      <w:r>
        <w:rPr>
          <w:spacing w:val="16"/>
          <w:w w:val="105"/>
        </w:rPr>
        <w:t> </w:t>
      </w:r>
      <w:r>
        <w:rPr>
          <w:w w:val="105"/>
        </w:rPr>
        <w:t>response</w:t>
      </w:r>
      <w:r>
        <w:rPr>
          <w:spacing w:val="15"/>
          <w:w w:val="105"/>
        </w:rPr>
        <w:t> </w:t>
      </w:r>
      <w:r>
        <w:rPr>
          <w:w w:val="105"/>
        </w:rPr>
        <w:t>to</w:t>
      </w:r>
      <w:r>
        <w:rPr>
          <w:spacing w:val="14"/>
          <w:w w:val="105"/>
        </w:rPr>
        <w:t> </w:t>
      </w:r>
      <w:r>
        <w:rPr>
          <w:spacing w:val="3"/>
          <w:w w:val="105"/>
        </w:rPr>
        <w:t>be</w:t>
      </w:r>
      <w:r>
        <w:rPr>
          <w:spacing w:val="16"/>
          <w:w w:val="105"/>
        </w:rPr>
        <w:t> </w:t>
      </w:r>
      <w:r>
        <w:rPr>
          <w:w w:val="105"/>
        </w:rPr>
        <w:t>registered</w:t>
      </w:r>
      <w:r>
        <w:rPr>
          <w:spacing w:val="15"/>
          <w:w w:val="105"/>
        </w:rPr>
        <w:t> </w:t>
      </w:r>
      <w:r>
        <w:rPr>
          <w:w w:val="105"/>
        </w:rPr>
        <w:t>and</w:t>
      </w:r>
      <w:r>
        <w:rPr>
          <w:spacing w:val="14"/>
          <w:w w:val="105"/>
        </w:rPr>
        <w:t> </w:t>
      </w:r>
      <w:r>
        <w:rPr>
          <w:w w:val="105"/>
        </w:rPr>
        <w:t>making</w:t>
      </w:r>
      <w:r>
        <w:rPr>
          <w:spacing w:val="15"/>
          <w:w w:val="105"/>
        </w:rPr>
        <w:t> </w:t>
      </w:r>
      <w:r>
        <w:rPr>
          <w:w w:val="105"/>
        </w:rPr>
        <w:t>smooth</w:t>
      </w:r>
      <w:r>
        <w:rPr>
          <w:spacing w:val="14"/>
          <w:w w:val="105"/>
        </w:rPr>
        <w:t> </w:t>
      </w:r>
      <w:r>
        <w:rPr>
          <w:w w:val="105"/>
        </w:rPr>
        <w:t>whole-arm</w:t>
      </w:r>
      <w:r>
        <w:rPr>
          <w:spacing w:val="15"/>
          <w:w w:val="105"/>
        </w:rPr>
        <w:t> </w:t>
      </w:r>
      <w:r>
        <w:rPr>
          <w:spacing w:val="-3"/>
          <w:w w:val="105"/>
        </w:rPr>
        <w:t>movements.</w:t>
      </w:r>
      <w:r>
        <w:rPr>
          <w:spacing w:val="41"/>
          <w:w w:val="105"/>
        </w:rPr>
        <w:t> </w:t>
      </w:r>
      <w:r>
        <w:rPr>
          <w:spacing w:val="-2"/>
          <w:w w:val="105"/>
        </w:rPr>
        <w:t>Participants</w:t>
      </w:r>
    </w:p>
    <w:p>
      <w:pPr>
        <w:pStyle w:val="BodyText"/>
      </w:pPr>
      <w:r>
        <w:rPr>
          <w:rFonts w:ascii="Arial" w:hAnsi="Arial"/>
          <w:w w:val="105"/>
          <w:sz w:val="12"/>
        </w:rPr>
        <w:t>299    </w:t>
      </w:r>
      <w:r>
        <w:rPr>
          <w:rFonts w:ascii="Arial" w:hAnsi="Arial"/>
          <w:spacing w:val="9"/>
          <w:w w:val="105"/>
          <w:sz w:val="12"/>
        </w:rPr>
        <w:t> </w:t>
      </w:r>
      <w:r>
        <w:rPr>
          <w:w w:val="105"/>
        </w:rPr>
        <w:t>had</w:t>
      </w:r>
      <w:r>
        <w:rPr>
          <w:spacing w:val="7"/>
          <w:w w:val="105"/>
        </w:rPr>
        <w:t> </w:t>
      </w:r>
      <w:r>
        <w:rPr>
          <w:w w:val="105"/>
        </w:rPr>
        <w:t>1500ms</w:t>
      </w:r>
      <w:r>
        <w:rPr>
          <w:spacing w:val="7"/>
          <w:w w:val="105"/>
        </w:rPr>
        <w:t> </w:t>
      </w:r>
      <w:r>
        <w:rPr>
          <w:w w:val="105"/>
        </w:rPr>
        <w:t>to</w:t>
      </w:r>
      <w:r>
        <w:rPr>
          <w:spacing w:val="8"/>
          <w:w w:val="105"/>
        </w:rPr>
        <w:t> </w:t>
      </w:r>
      <w:r>
        <w:rPr>
          <w:w w:val="105"/>
        </w:rPr>
        <w:t>respond</w:t>
      </w:r>
      <w:r>
        <w:rPr>
          <w:spacing w:val="7"/>
          <w:w w:val="105"/>
        </w:rPr>
        <w:t> </w:t>
      </w:r>
      <w:r>
        <w:rPr>
          <w:w w:val="105"/>
        </w:rPr>
        <w:t>after</w:t>
      </w:r>
      <w:r>
        <w:rPr>
          <w:spacing w:val="8"/>
          <w:w w:val="105"/>
        </w:rPr>
        <w:t> </w:t>
      </w:r>
      <w:r>
        <w:rPr>
          <w:w w:val="105"/>
        </w:rPr>
        <w:t>the</w:t>
      </w:r>
      <w:r>
        <w:rPr>
          <w:spacing w:val="7"/>
          <w:w w:val="105"/>
        </w:rPr>
        <w:t> </w:t>
      </w:r>
      <w:r>
        <w:rPr>
          <w:w w:val="105"/>
        </w:rPr>
        <w:t>stimulus</w:t>
      </w:r>
      <w:r>
        <w:rPr>
          <w:spacing w:val="7"/>
          <w:w w:val="105"/>
        </w:rPr>
        <w:t> </w:t>
      </w:r>
      <w:r>
        <w:rPr>
          <w:w w:val="105"/>
        </w:rPr>
        <w:t>appeared.</w:t>
      </w:r>
      <w:r>
        <w:rPr>
          <w:spacing w:val="33"/>
          <w:w w:val="105"/>
        </w:rPr>
        <w:t> </w:t>
      </w:r>
      <w:r>
        <w:rPr>
          <w:w w:val="105"/>
        </w:rPr>
        <w:t>Each</w:t>
      </w:r>
      <w:r>
        <w:rPr>
          <w:spacing w:val="7"/>
          <w:w w:val="105"/>
        </w:rPr>
        <w:t> </w:t>
      </w:r>
      <w:r>
        <w:rPr>
          <w:w w:val="105"/>
        </w:rPr>
        <w:t>trial</w:t>
      </w:r>
      <w:r>
        <w:rPr>
          <w:spacing w:val="7"/>
          <w:w w:val="105"/>
        </w:rPr>
        <w:t> </w:t>
      </w:r>
      <w:r>
        <w:rPr>
          <w:w w:val="105"/>
        </w:rPr>
        <w:t>started</w:t>
      </w:r>
      <w:r>
        <w:rPr>
          <w:spacing w:val="8"/>
          <w:w w:val="105"/>
        </w:rPr>
        <w:t> </w:t>
      </w:r>
      <w:r>
        <w:rPr>
          <w:w w:val="105"/>
        </w:rPr>
        <w:t>with</w:t>
      </w:r>
      <w:r>
        <w:rPr>
          <w:spacing w:val="7"/>
          <w:w w:val="105"/>
        </w:rPr>
        <w:t> </w:t>
      </w:r>
      <w:r>
        <w:rPr>
          <w:w w:val="105"/>
        </w:rPr>
        <w:t>a</w:t>
      </w:r>
      <w:r>
        <w:rPr>
          <w:spacing w:val="7"/>
          <w:w w:val="105"/>
        </w:rPr>
        <w:t> </w:t>
      </w:r>
      <w:r>
        <w:rPr>
          <w:w w:val="105"/>
        </w:rPr>
        <w:t>central</w:t>
      </w:r>
      <w:r>
        <w:rPr>
          <w:spacing w:val="8"/>
          <w:w w:val="105"/>
        </w:rPr>
        <w:t> </w:t>
      </w:r>
      <w:r>
        <w:rPr>
          <w:w w:val="105"/>
        </w:rPr>
        <w:t>“X”</w:t>
      </w:r>
      <w:r>
        <w:rPr>
          <w:spacing w:val="7"/>
          <w:w w:val="105"/>
        </w:rPr>
        <w:t> </w:t>
      </w:r>
      <w:r>
        <w:rPr>
          <w:w w:val="105"/>
        </w:rPr>
        <w:t>on</w:t>
      </w:r>
    </w:p>
    <w:p>
      <w:pPr>
        <w:pStyle w:val="BodyText"/>
        <w:spacing w:before="203"/>
      </w:pPr>
      <w:r>
        <w:rPr>
          <w:rFonts w:ascii="Arial"/>
          <w:w w:val="105"/>
          <w:sz w:val="12"/>
        </w:rPr>
        <w:t>300     </w:t>
      </w:r>
      <w:r>
        <w:rPr>
          <w:w w:val="105"/>
        </w:rPr>
        <w:t>the screen and participants had to click on it to begin (self-timed start).  The ITI </w:t>
      </w:r>
      <w:r>
        <w:rPr>
          <w:spacing w:val="-3"/>
          <w:w w:val="105"/>
        </w:rPr>
        <w:t>was </w:t>
      </w:r>
      <w:r>
        <w:rPr>
          <w:w w:val="105"/>
        </w:rPr>
        <w:t>500</w:t>
      </w:r>
      <w:r>
        <w:rPr>
          <w:spacing w:val="57"/>
          <w:w w:val="105"/>
        </w:rPr>
        <w:t> </w:t>
      </w:r>
      <w:r>
        <w:rPr>
          <w:w w:val="105"/>
        </w:rPr>
        <w:t>ms</w:t>
      </w:r>
    </w:p>
    <w:p>
      <w:pPr>
        <w:pStyle w:val="BodyText"/>
      </w:pPr>
      <w:r>
        <w:rPr>
          <w:rFonts w:ascii="Arial" w:hAnsi="Arial"/>
          <w:w w:val="105"/>
          <w:sz w:val="12"/>
        </w:rPr>
        <w:t>301    </w:t>
      </w:r>
      <w:r>
        <w:rPr>
          <w:rFonts w:ascii="Arial" w:hAnsi="Arial"/>
          <w:spacing w:val="16"/>
          <w:w w:val="105"/>
          <w:sz w:val="12"/>
        </w:rPr>
        <w:t> </w:t>
      </w:r>
      <w:r>
        <w:rPr>
          <w:w w:val="105"/>
        </w:rPr>
        <w:t>and</w:t>
      </w:r>
      <w:r>
        <w:rPr>
          <w:spacing w:val="11"/>
          <w:w w:val="105"/>
        </w:rPr>
        <w:t> </w:t>
      </w:r>
      <w:r>
        <w:rPr>
          <w:w w:val="105"/>
        </w:rPr>
        <w:t>there</w:t>
      </w:r>
      <w:r>
        <w:rPr>
          <w:spacing w:val="13"/>
          <w:w w:val="105"/>
        </w:rPr>
        <w:t> </w:t>
      </w:r>
      <w:r>
        <w:rPr>
          <w:spacing w:val="-3"/>
          <w:w w:val="105"/>
        </w:rPr>
        <w:t>was</w:t>
      </w:r>
      <w:r>
        <w:rPr>
          <w:spacing w:val="12"/>
          <w:w w:val="105"/>
        </w:rPr>
        <w:t> </w:t>
      </w:r>
      <w:r>
        <w:rPr>
          <w:w w:val="105"/>
        </w:rPr>
        <w:t>no</w:t>
      </w:r>
      <w:r>
        <w:rPr>
          <w:spacing w:val="11"/>
          <w:w w:val="105"/>
        </w:rPr>
        <w:t> </w:t>
      </w:r>
      <w:r>
        <w:rPr>
          <w:w w:val="105"/>
        </w:rPr>
        <w:t>delay</w:t>
      </w:r>
      <w:r>
        <w:rPr>
          <w:spacing w:val="11"/>
          <w:w w:val="105"/>
        </w:rPr>
        <w:t> </w:t>
      </w:r>
      <w:r>
        <w:rPr>
          <w:w w:val="105"/>
        </w:rPr>
        <w:t>between</w:t>
      </w:r>
      <w:r>
        <w:rPr>
          <w:spacing w:val="12"/>
          <w:w w:val="105"/>
        </w:rPr>
        <w:t> </w:t>
      </w:r>
      <w:r>
        <w:rPr>
          <w:w w:val="105"/>
        </w:rPr>
        <w:t>the</w:t>
      </w:r>
      <w:r>
        <w:rPr>
          <w:spacing w:val="12"/>
          <w:w w:val="105"/>
        </w:rPr>
        <w:t> </w:t>
      </w:r>
      <w:r>
        <w:rPr>
          <w:w w:val="105"/>
        </w:rPr>
        <w:t>“X”</w:t>
      </w:r>
      <w:r>
        <w:rPr>
          <w:spacing w:val="11"/>
          <w:w w:val="105"/>
        </w:rPr>
        <w:t> </w:t>
      </w:r>
      <w:r>
        <w:rPr>
          <w:w w:val="105"/>
        </w:rPr>
        <w:t>click</w:t>
      </w:r>
      <w:r>
        <w:rPr>
          <w:spacing w:val="12"/>
          <w:w w:val="105"/>
        </w:rPr>
        <w:t> </w:t>
      </w:r>
      <w:r>
        <w:rPr>
          <w:w w:val="105"/>
        </w:rPr>
        <w:t>response</w:t>
      </w:r>
      <w:r>
        <w:rPr>
          <w:spacing w:val="12"/>
          <w:w w:val="105"/>
        </w:rPr>
        <w:t> </w:t>
      </w:r>
      <w:r>
        <w:rPr>
          <w:w w:val="105"/>
        </w:rPr>
        <w:t>and</w:t>
      </w:r>
      <w:r>
        <w:rPr>
          <w:spacing w:val="11"/>
          <w:w w:val="105"/>
        </w:rPr>
        <w:t> </w:t>
      </w:r>
      <w:r>
        <w:rPr>
          <w:w w:val="105"/>
        </w:rPr>
        <w:t>the</w:t>
      </w:r>
      <w:r>
        <w:rPr>
          <w:spacing w:val="11"/>
          <w:w w:val="105"/>
        </w:rPr>
        <w:t> </w:t>
      </w:r>
      <w:r>
        <w:rPr>
          <w:w w:val="105"/>
        </w:rPr>
        <w:t>stimulus</w:t>
      </w:r>
      <w:r>
        <w:rPr>
          <w:spacing w:val="11"/>
          <w:w w:val="105"/>
        </w:rPr>
        <w:t> </w:t>
      </w:r>
      <w:r>
        <w:rPr>
          <w:w w:val="105"/>
        </w:rPr>
        <w:t>onset.</w:t>
      </w:r>
      <w:r>
        <w:rPr>
          <w:spacing w:val="38"/>
          <w:w w:val="105"/>
        </w:rPr>
        <w:t> </w:t>
      </w:r>
      <w:r>
        <w:rPr>
          <w:w w:val="105"/>
        </w:rPr>
        <w:t>In</w:t>
      </w:r>
      <w:r>
        <w:rPr>
          <w:spacing w:val="12"/>
          <w:w w:val="105"/>
        </w:rPr>
        <w:t> </w:t>
      </w:r>
      <w:r>
        <w:rPr>
          <w:w w:val="105"/>
        </w:rPr>
        <w:t>order</w:t>
      </w:r>
      <w:r>
        <w:rPr>
          <w:spacing w:val="11"/>
          <w:w w:val="105"/>
        </w:rPr>
        <w:t> </w:t>
      </w:r>
      <w:r>
        <w:rPr>
          <w:w w:val="105"/>
        </w:rPr>
        <w:t>to</w:t>
      </w:r>
    </w:p>
    <w:p>
      <w:pPr>
        <w:pStyle w:val="BodyText"/>
      </w:pPr>
      <w:r>
        <w:rPr>
          <w:rFonts w:ascii="Arial"/>
          <w:w w:val="105"/>
          <w:sz w:val="12"/>
        </w:rPr>
        <w:t>302    </w:t>
      </w:r>
      <w:r>
        <w:rPr>
          <w:rFonts w:ascii="Arial"/>
          <w:spacing w:val="14"/>
          <w:w w:val="105"/>
          <w:sz w:val="12"/>
        </w:rPr>
        <w:t> </w:t>
      </w:r>
      <w:r>
        <w:rPr>
          <w:w w:val="105"/>
        </w:rPr>
        <w:t>account</w:t>
      </w:r>
      <w:r>
        <w:rPr>
          <w:spacing w:val="10"/>
          <w:w w:val="105"/>
        </w:rPr>
        <w:t> </w:t>
      </w:r>
      <w:r>
        <w:rPr>
          <w:w w:val="105"/>
        </w:rPr>
        <w:t>for</w:t>
      </w:r>
      <w:r>
        <w:rPr>
          <w:spacing w:val="11"/>
          <w:w w:val="105"/>
        </w:rPr>
        <w:t> </w:t>
      </w:r>
      <w:r>
        <w:rPr>
          <w:w w:val="105"/>
        </w:rPr>
        <w:t>the</w:t>
      </w:r>
      <w:r>
        <w:rPr>
          <w:spacing w:val="11"/>
          <w:w w:val="105"/>
        </w:rPr>
        <w:t> </w:t>
      </w:r>
      <w:r>
        <w:rPr>
          <w:w w:val="105"/>
        </w:rPr>
        <w:t>natural</w:t>
      </w:r>
      <w:r>
        <w:rPr>
          <w:spacing w:val="11"/>
          <w:w w:val="105"/>
        </w:rPr>
        <w:t> </w:t>
      </w:r>
      <w:r>
        <w:rPr>
          <w:spacing w:val="-3"/>
          <w:w w:val="105"/>
        </w:rPr>
        <w:t>movement</w:t>
      </w:r>
      <w:r>
        <w:rPr>
          <w:spacing w:val="11"/>
          <w:w w:val="105"/>
        </w:rPr>
        <w:t> </w:t>
      </w:r>
      <w:r>
        <w:rPr>
          <w:w w:val="105"/>
        </w:rPr>
        <w:t>of</w:t>
      </w:r>
      <w:r>
        <w:rPr>
          <w:spacing w:val="10"/>
          <w:w w:val="105"/>
        </w:rPr>
        <w:t> </w:t>
      </w:r>
      <w:r>
        <w:rPr>
          <w:w w:val="105"/>
        </w:rPr>
        <w:t>the</w:t>
      </w:r>
      <w:r>
        <w:rPr>
          <w:spacing w:val="10"/>
          <w:w w:val="105"/>
        </w:rPr>
        <w:t> </w:t>
      </w:r>
      <w:r>
        <w:rPr>
          <w:w w:val="105"/>
        </w:rPr>
        <w:t>mouse,</w:t>
      </w:r>
      <w:r>
        <w:rPr>
          <w:spacing w:val="11"/>
          <w:w w:val="105"/>
        </w:rPr>
        <w:t> </w:t>
      </w:r>
      <w:r>
        <w:rPr>
          <w:w w:val="105"/>
        </w:rPr>
        <w:t>pixel</w:t>
      </w:r>
      <w:r>
        <w:rPr>
          <w:spacing w:val="11"/>
          <w:w w:val="105"/>
        </w:rPr>
        <w:t> </w:t>
      </w:r>
      <w:r>
        <w:rPr>
          <w:w w:val="105"/>
        </w:rPr>
        <w:t>tolerance</w:t>
      </w:r>
      <w:r>
        <w:rPr>
          <w:spacing w:val="10"/>
          <w:w w:val="105"/>
        </w:rPr>
        <w:t> </w:t>
      </w:r>
      <w:r>
        <w:rPr>
          <w:spacing w:val="-3"/>
          <w:w w:val="105"/>
        </w:rPr>
        <w:t>was</w:t>
      </w:r>
      <w:r>
        <w:rPr>
          <w:spacing w:val="10"/>
          <w:w w:val="105"/>
        </w:rPr>
        <w:t> </w:t>
      </w:r>
      <w:r>
        <w:rPr>
          <w:w w:val="105"/>
        </w:rPr>
        <w:t>added</w:t>
      </w:r>
      <w:r>
        <w:rPr>
          <w:spacing w:val="11"/>
          <w:w w:val="105"/>
        </w:rPr>
        <w:t> </w:t>
      </w:r>
      <w:r>
        <w:rPr>
          <w:w w:val="105"/>
        </w:rPr>
        <w:t>to</w:t>
      </w:r>
      <w:r>
        <w:rPr>
          <w:spacing w:val="10"/>
          <w:w w:val="105"/>
        </w:rPr>
        <w:t> </w:t>
      </w:r>
      <w:r>
        <w:rPr>
          <w:w w:val="105"/>
        </w:rPr>
        <w:t>every</w:t>
      </w:r>
      <w:r>
        <w:rPr>
          <w:spacing w:val="11"/>
          <w:w w:val="105"/>
        </w:rPr>
        <w:t> </w:t>
      </w:r>
      <w:r>
        <w:rPr>
          <w:w w:val="105"/>
        </w:rPr>
        <w:t>mouse</w:t>
      </w:r>
    </w:p>
    <w:p>
      <w:pPr>
        <w:pStyle w:val="BodyText"/>
        <w:spacing w:before="201"/>
      </w:pPr>
      <w:r>
        <w:rPr>
          <w:rFonts w:ascii="Arial" w:hAnsi="Arial"/>
          <w:w w:val="105"/>
          <w:sz w:val="12"/>
        </w:rPr>
        <w:t>303     </w:t>
      </w:r>
      <w:r>
        <w:rPr>
          <w:spacing w:val="-3"/>
          <w:w w:val="105"/>
        </w:rPr>
        <w:t>movement </w:t>
      </w:r>
      <w:r>
        <w:rPr>
          <w:w w:val="105"/>
        </w:rPr>
        <w:t>(</w:t>
      </w:r>
      <w:r>
        <w:rPr>
          <w:rFonts w:ascii="Arial" w:hAnsi="Arial"/>
          <w:i/>
          <w:w w:val="105"/>
        </w:rPr>
        <w:t>± </w:t>
      </w:r>
      <w:r>
        <w:rPr>
          <w:w w:val="105"/>
        </w:rPr>
        <w:t>1.25% of display height), including </w:t>
      </w:r>
      <w:r>
        <w:rPr>
          <w:spacing w:val="-3"/>
          <w:w w:val="105"/>
        </w:rPr>
        <w:t>movement </w:t>
      </w:r>
      <w:r>
        <w:rPr>
          <w:w w:val="105"/>
        </w:rPr>
        <w:t>initiation in the beginning of</w:t>
      </w:r>
      <w:r>
        <w:rPr>
          <w:spacing w:val="-37"/>
          <w:w w:val="105"/>
        </w:rPr>
        <w:t> </w:t>
      </w:r>
      <w:r>
        <w:rPr>
          <w:w w:val="105"/>
        </w:rPr>
        <w:t>the</w:t>
      </w:r>
    </w:p>
    <w:p>
      <w:pPr>
        <w:pStyle w:val="BodyText"/>
      </w:pPr>
      <w:r>
        <w:rPr>
          <w:rFonts w:ascii="Arial"/>
          <w:w w:val="105"/>
          <w:sz w:val="12"/>
        </w:rPr>
        <w:t>304     </w:t>
      </w:r>
      <w:r>
        <w:rPr>
          <w:w w:val="105"/>
        </w:rPr>
        <w:t>trial.  A response in the </w:t>
      </w:r>
      <w:r>
        <w:rPr>
          <w:spacing w:val="-7"/>
          <w:w w:val="105"/>
        </w:rPr>
        <w:t>AAT </w:t>
      </w:r>
      <w:r>
        <w:rPr>
          <w:spacing w:val="-3"/>
          <w:w w:val="105"/>
        </w:rPr>
        <w:t>was </w:t>
      </w:r>
      <w:r>
        <w:rPr>
          <w:w w:val="105"/>
        </w:rPr>
        <w:t>registered as correct only when participants completed</w:t>
      </w:r>
      <w:r>
        <w:rPr>
          <w:spacing w:val="49"/>
          <w:w w:val="105"/>
        </w:rPr>
        <w:t> </w:t>
      </w:r>
      <w:r>
        <w:rPr>
          <w:w w:val="105"/>
        </w:rPr>
        <w:t>the</w:t>
      </w:r>
    </w:p>
    <w:p>
      <w:pPr>
        <w:pStyle w:val="BodyText"/>
      </w:pPr>
      <w:r>
        <w:rPr>
          <w:rFonts w:ascii="Arial"/>
          <w:w w:val="105"/>
          <w:sz w:val="12"/>
        </w:rPr>
        <w:t>305    </w:t>
      </w:r>
      <w:r>
        <w:rPr>
          <w:rFonts w:ascii="Arial"/>
          <w:spacing w:val="23"/>
          <w:w w:val="105"/>
          <w:sz w:val="12"/>
        </w:rPr>
        <w:t> </w:t>
      </w:r>
      <w:r>
        <w:rPr>
          <w:w w:val="105"/>
        </w:rPr>
        <w:t>correct</w:t>
      </w:r>
      <w:r>
        <w:rPr>
          <w:spacing w:val="15"/>
          <w:w w:val="105"/>
        </w:rPr>
        <w:t> </w:t>
      </w:r>
      <w:r>
        <w:rPr>
          <w:w w:val="105"/>
        </w:rPr>
        <w:t>action</w:t>
      </w:r>
      <w:r>
        <w:rPr>
          <w:spacing w:val="14"/>
          <w:w w:val="105"/>
        </w:rPr>
        <w:t> </w:t>
      </w:r>
      <w:r>
        <w:rPr>
          <w:w w:val="105"/>
        </w:rPr>
        <w:t>(e.g.,</w:t>
      </w:r>
      <w:r>
        <w:rPr>
          <w:spacing w:val="15"/>
          <w:w w:val="105"/>
        </w:rPr>
        <w:t> </w:t>
      </w:r>
      <w:r>
        <w:rPr>
          <w:w w:val="105"/>
        </w:rPr>
        <w:t>pull</w:t>
      </w:r>
      <w:r>
        <w:rPr>
          <w:spacing w:val="14"/>
          <w:w w:val="105"/>
        </w:rPr>
        <w:t> </w:t>
      </w:r>
      <w:r>
        <w:rPr>
          <w:w w:val="105"/>
        </w:rPr>
        <w:t>or</w:t>
      </w:r>
      <w:r>
        <w:rPr>
          <w:spacing w:val="14"/>
          <w:w w:val="105"/>
        </w:rPr>
        <w:t> </w:t>
      </w:r>
      <w:r>
        <w:rPr>
          <w:w w:val="105"/>
        </w:rPr>
        <w:t>push)</w:t>
      </w:r>
      <w:r>
        <w:rPr>
          <w:spacing w:val="15"/>
          <w:w w:val="105"/>
        </w:rPr>
        <w:t> </w:t>
      </w:r>
      <w:r>
        <w:rPr>
          <w:w w:val="105"/>
        </w:rPr>
        <w:t>within</w:t>
      </w:r>
      <w:r>
        <w:rPr>
          <w:spacing w:val="15"/>
          <w:w w:val="105"/>
        </w:rPr>
        <w:t> </w:t>
      </w:r>
      <w:r>
        <w:rPr>
          <w:w w:val="105"/>
        </w:rPr>
        <w:t>the</w:t>
      </w:r>
      <w:r>
        <w:rPr>
          <w:spacing w:val="14"/>
          <w:w w:val="105"/>
        </w:rPr>
        <w:t> </w:t>
      </w:r>
      <w:r>
        <w:rPr>
          <w:spacing w:val="-4"/>
          <w:w w:val="105"/>
        </w:rPr>
        <w:t>maxRT</w:t>
      </w:r>
      <w:r>
        <w:rPr>
          <w:spacing w:val="15"/>
          <w:w w:val="105"/>
        </w:rPr>
        <w:t> </w:t>
      </w:r>
      <w:r>
        <w:rPr>
          <w:w w:val="105"/>
        </w:rPr>
        <w:t>window</w:t>
      </w:r>
      <w:r>
        <w:rPr>
          <w:spacing w:val="15"/>
          <w:w w:val="105"/>
        </w:rPr>
        <w:t> </w:t>
      </w:r>
      <w:r>
        <w:rPr>
          <w:w w:val="105"/>
        </w:rPr>
        <w:t>and</w:t>
      </w:r>
      <w:r>
        <w:rPr>
          <w:spacing w:val="14"/>
          <w:w w:val="105"/>
        </w:rPr>
        <w:t> </w:t>
      </w:r>
      <w:r>
        <w:rPr>
          <w:w w:val="105"/>
        </w:rPr>
        <w:t>also</w:t>
      </w:r>
      <w:r>
        <w:rPr>
          <w:spacing w:val="14"/>
          <w:w w:val="105"/>
        </w:rPr>
        <w:t> </w:t>
      </w:r>
      <w:r>
        <w:rPr>
          <w:w w:val="105"/>
        </w:rPr>
        <w:t>initiated</w:t>
      </w:r>
      <w:r>
        <w:rPr>
          <w:spacing w:val="15"/>
          <w:w w:val="105"/>
        </w:rPr>
        <w:t> </w:t>
      </w:r>
      <w:r>
        <w:rPr>
          <w:w w:val="105"/>
        </w:rPr>
        <w:t>a</w:t>
      </w:r>
      <w:r>
        <w:rPr>
          <w:spacing w:val="14"/>
          <w:w w:val="105"/>
        </w:rPr>
        <w:t> </w:t>
      </w:r>
      <w:r>
        <w:rPr>
          <w:spacing w:val="-3"/>
          <w:w w:val="105"/>
        </w:rPr>
        <w:t>movement</w:t>
      </w:r>
    </w:p>
    <w:p>
      <w:pPr>
        <w:pStyle w:val="BodyText"/>
        <w:spacing w:before="203"/>
      </w:pPr>
      <w:r>
        <w:rPr>
          <w:rFonts w:ascii="Arial"/>
          <w:w w:val="105"/>
          <w:sz w:val="12"/>
        </w:rPr>
        <w:t>306     </w:t>
      </w:r>
      <w:r>
        <w:rPr>
          <w:spacing w:val="-3"/>
          <w:w w:val="105"/>
        </w:rPr>
        <w:t>towards </w:t>
      </w:r>
      <w:r>
        <w:rPr>
          <w:w w:val="105"/>
        </w:rPr>
        <w:t>the correct direction.  Even if the final response </w:t>
      </w:r>
      <w:r>
        <w:rPr>
          <w:spacing w:val="-3"/>
          <w:w w:val="105"/>
        </w:rPr>
        <w:t>was </w:t>
      </w:r>
      <w:r>
        <w:rPr>
          <w:w w:val="105"/>
        </w:rPr>
        <w:t>correct, participants could</w:t>
      </w:r>
      <w:r>
        <w:rPr>
          <w:spacing w:val="52"/>
          <w:w w:val="105"/>
        </w:rPr>
        <w:t> </w:t>
      </w:r>
      <w:r>
        <w:rPr>
          <w:spacing w:val="-4"/>
          <w:w w:val="105"/>
        </w:rPr>
        <w:t>have</w:t>
      </w:r>
    </w:p>
    <w:p>
      <w:pPr>
        <w:pStyle w:val="BodyText"/>
      </w:pPr>
      <w:r>
        <w:rPr>
          <w:rFonts w:ascii="Arial"/>
          <w:w w:val="105"/>
          <w:sz w:val="12"/>
        </w:rPr>
        <w:t>307     </w:t>
      </w:r>
      <w:r>
        <w:rPr>
          <w:w w:val="105"/>
        </w:rPr>
        <w:t>changed their </w:t>
      </w:r>
      <w:r>
        <w:rPr>
          <w:spacing w:val="-3"/>
          <w:w w:val="105"/>
        </w:rPr>
        <w:t>movement </w:t>
      </w:r>
      <w:r>
        <w:rPr>
          <w:w w:val="105"/>
        </w:rPr>
        <w:t>after making an initial error (e.g., pull instead of push the mouse</w:t>
      </w:r>
      <w:r>
        <w:rPr>
          <w:spacing w:val="60"/>
          <w:w w:val="105"/>
        </w:rPr>
        <w:t> </w:t>
      </w:r>
      <w:r>
        <w:rPr>
          <w:w w:val="105"/>
        </w:rPr>
        <w:t>in</w:t>
      </w:r>
    </w:p>
    <w:p>
      <w:pPr>
        <w:pStyle w:val="BodyText"/>
      </w:pPr>
      <w:r>
        <w:rPr>
          <w:rFonts w:ascii="Arial" w:hAnsi="Arial"/>
          <w:w w:val="105"/>
          <w:sz w:val="12"/>
        </w:rPr>
        <w:t>308 </w:t>
      </w:r>
      <w:r>
        <w:rPr>
          <w:w w:val="105"/>
        </w:rPr>
        <w:t>an “avoid” trial) and therefore the direction of their initial movement was also taken into</w:t>
      </w:r>
    </w:p>
    <w:p>
      <w:pPr>
        <w:pStyle w:val="BodyText"/>
      </w:pPr>
      <w:r>
        <w:rPr>
          <w:rFonts w:ascii="Arial"/>
          <w:w w:val="105"/>
          <w:sz w:val="12"/>
        </w:rPr>
        <w:t>309 </w:t>
      </w:r>
      <w:r>
        <w:rPr>
          <w:w w:val="105"/>
        </w:rPr>
        <w:t>account. The complete RT for an AAT trial was defined as the time from the stimulus onset</w:t>
      </w:r>
    </w:p>
    <w:p>
      <w:pPr>
        <w:pStyle w:val="BodyText"/>
      </w:pPr>
      <w:r>
        <w:rPr>
          <w:rFonts w:ascii="Arial"/>
          <w:w w:val="105"/>
          <w:sz w:val="12"/>
        </w:rPr>
        <w:t>310 </w:t>
      </w:r>
      <w:r>
        <w:rPr>
          <w:w w:val="105"/>
        </w:rPr>
        <w:t>to the successful completion of a response.</w:t>
      </w:r>
    </w:p>
    <w:p>
      <w:pPr>
        <w:pStyle w:val="BodyText"/>
        <w:spacing w:before="0"/>
        <w:ind w:left="0"/>
        <w:rPr>
          <w:sz w:val="20"/>
        </w:rPr>
      </w:pPr>
    </w:p>
    <w:p>
      <w:pPr>
        <w:pStyle w:val="BodyText"/>
        <w:spacing w:before="3"/>
        <w:ind w:left="0"/>
        <w:rPr>
          <w:sz w:val="18"/>
        </w:rPr>
      </w:pPr>
    </w:p>
    <w:p>
      <w:pPr>
        <w:pStyle w:val="BodyText"/>
        <w:tabs>
          <w:tab w:pos="1195" w:val="left" w:leader="none"/>
        </w:tabs>
        <w:spacing w:before="146"/>
      </w:pPr>
      <w:r>
        <w:rPr>
          <w:rFonts w:ascii="Arial"/>
          <w:w w:val="105"/>
          <w:sz w:val="12"/>
        </w:rPr>
        <w:t>311</w:t>
        <w:tab/>
      </w:r>
      <w:r>
        <w:rPr>
          <w:w w:val="105"/>
        </w:rPr>
        <w:t>Each</w:t>
      </w:r>
      <w:r>
        <w:rPr>
          <w:spacing w:val="9"/>
          <w:w w:val="105"/>
        </w:rPr>
        <w:t> </w:t>
      </w:r>
      <w:r>
        <w:rPr>
          <w:spacing w:val="-7"/>
          <w:w w:val="105"/>
        </w:rPr>
        <w:t>AAT</w:t>
      </w:r>
      <w:r>
        <w:rPr>
          <w:spacing w:val="10"/>
          <w:w w:val="105"/>
        </w:rPr>
        <w:t> </w:t>
      </w:r>
      <w:r>
        <w:rPr>
          <w:w w:val="105"/>
        </w:rPr>
        <w:t>block</w:t>
      </w:r>
      <w:r>
        <w:rPr>
          <w:spacing w:val="9"/>
          <w:w w:val="105"/>
        </w:rPr>
        <w:t> </w:t>
      </w:r>
      <w:r>
        <w:rPr>
          <w:w w:val="105"/>
        </w:rPr>
        <w:t>consisted</w:t>
      </w:r>
      <w:r>
        <w:rPr>
          <w:spacing w:val="10"/>
          <w:w w:val="105"/>
        </w:rPr>
        <w:t> </w:t>
      </w:r>
      <w:r>
        <w:rPr>
          <w:w w:val="105"/>
        </w:rPr>
        <w:t>of</w:t>
      </w:r>
      <w:r>
        <w:rPr>
          <w:spacing w:val="10"/>
          <w:w w:val="105"/>
        </w:rPr>
        <w:t> </w:t>
      </w:r>
      <w:r>
        <w:rPr>
          <w:w w:val="105"/>
        </w:rPr>
        <w:t>72</w:t>
      </w:r>
      <w:r>
        <w:rPr>
          <w:spacing w:val="9"/>
          <w:w w:val="105"/>
        </w:rPr>
        <w:t> </w:t>
      </w:r>
      <w:r>
        <w:rPr>
          <w:w w:val="105"/>
        </w:rPr>
        <w:t>trials</w:t>
      </w:r>
      <w:r>
        <w:rPr>
          <w:spacing w:val="9"/>
          <w:w w:val="105"/>
        </w:rPr>
        <w:t> </w:t>
      </w:r>
      <w:r>
        <w:rPr>
          <w:w w:val="105"/>
        </w:rPr>
        <w:t>and</w:t>
      </w:r>
      <w:r>
        <w:rPr>
          <w:spacing w:val="10"/>
          <w:w w:val="105"/>
        </w:rPr>
        <w:t> </w:t>
      </w:r>
      <w:r>
        <w:rPr>
          <w:w w:val="105"/>
        </w:rPr>
        <w:t>go,</w:t>
      </w:r>
      <w:r>
        <w:rPr>
          <w:spacing w:val="9"/>
          <w:w w:val="105"/>
        </w:rPr>
        <w:t> </w:t>
      </w:r>
      <w:r>
        <w:rPr>
          <w:w w:val="105"/>
        </w:rPr>
        <w:t>no-go</w:t>
      </w:r>
      <w:r>
        <w:rPr>
          <w:spacing w:val="10"/>
          <w:w w:val="105"/>
        </w:rPr>
        <w:t> </w:t>
      </w:r>
      <w:r>
        <w:rPr>
          <w:w w:val="105"/>
        </w:rPr>
        <w:t>and</w:t>
      </w:r>
      <w:r>
        <w:rPr>
          <w:spacing w:val="10"/>
          <w:w w:val="105"/>
        </w:rPr>
        <w:t> </w:t>
      </w:r>
      <w:r>
        <w:rPr>
          <w:w w:val="105"/>
        </w:rPr>
        <w:t>control</w:t>
      </w:r>
      <w:r>
        <w:rPr>
          <w:spacing w:val="9"/>
          <w:w w:val="105"/>
        </w:rPr>
        <w:t> </w:t>
      </w:r>
      <w:r>
        <w:rPr>
          <w:spacing w:val="2"/>
          <w:w w:val="105"/>
        </w:rPr>
        <w:t>foods</w:t>
      </w:r>
      <w:r>
        <w:rPr>
          <w:spacing w:val="10"/>
          <w:w w:val="105"/>
        </w:rPr>
        <w:t> </w:t>
      </w:r>
      <w:r>
        <w:rPr>
          <w:w w:val="105"/>
        </w:rPr>
        <w:t>appeared</w:t>
      </w:r>
      <w:r>
        <w:rPr>
          <w:spacing w:val="10"/>
          <w:w w:val="105"/>
        </w:rPr>
        <w:t> </w:t>
      </w:r>
      <w:r>
        <w:rPr>
          <w:w w:val="105"/>
        </w:rPr>
        <w:t>with</w:t>
      </w:r>
    </w:p>
    <w:p>
      <w:pPr>
        <w:pStyle w:val="BodyText"/>
      </w:pPr>
      <w:r>
        <w:rPr>
          <w:rFonts w:ascii="Arial" w:hAnsi="Arial"/>
          <w:w w:val="105"/>
          <w:sz w:val="12"/>
        </w:rPr>
        <w:t>312 </w:t>
      </w:r>
      <w:r>
        <w:rPr>
          <w:w w:val="105"/>
        </w:rPr>
        <w:t>equal probability for both “pull” (approach) and “push” (avoid) responses. There were 12</w:t>
      </w:r>
    </w:p>
    <w:p>
      <w:pPr>
        <w:pStyle w:val="BodyText"/>
      </w:pPr>
      <w:r>
        <w:rPr>
          <w:rFonts w:ascii="Arial"/>
          <w:w w:val="105"/>
          <w:sz w:val="12"/>
        </w:rPr>
        <w:t>313    </w:t>
      </w:r>
      <w:r>
        <w:rPr>
          <w:rFonts w:ascii="Arial"/>
          <w:spacing w:val="5"/>
          <w:w w:val="105"/>
          <w:sz w:val="12"/>
        </w:rPr>
        <w:t> </w:t>
      </w:r>
      <w:r>
        <w:rPr>
          <w:w w:val="105"/>
        </w:rPr>
        <w:t>approach</w:t>
      </w:r>
      <w:r>
        <w:rPr>
          <w:spacing w:val="8"/>
          <w:w w:val="105"/>
        </w:rPr>
        <w:t> </w:t>
      </w:r>
      <w:r>
        <w:rPr>
          <w:w w:val="105"/>
        </w:rPr>
        <w:t>and</w:t>
      </w:r>
      <w:r>
        <w:rPr>
          <w:spacing w:val="7"/>
          <w:w w:val="105"/>
        </w:rPr>
        <w:t> </w:t>
      </w:r>
      <w:r>
        <w:rPr>
          <w:w w:val="105"/>
        </w:rPr>
        <w:t>12</w:t>
      </w:r>
      <w:r>
        <w:rPr>
          <w:spacing w:val="6"/>
          <w:w w:val="105"/>
        </w:rPr>
        <w:t> </w:t>
      </w:r>
      <w:r>
        <w:rPr>
          <w:spacing w:val="-4"/>
          <w:w w:val="105"/>
        </w:rPr>
        <w:t>avoid</w:t>
      </w:r>
      <w:r>
        <w:rPr>
          <w:spacing w:val="7"/>
          <w:w w:val="105"/>
        </w:rPr>
        <w:t> </w:t>
      </w:r>
      <w:r>
        <w:rPr>
          <w:w w:val="105"/>
        </w:rPr>
        <w:t>trials</w:t>
      </w:r>
      <w:r>
        <w:rPr>
          <w:spacing w:val="7"/>
          <w:w w:val="105"/>
        </w:rPr>
        <w:t> </w:t>
      </w:r>
      <w:r>
        <w:rPr>
          <w:w w:val="105"/>
        </w:rPr>
        <w:t>for</w:t>
      </w:r>
      <w:r>
        <w:rPr>
          <w:spacing w:val="8"/>
          <w:w w:val="105"/>
        </w:rPr>
        <w:t> </w:t>
      </w:r>
      <w:r>
        <w:rPr>
          <w:w w:val="105"/>
        </w:rPr>
        <w:t>each</w:t>
      </w:r>
      <w:r>
        <w:rPr>
          <w:spacing w:val="8"/>
          <w:w w:val="105"/>
        </w:rPr>
        <w:t> </w:t>
      </w:r>
      <w:r>
        <w:rPr>
          <w:w w:val="105"/>
        </w:rPr>
        <w:t>training</w:t>
      </w:r>
      <w:r>
        <w:rPr>
          <w:spacing w:val="7"/>
          <w:w w:val="105"/>
        </w:rPr>
        <w:t> </w:t>
      </w:r>
      <w:r>
        <w:rPr>
          <w:w w:val="105"/>
        </w:rPr>
        <w:t>condition</w:t>
      </w:r>
      <w:r>
        <w:rPr>
          <w:spacing w:val="7"/>
          <w:w w:val="105"/>
        </w:rPr>
        <w:t> </w:t>
      </w:r>
      <w:r>
        <w:rPr>
          <w:w w:val="105"/>
        </w:rPr>
        <w:t>(e.g.,</w:t>
      </w:r>
      <w:r>
        <w:rPr>
          <w:spacing w:val="8"/>
          <w:w w:val="105"/>
        </w:rPr>
        <w:t> </w:t>
      </w:r>
      <w:r>
        <w:rPr>
          <w:w w:val="105"/>
        </w:rPr>
        <w:t>no-go)</w:t>
      </w:r>
      <w:r>
        <w:rPr>
          <w:spacing w:val="8"/>
          <w:w w:val="105"/>
        </w:rPr>
        <w:t> </w:t>
      </w:r>
      <w:r>
        <w:rPr>
          <w:w w:val="105"/>
        </w:rPr>
        <w:t>and</w:t>
      </w:r>
      <w:r>
        <w:rPr>
          <w:spacing w:val="7"/>
          <w:w w:val="105"/>
        </w:rPr>
        <w:t> </w:t>
      </w:r>
      <w:r>
        <w:rPr>
          <w:w w:val="105"/>
        </w:rPr>
        <w:t>within</w:t>
      </w:r>
      <w:r>
        <w:rPr>
          <w:spacing w:val="7"/>
          <w:w w:val="105"/>
        </w:rPr>
        <w:t> </w:t>
      </w:r>
      <w:r>
        <w:rPr>
          <w:w w:val="105"/>
        </w:rPr>
        <w:t>those</w:t>
      </w:r>
      <w:r>
        <w:rPr>
          <w:spacing w:val="6"/>
          <w:w w:val="105"/>
        </w:rPr>
        <w:t> </w:t>
      </w:r>
      <w:r>
        <w:rPr>
          <w:w w:val="105"/>
        </w:rPr>
        <w:t>trials,</w:t>
      </w:r>
    </w:p>
    <w:p>
      <w:pPr>
        <w:pStyle w:val="BodyText"/>
        <w:spacing w:before="203"/>
      </w:pPr>
      <w:r>
        <w:rPr>
          <w:rFonts w:ascii="Arial"/>
          <w:w w:val="105"/>
          <w:sz w:val="12"/>
        </w:rPr>
        <w:t>314    </w:t>
      </w:r>
      <w:r>
        <w:rPr>
          <w:rFonts w:ascii="Arial"/>
          <w:spacing w:val="9"/>
          <w:w w:val="105"/>
          <w:sz w:val="12"/>
        </w:rPr>
        <w:t> </w:t>
      </w:r>
      <w:r>
        <w:rPr>
          <w:w w:val="105"/>
        </w:rPr>
        <w:t>there</w:t>
      </w:r>
      <w:r>
        <w:rPr>
          <w:spacing w:val="8"/>
          <w:w w:val="105"/>
        </w:rPr>
        <w:t> </w:t>
      </w:r>
      <w:r>
        <w:rPr>
          <w:w w:val="105"/>
        </w:rPr>
        <w:t>were</w:t>
      </w:r>
      <w:r>
        <w:rPr>
          <w:spacing w:val="9"/>
          <w:w w:val="105"/>
        </w:rPr>
        <w:t> </w:t>
      </w:r>
      <w:r>
        <w:rPr>
          <w:w w:val="105"/>
        </w:rPr>
        <w:t>six</w:t>
      </w:r>
      <w:r>
        <w:rPr>
          <w:spacing w:val="9"/>
          <w:w w:val="105"/>
        </w:rPr>
        <w:t> </w:t>
      </w:r>
      <w:r>
        <w:rPr>
          <w:spacing w:val="-3"/>
          <w:w w:val="105"/>
        </w:rPr>
        <w:t>savoury</w:t>
      </w:r>
      <w:r>
        <w:rPr>
          <w:spacing w:val="9"/>
          <w:w w:val="105"/>
        </w:rPr>
        <w:t> </w:t>
      </w:r>
      <w:r>
        <w:rPr>
          <w:w w:val="105"/>
        </w:rPr>
        <w:t>and</w:t>
      </w:r>
      <w:r>
        <w:rPr>
          <w:spacing w:val="9"/>
          <w:w w:val="105"/>
        </w:rPr>
        <w:t> </w:t>
      </w:r>
      <w:r>
        <w:rPr>
          <w:w w:val="105"/>
        </w:rPr>
        <w:t>six</w:t>
      </w:r>
      <w:r>
        <w:rPr>
          <w:spacing w:val="9"/>
          <w:w w:val="105"/>
        </w:rPr>
        <w:t> </w:t>
      </w:r>
      <w:r>
        <w:rPr>
          <w:w w:val="105"/>
        </w:rPr>
        <w:t>sweet</w:t>
      </w:r>
      <w:r>
        <w:rPr>
          <w:spacing w:val="9"/>
          <w:w w:val="105"/>
        </w:rPr>
        <w:t> </w:t>
      </w:r>
      <w:r>
        <w:rPr>
          <w:spacing w:val="2"/>
          <w:w w:val="105"/>
        </w:rPr>
        <w:t>foods</w:t>
      </w:r>
      <w:r>
        <w:rPr>
          <w:spacing w:val="8"/>
          <w:w w:val="105"/>
        </w:rPr>
        <w:t> </w:t>
      </w:r>
      <w:r>
        <w:rPr>
          <w:w w:val="105"/>
        </w:rPr>
        <w:t>presented</w:t>
      </w:r>
      <w:r>
        <w:rPr>
          <w:spacing w:val="9"/>
          <w:w w:val="105"/>
        </w:rPr>
        <w:t> </w:t>
      </w:r>
      <w:r>
        <w:rPr>
          <w:w w:val="105"/>
        </w:rPr>
        <w:t>(i.e.,</w:t>
      </w:r>
      <w:r>
        <w:rPr>
          <w:spacing w:val="9"/>
          <w:w w:val="105"/>
        </w:rPr>
        <w:t> </w:t>
      </w:r>
      <w:r>
        <w:rPr>
          <w:w w:val="105"/>
        </w:rPr>
        <w:t>three</w:t>
      </w:r>
      <w:r>
        <w:rPr>
          <w:spacing w:val="9"/>
          <w:w w:val="105"/>
        </w:rPr>
        <w:t> </w:t>
      </w:r>
      <w:r>
        <w:rPr>
          <w:w w:val="105"/>
        </w:rPr>
        <w:t>exemplars</w:t>
      </w:r>
      <w:r>
        <w:rPr>
          <w:spacing w:val="9"/>
          <w:w w:val="105"/>
        </w:rPr>
        <w:t> </w:t>
      </w:r>
      <w:r>
        <w:rPr>
          <w:w w:val="105"/>
        </w:rPr>
        <w:t>repeated</w:t>
      </w:r>
      <w:r>
        <w:rPr>
          <w:spacing w:val="9"/>
          <w:w w:val="105"/>
        </w:rPr>
        <w:t> </w:t>
      </w:r>
      <w:r>
        <w:rPr>
          <w:w w:val="105"/>
        </w:rPr>
        <w:t>twice).</w:t>
      </w:r>
    </w:p>
    <w:p>
      <w:pPr>
        <w:pStyle w:val="BodyText"/>
      </w:pPr>
      <w:r>
        <w:rPr>
          <w:rFonts w:ascii="Arial"/>
          <w:w w:val="105"/>
          <w:sz w:val="12"/>
        </w:rPr>
        <w:t>315 </w:t>
      </w:r>
      <w:r>
        <w:rPr>
          <w:w w:val="105"/>
        </w:rPr>
        <w:t>Three AAT blocks were performed before training (AAT</w:t>
      </w:r>
      <w:r>
        <w:rPr>
          <w:w w:val="105"/>
          <w:vertAlign w:val="subscript"/>
        </w:rPr>
        <w:t>pre</w:t>
      </w:r>
      <w:r>
        <w:rPr>
          <w:w w:val="105"/>
          <w:vertAlign w:val="baseline"/>
        </w:rPr>
        <w:t>) and three after training</w:t>
      </w:r>
    </w:p>
    <w:p>
      <w:pPr>
        <w:spacing w:after="0"/>
        <w:sectPr>
          <w:pgSz w:w="12240" w:h="15840"/>
          <w:pgMar w:header="649" w:footer="0" w:top="1320" w:bottom="280" w:left="820" w:right="1140"/>
        </w:sectPr>
      </w:pPr>
    </w:p>
    <w:p>
      <w:pPr>
        <w:pStyle w:val="BodyText"/>
        <w:spacing w:before="191"/>
      </w:pPr>
      <w:r>
        <w:rPr>
          <w:rFonts w:ascii="Arial"/>
          <w:w w:val="105"/>
          <w:sz w:val="12"/>
        </w:rPr>
        <w:t>316 </w:t>
      </w:r>
      <w:r>
        <w:rPr>
          <w:w w:val="105"/>
        </w:rPr>
        <w:t>(AAT</w:t>
      </w:r>
      <w:r>
        <w:rPr>
          <w:w w:val="105"/>
          <w:vertAlign w:val="subscript"/>
        </w:rPr>
        <w:t>post</w:t>
      </w:r>
      <w:r>
        <w:rPr>
          <w:w w:val="105"/>
          <w:vertAlign w:val="baseline"/>
        </w:rPr>
        <w:t>). There </w:t>
      </w:r>
      <w:r>
        <w:rPr>
          <w:spacing w:val="-3"/>
          <w:w w:val="105"/>
          <w:vertAlign w:val="baseline"/>
        </w:rPr>
        <w:t>was </w:t>
      </w:r>
      <w:r>
        <w:rPr>
          <w:w w:val="105"/>
          <w:vertAlign w:val="baseline"/>
        </w:rPr>
        <w:t>a number of constraints placed on the quasi-random order of the</w:t>
      </w:r>
      <w:r>
        <w:rPr>
          <w:spacing w:val="52"/>
          <w:w w:val="105"/>
          <w:vertAlign w:val="baseline"/>
        </w:rPr>
        <w:t> </w:t>
      </w:r>
      <w:r>
        <w:rPr>
          <w:w w:val="105"/>
          <w:vertAlign w:val="baseline"/>
        </w:rPr>
        <w:t>trials</w:t>
      </w:r>
    </w:p>
    <w:p>
      <w:pPr>
        <w:pStyle w:val="BodyText"/>
      </w:pPr>
      <w:r>
        <w:rPr>
          <w:rFonts w:ascii="Arial"/>
          <w:w w:val="105"/>
          <w:sz w:val="12"/>
        </w:rPr>
        <w:t>317 </w:t>
      </w:r>
      <w:r>
        <w:rPr>
          <w:w w:val="105"/>
        </w:rPr>
        <w:t>within an AAT block. There were no more than three images of the same food category</w:t>
      </w:r>
    </w:p>
    <w:p>
      <w:pPr>
        <w:pStyle w:val="BodyText"/>
        <w:spacing w:before="203"/>
      </w:pPr>
      <w:r>
        <w:rPr>
          <w:rFonts w:ascii="Arial"/>
          <w:sz w:val="12"/>
        </w:rPr>
        <w:t>318 </w:t>
      </w:r>
      <w:r>
        <w:rPr/>
        <w:t>being presented consecutively and no more than three trials with the same picture format in</w:t>
      </w:r>
    </w:p>
    <w:p>
      <w:pPr>
        <w:pStyle w:val="BodyText"/>
      </w:pPr>
      <w:r>
        <w:rPr>
          <w:rFonts w:ascii="Arial"/>
          <w:sz w:val="12"/>
        </w:rPr>
        <w:t>319 </w:t>
      </w:r>
      <w:r>
        <w:rPr/>
        <w:t>sequence.  AAT practice consisted of 10 trials with grey rectangles instead of food stimuli</w:t>
      </w:r>
    </w:p>
    <w:p>
      <w:pPr>
        <w:pStyle w:val="BodyText"/>
      </w:pPr>
      <w:r>
        <w:rPr>
          <w:rFonts w:ascii="Arial"/>
          <w:w w:val="105"/>
          <w:sz w:val="12"/>
        </w:rPr>
        <w:t>320 </w:t>
      </w:r>
      <w:r>
        <w:rPr>
          <w:w w:val="105"/>
        </w:rPr>
        <w:t>and accuracy feedback. The screen background for the AAT was black and the task lasted</w:t>
      </w:r>
    </w:p>
    <w:p>
      <w:pPr>
        <w:pStyle w:val="BodyText"/>
      </w:pPr>
      <w:r>
        <w:rPr>
          <w:rFonts w:ascii="Arial"/>
          <w:w w:val="105"/>
          <w:sz w:val="12"/>
        </w:rPr>
        <w:t>321 </w:t>
      </w:r>
      <w:r>
        <w:rPr>
          <w:w w:val="105"/>
        </w:rPr>
        <w:t>approximately 15 minutes, including the inter-block 15s breaks, where participants received a</w:t>
      </w:r>
    </w:p>
    <w:p>
      <w:pPr>
        <w:pStyle w:val="BodyText"/>
      </w:pPr>
      <w:r>
        <w:rPr>
          <w:rFonts w:ascii="Arial"/>
          <w:w w:val="105"/>
          <w:sz w:val="12"/>
        </w:rPr>
        <w:t>322 </w:t>
      </w:r>
      <w:r>
        <w:rPr>
          <w:w w:val="105"/>
        </w:rPr>
        <w:t>reminder of the main instructions.</w:t>
      </w:r>
    </w:p>
    <w:p>
      <w:pPr>
        <w:pStyle w:val="BodyText"/>
        <w:spacing w:before="0"/>
        <w:ind w:left="0"/>
        <w:rPr>
          <w:sz w:val="20"/>
        </w:rPr>
      </w:pPr>
    </w:p>
    <w:p>
      <w:pPr>
        <w:pStyle w:val="BodyText"/>
        <w:spacing w:before="0"/>
        <w:ind w:left="0"/>
        <w:rPr>
          <w:sz w:val="20"/>
        </w:rPr>
      </w:pPr>
    </w:p>
    <w:p>
      <w:pPr>
        <w:pStyle w:val="BodyText"/>
        <w:spacing w:before="7"/>
        <w:ind w:left="0"/>
        <w:rPr>
          <w:sz w:val="18"/>
        </w:rPr>
      </w:pPr>
    </w:p>
    <w:p>
      <w:pPr>
        <w:pStyle w:val="Heading1"/>
      </w:pPr>
      <w:r>
        <w:rPr>
          <w:rFonts w:ascii="Arial"/>
          <w:b w:val="0"/>
          <w:w w:val="110"/>
          <w:sz w:val="12"/>
        </w:rPr>
        <w:t>323</w:t>
      </w:r>
      <w:bookmarkStart w:name="Food liking ratings" w:id="23"/>
      <w:bookmarkEnd w:id="23"/>
      <w:r>
        <w:rPr>
          <w:rFonts w:ascii="Arial"/>
          <w:b w:val="0"/>
          <w:w w:val="110"/>
          <w:sz w:val="12"/>
        </w:rPr>
      </w:r>
      <w:bookmarkStart w:name="_bookmark9" w:id="24"/>
      <w:bookmarkEnd w:id="24"/>
      <w:r>
        <w:rPr>
          <w:rFonts w:ascii="Arial"/>
          <w:b w:val="0"/>
          <w:w w:val="110"/>
          <w:sz w:val="12"/>
        </w:rPr>
      </w:r>
      <w:r>
        <w:rPr>
          <w:rFonts w:ascii="Arial"/>
          <w:b w:val="0"/>
          <w:w w:val="110"/>
          <w:sz w:val="12"/>
        </w:rPr>
        <w:t> </w:t>
      </w:r>
      <w:r>
        <w:rPr>
          <w:w w:val="110"/>
        </w:rPr>
        <w:t>Food liking ratings</w:t>
      </w:r>
    </w:p>
    <w:p>
      <w:pPr>
        <w:pStyle w:val="BodyText"/>
        <w:spacing w:before="0"/>
        <w:ind w:left="0"/>
        <w:rPr>
          <w:b/>
          <w:sz w:val="20"/>
        </w:rPr>
      </w:pPr>
    </w:p>
    <w:p>
      <w:pPr>
        <w:pStyle w:val="BodyText"/>
        <w:spacing w:before="9"/>
        <w:ind w:left="0"/>
        <w:rPr>
          <w:b/>
          <w:sz w:val="26"/>
        </w:rPr>
      </w:pPr>
    </w:p>
    <w:p>
      <w:pPr>
        <w:pStyle w:val="BodyText"/>
        <w:tabs>
          <w:tab w:pos="1195" w:val="left" w:leader="none"/>
        </w:tabs>
        <w:spacing w:before="145"/>
      </w:pPr>
      <w:r>
        <w:rPr>
          <w:rFonts w:ascii="Arial"/>
          <w:w w:val="105"/>
          <w:sz w:val="12"/>
        </w:rPr>
        <w:t>324</w:t>
        <w:tab/>
      </w:r>
      <w:r>
        <w:rPr>
          <w:w w:val="105"/>
        </w:rPr>
        <w:t>Participants</w:t>
      </w:r>
      <w:r>
        <w:rPr>
          <w:spacing w:val="14"/>
          <w:w w:val="105"/>
        </w:rPr>
        <w:t> </w:t>
      </w:r>
      <w:r>
        <w:rPr>
          <w:w w:val="105"/>
        </w:rPr>
        <w:t>provided</w:t>
      </w:r>
      <w:r>
        <w:rPr>
          <w:spacing w:val="13"/>
          <w:w w:val="105"/>
        </w:rPr>
        <w:t> </w:t>
      </w:r>
      <w:r>
        <w:rPr>
          <w:spacing w:val="3"/>
          <w:w w:val="105"/>
        </w:rPr>
        <w:t>food</w:t>
      </w:r>
      <w:r>
        <w:rPr>
          <w:spacing w:val="14"/>
          <w:w w:val="105"/>
        </w:rPr>
        <w:t> </w:t>
      </w:r>
      <w:r>
        <w:rPr>
          <w:w w:val="105"/>
        </w:rPr>
        <w:t>liking</w:t>
      </w:r>
      <w:r>
        <w:rPr>
          <w:spacing w:val="14"/>
          <w:w w:val="105"/>
        </w:rPr>
        <w:t> </w:t>
      </w:r>
      <w:r>
        <w:rPr>
          <w:w w:val="105"/>
        </w:rPr>
        <w:t>ratings</w:t>
      </w:r>
      <w:r>
        <w:rPr>
          <w:spacing w:val="13"/>
          <w:w w:val="105"/>
        </w:rPr>
        <w:t> </w:t>
      </w:r>
      <w:r>
        <w:rPr>
          <w:w w:val="105"/>
        </w:rPr>
        <w:t>before</w:t>
      </w:r>
      <w:r>
        <w:rPr>
          <w:spacing w:val="14"/>
          <w:w w:val="105"/>
        </w:rPr>
        <w:t> </w:t>
      </w:r>
      <w:r>
        <w:rPr>
          <w:w w:val="105"/>
        </w:rPr>
        <w:t>and</w:t>
      </w:r>
      <w:r>
        <w:rPr>
          <w:spacing w:val="14"/>
          <w:w w:val="105"/>
        </w:rPr>
        <w:t> </w:t>
      </w:r>
      <w:r>
        <w:rPr>
          <w:w w:val="105"/>
        </w:rPr>
        <w:t>after</w:t>
      </w:r>
      <w:r>
        <w:rPr>
          <w:spacing w:val="13"/>
          <w:w w:val="105"/>
        </w:rPr>
        <w:t> </w:t>
      </w:r>
      <w:r>
        <w:rPr>
          <w:w w:val="105"/>
        </w:rPr>
        <w:t>training</w:t>
      </w:r>
      <w:r>
        <w:rPr>
          <w:spacing w:val="14"/>
          <w:w w:val="105"/>
        </w:rPr>
        <w:t> </w:t>
      </w:r>
      <w:r>
        <w:rPr>
          <w:w w:val="105"/>
        </w:rPr>
        <w:t>using</w:t>
      </w:r>
      <w:r>
        <w:rPr>
          <w:spacing w:val="13"/>
          <w:w w:val="105"/>
        </w:rPr>
        <w:t> </w:t>
      </w:r>
      <w:r>
        <w:rPr>
          <w:w w:val="105"/>
        </w:rPr>
        <w:t>a</w:t>
      </w:r>
      <w:r>
        <w:rPr>
          <w:spacing w:val="14"/>
          <w:w w:val="105"/>
        </w:rPr>
        <w:t> </w:t>
      </w:r>
      <w:r>
        <w:rPr>
          <w:w w:val="105"/>
        </w:rPr>
        <w:t>visual</w:t>
      </w:r>
    </w:p>
    <w:p>
      <w:pPr>
        <w:pStyle w:val="BodyText"/>
        <w:spacing w:before="203"/>
      </w:pPr>
      <w:r>
        <w:rPr>
          <w:rFonts w:ascii="Arial"/>
          <w:sz w:val="12"/>
        </w:rPr>
        <w:t>325 </w:t>
      </w:r>
      <w:r>
        <w:rPr/>
        <w:t>analogue scale (VAS). They rated all foods included in the GNG paradigm according to how</w:t>
      </w:r>
    </w:p>
    <w:p>
      <w:pPr>
        <w:pStyle w:val="BodyText"/>
      </w:pPr>
      <w:r>
        <w:rPr>
          <w:rFonts w:ascii="Arial" w:hAnsi="Arial"/>
          <w:w w:val="105"/>
          <w:sz w:val="12"/>
        </w:rPr>
        <w:t>326 </w:t>
      </w:r>
      <w:r>
        <w:rPr>
          <w:w w:val="105"/>
        </w:rPr>
        <w:t>much they liked the taste, ranging from 0 (“not at all”) to 100 (“very much”). Task</w:t>
      </w:r>
    </w:p>
    <w:p>
      <w:pPr>
        <w:pStyle w:val="BodyText"/>
      </w:pPr>
      <w:r>
        <w:rPr>
          <w:rFonts w:ascii="Arial"/>
          <w:w w:val="105"/>
          <w:sz w:val="12"/>
        </w:rPr>
        <w:t>327 </w:t>
      </w:r>
      <w:r>
        <w:rPr>
          <w:w w:val="105"/>
        </w:rPr>
        <w:t>instructions encouraged participants to imagine they were tasting the food in their mouth</w:t>
      </w:r>
    </w:p>
    <w:p>
      <w:pPr>
        <w:pStyle w:val="BodyText"/>
      </w:pPr>
      <w:r>
        <w:rPr>
          <w:rFonts w:ascii="Arial"/>
          <w:w w:val="105"/>
          <w:sz w:val="12"/>
        </w:rPr>
        <w:t>328 </w:t>
      </w:r>
      <w:r>
        <w:rPr>
          <w:w w:val="105"/>
        </w:rPr>
        <w:t>and then rate </w:t>
      </w:r>
      <w:r>
        <w:rPr>
          <w:spacing w:val="-3"/>
          <w:w w:val="105"/>
        </w:rPr>
        <w:t>how </w:t>
      </w:r>
      <w:r>
        <w:rPr>
          <w:spacing w:val="-4"/>
          <w:w w:val="105"/>
        </w:rPr>
        <w:t>much </w:t>
      </w:r>
      <w:r>
        <w:rPr>
          <w:w w:val="105"/>
        </w:rPr>
        <w:t>they liked the taste. The order of the presented </w:t>
      </w:r>
      <w:r>
        <w:rPr>
          <w:spacing w:val="2"/>
          <w:w w:val="105"/>
        </w:rPr>
        <w:t>foods</w:t>
      </w:r>
      <w:r>
        <w:rPr>
          <w:spacing w:val="63"/>
          <w:w w:val="105"/>
        </w:rPr>
        <w:t> </w:t>
      </w:r>
      <w:r>
        <w:rPr>
          <w:spacing w:val="-3"/>
          <w:w w:val="105"/>
        </w:rPr>
        <w:t>was</w:t>
      </w:r>
    </w:p>
    <w:p>
      <w:pPr>
        <w:pStyle w:val="BodyText"/>
      </w:pPr>
      <w:r>
        <w:rPr>
          <w:rFonts w:ascii="Arial"/>
          <w:w w:val="105"/>
          <w:sz w:val="12"/>
        </w:rPr>
        <w:t>329 </w:t>
      </w:r>
      <w:r>
        <w:rPr>
          <w:w w:val="105"/>
        </w:rPr>
        <w:t>randomised and each block consisted of 18 trials. Participants completed a block before</w:t>
      </w:r>
    </w:p>
    <w:p>
      <w:pPr>
        <w:pStyle w:val="BodyText"/>
        <w:spacing w:before="203"/>
      </w:pPr>
      <w:r>
        <w:rPr>
          <w:rFonts w:ascii="Arial"/>
          <w:w w:val="105"/>
          <w:sz w:val="12"/>
        </w:rPr>
        <w:t>330 </w:t>
      </w:r>
      <w:r>
        <w:rPr>
          <w:w w:val="105"/>
        </w:rPr>
        <w:t>training (Liking</w:t>
      </w:r>
      <w:r>
        <w:rPr>
          <w:w w:val="105"/>
          <w:vertAlign w:val="subscript"/>
        </w:rPr>
        <w:t>pre</w:t>
      </w:r>
      <w:r>
        <w:rPr>
          <w:w w:val="105"/>
          <w:vertAlign w:val="baseline"/>
        </w:rPr>
        <w:t>) and a block after training (Liking</w:t>
      </w:r>
      <w:r>
        <w:rPr>
          <w:w w:val="105"/>
          <w:vertAlign w:val="subscript"/>
        </w:rPr>
        <w:t>post</w:t>
      </w:r>
      <w:r>
        <w:rPr>
          <w:w w:val="105"/>
          <w:vertAlign w:val="baseline"/>
        </w:rPr>
        <w:t>).</w:t>
      </w:r>
    </w:p>
    <w:p>
      <w:pPr>
        <w:pStyle w:val="BodyText"/>
        <w:spacing w:before="0"/>
        <w:ind w:left="0"/>
        <w:rPr>
          <w:sz w:val="20"/>
        </w:rPr>
      </w:pPr>
    </w:p>
    <w:p>
      <w:pPr>
        <w:pStyle w:val="BodyText"/>
        <w:spacing w:before="0"/>
        <w:ind w:left="0"/>
        <w:rPr>
          <w:sz w:val="20"/>
        </w:rPr>
      </w:pPr>
    </w:p>
    <w:p>
      <w:pPr>
        <w:pStyle w:val="BodyText"/>
        <w:spacing w:before="6"/>
        <w:ind w:left="0"/>
        <w:rPr>
          <w:sz w:val="18"/>
        </w:rPr>
      </w:pPr>
    </w:p>
    <w:p>
      <w:pPr>
        <w:pStyle w:val="Heading1"/>
      </w:pPr>
      <w:r>
        <w:rPr>
          <w:rFonts w:ascii="Arial"/>
          <w:b w:val="0"/>
          <w:w w:val="110"/>
          <w:sz w:val="12"/>
        </w:rPr>
        <w:t>331</w:t>
      </w:r>
      <w:bookmarkStart w:name="Food choice task" w:id="25"/>
      <w:bookmarkEnd w:id="25"/>
      <w:r>
        <w:rPr>
          <w:rFonts w:ascii="Arial"/>
          <w:b w:val="0"/>
          <w:w w:val="110"/>
          <w:sz w:val="12"/>
        </w:rPr>
      </w:r>
      <w:bookmarkStart w:name="_bookmark10" w:id="26"/>
      <w:bookmarkEnd w:id="26"/>
      <w:r>
        <w:rPr>
          <w:rFonts w:ascii="Arial"/>
          <w:b w:val="0"/>
          <w:w w:val="110"/>
          <w:sz w:val="12"/>
        </w:rPr>
      </w:r>
      <w:r>
        <w:rPr>
          <w:rFonts w:ascii="Arial"/>
          <w:b w:val="0"/>
          <w:w w:val="110"/>
          <w:sz w:val="12"/>
        </w:rPr>
        <w:t> </w:t>
      </w:r>
      <w:r>
        <w:rPr>
          <w:w w:val="110"/>
        </w:rPr>
        <w:t>Food choice task</w:t>
      </w:r>
    </w:p>
    <w:p>
      <w:pPr>
        <w:pStyle w:val="BodyText"/>
        <w:spacing w:before="0"/>
        <w:ind w:left="0"/>
        <w:rPr>
          <w:b/>
          <w:sz w:val="20"/>
        </w:rPr>
      </w:pPr>
    </w:p>
    <w:p>
      <w:pPr>
        <w:pStyle w:val="BodyText"/>
        <w:spacing w:before="9"/>
        <w:ind w:left="0"/>
        <w:rPr>
          <w:b/>
          <w:sz w:val="26"/>
        </w:rPr>
      </w:pPr>
    </w:p>
    <w:p>
      <w:pPr>
        <w:pStyle w:val="BodyText"/>
        <w:tabs>
          <w:tab w:pos="1195" w:val="left" w:leader="none"/>
        </w:tabs>
        <w:spacing w:before="146"/>
      </w:pPr>
      <w:r>
        <w:rPr>
          <w:rFonts w:ascii="Arial"/>
          <w:sz w:val="12"/>
        </w:rPr>
        <w:t>332</w:t>
        <w:tab/>
      </w:r>
      <w:r>
        <w:rPr/>
        <w:t>Impulsive</w:t>
      </w:r>
      <w:r>
        <w:rPr>
          <w:spacing w:val="14"/>
        </w:rPr>
        <w:t> </w:t>
      </w:r>
      <w:r>
        <w:rPr>
          <w:spacing w:val="3"/>
        </w:rPr>
        <w:t>food</w:t>
      </w:r>
      <w:r>
        <w:rPr>
          <w:spacing w:val="15"/>
        </w:rPr>
        <w:t> </w:t>
      </w:r>
      <w:r>
        <w:rPr/>
        <w:t>choices</w:t>
      </w:r>
      <w:r>
        <w:rPr>
          <w:spacing w:val="14"/>
        </w:rPr>
        <w:t> </w:t>
      </w:r>
      <w:r>
        <w:rPr/>
        <w:t>were</w:t>
      </w:r>
      <w:r>
        <w:rPr>
          <w:spacing w:val="15"/>
        </w:rPr>
        <w:t> </w:t>
      </w:r>
      <w:r>
        <w:rPr/>
        <w:t>assessed</w:t>
      </w:r>
      <w:r>
        <w:rPr>
          <w:spacing w:val="14"/>
        </w:rPr>
        <w:t> </w:t>
      </w:r>
      <w:r>
        <w:rPr/>
        <w:t>using</w:t>
      </w:r>
      <w:r>
        <w:rPr>
          <w:spacing w:val="15"/>
        </w:rPr>
        <w:t> </w:t>
      </w:r>
      <w:r>
        <w:rPr/>
        <w:t>a</w:t>
      </w:r>
      <w:r>
        <w:rPr>
          <w:spacing w:val="15"/>
        </w:rPr>
        <w:t> </w:t>
      </w:r>
      <w:r>
        <w:rPr>
          <w:spacing w:val="3"/>
        </w:rPr>
        <w:t>food</w:t>
      </w:r>
      <w:r>
        <w:rPr>
          <w:spacing w:val="14"/>
        </w:rPr>
        <w:t> </w:t>
      </w:r>
      <w:r>
        <w:rPr/>
        <w:t>choice</w:t>
      </w:r>
      <w:r>
        <w:rPr>
          <w:spacing w:val="15"/>
        </w:rPr>
        <w:t> </w:t>
      </w:r>
      <w:r>
        <w:rPr/>
        <w:t>task</w:t>
      </w:r>
      <w:r>
        <w:rPr>
          <w:spacing w:val="14"/>
        </w:rPr>
        <w:t> </w:t>
      </w:r>
      <w:r>
        <w:rPr/>
        <w:t>adapted</w:t>
      </w:r>
      <w:r>
        <w:rPr>
          <w:spacing w:val="15"/>
        </w:rPr>
        <w:t> </w:t>
      </w:r>
      <w:r>
        <w:rPr/>
        <w:t>from</w:t>
      </w:r>
      <w:r>
        <w:rPr>
          <w:spacing w:val="15"/>
        </w:rPr>
        <w:t> </w:t>
      </w:r>
      <w:r>
        <w:rPr>
          <w:spacing w:val="-4"/>
        </w:rPr>
        <w:t>Veling</w:t>
      </w:r>
      <w:r>
        <w:rPr>
          <w:spacing w:val="14"/>
        </w:rPr>
        <w:t> </w:t>
      </w:r>
      <w:r>
        <w:rPr/>
        <w:t>et</w:t>
      </w:r>
      <w:r>
        <w:rPr>
          <w:spacing w:val="15"/>
        </w:rPr>
        <w:t> </w:t>
      </w:r>
      <w:r>
        <w:rPr/>
        <w:t>al.</w:t>
      </w:r>
    </w:p>
    <w:p>
      <w:pPr>
        <w:pStyle w:val="BodyText"/>
      </w:pPr>
      <w:r>
        <w:rPr>
          <w:rFonts w:ascii="Arial"/>
          <w:w w:val="105"/>
          <w:sz w:val="12"/>
        </w:rPr>
        <w:t>333 </w:t>
      </w:r>
      <w:r>
        <w:rPr>
          <w:w w:val="105"/>
        </w:rPr>
        <w:t>(2013a), which included all food categories from the GNG paradigm (two exemplars per</w:t>
      </w:r>
    </w:p>
    <w:p>
      <w:pPr>
        <w:pStyle w:val="BodyText"/>
      </w:pPr>
      <w:r>
        <w:rPr>
          <w:rFonts w:ascii="Arial"/>
          <w:w w:val="105"/>
          <w:sz w:val="12"/>
        </w:rPr>
        <w:t>334 </w:t>
      </w:r>
      <w:r>
        <w:rPr>
          <w:w w:val="105"/>
        </w:rPr>
        <w:t>category). The twelve foods were presented on a grid layout and participants had ten</w:t>
      </w:r>
    </w:p>
    <w:p>
      <w:pPr>
        <w:pStyle w:val="BodyText"/>
      </w:pPr>
      <w:r>
        <w:rPr>
          <w:rFonts w:ascii="Arial"/>
          <w:w w:val="105"/>
          <w:sz w:val="12"/>
        </w:rPr>
        <w:t>335    </w:t>
      </w:r>
      <w:r>
        <w:rPr>
          <w:rFonts w:ascii="Arial"/>
          <w:spacing w:val="9"/>
          <w:w w:val="105"/>
          <w:sz w:val="12"/>
        </w:rPr>
        <w:t> </w:t>
      </w:r>
      <w:r>
        <w:rPr>
          <w:w w:val="105"/>
        </w:rPr>
        <w:t>seconds</w:t>
      </w:r>
      <w:r>
        <w:rPr>
          <w:spacing w:val="8"/>
          <w:w w:val="105"/>
        </w:rPr>
        <w:t> </w:t>
      </w:r>
      <w:r>
        <w:rPr>
          <w:w w:val="105"/>
        </w:rPr>
        <w:t>to</w:t>
      </w:r>
      <w:r>
        <w:rPr>
          <w:spacing w:val="8"/>
          <w:w w:val="105"/>
        </w:rPr>
        <w:t> </w:t>
      </w:r>
      <w:r>
        <w:rPr>
          <w:w w:val="105"/>
        </w:rPr>
        <w:t>select</w:t>
      </w:r>
      <w:r>
        <w:rPr>
          <w:spacing w:val="9"/>
          <w:w w:val="105"/>
        </w:rPr>
        <w:t> </w:t>
      </w:r>
      <w:r>
        <w:rPr>
          <w:w w:val="105"/>
        </w:rPr>
        <w:t>three</w:t>
      </w:r>
      <w:r>
        <w:rPr>
          <w:spacing w:val="8"/>
          <w:w w:val="105"/>
        </w:rPr>
        <w:t> </w:t>
      </w:r>
      <w:r>
        <w:rPr>
          <w:spacing w:val="2"/>
          <w:w w:val="105"/>
        </w:rPr>
        <w:t>foods</w:t>
      </w:r>
      <w:r>
        <w:rPr>
          <w:spacing w:val="8"/>
          <w:w w:val="105"/>
        </w:rPr>
        <w:t> </w:t>
      </w:r>
      <w:r>
        <w:rPr>
          <w:w w:val="105"/>
        </w:rPr>
        <w:t>that</w:t>
      </w:r>
      <w:r>
        <w:rPr>
          <w:spacing w:val="9"/>
          <w:w w:val="105"/>
        </w:rPr>
        <w:t> </w:t>
      </w:r>
      <w:r>
        <w:rPr>
          <w:w w:val="105"/>
        </w:rPr>
        <w:t>they</w:t>
      </w:r>
      <w:r>
        <w:rPr>
          <w:spacing w:val="8"/>
          <w:w w:val="105"/>
        </w:rPr>
        <w:t> </w:t>
      </w:r>
      <w:r>
        <w:rPr>
          <w:w w:val="105"/>
        </w:rPr>
        <w:t>would</w:t>
      </w:r>
      <w:r>
        <w:rPr>
          <w:spacing w:val="8"/>
          <w:w w:val="105"/>
        </w:rPr>
        <w:t> </w:t>
      </w:r>
      <w:r>
        <w:rPr>
          <w:w w:val="105"/>
        </w:rPr>
        <w:t>like</w:t>
      </w:r>
      <w:r>
        <w:rPr>
          <w:spacing w:val="8"/>
          <w:w w:val="105"/>
        </w:rPr>
        <w:t> </w:t>
      </w:r>
      <w:r>
        <w:rPr>
          <w:w w:val="105"/>
        </w:rPr>
        <w:t>to</w:t>
      </w:r>
      <w:r>
        <w:rPr>
          <w:spacing w:val="9"/>
          <w:w w:val="105"/>
        </w:rPr>
        <w:t> </w:t>
      </w:r>
      <w:r>
        <w:rPr>
          <w:w w:val="105"/>
        </w:rPr>
        <w:t>consume</w:t>
      </w:r>
      <w:r>
        <w:rPr>
          <w:spacing w:val="8"/>
          <w:w w:val="105"/>
        </w:rPr>
        <w:t> </w:t>
      </w:r>
      <w:r>
        <w:rPr>
          <w:w w:val="105"/>
        </w:rPr>
        <w:t>the</w:t>
      </w:r>
      <w:r>
        <w:rPr>
          <w:spacing w:val="8"/>
          <w:w w:val="105"/>
        </w:rPr>
        <w:t> </w:t>
      </w:r>
      <w:r>
        <w:rPr>
          <w:w w:val="105"/>
        </w:rPr>
        <w:t>most</w:t>
      </w:r>
      <w:r>
        <w:rPr>
          <w:spacing w:val="9"/>
          <w:w w:val="105"/>
        </w:rPr>
        <w:t> </w:t>
      </w:r>
      <w:r>
        <w:rPr>
          <w:w w:val="105"/>
        </w:rPr>
        <w:t>at</w:t>
      </w:r>
      <w:r>
        <w:rPr>
          <w:spacing w:val="8"/>
          <w:w w:val="105"/>
        </w:rPr>
        <w:t> </w:t>
      </w:r>
      <w:r>
        <w:rPr>
          <w:w w:val="105"/>
        </w:rPr>
        <w:t>that</w:t>
      </w:r>
      <w:r>
        <w:rPr>
          <w:spacing w:val="8"/>
          <w:w w:val="105"/>
        </w:rPr>
        <w:t> </w:t>
      </w:r>
      <w:r>
        <w:rPr>
          <w:w w:val="105"/>
        </w:rPr>
        <w:t>specific</w:t>
      </w:r>
      <w:r>
        <w:rPr>
          <w:spacing w:val="9"/>
          <w:w w:val="105"/>
        </w:rPr>
        <w:t> </w:t>
      </w:r>
      <w:r>
        <w:rPr>
          <w:w w:val="105"/>
        </w:rPr>
        <w:t>time,</w:t>
      </w:r>
    </w:p>
    <w:p>
      <w:pPr>
        <w:pStyle w:val="BodyText"/>
      </w:pPr>
      <w:r>
        <w:rPr>
          <w:rFonts w:ascii="Arial" w:hAnsi="Arial"/>
          <w:w w:val="110"/>
          <w:sz w:val="12"/>
        </w:rPr>
        <w:t>336  </w:t>
      </w:r>
      <w:r>
        <w:rPr>
          <w:rFonts w:ascii="Arial" w:hAnsi="Arial"/>
          <w:spacing w:val="24"/>
          <w:w w:val="110"/>
          <w:sz w:val="12"/>
        </w:rPr>
        <w:t> </w:t>
      </w:r>
      <w:r>
        <w:rPr>
          <w:spacing w:val="-4"/>
          <w:w w:val="110"/>
        </w:rPr>
        <w:t>by</w:t>
      </w:r>
      <w:r>
        <w:rPr>
          <w:spacing w:val="-14"/>
          <w:w w:val="110"/>
        </w:rPr>
        <w:t> </w:t>
      </w:r>
      <w:r>
        <w:rPr>
          <w:w w:val="110"/>
        </w:rPr>
        <w:t>clicking</w:t>
      </w:r>
      <w:r>
        <w:rPr>
          <w:spacing w:val="-13"/>
          <w:w w:val="110"/>
        </w:rPr>
        <w:t> </w:t>
      </w:r>
      <w:r>
        <w:rPr>
          <w:w w:val="110"/>
        </w:rPr>
        <w:t>on</w:t>
      </w:r>
      <w:r>
        <w:rPr>
          <w:spacing w:val="-14"/>
          <w:w w:val="110"/>
        </w:rPr>
        <w:t> </w:t>
      </w:r>
      <w:r>
        <w:rPr>
          <w:w w:val="110"/>
        </w:rPr>
        <w:t>them</w:t>
      </w:r>
      <w:r>
        <w:rPr>
          <w:spacing w:val="-14"/>
          <w:w w:val="110"/>
        </w:rPr>
        <w:t> </w:t>
      </w:r>
      <w:r>
        <w:rPr>
          <w:w w:val="110"/>
        </w:rPr>
        <w:t>with</w:t>
      </w:r>
      <w:r>
        <w:rPr>
          <w:spacing w:val="-13"/>
          <w:w w:val="110"/>
        </w:rPr>
        <w:t> </w:t>
      </w:r>
      <w:r>
        <w:rPr>
          <w:w w:val="110"/>
        </w:rPr>
        <w:t>the</w:t>
      </w:r>
      <w:r>
        <w:rPr>
          <w:spacing w:val="-14"/>
          <w:w w:val="110"/>
        </w:rPr>
        <w:t> </w:t>
      </w:r>
      <w:r>
        <w:rPr>
          <w:w w:val="110"/>
        </w:rPr>
        <w:t>computer</w:t>
      </w:r>
      <w:r>
        <w:rPr>
          <w:spacing w:val="-13"/>
          <w:w w:val="110"/>
        </w:rPr>
        <w:t> </w:t>
      </w:r>
      <w:r>
        <w:rPr>
          <w:w w:val="110"/>
        </w:rPr>
        <w:t>mouse.</w:t>
      </w:r>
      <w:r>
        <w:rPr>
          <w:spacing w:val="4"/>
          <w:w w:val="110"/>
        </w:rPr>
        <w:t> </w:t>
      </w:r>
      <w:r>
        <w:rPr>
          <w:w w:val="110"/>
        </w:rPr>
        <w:t>Participants</w:t>
      </w:r>
      <w:r>
        <w:rPr>
          <w:spacing w:val="-14"/>
          <w:w w:val="110"/>
        </w:rPr>
        <w:t> </w:t>
      </w:r>
      <w:r>
        <w:rPr>
          <w:w w:val="110"/>
        </w:rPr>
        <w:t>were</w:t>
      </w:r>
      <w:r>
        <w:rPr>
          <w:spacing w:val="-13"/>
          <w:w w:val="110"/>
        </w:rPr>
        <w:t> </w:t>
      </w:r>
      <w:r>
        <w:rPr>
          <w:w w:val="110"/>
        </w:rPr>
        <w:t>asked</w:t>
      </w:r>
      <w:r>
        <w:rPr>
          <w:spacing w:val="-13"/>
          <w:w w:val="110"/>
        </w:rPr>
        <w:t> </w:t>
      </w:r>
      <w:r>
        <w:rPr>
          <w:w w:val="110"/>
        </w:rPr>
        <w:t>to</w:t>
      </w:r>
      <w:r>
        <w:rPr>
          <w:spacing w:val="-14"/>
          <w:w w:val="110"/>
        </w:rPr>
        <w:t> </w:t>
      </w:r>
      <w:r>
        <w:rPr>
          <w:w w:val="110"/>
        </w:rPr>
        <w:t>click</w:t>
      </w:r>
      <w:r>
        <w:rPr>
          <w:spacing w:val="-14"/>
          <w:w w:val="110"/>
        </w:rPr>
        <w:t> </w:t>
      </w:r>
      <w:r>
        <w:rPr>
          <w:w w:val="110"/>
        </w:rPr>
        <w:t>on</w:t>
      </w:r>
      <w:r>
        <w:rPr>
          <w:spacing w:val="-13"/>
          <w:w w:val="110"/>
        </w:rPr>
        <w:t> </w:t>
      </w:r>
      <w:r>
        <w:rPr>
          <w:w w:val="110"/>
        </w:rPr>
        <w:t>a</w:t>
      </w:r>
      <w:r>
        <w:rPr>
          <w:spacing w:val="-14"/>
          <w:w w:val="110"/>
        </w:rPr>
        <w:t> </w:t>
      </w:r>
      <w:r>
        <w:rPr>
          <w:w w:val="110"/>
        </w:rPr>
        <w:t>“start”</w:t>
      </w:r>
    </w:p>
    <w:p>
      <w:pPr>
        <w:pStyle w:val="BodyText"/>
        <w:spacing w:before="203"/>
      </w:pPr>
      <w:r>
        <w:rPr>
          <w:rFonts w:ascii="Arial"/>
          <w:w w:val="105"/>
          <w:sz w:val="12"/>
        </w:rPr>
        <w:t>337 </w:t>
      </w:r>
      <w:r>
        <w:rPr>
          <w:w w:val="105"/>
        </w:rPr>
        <w:t>button to begin the trial and when a response was registered the selected food stimulus</w:t>
      </w:r>
    </w:p>
    <w:p>
      <w:pPr>
        <w:pStyle w:val="BodyText"/>
      </w:pPr>
      <w:r>
        <w:rPr>
          <w:rFonts w:ascii="Arial"/>
          <w:w w:val="105"/>
          <w:sz w:val="12"/>
        </w:rPr>
        <w:t>338 </w:t>
      </w:r>
      <w:r>
        <w:rPr>
          <w:w w:val="105"/>
        </w:rPr>
        <w:t>disappeared from the screen. It was assumed that this task element would prevent</w:t>
      </w:r>
    </w:p>
    <w:p>
      <w:pPr>
        <w:spacing w:after="0"/>
        <w:sectPr>
          <w:pgSz w:w="12240" w:h="15840"/>
          <w:pgMar w:header="649" w:footer="0" w:top="1320" w:bottom="280" w:left="820" w:right="1140"/>
        </w:sectPr>
      </w:pPr>
    </w:p>
    <w:p>
      <w:pPr>
        <w:pStyle w:val="BodyText"/>
        <w:spacing w:before="191"/>
      </w:pPr>
      <w:r>
        <w:rPr>
          <w:rFonts w:ascii="Arial"/>
          <w:w w:val="105"/>
          <w:sz w:val="12"/>
        </w:rPr>
        <w:t>339 </w:t>
      </w:r>
      <w:r>
        <w:rPr>
          <w:w w:val="105"/>
        </w:rPr>
        <w:t>participants from deliberating on their choices and changing their initial responses, which</w:t>
      </w:r>
    </w:p>
    <w:p>
      <w:pPr>
        <w:pStyle w:val="BodyText"/>
      </w:pPr>
      <w:r>
        <w:rPr>
          <w:rFonts w:ascii="Arial"/>
          <w:w w:val="105"/>
          <w:sz w:val="12"/>
        </w:rPr>
        <w:t>340 </w:t>
      </w:r>
      <w:r>
        <w:rPr>
          <w:w w:val="105"/>
        </w:rPr>
        <w:t>would mean that </w:t>
      </w:r>
      <w:r>
        <w:rPr>
          <w:i/>
          <w:w w:val="105"/>
        </w:rPr>
        <w:t>impulsive </w:t>
      </w:r>
      <w:r>
        <w:rPr>
          <w:spacing w:val="3"/>
          <w:w w:val="105"/>
        </w:rPr>
        <w:t>food </w:t>
      </w:r>
      <w:r>
        <w:rPr>
          <w:w w:val="105"/>
        </w:rPr>
        <w:t>choices were no longer measured. </w:t>
      </w:r>
      <w:r>
        <w:rPr>
          <w:spacing w:val="-3"/>
          <w:w w:val="105"/>
        </w:rPr>
        <w:t>However, </w:t>
      </w:r>
      <w:r>
        <w:rPr>
          <w:w w:val="105"/>
        </w:rPr>
        <w:t>it should</w:t>
      </w:r>
      <w:r>
        <w:rPr>
          <w:spacing w:val="62"/>
          <w:w w:val="105"/>
        </w:rPr>
        <w:t> </w:t>
      </w:r>
      <w:r>
        <w:rPr>
          <w:spacing w:val="3"/>
          <w:w w:val="105"/>
        </w:rPr>
        <w:t>be</w:t>
      </w:r>
    </w:p>
    <w:p>
      <w:pPr>
        <w:pStyle w:val="BodyText"/>
        <w:spacing w:before="203"/>
      </w:pPr>
      <w:r>
        <w:rPr>
          <w:rFonts w:ascii="Arial"/>
          <w:w w:val="105"/>
          <w:sz w:val="12"/>
        </w:rPr>
        <w:t>341     </w:t>
      </w:r>
      <w:r>
        <w:rPr>
          <w:rFonts w:ascii="Arial"/>
          <w:spacing w:val="14"/>
          <w:w w:val="105"/>
          <w:sz w:val="12"/>
        </w:rPr>
        <w:t> </w:t>
      </w:r>
      <w:r>
        <w:rPr>
          <w:w w:val="105"/>
        </w:rPr>
        <w:t>noted</w:t>
      </w:r>
      <w:r>
        <w:rPr>
          <w:spacing w:val="23"/>
          <w:w w:val="105"/>
        </w:rPr>
        <w:t> </w:t>
      </w:r>
      <w:r>
        <w:rPr>
          <w:w w:val="105"/>
        </w:rPr>
        <w:t>that</w:t>
      </w:r>
      <w:r>
        <w:rPr>
          <w:spacing w:val="25"/>
          <w:w w:val="105"/>
        </w:rPr>
        <w:t> </w:t>
      </w:r>
      <w:r>
        <w:rPr>
          <w:w w:val="105"/>
        </w:rPr>
        <w:t>although</w:t>
      </w:r>
      <w:r>
        <w:rPr>
          <w:spacing w:val="24"/>
          <w:w w:val="105"/>
        </w:rPr>
        <w:t> </w:t>
      </w:r>
      <w:r>
        <w:rPr>
          <w:w w:val="105"/>
        </w:rPr>
        <w:t>participants</w:t>
      </w:r>
      <w:r>
        <w:rPr>
          <w:spacing w:val="24"/>
          <w:w w:val="105"/>
        </w:rPr>
        <w:t> </w:t>
      </w:r>
      <w:r>
        <w:rPr>
          <w:w w:val="105"/>
        </w:rPr>
        <w:t>were</w:t>
      </w:r>
      <w:r>
        <w:rPr>
          <w:spacing w:val="24"/>
          <w:w w:val="105"/>
        </w:rPr>
        <w:t> </w:t>
      </w:r>
      <w:r>
        <w:rPr>
          <w:w w:val="105"/>
        </w:rPr>
        <w:t>not</w:t>
      </w:r>
      <w:r>
        <w:rPr>
          <w:spacing w:val="24"/>
          <w:w w:val="105"/>
        </w:rPr>
        <w:t> </w:t>
      </w:r>
      <w:r>
        <w:rPr>
          <w:w w:val="105"/>
        </w:rPr>
        <w:t>informed</w:t>
      </w:r>
      <w:r>
        <w:rPr>
          <w:spacing w:val="25"/>
          <w:w w:val="105"/>
        </w:rPr>
        <w:t> </w:t>
      </w:r>
      <w:r>
        <w:rPr>
          <w:w w:val="105"/>
        </w:rPr>
        <w:t>about</w:t>
      </w:r>
      <w:r>
        <w:rPr>
          <w:spacing w:val="24"/>
          <w:w w:val="105"/>
        </w:rPr>
        <w:t> </w:t>
      </w:r>
      <w:r>
        <w:rPr>
          <w:w w:val="105"/>
        </w:rPr>
        <w:t>the</w:t>
      </w:r>
      <w:r>
        <w:rPr>
          <w:spacing w:val="23"/>
          <w:w w:val="105"/>
        </w:rPr>
        <w:t> </w:t>
      </w:r>
      <w:r>
        <w:rPr>
          <w:w w:val="105"/>
        </w:rPr>
        <w:t>hypothetical</w:t>
      </w:r>
      <w:r>
        <w:rPr>
          <w:spacing w:val="25"/>
          <w:w w:val="105"/>
        </w:rPr>
        <w:t> </w:t>
      </w:r>
      <w:r>
        <w:rPr>
          <w:w w:val="105"/>
        </w:rPr>
        <w:t>nature</w:t>
      </w:r>
      <w:r>
        <w:rPr>
          <w:spacing w:val="24"/>
          <w:w w:val="105"/>
        </w:rPr>
        <w:t> </w:t>
      </w:r>
      <w:r>
        <w:rPr>
          <w:w w:val="105"/>
        </w:rPr>
        <w:t>of</w:t>
      </w:r>
      <w:r>
        <w:rPr>
          <w:spacing w:val="24"/>
          <w:w w:val="105"/>
        </w:rPr>
        <w:t> </w:t>
      </w:r>
      <w:r>
        <w:rPr>
          <w:w w:val="105"/>
        </w:rPr>
        <w:t>their</w:t>
      </w:r>
    </w:p>
    <w:p>
      <w:pPr>
        <w:pStyle w:val="BodyText"/>
      </w:pPr>
      <w:r>
        <w:rPr>
          <w:rFonts w:ascii="Arial"/>
          <w:w w:val="105"/>
          <w:sz w:val="12"/>
        </w:rPr>
        <w:t>342    </w:t>
      </w:r>
      <w:r>
        <w:rPr>
          <w:rFonts w:ascii="Arial"/>
          <w:spacing w:val="7"/>
          <w:w w:val="105"/>
          <w:sz w:val="12"/>
        </w:rPr>
        <w:t> </w:t>
      </w:r>
      <w:r>
        <w:rPr>
          <w:w w:val="105"/>
        </w:rPr>
        <w:t>choices,</w:t>
      </w:r>
      <w:r>
        <w:rPr>
          <w:spacing w:val="8"/>
          <w:w w:val="105"/>
        </w:rPr>
        <w:t> </w:t>
      </w:r>
      <w:r>
        <w:rPr>
          <w:w w:val="105"/>
        </w:rPr>
        <w:t>it</w:t>
      </w:r>
      <w:r>
        <w:rPr>
          <w:spacing w:val="7"/>
          <w:w w:val="105"/>
        </w:rPr>
        <w:t> </w:t>
      </w:r>
      <w:r>
        <w:rPr>
          <w:w w:val="105"/>
        </w:rPr>
        <w:t>is</w:t>
      </w:r>
      <w:r>
        <w:rPr>
          <w:spacing w:val="9"/>
          <w:w w:val="105"/>
        </w:rPr>
        <w:t> </w:t>
      </w:r>
      <w:r>
        <w:rPr>
          <w:w w:val="105"/>
        </w:rPr>
        <w:t>highly</w:t>
      </w:r>
      <w:r>
        <w:rPr>
          <w:spacing w:val="7"/>
          <w:w w:val="105"/>
        </w:rPr>
        <w:t> </w:t>
      </w:r>
      <w:r>
        <w:rPr>
          <w:w w:val="105"/>
        </w:rPr>
        <w:t>probable</w:t>
      </w:r>
      <w:r>
        <w:rPr>
          <w:spacing w:val="8"/>
          <w:w w:val="105"/>
        </w:rPr>
        <w:t> </w:t>
      </w:r>
      <w:r>
        <w:rPr>
          <w:w w:val="105"/>
        </w:rPr>
        <w:t>that</w:t>
      </w:r>
      <w:r>
        <w:rPr>
          <w:spacing w:val="8"/>
          <w:w w:val="105"/>
        </w:rPr>
        <w:t> </w:t>
      </w:r>
      <w:r>
        <w:rPr>
          <w:w w:val="105"/>
        </w:rPr>
        <w:t>they</w:t>
      </w:r>
      <w:r>
        <w:rPr>
          <w:spacing w:val="8"/>
          <w:w w:val="105"/>
        </w:rPr>
        <w:t> </w:t>
      </w:r>
      <w:r>
        <w:rPr>
          <w:w w:val="105"/>
        </w:rPr>
        <w:t>would</w:t>
      </w:r>
      <w:r>
        <w:rPr>
          <w:spacing w:val="8"/>
          <w:w w:val="105"/>
        </w:rPr>
        <w:t> </w:t>
      </w:r>
      <w:r>
        <w:rPr>
          <w:w w:val="105"/>
        </w:rPr>
        <w:t>not</w:t>
      </w:r>
      <w:r>
        <w:rPr>
          <w:spacing w:val="8"/>
          <w:w w:val="105"/>
        </w:rPr>
        <w:t> </w:t>
      </w:r>
      <w:r>
        <w:rPr>
          <w:w w:val="105"/>
        </w:rPr>
        <w:t>consider</w:t>
      </w:r>
      <w:r>
        <w:rPr>
          <w:spacing w:val="9"/>
          <w:w w:val="105"/>
        </w:rPr>
        <w:t> </w:t>
      </w:r>
      <w:r>
        <w:rPr>
          <w:w w:val="105"/>
        </w:rPr>
        <w:t>their</w:t>
      </w:r>
      <w:r>
        <w:rPr>
          <w:spacing w:val="7"/>
          <w:w w:val="105"/>
        </w:rPr>
        <w:t> </w:t>
      </w:r>
      <w:r>
        <w:rPr>
          <w:w w:val="105"/>
        </w:rPr>
        <w:t>choices</w:t>
      </w:r>
      <w:r>
        <w:rPr>
          <w:spacing w:val="8"/>
          <w:w w:val="105"/>
        </w:rPr>
        <w:t> </w:t>
      </w:r>
      <w:r>
        <w:rPr>
          <w:w w:val="105"/>
        </w:rPr>
        <w:t>consequential</w:t>
      </w:r>
      <w:r>
        <w:rPr>
          <w:spacing w:val="7"/>
          <w:w w:val="105"/>
        </w:rPr>
        <w:t> </w:t>
      </w:r>
      <w:r>
        <w:rPr>
          <w:w w:val="105"/>
        </w:rPr>
        <w:t>(i.e.,</w:t>
      </w:r>
    </w:p>
    <w:p>
      <w:pPr>
        <w:pStyle w:val="BodyText"/>
      </w:pPr>
      <w:r>
        <w:rPr>
          <w:rFonts w:ascii="Arial"/>
          <w:w w:val="105"/>
          <w:sz w:val="12"/>
        </w:rPr>
        <w:t>343 </w:t>
      </w:r>
      <w:r>
        <w:rPr>
          <w:w w:val="105"/>
        </w:rPr>
        <w:t>they would not think they would get a food item at the end of the study).</w:t>
      </w:r>
    </w:p>
    <w:p>
      <w:pPr>
        <w:pStyle w:val="BodyText"/>
        <w:spacing w:before="0"/>
        <w:ind w:left="0"/>
        <w:rPr>
          <w:sz w:val="20"/>
        </w:rPr>
      </w:pPr>
    </w:p>
    <w:p>
      <w:pPr>
        <w:pStyle w:val="BodyText"/>
        <w:spacing w:before="0"/>
        <w:ind w:left="0"/>
        <w:rPr>
          <w:sz w:val="20"/>
        </w:rPr>
      </w:pPr>
    </w:p>
    <w:p>
      <w:pPr>
        <w:pStyle w:val="Heading1"/>
        <w:spacing w:before="297"/>
      </w:pPr>
      <w:r>
        <w:rPr>
          <w:rFonts w:ascii="Arial"/>
          <w:b w:val="0"/>
          <w:w w:val="110"/>
          <w:sz w:val="12"/>
        </w:rPr>
        <w:t>344</w:t>
      </w:r>
      <w:bookmarkStart w:name="Survey &amp; Questionnaires" w:id="27"/>
      <w:bookmarkEnd w:id="27"/>
      <w:r>
        <w:rPr>
          <w:rFonts w:ascii="Arial"/>
          <w:b w:val="0"/>
          <w:w w:val="110"/>
          <w:sz w:val="12"/>
        </w:rPr>
      </w:r>
      <w:bookmarkStart w:name="_bookmark11" w:id="28"/>
      <w:bookmarkEnd w:id="28"/>
      <w:r>
        <w:rPr>
          <w:rFonts w:ascii="Arial"/>
          <w:b w:val="0"/>
          <w:w w:val="110"/>
          <w:sz w:val="12"/>
        </w:rPr>
      </w:r>
      <w:r>
        <w:rPr>
          <w:rFonts w:ascii="Arial"/>
          <w:b w:val="0"/>
          <w:w w:val="110"/>
          <w:sz w:val="12"/>
        </w:rPr>
        <w:t> </w:t>
      </w:r>
      <w:r>
        <w:rPr>
          <w:w w:val="110"/>
        </w:rPr>
        <w:t>Survey &amp; Questionnaires</w:t>
      </w:r>
    </w:p>
    <w:p>
      <w:pPr>
        <w:pStyle w:val="BodyText"/>
        <w:spacing w:before="0"/>
        <w:ind w:left="0"/>
        <w:rPr>
          <w:b/>
          <w:sz w:val="20"/>
        </w:rPr>
      </w:pPr>
    </w:p>
    <w:p>
      <w:pPr>
        <w:pStyle w:val="BodyText"/>
        <w:spacing w:before="9"/>
        <w:ind w:left="0"/>
        <w:rPr>
          <w:b/>
          <w:sz w:val="22"/>
        </w:rPr>
      </w:pPr>
    </w:p>
    <w:p>
      <w:pPr>
        <w:pStyle w:val="BodyText"/>
        <w:tabs>
          <w:tab w:pos="1195" w:val="left" w:leader="none"/>
        </w:tabs>
        <w:spacing w:before="145"/>
      </w:pPr>
      <w:r>
        <w:rPr>
          <w:rFonts w:ascii="Arial"/>
          <w:w w:val="105"/>
          <w:sz w:val="12"/>
        </w:rPr>
        <w:t>345</w:t>
        <w:tab/>
      </w:r>
      <w:r>
        <w:rPr>
          <w:w w:val="105"/>
        </w:rPr>
        <w:t>Eligible</w:t>
      </w:r>
      <w:r>
        <w:rPr>
          <w:spacing w:val="9"/>
          <w:w w:val="105"/>
        </w:rPr>
        <w:t> </w:t>
      </w:r>
      <w:r>
        <w:rPr>
          <w:w w:val="105"/>
        </w:rPr>
        <w:t>participants</w:t>
      </w:r>
      <w:r>
        <w:rPr>
          <w:spacing w:val="8"/>
          <w:w w:val="105"/>
        </w:rPr>
        <w:t> </w:t>
      </w:r>
      <w:r>
        <w:rPr>
          <w:w w:val="105"/>
        </w:rPr>
        <w:t>were</w:t>
      </w:r>
      <w:r>
        <w:rPr>
          <w:spacing w:val="10"/>
          <w:w w:val="105"/>
        </w:rPr>
        <w:t> </w:t>
      </w:r>
      <w:r>
        <w:rPr>
          <w:w w:val="105"/>
        </w:rPr>
        <w:t>presented</w:t>
      </w:r>
      <w:r>
        <w:rPr>
          <w:spacing w:val="9"/>
          <w:w w:val="105"/>
        </w:rPr>
        <w:t> </w:t>
      </w:r>
      <w:r>
        <w:rPr>
          <w:w w:val="105"/>
        </w:rPr>
        <w:t>with</w:t>
      </w:r>
      <w:r>
        <w:rPr>
          <w:spacing w:val="10"/>
          <w:w w:val="105"/>
        </w:rPr>
        <w:t> </w:t>
      </w:r>
      <w:r>
        <w:rPr>
          <w:w w:val="105"/>
        </w:rPr>
        <w:t>an</w:t>
      </w:r>
      <w:r>
        <w:rPr>
          <w:spacing w:val="8"/>
          <w:w w:val="105"/>
        </w:rPr>
        <w:t> </w:t>
      </w:r>
      <w:r>
        <w:rPr>
          <w:w w:val="105"/>
        </w:rPr>
        <w:t>initial</w:t>
      </w:r>
      <w:r>
        <w:rPr>
          <w:spacing w:val="9"/>
          <w:w w:val="105"/>
        </w:rPr>
        <w:t> </w:t>
      </w:r>
      <w:r>
        <w:rPr>
          <w:w w:val="105"/>
        </w:rPr>
        <w:t>survey</w:t>
      </w:r>
      <w:r>
        <w:rPr>
          <w:spacing w:val="9"/>
          <w:w w:val="105"/>
        </w:rPr>
        <w:t> </w:t>
      </w:r>
      <w:r>
        <w:rPr>
          <w:w w:val="105"/>
        </w:rPr>
        <w:t>to</w:t>
      </w:r>
      <w:r>
        <w:rPr>
          <w:spacing w:val="9"/>
          <w:w w:val="105"/>
        </w:rPr>
        <w:t> </w:t>
      </w:r>
      <w:r>
        <w:rPr>
          <w:w w:val="105"/>
        </w:rPr>
        <w:t>record</w:t>
      </w:r>
      <w:r>
        <w:rPr>
          <w:spacing w:val="10"/>
          <w:w w:val="105"/>
        </w:rPr>
        <w:t> </w:t>
      </w:r>
      <w:r>
        <w:rPr>
          <w:w w:val="105"/>
        </w:rPr>
        <w:t>demographics</w:t>
      </w:r>
      <w:r>
        <w:rPr>
          <w:spacing w:val="8"/>
          <w:w w:val="105"/>
        </w:rPr>
        <w:t> </w:t>
      </w:r>
      <w:r>
        <w:rPr>
          <w:w w:val="105"/>
        </w:rPr>
        <w:t>and</w:t>
      </w:r>
    </w:p>
    <w:p>
      <w:pPr>
        <w:pStyle w:val="BodyText"/>
      </w:pPr>
      <w:r>
        <w:rPr>
          <w:rFonts w:ascii="Arial"/>
          <w:w w:val="105"/>
          <w:sz w:val="12"/>
        </w:rPr>
        <w:t>346 </w:t>
      </w:r>
      <w:r>
        <w:rPr>
          <w:w w:val="105"/>
        </w:rPr>
        <w:t>other variables for exploratory analyses. The survey consisted of height and weight</w:t>
      </w:r>
    </w:p>
    <w:p>
      <w:pPr>
        <w:pStyle w:val="BodyText"/>
        <w:spacing w:before="186"/>
      </w:pPr>
      <w:r>
        <w:rPr>
          <w:rFonts w:ascii="Arial" w:hAnsi="Arial"/>
          <w:w w:val="105"/>
          <w:sz w:val="12"/>
        </w:rPr>
        <w:t>347 </w:t>
      </w:r>
      <w:r>
        <w:rPr>
          <w:w w:val="105"/>
        </w:rPr>
        <w:t>measurements to calculate participant’s body-mass-index (BMI; kg/m</w:t>
      </w:r>
      <w:r>
        <w:rPr>
          <w:rFonts w:ascii="Arial" w:hAnsi="Arial"/>
          <w:w w:val="105"/>
          <w:position w:val="9"/>
          <w:sz w:val="16"/>
        </w:rPr>
        <w:t>2</w:t>
      </w:r>
      <w:r>
        <w:rPr>
          <w:w w:val="105"/>
        </w:rPr>
        <w:t>), the number of</w:t>
      </w:r>
    </w:p>
    <w:p>
      <w:pPr>
        <w:pStyle w:val="BodyText"/>
        <w:spacing w:before="203"/>
      </w:pPr>
      <w:r>
        <w:rPr>
          <w:rFonts w:ascii="Arial" w:hAnsi="Arial"/>
          <w:w w:val="105"/>
          <w:sz w:val="12"/>
        </w:rPr>
        <w:t>348 </w:t>
      </w:r>
      <w:r>
        <w:rPr>
          <w:w w:val="105"/>
        </w:rPr>
        <w:t>hours since their last meal (“less than 3 hours ago”, “3-5 hours ago”, “5-10 hours ago”,</w:t>
      </w:r>
    </w:p>
    <w:p>
      <w:pPr>
        <w:pStyle w:val="BodyText"/>
      </w:pPr>
      <w:r>
        <w:rPr>
          <w:rFonts w:ascii="Arial" w:hAnsi="Arial"/>
          <w:w w:val="105"/>
          <w:sz w:val="12"/>
        </w:rPr>
        <w:t>349    </w:t>
      </w:r>
      <w:r>
        <w:rPr>
          <w:rFonts w:ascii="Arial" w:hAnsi="Arial"/>
          <w:spacing w:val="4"/>
          <w:w w:val="105"/>
          <w:sz w:val="12"/>
        </w:rPr>
        <w:t> </w:t>
      </w:r>
      <w:r>
        <w:rPr>
          <w:w w:val="105"/>
        </w:rPr>
        <w:t>“more</w:t>
      </w:r>
      <w:r>
        <w:rPr>
          <w:spacing w:val="20"/>
          <w:w w:val="105"/>
        </w:rPr>
        <w:t> </w:t>
      </w:r>
      <w:r>
        <w:rPr>
          <w:w w:val="105"/>
        </w:rPr>
        <w:t>than</w:t>
      </w:r>
      <w:r>
        <w:rPr>
          <w:spacing w:val="21"/>
          <w:w w:val="105"/>
        </w:rPr>
        <w:t> </w:t>
      </w:r>
      <w:r>
        <w:rPr>
          <w:w w:val="105"/>
        </w:rPr>
        <w:t>10</w:t>
      </w:r>
      <w:r>
        <w:rPr>
          <w:spacing w:val="20"/>
          <w:w w:val="105"/>
        </w:rPr>
        <w:t> </w:t>
      </w:r>
      <w:r>
        <w:rPr>
          <w:w w:val="105"/>
        </w:rPr>
        <w:t>hours</w:t>
      </w:r>
      <w:r>
        <w:rPr>
          <w:spacing w:val="20"/>
          <w:w w:val="105"/>
        </w:rPr>
        <w:t> </w:t>
      </w:r>
      <w:r>
        <w:rPr>
          <w:w w:val="105"/>
        </w:rPr>
        <w:t>ago”)</w:t>
      </w:r>
      <w:r>
        <w:rPr>
          <w:spacing w:val="22"/>
          <w:w w:val="105"/>
        </w:rPr>
        <w:t> </w:t>
      </w:r>
      <w:r>
        <w:rPr>
          <w:w w:val="105"/>
        </w:rPr>
        <w:t>and</w:t>
      </w:r>
      <w:r>
        <w:rPr>
          <w:spacing w:val="20"/>
          <w:w w:val="105"/>
        </w:rPr>
        <w:t> </w:t>
      </w:r>
      <w:r>
        <w:rPr>
          <w:w w:val="105"/>
        </w:rPr>
        <w:t>hunger</w:t>
      </w:r>
      <w:r>
        <w:rPr>
          <w:spacing w:val="20"/>
          <w:w w:val="105"/>
        </w:rPr>
        <w:t> </w:t>
      </w:r>
      <w:r>
        <w:rPr>
          <w:w w:val="105"/>
        </w:rPr>
        <w:t>state</w:t>
      </w:r>
      <w:r>
        <w:rPr>
          <w:spacing w:val="21"/>
          <w:w w:val="105"/>
        </w:rPr>
        <w:t> </w:t>
      </w:r>
      <w:r>
        <w:rPr>
          <w:w w:val="105"/>
        </w:rPr>
        <w:t>at</w:t>
      </w:r>
      <w:r>
        <w:rPr>
          <w:spacing w:val="22"/>
          <w:w w:val="105"/>
        </w:rPr>
        <w:t> </w:t>
      </w:r>
      <w:r>
        <w:rPr>
          <w:w w:val="105"/>
        </w:rPr>
        <w:t>the</w:t>
      </w:r>
      <w:r>
        <w:rPr>
          <w:spacing w:val="20"/>
          <w:w w:val="105"/>
        </w:rPr>
        <w:t> </w:t>
      </w:r>
      <w:r>
        <w:rPr>
          <w:w w:val="105"/>
        </w:rPr>
        <w:t>the</w:t>
      </w:r>
      <w:r>
        <w:rPr>
          <w:spacing w:val="20"/>
          <w:w w:val="105"/>
        </w:rPr>
        <w:t> </w:t>
      </w:r>
      <w:r>
        <w:rPr>
          <w:w w:val="105"/>
        </w:rPr>
        <w:t>time</w:t>
      </w:r>
      <w:r>
        <w:rPr>
          <w:spacing w:val="21"/>
          <w:w w:val="105"/>
        </w:rPr>
        <w:t> </w:t>
      </w:r>
      <w:r>
        <w:rPr>
          <w:w w:val="105"/>
        </w:rPr>
        <w:t>of</w:t>
      </w:r>
      <w:r>
        <w:rPr>
          <w:spacing w:val="20"/>
          <w:w w:val="105"/>
        </w:rPr>
        <w:t> </w:t>
      </w:r>
      <w:r>
        <w:rPr>
          <w:w w:val="105"/>
        </w:rPr>
        <w:t>the</w:t>
      </w:r>
      <w:r>
        <w:rPr>
          <w:spacing w:val="21"/>
          <w:w w:val="105"/>
        </w:rPr>
        <w:t> </w:t>
      </w:r>
      <w:r>
        <w:rPr>
          <w:w w:val="105"/>
        </w:rPr>
        <w:t>study</w:t>
      </w:r>
      <w:r>
        <w:rPr>
          <w:spacing w:val="21"/>
          <w:w w:val="105"/>
        </w:rPr>
        <w:t> </w:t>
      </w:r>
      <w:r>
        <w:rPr>
          <w:spacing w:val="-6"/>
          <w:w w:val="105"/>
        </w:rPr>
        <w:t>(VAS:</w:t>
      </w:r>
      <w:r>
        <w:rPr>
          <w:spacing w:val="20"/>
          <w:w w:val="105"/>
        </w:rPr>
        <w:t> </w:t>
      </w:r>
      <w:r>
        <w:rPr>
          <w:w w:val="105"/>
        </w:rPr>
        <w:t>1=“Not</w:t>
      </w:r>
      <w:r>
        <w:rPr>
          <w:spacing w:val="21"/>
          <w:w w:val="105"/>
        </w:rPr>
        <w:t> </w:t>
      </w:r>
      <w:r>
        <w:rPr>
          <w:w w:val="105"/>
        </w:rPr>
        <w:t>at</w:t>
      </w:r>
    </w:p>
    <w:p>
      <w:pPr>
        <w:pStyle w:val="BodyText"/>
      </w:pPr>
      <w:r>
        <w:rPr>
          <w:rFonts w:ascii="Arial" w:hAnsi="Arial"/>
          <w:w w:val="105"/>
          <w:sz w:val="12"/>
        </w:rPr>
        <w:t>350    </w:t>
      </w:r>
      <w:r>
        <w:rPr>
          <w:rFonts w:ascii="Arial" w:hAnsi="Arial"/>
          <w:spacing w:val="15"/>
          <w:w w:val="105"/>
          <w:sz w:val="12"/>
        </w:rPr>
        <w:t> </w:t>
      </w:r>
      <w:r>
        <w:rPr>
          <w:w w:val="105"/>
        </w:rPr>
        <w:t>all”</w:t>
      </w:r>
      <w:r>
        <w:rPr>
          <w:spacing w:val="10"/>
          <w:w w:val="105"/>
        </w:rPr>
        <w:t> </w:t>
      </w:r>
      <w:r>
        <w:rPr>
          <w:w w:val="105"/>
        </w:rPr>
        <w:t>to</w:t>
      </w:r>
      <w:r>
        <w:rPr>
          <w:spacing w:val="12"/>
          <w:w w:val="105"/>
        </w:rPr>
        <w:t> </w:t>
      </w:r>
      <w:r>
        <w:rPr>
          <w:spacing w:val="-3"/>
          <w:w w:val="105"/>
        </w:rPr>
        <w:t>9=“Very”).</w:t>
      </w:r>
      <w:r>
        <w:rPr>
          <w:spacing w:val="37"/>
          <w:w w:val="105"/>
        </w:rPr>
        <w:t> </w:t>
      </w:r>
      <w:r>
        <w:rPr>
          <w:w w:val="105"/>
        </w:rPr>
        <w:t>Gender</w:t>
      </w:r>
      <w:r>
        <w:rPr>
          <w:spacing w:val="11"/>
          <w:w w:val="105"/>
        </w:rPr>
        <w:t> </w:t>
      </w:r>
      <w:r>
        <w:rPr>
          <w:spacing w:val="-3"/>
          <w:w w:val="105"/>
        </w:rPr>
        <w:t>was</w:t>
      </w:r>
      <w:r>
        <w:rPr>
          <w:spacing w:val="12"/>
          <w:w w:val="105"/>
        </w:rPr>
        <w:t> </w:t>
      </w:r>
      <w:r>
        <w:rPr>
          <w:w w:val="105"/>
        </w:rPr>
        <w:t>also</w:t>
      </w:r>
      <w:r>
        <w:rPr>
          <w:spacing w:val="10"/>
          <w:w w:val="105"/>
        </w:rPr>
        <w:t> </w:t>
      </w:r>
      <w:r>
        <w:rPr>
          <w:w w:val="105"/>
        </w:rPr>
        <w:t>recorded</w:t>
      </w:r>
      <w:r>
        <w:rPr>
          <w:spacing w:val="11"/>
          <w:w w:val="105"/>
        </w:rPr>
        <w:t> </w:t>
      </w:r>
      <w:r>
        <w:rPr>
          <w:w w:val="105"/>
        </w:rPr>
        <w:t>with</w:t>
      </w:r>
      <w:r>
        <w:rPr>
          <w:spacing w:val="12"/>
          <w:w w:val="105"/>
        </w:rPr>
        <w:t> </w:t>
      </w:r>
      <w:r>
        <w:rPr>
          <w:w w:val="105"/>
        </w:rPr>
        <w:t>the</w:t>
      </w:r>
      <w:r>
        <w:rPr>
          <w:spacing w:val="11"/>
          <w:w w:val="105"/>
        </w:rPr>
        <w:t> </w:t>
      </w:r>
      <w:r>
        <w:rPr>
          <w:w w:val="105"/>
        </w:rPr>
        <w:t>options</w:t>
      </w:r>
      <w:r>
        <w:rPr>
          <w:spacing w:val="11"/>
          <w:w w:val="105"/>
        </w:rPr>
        <w:t> </w:t>
      </w:r>
      <w:r>
        <w:rPr>
          <w:w w:val="105"/>
        </w:rPr>
        <w:t>of</w:t>
      </w:r>
      <w:r>
        <w:rPr>
          <w:spacing w:val="10"/>
          <w:w w:val="105"/>
        </w:rPr>
        <w:t> </w:t>
      </w:r>
      <w:r>
        <w:rPr>
          <w:w w:val="105"/>
        </w:rPr>
        <w:t>male,</w:t>
      </w:r>
      <w:r>
        <w:rPr>
          <w:spacing w:val="12"/>
          <w:w w:val="105"/>
        </w:rPr>
        <w:t> </w:t>
      </w:r>
      <w:r>
        <w:rPr>
          <w:w w:val="105"/>
        </w:rPr>
        <w:t>female,</w:t>
      </w:r>
      <w:r>
        <w:rPr>
          <w:spacing w:val="12"/>
          <w:w w:val="105"/>
        </w:rPr>
        <w:t> </w:t>
      </w:r>
      <w:r>
        <w:rPr>
          <w:w w:val="105"/>
        </w:rPr>
        <w:t>transgender</w:t>
      </w:r>
    </w:p>
    <w:p>
      <w:pPr>
        <w:pStyle w:val="BodyText"/>
      </w:pPr>
      <w:r>
        <w:rPr>
          <w:rFonts w:ascii="Arial"/>
          <w:w w:val="105"/>
          <w:sz w:val="12"/>
        </w:rPr>
        <w:t>351 </w:t>
      </w:r>
      <w:r>
        <w:rPr>
          <w:w w:val="105"/>
        </w:rPr>
        <w:t>male, transgender female, gender variant/non-conforming, and an open ended text response</w:t>
      </w:r>
    </w:p>
    <w:p>
      <w:pPr>
        <w:spacing w:before="202"/>
        <w:ind w:left="230" w:right="0" w:firstLine="0"/>
        <w:jc w:val="left"/>
        <w:rPr>
          <w:sz w:val="24"/>
        </w:rPr>
      </w:pPr>
      <w:r>
        <w:rPr>
          <w:rFonts w:ascii="Arial" w:hAnsi="Arial"/>
          <w:w w:val="105"/>
          <w:sz w:val="12"/>
        </w:rPr>
        <w:t>352 </w:t>
      </w:r>
      <w:r>
        <w:rPr>
          <w:w w:val="105"/>
          <w:sz w:val="24"/>
        </w:rPr>
        <w:t>for “other”.</w:t>
      </w:r>
    </w:p>
    <w:p>
      <w:pPr>
        <w:pStyle w:val="BodyText"/>
        <w:spacing w:before="2"/>
        <w:ind w:left="0"/>
        <w:rPr>
          <w:sz w:val="27"/>
        </w:rPr>
      </w:pPr>
    </w:p>
    <w:p>
      <w:pPr>
        <w:pStyle w:val="BodyText"/>
        <w:tabs>
          <w:tab w:pos="1195" w:val="left" w:leader="none"/>
        </w:tabs>
        <w:spacing w:before="145"/>
      </w:pPr>
      <w:r>
        <w:rPr>
          <w:rFonts w:ascii="Arial"/>
          <w:w w:val="105"/>
          <w:sz w:val="12"/>
        </w:rPr>
        <w:t>353</w:t>
        <w:tab/>
      </w:r>
      <w:r>
        <w:rPr>
          <w:w w:val="105"/>
        </w:rPr>
        <w:t>Several</w:t>
      </w:r>
      <w:r>
        <w:rPr>
          <w:spacing w:val="16"/>
          <w:w w:val="105"/>
        </w:rPr>
        <w:t> </w:t>
      </w:r>
      <w:r>
        <w:rPr>
          <w:w w:val="105"/>
        </w:rPr>
        <w:t>questionnaires</w:t>
      </w:r>
      <w:r>
        <w:rPr>
          <w:spacing w:val="15"/>
          <w:w w:val="105"/>
        </w:rPr>
        <w:t> </w:t>
      </w:r>
      <w:r>
        <w:rPr>
          <w:w w:val="105"/>
        </w:rPr>
        <w:t>were</w:t>
      </w:r>
      <w:r>
        <w:rPr>
          <w:spacing w:val="16"/>
          <w:w w:val="105"/>
        </w:rPr>
        <w:t> </w:t>
      </w:r>
      <w:r>
        <w:rPr>
          <w:w w:val="105"/>
        </w:rPr>
        <w:t>completed</w:t>
      </w:r>
      <w:r>
        <w:rPr>
          <w:spacing w:val="16"/>
          <w:w w:val="105"/>
        </w:rPr>
        <w:t> </w:t>
      </w:r>
      <w:r>
        <w:rPr>
          <w:spacing w:val="-4"/>
          <w:w w:val="105"/>
        </w:rPr>
        <w:t>by</w:t>
      </w:r>
      <w:r>
        <w:rPr>
          <w:spacing w:val="16"/>
          <w:w w:val="105"/>
        </w:rPr>
        <w:t> </w:t>
      </w:r>
      <w:r>
        <w:rPr>
          <w:w w:val="105"/>
        </w:rPr>
        <w:t>the</w:t>
      </w:r>
      <w:r>
        <w:rPr>
          <w:spacing w:val="15"/>
          <w:w w:val="105"/>
        </w:rPr>
        <w:t> </w:t>
      </w:r>
      <w:r>
        <w:rPr>
          <w:w w:val="105"/>
        </w:rPr>
        <w:t>participants</w:t>
      </w:r>
      <w:r>
        <w:rPr>
          <w:spacing w:val="15"/>
          <w:w w:val="105"/>
        </w:rPr>
        <w:t> </w:t>
      </w:r>
      <w:r>
        <w:rPr>
          <w:w w:val="105"/>
        </w:rPr>
        <w:t>at</w:t>
      </w:r>
      <w:r>
        <w:rPr>
          <w:spacing w:val="15"/>
          <w:w w:val="105"/>
        </w:rPr>
        <w:t> </w:t>
      </w:r>
      <w:r>
        <w:rPr>
          <w:w w:val="105"/>
        </w:rPr>
        <w:t>the</w:t>
      </w:r>
      <w:r>
        <w:rPr>
          <w:spacing w:val="16"/>
          <w:w w:val="105"/>
        </w:rPr>
        <w:t> </w:t>
      </w:r>
      <w:r>
        <w:rPr>
          <w:w w:val="105"/>
        </w:rPr>
        <w:t>end</w:t>
      </w:r>
      <w:r>
        <w:rPr>
          <w:spacing w:val="16"/>
          <w:w w:val="105"/>
        </w:rPr>
        <w:t> </w:t>
      </w:r>
      <w:r>
        <w:rPr>
          <w:w w:val="105"/>
        </w:rPr>
        <w:t>of</w:t>
      </w:r>
      <w:r>
        <w:rPr>
          <w:spacing w:val="15"/>
          <w:w w:val="105"/>
        </w:rPr>
        <w:t> </w:t>
      </w:r>
      <w:r>
        <w:rPr>
          <w:w w:val="105"/>
        </w:rPr>
        <w:t>the</w:t>
      </w:r>
      <w:r>
        <w:rPr>
          <w:spacing w:val="16"/>
          <w:w w:val="105"/>
        </w:rPr>
        <w:t> </w:t>
      </w:r>
      <w:r>
        <w:rPr>
          <w:w w:val="105"/>
        </w:rPr>
        <w:t>study</w:t>
      </w:r>
      <w:r>
        <w:rPr>
          <w:spacing w:val="16"/>
          <w:w w:val="105"/>
        </w:rPr>
        <w:t> </w:t>
      </w:r>
      <w:r>
        <w:rPr>
          <w:w w:val="105"/>
        </w:rPr>
        <w:t>for</w:t>
      </w:r>
    </w:p>
    <w:p>
      <w:pPr>
        <w:pStyle w:val="BodyText"/>
        <w:spacing w:before="203"/>
      </w:pPr>
      <w:r>
        <w:rPr>
          <w:rFonts w:ascii="Arial"/>
          <w:w w:val="105"/>
          <w:sz w:val="12"/>
        </w:rPr>
        <w:t>354 </w:t>
      </w:r>
      <w:r>
        <w:rPr>
          <w:w w:val="105"/>
        </w:rPr>
        <w:t>exploratory analyses, as part of the undergraduate student projects of the GW4</w:t>
      </w:r>
    </w:p>
    <w:p>
      <w:pPr>
        <w:pStyle w:val="BodyText"/>
      </w:pPr>
      <w:r>
        <w:rPr>
          <w:rFonts w:ascii="Arial"/>
          <w:w w:val="105"/>
          <w:sz w:val="12"/>
        </w:rPr>
        <w:t>355 </w:t>
      </w:r>
      <w:r>
        <w:rPr>
          <w:w w:val="105"/>
        </w:rPr>
        <w:t>Undergraduate Psychology Consortium 2017/2018. The Barratt Impulsivity Scale (BIS-15;</w:t>
      </w:r>
    </w:p>
    <w:p>
      <w:pPr>
        <w:pStyle w:val="BodyText"/>
      </w:pPr>
      <w:r>
        <w:rPr>
          <w:rFonts w:ascii="Arial"/>
          <w:w w:val="105"/>
          <w:sz w:val="12"/>
        </w:rPr>
        <w:t>356 </w:t>
      </w:r>
      <w:r>
        <w:rPr>
          <w:w w:val="105"/>
        </w:rPr>
        <w:t>Spinella, 2007) was introduced as a measure of impulsivity and the Stop Control Scale (SCS;</w:t>
      </w:r>
    </w:p>
    <w:p>
      <w:pPr>
        <w:pStyle w:val="BodyText"/>
      </w:pPr>
      <w:r>
        <w:rPr>
          <w:rFonts w:ascii="Arial"/>
          <w:w w:val="105"/>
          <w:sz w:val="12"/>
        </w:rPr>
        <w:t>357 </w:t>
      </w:r>
      <w:r>
        <w:rPr>
          <w:w w:val="105"/>
        </w:rPr>
        <w:t>De Boer, van Hooft, &amp; Bakker, 2011) was used to examine a distinctive element of general</w:t>
      </w:r>
    </w:p>
    <w:p>
      <w:pPr>
        <w:pStyle w:val="BodyText"/>
      </w:pPr>
      <w:r>
        <w:rPr>
          <w:rFonts w:ascii="Arial"/>
          <w:w w:val="105"/>
          <w:sz w:val="12"/>
        </w:rPr>
        <w:t>358 </w:t>
      </w:r>
      <w:r>
        <w:rPr>
          <w:w w:val="105"/>
        </w:rPr>
        <w:t>trait self-control, referred to as stop control. Other administered questionnaires included the</w:t>
      </w:r>
    </w:p>
    <w:p>
      <w:pPr>
        <w:pStyle w:val="BodyText"/>
        <w:spacing w:before="203"/>
      </w:pPr>
      <w:r>
        <w:rPr>
          <w:rFonts w:ascii="Arial" w:hAnsi="Arial"/>
          <w:w w:val="105"/>
          <w:sz w:val="12"/>
        </w:rPr>
        <w:t>359 </w:t>
      </w:r>
      <w:r>
        <w:rPr>
          <w:w w:val="105"/>
        </w:rPr>
        <w:t>Food Cravings Questionnaire - Trait - reduced (FCQ-T-r; Meule, Hermann, &amp; Kübler, 2014),</w:t>
      </w:r>
    </w:p>
    <w:p>
      <w:pPr>
        <w:pStyle w:val="BodyText"/>
      </w:pPr>
      <w:r>
        <w:rPr>
          <w:rFonts w:ascii="Arial" w:hAnsi="Arial"/>
          <w:w w:val="105"/>
          <w:sz w:val="12"/>
        </w:rPr>
        <w:t>360 </w:t>
      </w:r>
      <w:r>
        <w:rPr>
          <w:w w:val="105"/>
        </w:rPr>
        <w:t>Perceived Stress Scale (PSS; Cohen, Kamarck, &amp; Mermelstein, 1983) and the “food” and</w:t>
      </w:r>
    </w:p>
    <w:p>
      <w:pPr>
        <w:pStyle w:val="BodyText"/>
      </w:pPr>
      <w:r>
        <w:rPr>
          <w:rFonts w:ascii="Arial" w:hAnsi="Arial"/>
          <w:w w:val="105"/>
          <w:sz w:val="12"/>
        </w:rPr>
        <w:t>361 </w:t>
      </w:r>
      <w:r>
        <w:rPr>
          <w:w w:val="105"/>
        </w:rPr>
        <w:t>“money” subscales from the Delaying Gratification Inventory (DGI; Hoerger, Quirk, &amp; Weed,</w:t>
      </w:r>
    </w:p>
    <w:p>
      <w:pPr>
        <w:pStyle w:val="BodyText"/>
      </w:pPr>
      <w:r>
        <w:rPr>
          <w:rFonts w:ascii="Arial"/>
          <w:w w:val="105"/>
          <w:sz w:val="12"/>
        </w:rPr>
        <w:t>362 </w:t>
      </w:r>
      <w:r>
        <w:rPr>
          <w:w w:val="105"/>
        </w:rPr>
        <w:t>2011). A correlation matrix of main questionnaire measures and sample characteristics can</w:t>
      </w:r>
    </w:p>
    <w:p>
      <w:pPr>
        <w:pStyle w:val="BodyText"/>
      </w:pPr>
      <w:r>
        <w:rPr>
          <w:rFonts w:ascii="Arial"/>
          <w:w w:val="105"/>
          <w:sz w:val="12"/>
        </w:rPr>
        <w:t>363 </w:t>
      </w:r>
      <w:r>
        <w:rPr>
          <w:w w:val="105"/>
        </w:rPr>
        <w:t>be found in Appendix </w:t>
      </w:r>
      <w:hyperlink w:history="true" w:anchor="_bookmark31">
        <w:r>
          <w:rPr>
            <w:w w:val="105"/>
          </w:rPr>
          <w:t>B.</w:t>
        </w:r>
      </w:hyperlink>
    </w:p>
    <w:p>
      <w:pPr>
        <w:spacing w:after="0"/>
        <w:sectPr>
          <w:pgSz w:w="12240" w:h="15840"/>
          <w:pgMar w:header="649" w:footer="0" w:top="1320" w:bottom="280" w:left="820" w:right="1140"/>
        </w:sectPr>
      </w:pPr>
    </w:p>
    <w:p>
      <w:pPr>
        <w:tabs>
          <w:tab w:pos="4782" w:val="left" w:leader="none"/>
        </w:tabs>
        <w:spacing w:before="191"/>
        <w:ind w:left="230" w:right="0" w:firstLine="0"/>
        <w:jc w:val="left"/>
        <w:rPr>
          <w:b/>
          <w:sz w:val="24"/>
        </w:rPr>
      </w:pPr>
      <w:r>
        <w:rPr>
          <w:rFonts w:ascii="Arial"/>
          <w:w w:val="110"/>
          <w:sz w:val="12"/>
        </w:rPr>
        <w:t>364</w:t>
        <w:tab/>
      </w:r>
      <w:bookmarkStart w:name="Analyses" w:id="29"/>
      <w:bookmarkEnd w:id="29"/>
      <w:r>
        <w:rPr>
          <w:rFonts w:ascii="Arial"/>
          <w:w w:val="110"/>
          <w:sz w:val="12"/>
        </w:rPr>
      </w:r>
      <w:r>
        <w:rPr>
          <w:b/>
          <w:w w:val="110"/>
          <w:sz w:val="24"/>
        </w:rPr>
        <w:t>Analyses</w:t>
      </w:r>
    </w:p>
    <w:p>
      <w:pPr>
        <w:pStyle w:val="BodyText"/>
        <w:spacing w:before="0"/>
        <w:ind w:left="0"/>
        <w:rPr>
          <w:b/>
          <w:sz w:val="20"/>
        </w:rPr>
      </w:pPr>
    </w:p>
    <w:p>
      <w:pPr>
        <w:pStyle w:val="BodyText"/>
        <w:spacing w:before="0"/>
        <w:ind w:left="0"/>
        <w:rPr>
          <w:b/>
          <w:sz w:val="20"/>
        </w:rPr>
      </w:pPr>
    </w:p>
    <w:p>
      <w:pPr>
        <w:pStyle w:val="Heading1"/>
        <w:spacing w:before="304"/>
      </w:pPr>
      <w:r>
        <w:rPr>
          <w:rFonts w:ascii="Arial"/>
          <w:b w:val="0"/>
          <w:w w:val="110"/>
          <w:sz w:val="12"/>
        </w:rPr>
        <w:t>365</w:t>
      </w:r>
      <w:bookmarkStart w:name="Measures &amp; indices" w:id="30"/>
      <w:bookmarkEnd w:id="30"/>
      <w:r>
        <w:rPr>
          <w:rFonts w:ascii="Arial"/>
          <w:b w:val="0"/>
          <w:w w:val="110"/>
          <w:sz w:val="12"/>
        </w:rPr>
      </w:r>
      <w:r>
        <w:rPr>
          <w:rFonts w:ascii="Arial"/>
          <w:b w:val="0"/>
          <w:w w:val="110"/>
          <w:sz w:val="12"/>
        </w:rPr>
        <w:t> </w:t>
      </w:r>
      <w:r>
        <w:rPr>
          <w:w w:val="110"/>
        </w:rPr>
        <w:t>Measures &amp; indices</w:t>
      </w:r>
    </w:p>
    <w:p>
      <w:pPr>
        <w:pStyle w:val="BodyText"/>
        <w:spacing w:before="0"/>
        <w:ind w:left="0"/>
        <w:rPr>
          <w:b/>
          <w:sz w:val="20"/>
        </w:rPr>
      </w:pPr>
    </w:p>
    <w:p>
      <w:pPr>
        <w:pStyle w:val="BodyText"/>
        <w:spacing w:before="0"/>
        <w:ind w:left="0"/>
        <w:rPr>
          <w:b/>
          <w:sz w:val="20"/>
        </w:rPr>
      </w:pPr>
    </w:p>
    <w:p>
      <w:pPr>
        <w:pStyle w:val="BodyText"/>
        <w:tabs>
          <w:tab w:pos="1195" w:val="left" w:leader="none"/>
        </w:tabs>
        <w:spacing w:before="304"/>
      </w:pPr>
      <w:r>
        <w:rPr>
          <w:rFonts w:ascii="Arial"/>
          <w:w w:val="105"/>
          <w:sz w:val="12"/>
        </w:rPr>
        <w:t>366</w:t>
        <w:tab/>
      </w:r>
      <w:r>
        <w:rPr>
          <w:w w:val="105"/>
        </w:rPr>
        <w:t>The</w:t>
      </w:r>
      <w:r>
        <w:rPr>
          <w:spacing w:val="14"/>
          <w:w w:val="105"/>
        </w:rPr>
        <w:t> </w:t>
      </w:r>
      <w:r>
        <w:rPr>
          <w:w w:val="105"/>
        </w:rPr>
        <w:t>mean</w:t>
      </w:r>
      <w:r>
        <w:rPr>
          <w:spacing w:val="14"/>
          <w:w w:val="105"/>
        </w:rPr>
        <w:t> </w:t>
      </w:r>
      <w:r>
        <w:rPr>
          <w:w w:val="105"/>
        </w:rPr>
        <w:t>error</w:t>
      </w:r>
      <w:r>
        <w:rPr>
          <w:spacing w:val="14"/>
          <w:w w:val="105"/>
        </w:rPr>
        <w:t> </w:t>
      </w:r>
      <w:r>
        <w:rPr>
          <w:w w:val="105"/>
        </w:rPr>
        <w:t>rates</w:t>
      </w:r>
      <w:r>
        <w:rPr>
          <w:spacing w:val="13"/>
          <w:w w:val="105"/>
        </w:rPr>
        <w:t> </w:t>
      </w:r>
      <w:r>
        <w:rPr>
          <w:w w:val="105"/>
        </w:rPr>
        <w:t>in</w:t>
      </w:r>
      <w:r>
        <w:rPr>
          <w:spacing w:val="14"/>
          <w:w w:val="105"/>
        </w:rPr>
        <w:t> </w:t>
      </w:r>
      <w:r>
        <w:rPr>
          <w:w w:val="105"/>
        </w:rPr>
        <w:t>no-signal</w:t>
      </w:r>
      <w:r>
        <w:rPr>
          <w:spacing w:val="14"/>
          <w:w w:val="105"/>
        </w:rPr>
        <w:t> </w:t>
      </w:r>
      <w:r>
        <w:rPr>
          <w:w w:val="105"/>
        </w:rPr>
        <w:t>and</w:t>
      </w:r>
      <w:r>
        <w:rPr>
          <w:spacing w:val="13"/>
          <w:w w:val="105"/>
        </w:rPr>
        <w:t> </w:t>
      </w:r>
      <w:r>
        <w:rPr>
          <w:w w:val="105"/>
        </w:rPr>
        <w:t>signal</w:t>
      </w:r>
      <w:r>
        <w:rPr>
          <w:spacing w:val="14"/>
          <w:w w:val="105"/>
        </w:rPr>
        <w:t> </w:t>
      </w:r>
      <w:r>
        <w:rPr>
          <w:w w:val="105"/>
        </w:rPr>
        <w:t>trials</w:t>
      </w:r>
      <w:r>
        <w:rPr>
          <w:spacing w:val="13"/>
          <w:w w:val="105"/>
        </w:rPr>
        <w:t> </w:t>
      </w:r>
      <w:r>
        <w:rPr>
          <w:w w:val="105"/>
        </w:rPr>
        <w:t>as</w:t>
      </w:r>
      <w:r>
        <w:rPr>
          <w:spacing w:val="13"/>
          <w:w w:val="105"/>
        </w:rPr>
        <w:t> </w:t>
      </w:r>
      <w:r>
        <w:rPr>
          <w:w w:val="105"/>
        </w:rPr>
        <w:t>well</w:t>
      </w:r>
      <w:r>
        <w:rPr>
          <w:spacing w:val="14"/>
          <w:w w:val="105"/>
        </w:rPr>
        <w:t> </w:t>
      </w:r>
      <w:r>
        <w:rPr>
          <w:w w:val="105"/>
        </w:rPr>
        <w:t>as</w:t>
      </w:r>
      <w:r>
        <w:rPr>
          <w:spacing w:val="14"/>
          <w:w w:val="105"/>
        </w:rPr>
        <w:t> </w:t>
      </w:r>
      <w:r>
        <w:rPr>
          <w:w w:val="105"/>
        </w:rPr>
        <w:t>mean</w:t>
      </w:r>
      <w:r>
        <w:rPr>
          <w:spacing w:val="13"/>
          <w:w w:val="105"/>
        </w:rPr>
        <w:t> </w:t>
      </w:r>
      <w:r>
        <w:rPr>
          <w:w w:val="105"/>
        </w:rPr>
        <w:t>reaction</w:t>
      </w:r>
      <w:r>
        <w:rPr>
          <w:spacing w:val="13"/>
          <w:w w:val="105"/>
        </w:rPr>
        <w:t> </w:t>
      </w:r>
      <w:r>
        <w:rPr>
          <w:w w:val="105"/>
        </w:rPr>
        <w:t>time</w:t>
      </w:r>
      <w:r>
        <w:rPr>
          <w:spacing w:val="14"/>
          <w:w w:val="105"/>
        </w:rPr>
        <w:t> </w:t>
      </w:r>
      <w:r>
        <w:rPr>
          <w:w w:val="105"/>
        </w:rPr>
        <w:t>in</w:t>
      </w:r>
    </w:p>
    <w:p>
      <w:pPr>
        <w:pStyle w:val="BodyText"/>
      </w:pPr>
      <w:r>
        <w:rPr>
          <w:rFonts w:ascii="Arial"/>
          <w:sz w:val="12"/>
        </w:rPr>
        <w:t>367 </w:t>
      </w:r>
      <w:r>
        <w:rPr/>
        <w:t>no-signal trials (GoRT) from the GNG informed participant exclusions (see </w:t>
      </w:r>
      <w:hyperlink w:history="true" w:anchor="_bookmark13">
        <w:r>
          <w:rPr>
            <w:i/>
          </w:rPr>
          <w:t>Data exclusions</w:t>
        </w:r>
      </w:hyperlink>
      <w:r>
        <w:rPr/>
        <w:t>).</w:t>
      </w:r>
    </w:p>
    <w:p>
      <w:pPr>
        <w:pStyle w:val="BodyText"/>
      </w:pPr>
      <w:r>
        <w:rPr>
          <w:rFonts w:ascii="Arial"/>
          <w:w w:val="105"/>
          <w:sz w:val="12"/>
        </w:rPr>
        <w:t>368 </w:t>
      </w:r>
      <w:r>
        <w:rPr>
          <w:w w:val="105"/>
        </w:rPr>
        <w:t>For the contingency learning manipulation check (H3, H4), measures included the proportion</w:t>
      </w:r>
    </w:p>
    <w:p>
      <w:pPr>
        <w:pStyle w:val="BodyText"/>
        <w:spacing w:before="203"/>
      </w:pPr>
      <w:r>
        <w:rPr>
          <w:rFonts w:ascii="Arial"/>
          <w:sz w:val="12"/>
        </w:rPr>
        <w:t>369 </w:t>
      </w:r>
      <w:r>
        <w:rPr/>
        <w:t>of successful stops from signal trials for no-go and control foods which were paired with a</w:t>
      </w:r>
    </w:p>
    <w:p>
      <w:pPr>
        <w:pStyle w:val="BodyText"/>
      </w:pPr>
      <w:r>
        <w:rPr>
          <w:rFonts w:ascii="Arial"/>
          <w:w w:val="105"/>
          <w:sz w:val="12"/>
        </w:rPr>
        <w:t>370 </w:t>
      </w:r>
      <w:r>
        <w:rPr>
          <w:w w:val="105"/>
        </w:rPr>
        <w:t>signal (control-nogo) and the mean GoRTs for each participant from correct go and</w:t>
      </w:r>
    </w:p>
    <w:p>
      <w:pPr>
        <w:pStyle w:val="BodyText"/>
      </w:pPr>
      <w:r>
        <w:rPr>
          <w:rFonts w:ascii="Arial"/>
          <w:w w:val="105"/>
          <w:sz w:val="12"/>
        </w:rPr>
        <w:t>371 </w:t>
      </w:r>
      <w:r>
        <w:rPr>
          <w:w w:val="105"/>
        </w:rPr>
        <w:t>control-go trials.</w:t>
      </w:r>
    </w:p>
    <w:p>
      <w:pPr>
        <w:pStyle w:val="BodyText"/>
        <w:spacing w:before="0"/>
        <w:ind w:left="0"/>
        <w:rPr>
          <w:sz w:val="20"/>
        </w:rPr>
      </w:pPr>
    </w:p>
    <w:p>
      <w:pPr>
        <w:pStyle w:val="BodyText"/>
        <w:tabs>
          <w:tab w:pos="1195" w:val="left" w:leader="none"/>
        </w:tabs>
        <w:spacing w:before="277"/>
      </w:pPr>
      <w:r>
        <w:rPr>
          <w:rFonts w:ascii="Arial"/>
          <w:w w:val="105"/>
          <w:sz w:val="12"/>
        </w:rPr>
        <w:t>372</w:t>
        <w:tab/>
      </w:r>
      <w:r>
        <w:rPr>
          <w:w w:val="105"/>
        </w:rPr>
        <w:t>Performance in the </w:t>
      </w:r>
      <w:r>
        <w:rPr>
          <w:spacing w:val="-4"/>
          <w:w w:val="105"/>
        </w:rPr>
        <w:t>AAT</w:t>
      </w:r>
      <w:r>
        <w:rPr>
          <w:spacing w:val="-4"/>
          <w:w w:val="105"/>
          <w:vertAlign w:val="subscript"/>
        </w:rPr>
        <w:t>pre</w:t>
      </w:r>
      <w:r>
        <w:rPr>
          <w:spacing w:val="-4"/>
          <w:w w:val="105"/>
          <w:vertAlign w:val="baseline"/>
        </w:rPr>
        <w:t> </w:t>
      </w:r>
      <w:r>
        <w:rPr>
          <w:w w:val="105"/>
          <w:vertAlign w:val="baseline"/>
        </w:rPr>
        <w:t>and </w:t>
      </w:r>
      <w:r>
        <w:rPr>
          <w:spacing w:val="-3"/>
          <w:w w:val="105"/>
          <w:vertAlign w:val="baseline"/>
        </w:rPr>
        <w:t>AAT</w:t>
      </w:r>
      <w:r>
        <w:rPr>
          <w:spacing w:val="-3"/>
          <w:w w:val="105"/>
          <w:vertAlign w:val="subscript"/>
        </w:rPr>
        <w:t>post</w:t>
      </w:r>
      <w:r>
        <w:rPr>
          <w:spacing w:val="-3"/>
          <w:w w:val="105"/>
          <w:vertAlign w:val="baseline"/>
        </w:rPr>
        <w:t> </w:t>
      </w:r>
      <w:r>
        <w:rPr>
          <w:w w:val="105"/>
          <w:vertAlign w:val="baseline"/>
        </w:rPr>
        <w:t>blocks </w:t>
      </w:r>
      <w:r>
        <w:rPr>
          <w:spacing w:val="-3"/>
          <w:w w:val="105"/>
          <w:vertAlign w:val="baseline"/>
        </w:rPr>
        <w:t>was </w:t>
      </w:r>
      <w:r>
        <w:rPr>
          <w:w w:val="105"/>
          <w:vertAlign w:val="baseline"/>
        </w:rPr>
        <w:t>considered only for</w:t>
      </w:r>
      <w:r>
        <w:rPr>
          <w:spacing w:val="56"/>
          <w:w w:val="105"/>
          <w:vertAlign w:val="baseline"/>
        </w:rPr>
        <w:t> </w:t>
      </w:r>
      <w:r>
        <w:rPr>
          <w:w w:val="105"/>
          <w:vertAlign w:val="baseline"/>
        </w:rPr>
        <w:t>correct</w:t>
      </w:r>
    </w:p>
    <w:p>
      <w:pPr>
        <w:pStyle w:val="BodyText"/>
      </w:pPr>
      <w:r>
        <w:rPr>
          <w:rFonts w:ascii="Arial" w:hAnsi="Arial"/>
          <w:w w:val="105"/>
          <w:sz w:val="12"/>
        </w:rPr>
        <w:t>373 </w:t>
      </w:r>
      <w:r>
        <w:rPr>
          <w:w w:val="105"/>
        </w:rPr>
        <w:t>responses. Median RTs for “push” and “pull” responses from all training condition levels</w:t>
      </w:r>
    </w:p>
    <w:p>
      <w:pPr>
        <w:pStyle w:val="BodyText"/>
        <w:spacing w:before="187"/>
      </w:pPr>
      <w:r>
        <w:rPr>
          <w:rFonts w:ascii="Arial"/>
          <w:w w:val="105"/>
          <w:sz w:val="12"/>
        </w:rPr>
        <w:t>374 </w:t>
      </w:r>
      <w:r>
        <w:rPr>
          <w:w w:val="105"/>
        </w:rPr>
        <w:t>were calculated at a participant level</w:t>
      </w:r>
      <w:r>
        <w:rPr>
          <w:w w:val="105"/>
          <w:position w:val="9"/>
          <w:sz w:val="16"/>
        </w:rPr>
        <w:t>5</w:t>
      </w:r>
      <w:r>
        <w:rPr>
          <w:w w:val="105"/>
        </w:rPr>
        <w:t>. Medians were used instead of means as they are less</w:t>
      </w:r>
    </w:p>
    <w:p>
      <w:pPr>
        <w:pStyle w:val="BodyText"/>
      </w:pPr>
      <w:r>
        <w:rPr>
          <w:rFonts w:ascii="Arial"/>
          <w:w w:val="105"/>
          <w:sz w:val="12"/>
        </w:rPr>
        <w:t>375 </w:t>
      </w:r>
      <w:r>
        <w:rPr>
          <w:w w:val="105"/>
        </w:rPr>
        <w:t>sensitive to outliers in RT distributions and in line with previous literature (Wiers et al.,</w:t>
      </w:r>
    </w:p>
    <w:p>
      <w:pPr>
        <w:pStyle w:val="BodyText"/>
        <w:spacing w:before="203"/>
      </w:pPr>
      <w:r>
        <w:rPr>
          <w:rFonts w:ascii="Arial"/>
          <w:w w:val="105"/>
          <w:sz w:val="12"/>
        </w:rPr>
        <w:t>376 </w:t>
      </w:r>
      <w:r>
        <w:rPr>
          <w:w w:val="105"/>
        </w:rPr>
        <w:t>2009, 2010). The approach-avoid bias score for each condition was calculated as the</w:t>
      </w:r>
    </w:p>
    <w:p>
      <w:pPr>
        <w:pStyle w:val="BodyText"/>
      </w:pPr>
      <w:r>
        <w:rPr>
          <w:rFonts w:ascii="Arial" w:hAnsi="Arial"/>
          <w:w w:val="105"/>
          <w:sz w:val="12"/>
        </w:rPr>
        <w:t>377 </w:t>
      </w:r>
      <w:r>
        <w:rPr>
          <w:w w:val="105"/>
        </w:rPr>
        <w:t>difference between the median RTs for “push” and’ pull’ responses (MedianRT</w:t>
      </w:r>
      <w:r>
        <w:rPr>
          <w:w w:val="105"/>
          <w:vertAlign w:val="subscript"/>
        </w:rPr>
        <w:t>push</w:t>
      </w:r>
      <w:r>
        <w:rPr>
          <w:w w:val="105"/>
          <w:vertAlign w:val="baseline"/>
        </w:rPr>
        <w:t>-</w:t>
      </w:r>
    </w:p>
    <w:p>
      <w:pPr>
        <w:pStyle w:val="BodyText"/>
      </w:pPr>
      <w:r>
        <w:rPr>
          <w:rFonts w:ascii="Arial"/>
          <w:w w:val="105"/>
          <w:sz w:val="12"/>
        </w:rPr>
        <w:t>378 </w:t>
      </w:r>
      <w:r>
        <w:rPr>
          <w:w w:val="105"/>
        </w:rPr>
        <w:t>MedianRT</w:t>
      </w:r>
      <w:r>
        <w:rPr>
          <w:w w:val="105"/>
          <w:vertAlign w:val="subscript"/>
        </w:rPr>
        <w:t>pull</w:t>
      </w:r>
      <w:r>
        <w:rPr>
          <w:w w:val="105"/>
          <w:vertAlign w:val="baseline"/>
        </w:rPr>
        <w:t>). Bias scores were computed for both AAT</w:t>
      </w:r>
      <w:r>
        <w:rPr>
          <w:w w:val="105"/>
          <w:vertAlign w:val="subscript"/>
        </w:rPr>
        <w:t>pre</w:t>
      </w:r>
      <w:r>
        <w:rPr>
          <w:w w:val="105"/>
          <w:vertAlign w:val="baseline"/>
        </w:rPr>
        <w:t> and AAT</w:t>
      </w:r>
      <w:r>
        <w:rPr>
          <w:w w:val="105"/>
          <w:vertAlign w:val="subscript"/>
        </w:rPr>
        <w:t>post</w:t>
      </w:r>
      <w:r>
        <w:rPr>
          <w:w w:val="105"/>
          <w:vertAlign w:val="baseline"/>
        </w:rPr>
        <w:t> blocks. Positive</w:t>
      </w:r>
    </w:p>
    <w:p>
      <w:pPr>
        <w:pStyle w:val="BodyText"/>
      </w:pPr>
      <w:r>
        <w:rPr>
          <w:rFonts w:ascii="Arial"/>
          <w:w w:val="105"/>
          <w:sz w:val="12"/>
        </w:rPr>
        <w:t>379 </w:t>
      </w:r>
      <w:r>
        <w:rPr>
          <w:w w:val="105"/>
        </w:rPr>
        <w:t>scores indicate an approach bias towards the foods of interest and negative scores reflect</w:t>
      </w:r>
    </w:p>
    <w:p>
      <w:pPr>
        <w:pStyle w:val="BodyText"/>
      </w:pPr>
      <w:r>
        <w:rPr>
          <w:rFonts w:ascii="Arial"/>
          <w:sz w:val="12"/>
        </w:rPr>
        <w:t>380 </w:t>
      </w:r>
      <w:r>
        <w:rPr>
          <w:spacing w:val="-3"/>
        </w:rPr>
        <w:t>avoidance </w:t>
      </w:r>
      <w:r>
        <w:rPr/>
        <w:t>for those foods.</w:t>
      </w:r>
      <w:r>
        <w:rPr>
          <w:spacing w:val="57"/>
        </w:rPr>
        <w:t> </w:t>
      </w:r>
      <w:r>
        <w:rPr/>
        <w:t>Change scores for </w:t>
      </w:r>
      <w:r>
        <w:rPr>
          <w:spacing w:val="-3"/>
        </w:rPr>
        <w:t>approach-avoid </w:t>
      </w:r>
      <w:r>
        <w:rPr/>
        <w:t>biases from pre-to post-training</w:t>
      </w:r>
    </w:p>
    <w:p>
      <w:pPr>
        <w:pStyle w:val="BodyText"/>
      </w:pPr>
      <w:r>
        <w:rPr>
          <w:rFonts w:ascii="Arial" w:hAnsi="Arial"/>
          <w:w w:val="105"/>
          <w:sz w:val="12"/>
        </w:rPr>
        <w:t>381 </w:t>
      </w:r>
      <w:r>
        <w:rPr>
          <w:w w:val="105"/>
        </w:rPr>
        <w:t>(</w:t>
      </w:r>
      <w:r>
        <w:rPr>
          <w:rFonts w:ascii="Arial" w:hAnsi="Arial"/>
          <w:w w:val="105"/>
        </w:rPr>
        <w:t>∆</w:t>
      </w:r>
      <w:r>
        <w:rPr>
          <w:w w:val="105"/>
        </w:rPr>
        <w:t>AAT bias score) were calculated for pre-registered analyses (H1). The proportion of</w:t>
      </w:r>
    </w:p>
    <w:p>
      <w:pPr>
        <w:pStyle w:val="BodyText"/>
      </w:pPr>
      <w:r>
        <w:rPr>
          <w:rFonts w:ascii="Arial"/>
          <w:sz w:val="12"/>
        </w:rPr>
        <w:t>382 </w:t>
      </w:r>
      <w:r>
        <w:rPr/>
        <w:t>correct responses for each AAT design cell informed participant exclusions.</w:t>
      </w:r>
    </w:p>
    <w:p>
      <w:pPr>
        <w:pStyle w:val="BodyText"/>
        <w:spacing w:before="0"/>
        <w:ind w:left="0"/>
        <w:rPr>
          <w:sz w:val="21"/>
        </w:rPr>
      </w:pPr>
      <w:r>
        <w:rPr/>
        <w:pict>
          <v:line style="position:absolute;mso-position-horizontal-relative:page;mso-position-vertical-relative:paragraph;z-index:-880;mso-wrap-distance-left:0;mso-wrap-distance-right:0" from="72pt,14.160415pt" to="108pt,14.160415pt" stroked="true" strokeweight=".125pt" strokecolor="#000000">
            <v:stroke dashstyle="solid"/>
            <w10:wrap type="topAndBottom"/>
          </v:line>
        </w:pict>
      </w:r>
    </w:p>
    <w:p>
      <w:pPr>
        <w:spacing w:line="412" w:lineRule="auto" w:before="140"/>
        <w:ind w:left="596" w:right="265" w:firstLine="23"/>
        <w:jc w:val="left"/>
        <w:rPr>
          <w:sz w:val="20"/>
        </w:rPr>
      </w:pPr>
      <w:r>
        <w:rPr>
          <w:w w:val="105"/>
          <w:position w:val="7"/>
          <w:sz w:val="14"/>
        </w:rPr>
        <w:t>5</w:t>
      </w:r>
      <w:bookmarkStart w:name="_bookmark12" w:id="31"/>
      <w:bookmarkEnd w:id="31"/>
      <w:r>
        <w:rPr>
          <w:w w:val="105"/>
          <w:position w:val="7"/>
          <w:sz w:val="14"/>
        </w:rPr>
      </w:r>
      <w:r>
        <w:rPr>
          <w:w w:val="105"/>
          <w:position w:val="7"/>
          <w:sz w:val="14"/>
        </w:rPr>
        <w:t> </w:t>
      </w:r>
      <w:r>
        <w:rPr>
          <w:w w:val="105"/>
          <w:sz w:val="20"/>
        </w:rPr>
        <w:t>RTs were recorded continuously from movement initiation to response completion with samples every 33ms (two display refresh rates) to allow dynamic zoom-in/zoom-out effects based on participants’ mouse movements. However, a bug was encountered with the version of the software and the temporal resolution at which coordinates and times were recorded was reduced. For this reason, linear interpolation was applied to increase the samples to 100 for every trial and obtain more precise RT measures. All details regarding this procedure and the software bug can be found in the analyses scripts.</w:t>
      </w:r>
    </w:p>
    <w:p>
      <w:pPr>
        <w:spacing w:after="0" w:line="412" w:lineRule="auto"/>
        <w:jc w:val="left"/>
        <w:rPr>
          <w:sz w:val="20"/>
        </w:rPr>
        <w:sectPr>
          <w:pgSz w:w="12240" w:h="15840"/>
          <w:pgMar w:header="649" w:footer="0" w:top="1320" w:bottom="280" w:left="820" w:right="1140"/>
        </w:sectPr>
      </w:pPr>
    </w:p>
    <w:p>
      <w:pPr>
        <w:pStyle w:val="BodyText"/>
        <w:tabs>
          <w:tab w:pos="1195" w:val="left" w:leader="none"/>
        </w:tabs>
        <w:spacing w:before="191"/>
      </w:pPr>
      <w:r>
        <w:rPr>
          <w:rFonts w:ascii="Arial"/>
          <w:w w:val="110"/>
          <w:sz w:val="12"/>
        </w:rPr>
        <w:t>383</w:t>
        <w:tab/>
      </w:r>
      <w:r>
        <w:rPr>
          <w:w w:val="110"/>
        </w:rPr>
        <w:t>Participants</w:t>
      </w:r>
      <w:r>
        <w:rPr>
          <w:spacing w:val="-13"/>
          <w:w w:val="110"/>
        </w:rPr>
        <w:t> </w:t>
      </w:r>
      <w:r>
        <w:rPr>
          <w:w w:val="110"/>
        </w:rPr>
        <w:t>were</w:t>
      </w:r>
      <w:r>
        <w:rPr>
          <w:spacing w:val="-13"/>
          <w:w w:val="110"/>
        </w:rPr>
        <w:t> </w:t>
      </w:r>
      <w:r>
        <w:rPr>
          <w:w w:val="110"/>
        </w:rPr>
        <w:t>required</w:t>
      </w:r>
      <w:r>
        <w:rPr>
          <w:spacing w:val="-13"/>
          <w:w w:val="110"/>
        </w:rPr>
        <w:t> </w:t>
      </w:r>
      <w:r>
        <w:rPr>
          <w:w w:val="110"/>
        </w:rPr>
        <w:t>to</w:t>
      </w:r>
      <w:r>
        <w:rPr>
          <w:spacing w:val="-13"/>
          <w:w w:val="110"/>
        </w:rPr>
        <w:t> </w:t>
      </w:r>
      <w:r>
        <w:rPr>
          <w:w w:val="110"/>
        </w:rPr>
        <w:t>choose</w:t>
      </w:r>
      <w:r>
        <w:rPr>
          <w:spacing w:val="-13"/>
          <w:w w:val="110"/>
        </w:rPr>
        <w:t> </w:t>
      </w:r>
      <w:r>
        <w:rPr>
          <w:w w:val="110"/>
        </w:rPr>
        <w:t>three</w:t>
      </w:r>
      <w:r>
        <w:rPr>
          <w:spacing w:val="-13"/>
          <w:w w:val="110"/>
        </w:rPr>
        <w:t> </w:t>
      </w:r>
      <w:r>
        <w:rPr>
          <w:spacing w:val="2"/>
          <w:w w:val="110"/>
        </w:rPr>
        <w:t>foods</w:t>
      </w:r>
      <w:r>
        <w:rPr>
          <w:spacing w:val="-13"/>
          <w:w w:val="110"/>
        </w:rPr>
        <w:t> </w:t>
      </w:r>
      <w:r>
        <w:rPr>
          <w:w w:val="110"/>
        </w:rPr>
        <w:t>out</w:t>
      </w:r>
      <w:r>
        <w:rPr>
          <w:spacing w:val="-13"/>
          <w:w w:val="110"/>
        </w:rPr>
        <w:t> </w:t>
      </w:r>
      <w:r>
        <w:rPr>
          <w:w w:val="110"/>
        </w:rPr>
        <w:t>of</w:t>
      </w:r>
      <w:r>
        <w:rPr>
          <w:spacing w:val="-13"/>
          <w:w w:val="110"/>
        </w:rPr>
        <w:t> </w:t>
      </w:r>
      <w:r>
        <w:rPr>
          <w:spacing w:val="-4"/>
          <w:w w:val="110"/>
        </w:rPr>
        <w:t>twelve</w:t>
      </w:r>
      <w:r>
        <w:rPr>
          <w:spacing w:val="-13"/>
          <w:w w:val="110"/>
        </w:rPr>
        <w:t> </w:t>
      </w:r>
      <w:r>
        <w:rPr>
          <w:w w:val="110"/>
        </w:rPr>
        <w:t>in</w:t>
      </w:r>
      <w:r>
        <w:rPr>
          <w:spacing w:val="-13"/>
          <w:w w:val="110"/>
        </w:rPr>
        <w:t> </w:t>
      </w:r>
      <w:r>
        <w:rPr>
          <w:w w:val="110"/>
        </w:rPr>
        <w:t>the</w:t>
      </w:r>
      <w:r>
        <w:rPr>
          <w:spacing w:val="-13"/>
          <w:w w:val="110"/>
        </w:rPr>
        <w:t> </w:t>
      </w:r>
      <w:r>
        <w:rPr>
          <w:spacing w:val="3"/>
          <w:w w:val="110"/>
        </w:rPr>
        <w:t>food</w:t>
      </w:r>
      <w:r>
        <w:rPr>
          <w:spacing w:val="-12"/>
          <w:w w:val="110"/>
        </w:rPr>
        <w:t> </w:t>
      </w:r>
      <w:r>
        <w:rPr>
          <w:w w:val="110"/>
        </w:rPr>
        <w:t>choice</w:t>
      </w:r>
      <w:r>
        <w:rPr>
          <w:spacing w:val="-13"/>
          <w:w w:val="110"/>
        </w:rPr>
        <w:t> </w:t>
      </w:r>
      <w:r>
        <w:rPr>
          <w:w w:val="110"/>
        </w:rPr>
        <w:t>task</w:t>
      </w:r>
    </w:p>
    <w:p>
      <w:pPr>
        <w:pStyle w:val="BodyText"/>
      </w:pPr>
      <w:r>
        <w:rPr>
          <w:rFonts w:ascii="Arial"/>
          <w:w w:val="105"/>
          <w:sz w:val="12"/>
        </w:rPr>
        <w:t>384 </w:t>
      </w:r>
      <w:r>
        <w:rPr>
          <w:w w:val="105"/>
        </w:rPr>
        <w:t>and selections could vary in their number for each training condition (go, no-go, control).</w:t>
      </w:r>
    </w:p>
    <w:p>
      <w:pPr>
        <w:pStyle w:val="BodyText"/>
        <w:spacing w:before="203"/>
      </w:pPr>
      <w:r>
        <w:rPr>
          <w:rFonts w:ascii="Arial"/>
          <w:w w:val="105"/>
          <w:sz w:val="12"/>
        </w:rPr>
        <w:t>385 </w:t>
      </w:r>
      <w:r>
        <w:rPr>
          <w:w w:val="105"/>
        </w:rPr>
        <w:t>Food choices were therefore normalised according to the total number of responses per</w:t>
      </w:r>
    </w:p>
    <w:p>
      <w:pPr>
        <w:pStyle w:val="BodyText"/>
      </w:pPr>
      <w:r>
        <w:rPr>
          <w:rFonts w:ascii="Arial"/>
          <w:w w:val="105"/>
          <w:sz w:val="12"/>
        </w:rPr>
        <w:t>386 </w:t>
      </w:r>
      <w:r>
        <w:rPr>
          <w:w w:val="105"/>
        </w:rPr>
        <w:t>participant (i.e., proportion). These calculated proportions, which were calculated for each</w:t>
      </w:r>
    </w:p>
    <w:p>
      <w:pPr>
        <w:pStyle w:val="BodyText"/>
      </w:pPr>
      <w:r>
        <w:rPr>
          <w:rFonts w:ascii="Arial"/>
          <w:w w:val="105"/>
          <w:sz w:val="12"/>
        </w:rPr>
        <w:t>387 </w:t>
      </w:r>
      <w:r>
        <w:rPr>
          <w:w w:val="105"/>
        </w:rPr>
        <w:t>participant were then compared across training conditions. for example, if a participant had</w:t>
      </w:r>
    </w:p>
    <w:p>
      <w:pPr>
        <w:pStyle w:val="BodyText"/>
      </w:pPr>
      <w:r>
        <w:rPr>
          <w:rFonts w:ascii="Arial"/>
          <w:w w:val="105"/>
          <w:sz w:val="12"/>
        </w:rPr>
        <w:t>388 </w:t>
      </w:r>
      <w:r>
        <w:rPr>
          <w:w w:val="105"/>
        </w:rPr>
        <w:t>chosen two go foods and one filler food, the probability (i.e., calculated proportion) of</w:t>
      </w:r>
    </w:p>
    <w:p>
      <w:pPr>
        <w:pStyle w:val="BodyText"/>
      </w:pPr>
      <w:r>
        <w:rPr>
          <w:rFonts w:ascii="Arial"/>
          <w:sz w:val="12"/>
        </w:rPr>
        <w:t>389 </w:t>
      </w:r>
      <w:r>
        <w:rPr/>
        <w:t>choosing a go food would be 0.667, the probability of choosing a filler food would be 0.333</w:t>
      </w:r>
    </w:p>
    <w:p>
      <w:pPr>
        <w:pStyle w:val="BodyText"/>
      </w:pPr>
      <w:r>
        <w:rPr>
          <w:rFonts w:ascii="Arial"/>
          <w:w w:val="105"/>
          <w:sz w:val="12"/>
        </w:rPr>
        <w:t>390 </w:t>
      </w:r>
      <w:r>
        <w:rPr>
          <w:w w:val="105"/>
        </w:rPr>
        <w:t>and the probability of choosing a no-go food would be 0. Food rating VAS scores were</w:t>
      </w:r>
    </w:p>
    <w:p>
      <w:pPr>
        <w:pStyle w:val="BodyText"/>
        <w:spacing w:before="203"/>
      </w:pPr>
      <w:r>
        <w:rPr>
          <w:rFonts w:ascii="Arial"/>
          <w:w w:val="105"/>
          <w:sz w:val="12"/>
        </w:rPr>
        <w:t>391 </w:t>
      </w:r>
      <w:r>
        <w:rPr>
          <w:w w:val="105"/>
        </w:rPr>
        <w:t>averaged (mean) across the two foods per training condition (i.e., sweet and savoury foods</w:t>
      </w:r>
    </w:p>
    <w:p>
      <w:pPr>
        <w:pStyle w:val="BodyText"/>
      </w:pPr>
      <w:r>
        <w:rPr>
          <w:rFonts w:ascii="Arial"/>
          <w:w w:val="105"/>
          <w:sz w:val="12"/>
        </w:rPr>
        <w:t>392 </w:t>
      </w:r>
      <w:r>
        <w:rPr>
          <w:w w:val="105"/>
        </w:rPr>
        <w:t>for go, no-go and control conditions) and the three exemplars of each food. Changes in food</w:t>
      </w:r>
    </w:p>
    <w:p>
      <w:pPr>
        <w:pStyle w:val="BodyText"/>
        <w:spacing w:before="201"/>
      </w:pPr>
      <w:r>
        <w:rPr>
          <w:rFonts w:ascii="Arial" w:hAnsi="Arial"/>
          <w:w w:val="105"/>
          <w:sz w:val="12"/>
        </w:rPr>
        <w:t>393 </w:t>
      </w:r>
      <w:r>
        <w:rPr>
          <w:w w:val="105"/>
        </w:rPr>
        <w:t>liking were examined in terms of change scores (</w:t>
      </w:r>
      <w:r>
        <w:rPr>
          <w:rFonts w:ascii="Arial" w:hAnsi="Arial"/>
          <w:w w:val="105"/>
        </w:rPr>
        <w:t>∆</w:t>
      </w:r>
      <w:r>
        <w:rPr>
          <w:w w:val="105"/>
        </w:rPr>
        <w:t>Food liking score) from pre-to-post</w:t>
      </w:r>
    </w:p>
    <w:p>
      <w:pPr>
        <w:spacing w:before="202"/>
        <w:ind w:left="230" w:right="0" w:firstLine="0"/>
        <w:jc w:val="left"/>
        <w:rPr>
          <w:sz w:val="24"/>
        </w:rPr>
      </w:pPr>
      <w:r>
        <w:rPr>
          <w:rFonts w:ascii="Arial"/>
          <w:w w:val="105"/>
          <w:sz w:val="12"/>
        </w:rPr>
        <w:t>394 </w:t>
      </w:r>
      <w:r>
        <w:rPr>
          <w:w w:val="105"/>
          <w:sz w:val="24"/>
        </w:rPr>
        <w:t>training.</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4"/>
        <w:ind w:left="0"/>
        <w:rPr>
          <w:sz w:val="27"/>
        </w:rPr>
      </w:pPr>
    </w:p>
    <w:p>
      <w:pPr>
        <w:spacing w:before="1"/>
        <w:ind w:left="230" w:right="0" w:firstLine="0"/>
        <w:jc w:val="left"/>
        <w:rPr>
          <w:b/>
          <w:sz w:val="24"/>
        </w:rPr>
      </w:pPr>
      <w:r>
        <w:rPr>
          <w:rFonts w:ascii="Arial"/>
          <w:w w:val="110"/>
          <w:sz w:val="12"/>
        </w:rPr>
        <w:t>395</w:t>
      </w:r>
      <w:bookmarkStart w:name="Data exclusions" w:id="32"/>
      <w:bookmarkEnd w:id="32"/>
      <w:r>
        <w:rPr>
          <w:rFonts w:ascii="Arial"/>
          <w:w w:val="110"/>
          <w:sz w:val="12"/>
        </w:rPr>
      </w:r>
      <w:bookmarkStart w:name="_bookmark13" w:id="33"/>
      <w:bookmarkEnd w:id="33"/>
      <w:r>
        <w:rPr>
          <w:rFonts w:ascii="Arial"/>
          <w:w w:val="110"/>
          <w:sz w:val="12"/>
        </w:rPr>
      </w:r>
      <w:r>
        <w:rPr>
          <w:rFonts w:ascii="Arial"/>
          <w:w w:val="110"/>
          <w:sz w:val="12"/>
        </w:rPr>
        <w:t> </w:t>
      </w:r>
      <w:r>
        <w:rPr>
          <w:b/>
          <w:w w:val="110"/>
          <w:sz w:val="24"/>
        </w:rPr>
        <w:t>Data exclusions</w:t>
      </w: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6"/>
        <w:ind w:left="0"/>
        <w:rPr>
          <w:b/>
          <w:sz w:val="26"/>
        </w:rPr>
      </w:pPr>
    </w:p>
    <w:p>
      <w:pPr>
        <w:pStyle w:val="BodyText"/>
        <w:tabs>
          <w:tab w:pos="1195" w:val="left" w:leader="none"/>
        </w:tabs>
        <w:spacing w:before="146"/>
      </w:pPr>
      <w:r>
        <w:rPr>
          <w:rFonts w:ascii="Arial"/>
          <w:w w:val="105"/>
          <w:sz w:val="12"/>
        </w:rPr>
        <w:t>396</w:t>
        <w:tab/>
      </w:r>
      <w:r>
        <w:rPr>
          <w:w w:val="105"/>
        </w:rPr>
        <w:t>Participant-level</w:t>
      </w:r>
      <w:r>
        <w:rPr>
          <w:spacing w:val="14"/>
          <w:w w:val="105"/>
        </w:rPr>
        <w:t> </w:t>
      </w:r>
      <w:r>
        <w:rPr>
          <w:w w:val="105"/>
        </w:rPr>
        <w:t>data</w:t>
      </w:r>
      <w:r>
        <w:rPr>
          <w:spacing w:val="15"/>
          <w:w w:val="105"/>
        </w:rPr>
        <w:t> </w:t>
      </w:r>
      <w:r>
        <w:rPr>
          <w:w w:val="105"/>
        </w:rPr>
        <w:t>exclusions</w:t>
      </w:r>
      <w:r>
        <w:rPr>
          <w:spacing w:val="15"/>
          <w:w w:val="105"/>
        </w:rPr>
        <w:t> </w:t>
      </w:r>
      <w:r>
        <w:rPr>
          <w:w w:val="105"/>
        </w:rPr>
        <w:t>were</w:t>
      </w:r>
      <w:r>
        <w:rPr>
          <w:spacing w:val="14"/>
          <w:w w:val="105"/>
        </w:rPr>
        <w:t> </w:t>
      </w:r>
      <w:r>
        <w:rPr>
          <w:w w:val="105"/>
        </w:rPr>
        <w:t>conducted</w:t>
      </w:r>
      <w:r>
        <w:rPr>
          <w:spacing w:val="15"/>
          <w:w w:val="105"/>
        </w:rPr>
        <w:t> </w:t>
      </w:r>
      <w:r>
        <w:rPr>
          <w:w w:val="105"/>
        </w:rPr>
        <w:t>based</w:t>
      </w:r>
      <w:r>
        <w:rPr>
          <w:spacing w:val="14"/>
          <w:w w:val="105"/>
        </w:rPr>
        <w:t> </w:t>
      </w:r>
      <w:r>
        <w:rPr>
          <w:w w:val="105"/>
        </w:rPr>
        <w:t>on</w:t>
      </w:r>
      <w:r>
        <w:rPr>
          <w:spacing w:val="14"/>
          <w:w w:val="105"/>
        </w:rPr>
        <w:t> </w:t>
      </w:r>
      <w:r>
        <w:rPr>
          <w:w w:val="105"/>
        </w:rPr>
        <w:t>GNG</w:t>
      </w:r>
      <w:r>
        <w:rPr>
          <w:spacing w:val="15"/>
          <w:w w:val="105"/>
        </w:rPr>
        <w:t> </w:t>
      </w:r>
      <w:r>
        <w:rPr>
          <w:w w:val="105"/>
        </w:rPr>
        <w:t>training</w:t>
      </w:r>
      <w:r>
        <w:rPr>
          <w:spacing w:val="13"/>
          <w:w w:val="105"/>
        </w:rPr>
        <w:t> </w:t>
      </w:r>
      <w:r>
        <w:rPr>
          <w:w w:val="105"/>
        </w:rPr>
        <w:t>and</w:t>
      </w:r>
      <w:r>
        <w:rPr>
          <w:spacing w:val="14"/>
          <w:w w:val="105"/>
        </w:rPr>
        <w:t> </w:t>
      </w:r>
      <w:r>
        <w:rPr>
          <w:spacing w:val="-7"/>
          <w:w w:val="105"/>
        </w:rPr>
        <w:t>AAT</w:t>
      </w:r>
    </w:p>
    <w:p>
      <w:pPr>
        <w:pStyle w:val="BodyText"/>
      </w:pPr>
      <w:r>
        <w:rPr>
          <w:rFonts w:ascii="Arial"/>
          <w:w w:val="105"/>
          <w:sz w:val="12"/>
        </w:rPr>
        <w:t>397 </w:t>
      </w:r>
      <w:r>
        <w:rPr>
          <w:w w:val="105"/>
        </w:rPr>
        <w:t>performance and participants who met any of the following criteria were excluded from all</w:t>
      </w:r>
    </w:p>
    <w:p>
      <w:pPr>
        <w:pStyle w:val="BodyText"/>
      </w:pPr>
      <w:r>
        <w:rPr>
          <w:rFonts w:ascii="Arial"/>
          <w:w w:val="110"/>
          <w:sz w:val="12"/>
        </w:rPr>
        <w:t>398 </w:t>
      </w:r>
      <w:r>
        <w:rPr>
          <w:w w:val="110"/>
        </w:rPr>
        <w:t>respective analyses. Participants who had a mean GoRT greater than three standard</w:t>
      </w:r>
    </w:p>
    <w:p>
      <w:pPr>
        <w:pStyle w:val="BodyText"/>
      </w:pPr>
      <w:r>
        <w:rPr>
          <w:rFonts w:ascii="Arial"/>
          <w:w w:val="105"/>
          <w:sz w:val="12"/>
        </w:rPr>
        <w:t>399 </w:t>
      </w:r>
      <w:r>
        <w:rPr>
          <w:w w:val="105"/>
        </w:rPr>
        <w:t>deviations from the group mean and percentage of correct responses in no-signal trials less</w:t>
      </w:r>
    </w:p>
    <w:p>
      <w:pPr>
        <w:pStyle w:val="BodyText"/>
      </w:pPr>
      <w:r>
        <w:rPr>
          <w:rFonts w:ascii="Arial"/>
          <w:w w:val="105"/>
          <w:sz w:val="12"/>
        </w:rPr>
        <w:t>400 </w:t>
      </w:r>
      <w:r>
        <w:rPr>
          <w:w w:val="105"/>
        </w:rPr>
        <w:t>than 85% were excluded. Participants were also excluded if their percentage of errors in</w:t>
      </w:r>
    </w:p>
    <w:p>
      <w:pPr>
        <w:pStyle w:val="BodyText"/>
        <w:spacing w:before="203"/>
      </w:pPr>
      <w:r>
        <w:rPr>
          <w:rFonts w:ascii="Arial"/>
          <w:w w:val="105"/>
          <w:sz w:val="12"/>
        </w:rPr>
        <w:t>401    </w:t>
      </w:r>
      <w:r>
        <w:rPr>
          <w:rFonts w:ascii="Arial"/>
          <w:spacing w:val="6"/>
          <w:w w:val="105"/>
          <w:sz w:val="12"/>
        </w:rPr>
        <w:t> </w:t>
      </w:r>
      <w:r>
        <w:rPr>
          <w:w w:val="105"/>
        </w:rPr>
        <w:t>signal</w:t>
      </w:r>
      <w:r>
        <w:rPr>
          <w:spacing w:val="7"/>
          <w:w w:val="105"/>
        </w:rPr>
        <w:t> </w:t>
      </w:r>
      <w:r>
        <w:rPr>
          <w:w w:val="105"/>
        </w:rPr>
        <w:t>trials</w:t>
      </w:r>
      <w:r>
        <w:rPr>
          <w:spacing w:val="8"/>
          <w:w w:val="105"/>
        </w:rPr>
        <w:t> </w:t>
      </w:r>
      <w:r>
        <w:rPr>
          <w:spacing w:val="-3"/>
          <w:w w:val="105"/>
        </w:rPr>
        <w:t>was</w:t>
      </w:r>
      <w:r>
        <w:rPr>
          <w:spacing w:val="7"/>
          <w:w w:val="105"/>
        </w:rPr>
        <w:t> </w:t>
      </w:r>
      <w:r>
        <w:rPr>
          <w:w w:val="105"/>
        </w:rPr>
        <w:t>greater</w:t>
      </w:r>
      <w:r>
        <w:rPr>
          <w:spacing w:val="7"/>
          <w:w w:val="105"/>
        </w:rPr>
        <w:t> </w:t>
      </w:r>
      <w:r>
        <w:rPr>
          <w:w w:val="105"/>
        </w:rPr>
        <w:t>than</w:t>
      </w:r>
      <w:r>
        <w:rPr>
          <w:spacing w:val="7"/>
          <w:w w:val="105"/>
        </w:rPr>
        <w:t> </w:t>
      </w:r>
      <w:r>
        <w:rPr>
          <w:w w:val="105"/>
        </w:rPr>
        <w:t>three</w:t>
      </w:r>
      <w:r>
        <w:rPr>
          <w:spacing w:val="8"/>
          <w:w w:val="105"/>
        </w:rPr>
        <w:t> </w:t>
      </w:r>
      <w:r>
        <w:rPr>
          <w:w w:val="105"/>
        </w:rPr>
        <w:t>standard</w:t>
      </w:r>
      <w:r>
        <w:rPr>
          <w:spacing w:val="7"/>
          <w:w w:val="105"/>
        </w:rPr>
        <w:t> </w:t>
      </w:r>
      <w:r>
        <w:rPr>
          <w:w w:val="105"/>
        </w:rPr>
        <w:t>deviations</w:t>
      </w:r>
      <w:r>
        <w:rPr>
          <w:spacing w:val="7"/>
          <w:w w:val="105"/>
        </w:rPr>
        <w:t> </w:t>
      </w:r>
      <w:r>
        <w:rPr>
          <w:w w:val="105"/>
        </w:rPr>
        <w:t>from</w:t>
      </w:r>
      <w:r>
        <w:rPr>
          <w:spacing w:val="7"/>
          <w:w w:val="105"/>
        </w:rPr>
        <w:t> </w:t>
      </w:r>
      <w:r>
        <w:rPr>
          <w:w w:val="105"/>
        </w:rPr>
        <w:t>the</w:t>
      </w:r>
      <w:r>
        <w:rPr>
          <w:spacing w:val="8"/>
          <w:w w:val="105"/>
        </w:rPr>
        <w:t> </w:t>
      </w:r>
      <w:r>
        <w:rPr>
          <w:w w:val="105"/>
        </w:rPr>
        <w:t>group</w:t>
      </w:r>
      <w:r>
        <w:rPr>
          <w:spacing w:val="7"/>
          <w:w w:val="105"/>
        </w:rPr>
        <w:t> </w:t>
      </w:r>
      <w:r>
        <w:rPr>
          <w:w w:val="105"/>
        </w:rPr>
        <w:t>mean</w:t>
      </w:r>
      <w:r>
        <w:rPr>
          <w:spacing w:val="7"/>
          <w:w w:val="105"/>
        </w:rPr>
        <w:t> </w:t>
      </w:r>
      <w:r>
        <w:rPr>
          <w:w w:val="105"/>
        </w:rPr>
        <w:t>and</w:t>
      </w:r>
      <w:r>
        <w:rPr>
          <w:spacing w:val="8"/>
          <w:w w:val="105"/>
        </w:rPr>
        <w:t> </w:t>
      </w:r>
      <w:r>
        <w:rPr>
          <w:w w:val="105"/>
        </w:rPr>
        <w:t>percentage</w:t>
      </w:r>
    </w:p>
    <w:p>
      <w:pPr>
        <w:pStyle w:val="BodyText"/>
      </w:pPr>
      <w:r>
        <w:rPr>
          <w:rFonts w:ascii="Arial"/>
          <w:w w:val="105"/>
          <w:sz w:val="12"/>
        </w:rPr>
        <w:t>402     </w:t>
      </w:r>
      <w:r>
        <w:rPr>
          <w:w w:val="105"/>
        </w:rPr>
        <w:t>of errors in either pre- or post- </w:t>
      </w:r>
      <w:r>
        <w:rPr>
          <w:spacing w:val="-7"/>
          <w:w w:val="105"/>
        </w:rPr>
        <w:t>AAT </w:t>
      </w:r>
      <w:r>
        <w:rPr>
          <w:w w:val="105"/>
        </w:rPr>
        <w:t>blocks greater than 0.25.  </w:t>
      </w:r>
      <w:r>
        <w:rPr>
          <w:spacing w:val="-3"/>
          <w:w w:val="105"/>
        </w:rPr>
        <w:t>Additionally, </w:t>
      </w:r>
      <w:r>
        <w:rPr>
          <w:w w:val="105"/>
        </w:rPr>
        <w:t>participants</w:t>
      </w:r>
      <w:r>
        <w:rPr>
          <w:spacing w:val="10"/>
          <w:w w:val="105"/>
        </w:rPr>
        <w:t> </w:t>
      </w:r>
      <w:r>
        <w:rPr>
          <w:w w:val="105"/>
        </w:rPr>
        <w:t>who</w:t>
      </w:r>
    </w:p>
    <w:p>
      <w:pPr>
        <w:pStyle w:val="BodyText"/>
      </w:pPr>
      <w:r>
        <w:rPr>
          <w:rFonts w:ascii="Arial"/>
          <w:w w:val="105"/>
          <w:sz w:val="12"/>
        </w:rPr>
        <w:t>403    </w:t>
      </w:r>
      <w:r>
        <w:rPr>
          <w:rFonts w:ascii="Arial"/>
          <w:spacing w:val="16"/>
          <w:w w:val="105"/>
          <w:sz w:val="12"/>
        </w:rPr>
        <w:t> </w:t>
      </w:r>
      <w:r>
        <w:rPr>
          <w:w w:val="105"/>
        </w:rPr>
        <w:t>submitted</w:t>
      </w:r>
      <w:r>
        <w:rPr>
          <w:spacing w:val="11"/>
          <w:w w:val="105"/>
        </w:rPr>
        <w:t> </w:t>
      </w:r>
      <w:r>
        <w:rPr>
          <w:w w:val="105"/>
        </w:rPr>
        <w:t>a</w:t>
      </w:r>
      <w:r>
        <w:rPr>
          <w:spacing w:val="12"/>
          <w:w w:val="105"/>
        </w:rPr>
        <w:t> </w:t>
      </w:r>
      <w:r>
        <w:rPr>
          <w:spacing w:val="3"/>
          <w:w w:val="105"/>
        </w:rPr>
        <w:t>food</w:t>
      </w:r>
      <w:r>
        <w:rPr>
          <w:spacing w:val="12"/>
          <w:w w:val="105"/>
        </w:rPr>
        <w:t> </w:t>
      </w:r>
      <w:r>
        <w:rPr>
          <w:w w:val="105"/>
        </w:rPr>
        <w:t>rating</w:t>
      </w:r>
      <w:r>
        <w:rPr>
          <w:spacing w:val="11"/>
          <w:w w:val="105"/>
        </w:rPr>
        <w:t> </w:t>
      </w:r>
      <w:r>
        <w:rPr>
          <w:w w:val="105"/>
        </w:rPr>
        <w:t>of</w:t>
      </w:r>
      <w:r>
        <w:rPr>
          <w:spacing w:val="11"/>
          <w:w w:val="105"/>
        </w:rPr>
        <w:t> </w:t>
      </w:r>
      <w:r>
        <w:rPr>
          <w:w w:val="105"/>
        </w:rPr>
        <w:t>50</w:t>
      </w:r>
      <w:r>
        <w:rPr>
          <w:spacing w:val="12"/>
          <w:w w:val="105"/>
        </w:rPr>
        <w:t> </w:t>
      </w:r>
      <w:r>
        <w:rPr>
          <w:w w:val="105"/>
        </w:rPr>
        <w:t>(i.e.,</w:t>
      </w:r>
      <w:r>
        <w:rPr>
          <w:spacing w:val="12"/>
          <w:w w:val="105"/>
        </w:rPr>
        <w:t> </w:t>
      </w:r>
      <w:r>
        <w:rPr>
          <w:w w:val="105"/>
        </w:rPr>
        <w:t>neutral)</w:t>
      </w:r>
      <w:r>
        <w:rPr>
          <w:spacing w:val="11"/>
          <w:w w:val="105"/>
        </w:rPr>
        <w:t> </w:t>
      </w:r>
      <w:r>
        <w:rPr>
          <w:w w:val="105"/>
        </w:rPr>
        <w:t>for</w:t>
      </w:r>
      <w:r>
        <w:rPr>
          <w:spacing w:val="12"/>
          <w:w w:val="105"/>
        </w:rPr>
        <w:t> </w:t>
      </w:r>
      <w:r>
        <w:rPr>
          <w:w w:val="105"/>
        </w:rPr>
        <w:t>24</w:t>
      </w:r>
      <w:r>
        <w:rPr>
          <w:spacing w:val="11"/>
          <w:w w:val="105"/>
        </w:rPr>
        <w:t> </w:t>
      </w:r>
      <w:r>
        <w:rPr>
          <w:w w:val="105"/>
        </w:rPr>
        <w:t>or</w:t>
      </w:r>
      <w:r>
        <w:rPr>
          <w:spacing w:val="11"/>
          <w:w w:val="105"/>
        </w:rPr>
        <w:t> </w:t>
      </w:r>
      <w:r>
        <w:rPr>
          <w:w w:val="105"/>
        </w:rPr>
        <w:t>more</w:t>
      </w:r>
      <w:r>
        <w:rPr>
          <w:spacing w:val="11"/>
          <w:w w:val="105"/>
        </w:rPr>
        <w:t> </w:t>
      </w:r>
      <w:r>
        <w:rPr>
          <w:w w:val="105"/>
        </w:rPr>
        <w:t>trials</w:t>
      </w:r>
      <w:r>
        <w:rPr>
          <w:spacing w:val="12"/>
          <w:w w:val="105"/>
        </w:rPr>
        <w:t> </w:t>
      </w:r>
      <w:r>
        <w:rPr>
          <w:w w:val="105"/>
        </w:rPr>
        <w:t>wither</w:t>
      </w:r>
      <w:r>
        <w:rPr>
          <w:spacing w:val="12"/>
          <w:w w:val="105"/>
        </w:rPr>
        <w:t> </w:t>
      </w:r>
      <w:r>
        <w:rPr>
          <w:w w:val="105"/>
        </w:rPr>
        <w:t>pre-or</w:t>
      </w:r>
      <w:r>
        <w:rPr>
          <w:spacing w:val="11"/>
          <w:w w:val="105"/>
        </w:rPr>
        <w:t> </w:t>
      </w:r>
      <w:r>
        <w:rPr>
          <w:w w:val="105"/>
        </w:rPr>
        <w:t>post-training</w:t>
      </w:r>
    </w:p>
    <w:p>
      <w:pPr>
        <w:pStyle w:val="BodyText"/>
      </w:pPr>
      <w:r>
        <w:rPr>
          <w:rFonts w:ascii="Arial"/>
          <w:w w:val="105"/>
          <w:sz w:val="12"/>
        </w:rPr>
        <w:t>404 </w:t>
      </w:r>
      <w:r>
        <w:rPr>
          <w:w w:val="105"/>
        </w:rPr>
        <w:t>would not be included as it was assumed that multiple such responses would indicate that</w:t>
      </w:r>
    </w:p>
    <w:p>
      <w:pPr>
        <w:pStyle w:val="BodyText"/>
      </w:pPr>
      <w:r>
        <w:rPr>
          <w:rFonts w:ascii="Arial"/>
          <w:w w:val="105"/>
          <w:sz w:val="12"/>
        </w:rPr>
        <w:t>405 </w:t>
      </w:r>
      <w:r>
        <w:rPr>
          <w:w w:val="105"/>
        </w:rPr>
        <w:t>participants used the default setting of the VAS and purposefully skipped the rating trials.</w:t>
      </w:r>
    </w:p>
    <w:p>
      <w:pPr>
        <w:spacing w:after="0"/>
        <w:sectPr>
          <w:pgSz w:w="12240" w:h="15840"/>
          <w:pgMar w:header="649" w:footer="0" w:top="1320" w:bottom="280" w:left="820" w:right="1140"/>
        </w:sectPr>
      </w:pPr>
    </w:p>
    <w:p>
      <w:pPr>
        <w:pStyle w:val="Heading1"/>
        <w:spacing w:before="191"/>
      </w:pPr>
      <w:r>
        <w:rPr>
          <w:rFonts w:ascii="Arial"/>
          <w:b w:val="0"/>
          <w:w w:val="110"/>
          <w:sz w:val="12"/>
        </w:rPr>
        <w:t>406</w:t>
      </w:r>
      <w:bookmarkStart w:name="Pre-registered analyses" w:id="34"/>
      <w:bookmarkEnd w:id="34"/>
      <w:r>
        <w:rPr>
          <w:rFonts w:ascii="Arial"/>
          <w:b w:val="0"/>
          <w:w w:val="110"/>
          <w:sz w:val="12"/>
        </w:rPr>
      </w:r>
      <w:bookmarkStart w:name="_bookmark14" w:id="35"/>
      <w:bookmarkEnd w:id="35"/>
      <w:r>
        <w:rPr>
          <w:rFonts w:ascii="Arial"/>
          <w:b w:val="0"/>
          <w:w w:val="110"/>
          <w:sz w:val="12"/>
        </w:rPr>
      </w:r>
      <w:r>
        <w:rPr>
          <w:rFonts w:ascii="Arial"/>
          <w:b w:val="0"/>
          <w:w w:val="110"/>
          <w:sz w:val="12"/>
        </w:rPr>
        <w:t> </w:t>
      </w:r>
      <w:r>
        <w:rPr>
          <w:w w:val="110"/>
        </w:rPr>
        <w:t>Pre-registered analyses</w:t>
      </w:r>
    </w:p>
    <w:p>
      <w:pPr>
        <w:pStyle w:val="BodyText"/>
        <w:spacing w:before="0"/>
        <w:ind w:left="0"/>
        <w:rPr>
          <w:b/>
          <w:sz w:val="20"/>
        </w:rPr>
      </w:pPr>
    </w:p>
    <w:p>
      <w:pPr>
        <w:pStyle w:val="BodyText"/>
        <w:spacing w:before="0"/>
        <w:ind w:left="0"/>
        <w:rPr>
          <w:b/>
          <w:sz w:val="20"/>
        </w:rPr>
      </w:pPr>
    </w:p>
    <w:p>
      <w:pPr>
        <w:spacing w:after="0"/>
        <w:rPr>
          <w:sz w:val="20"/>
        </w:rPr>
        <w:sectPr>
          <w:pgSz w:w="12240" w:h="15840"/>
          <w:pgMar w:header="649" w:footer="0" w:top="1320" w:bottom="280" w:left="820" w:right="1140"/>
        </w:sectPr>
      </w:pPr>
    </w:p>
    <w:p>
      <w:pPr>
        <w:pStyle w:val="BodyText"/>
        <w:spacing w:before="0"/>
        <w:ind w:left="0"/>
        <w:rPr>
          <w:b/>
          <w:sz w:val="18"/>
        </w:rPr>
      </w:pPr>
    </w:p>
    <w:p>
      <w:pPr>
        <w:pStyle w:val="BodyText"/>
        <w:spacing w:before="8"/>
        <w:ind w:left="0"/>
        <w:rPr>
          <w:b/>
          <w:sz w:val="17"/>
        </w:rPr>
      </w:pPr>
    </w:p>
    <w:p>
      <w:pPr>
        <w:spacing w:before="0"/>
        <w:ind w:left="230" w:right="0" w:firstLine="0"/>
        <w:jc w:val="left"/>
        <w:rPr>
          <w:rFonts w:ascii="Arial"/>
          <w:sz w:val="12"/>
        </w:rPr>
      </w:pPr>
      <w:r>
        <w:rPr>
          <w:rFonts w:ascii="Arial"/>
          <w:w w:val="95"/>
          <w:sz w:val="12"/>
        </w:rPr>
        <w:t>407</w:t>
      </w:r>
    </w:p>
    <w:p>
      <w:pPr>
        <w:pStyle w:val="BodyText"/>
        <w:spacing w:before="0"/>
        <w:ind w:left="0"/>
        <w:rPr>
          <w:rFonts w:ascii="Arial"/>
          <w:sz w:val="18"/>
        </w:rPr>
      </w:pPr>
    </w:p>
    <w:p>
      <w:pPr>
        <w:spacing w:before="134"/>
        <w:ind w:left="230" w:right="0" w:firstLine="0"/>
        <w:jc w:val="left"/>
        <w:rPr>
          <w:rFonts w:ascii="Arial"/>
          <w:sz w:val="12"/>
        </w:rPr>
      </w:pPr>
      <w:r>
        <w:rPr>
          <w:rFonts w:ascii="Arial"/>
          <w:w w:val="95"/>
          <w:sz w:val="12"/>
        </w:rPr>
        <w:t>408</w:t>
      </w:r>
    </w:p>
    <w:p>
      <w:pPr>
        <w:pStyle w:val="BodyText"/>
        <w:spacing w:before="0"/>
        <w:ind w:left="0"/>
        <w:rPr>
          <w:rFonts w:ascii="Arial"/>
          <w:sz w:val="18"/>
        </w:rPr>
      </w:pPr>
    </w:p>
    <w:p>
      <w:pPr>
        <w:spacing w:before="133"/>
        <w:ind w:left="230" w:right="0" w:firstLine="0"/>
        <w:jc w:val="left"/>
        <w:rPr>
          <w:rFonts w:ascii="Arial"/>
          <w:sz w:val="12"/>
        </w:rPr>
      </w:pPr>
      <w:r>
        <w:rPr>
          <w:rFonts w:ascii="Arial"/>
          <w:w w:val="95"/>
          <w:sz w:val="12"/>
        </w:rPr>
        <w:t>409</w:t>
      </w:r>
    </w:p>
    <w:p>
      <w:pPr>
        <w:pStyle w:val="BodyText"/>
        <w:spacing w:before="0"/>
        <w:ind w:left="0"/>
        <w:rPr>
          <w:rFonts w:ascii="Arial"/>
          <w:sz w:val="18"/>
        </w:rPr>
      </w:pPr>
    </w:p>
    <w:p>
      <w:pPr>
        <w:spacing w:before="133"/>
        <w:ind w:left="230" w:right="0" w:firstLine="0"/>
        <w:jc w:val="left"/>
        <w:rPr>
          <w:rFonts w:ascii="Arial"/>
          <w:sz w:val="12"/>
        </w:rPr>
      </w:pPr>
      <w:r>
        <w:rPr>
          <w:rFonts w:ascii="Arial"/>
          <w:w w:val="95"/>
          <w:sz w:val="12"/>
        </w:rPr>
        <w:t>410</w:t>
      </w:r>
    </w:p>
    <w:p>
      <w:pPr>
        <w:pStyle w:val="BodyText"/>
        <w:spacing w:before="0"/>
        <w:ind w:left="0"/>
        <w:rPr>
          <w:rFonts w:ascii="Arial"/>
          <w:sz w:val="18"/>
        </w:rPr>
      </w:pPr>
    </w:p>
    <w:p>
      <w:pPr>
        <w:spacing w:before="133"/>
        <w:ind w:left="230" w:right="0" w:firstLine="0"/>
        <w:jc w:val="left"/>
        <w:rPr>
          <w:rFonts w:ascii="Arial"/>
          <w:sz w:val="12"/>
        </w:rPr>
      </w:pPr>
      <w:r>
        <w:rPr>
          <w:rFonts w:ascii="Arial"/>
          <w:w w:val="95"/>
          <w:sz w:val="12"/>
        </w:rPr>
        <w:t>411</w:t>
      </w:r>
    </w:p>
    <w:p>
      <w:pPr>
        <w:pStyle w:val="BodyText"/>
        <w:spacing w:line="415" w:lineRule="auto" w:before="299"/>
        <w:ind w:left="159" w:right="293" w:firstLine="576"/>
      </w:pPr>
      <w:r>
        <w:rPr/>
        <w:br w:type="column"/>
      </w:r>
      <w:r>
        <w:rPr>
          <w:w w:val="105"/>
        </w:rPr>
        <w:t>Data pre-processing and analyses were conducted in RStudio (RStudio Team, 2016) and JASP (JASP Team, 2018). Pre-registered analyses are described under their</w:t>
      </w:r>
    </w:p>
    <w:p>
      <w:pPr>
        <w:pStyle w:val="BodyText"/>
        <w:spacing w:line="415" w:lineRule="auto" w:before="2"/>
        <w:ind w:left="159" w:right="293"/>
      </w:pPr>
      <w:r>
        <w:rPr/>
        <w:pict>
          <v:line style="position:absolute;mso-position-horizontal-relative:page;mso-position-vertical-relative:paragraph;z-index:-95512" from="286.169006pt,23.006107pt" to="303.728006pt,23.006107pt" stroked="true" strokeweight=".398pt" strokecolor="#000000">
            <v:stroke dashstyle="solid"/>
            <w10:wrap type="none"/>
          </v:line>
        </w:pict>
      </w:r>
      <w:r>
        <w:rPr>
          <w:w w:val="105"/>
        </w:rPr>
        <w:t>pre-specified hypotheses, as presented in </w:t>
      </w:r>
      <w:hyperlink w:history="true" w:anchor="_bookmark1">
        <w:r>
          <w:rPr>
            <w:i/>
            <w:w w:val="105"/>
          </w:rPr>
          <w:t>Hypotheses</w:t>
        </w:r>
      </w:hyperlink>
      <w:r>
        <w:rPr>
          <w:w w:val="105"/>
        </w:rPr>
        <w:t>. For all Bayesian paired samples t-tests </w:t>
      </w:r>
      <w:r>
        <w:rPr>
          <w:w w:val="103"/>
        </w:rPr>
        <w:t>men</w:t>
      </w:r>
      <w:r>
        <w:rPr>
          <w:w w:val="106"/>
        </w:rPr>
        <w:t>tioned</w:t>
      </w:r>
      <w:r>
        <w:rPr/>
        <w:t> </w:t>
      </w:r>
      <w:r>
        <w:rPr>
          <w:w w:val="105"/>
        </w:rPr>
        <w:t>hereinafter,</w:t>
      </w:r>
      <w:r>
        <w:rPr/>
        <w:t> </w:t>
      </w:r>
      <w:r>
        <w:rPr>
          <w:w w:val="109"/>
        </w:rPr>
        <w:t>a</w:t>
      </w:r>
      <w:r>
        <w:rPr/>
        <w:t> </w:t>
      </w:r>
      <w:r>
        <w:rPr>
          <w:w w:val="105"/>
        </w:rPr>
        <w:t>prior</w:t>
      </w:r>
      <w:r>
        <w:rPr/>
        <w:t> </w:t>
      </w:r>
      <w:r>
        <w:rPr>
          <w:w w:val="106"/>
        </w:rPr>
        <w:t>with</w:t>
      </w:r>
      <w:r>
        <w:rPr/>
        <w:t> </w:t>
      </w:r>
      <w:r>
        <w:rPr>
          <w:w w:val="110"/>
        </w:rPr>
        <w:t>the</w:t>
      </w:r>
      <w:r>
        <w:rPr/>
        <w:t> </w:t>
      </w:r>
      <w:r>
        <w:rPr>
          <w:rFonts w:ascii="Arial"/>
          <w:w w:val="358"/>
          <w:position w:val="24"/>
          <w:sz w:val="20"/>
        </w:rPr>
        <w:t> </w:t>
      </w:r>
      <w:r>
        <w:rPr>
          <w:rFonts w:ascii="Arial"/>
          <w:w w:val="87"/>
        </w:rPr>
        <w:t>2</w:t>
      </w:r>
      <w:r>
        <w:rPr>
          <w:i/>
          <w:w w:val="175"/>
        </w:rPr>
        <w:t>/</w:t>
      </w:r>
      <w:r>
        <w:rPr>
          <w:rFonts w:ascii="Arial"/>
          <w:w w:val="87"/>
        </w:rPr>
        <w:t>2</w:t>
      </w:r>
      <w:r>
        <w:rPr>
          <w:rFonts w:ascii="Arial"/>
        </w:rPr>
        <w:t> </w:t>
      </w:r>
      <w:r>
        <w:rPr>
          <w:w w:val="100"/>
        </w:rPr>
        <w:t>scale</w:t>
      </w:r>
      <w:r>
        <w:rPr/>
        <w:t> </w:t>
      </w:r>
      <w:r>
        <w:rPr>
          <w:w w:val="108"/>
        </w:rPr>
        <w:t>parameter</w:t>
      </w:r>
      <w:r>
        <w:rPr/>
        <w:t> </w:t>
      </w:r>
      <w:r>
        <w:rPr>
          <w:w w:val="99"/>
        </w:rPr>
        <w:t>for</w:t>
      </w:r>
      <w:r>
        <w:rPr/>
        <w:t> </w:t>
      </w:r>
      <w:r>
        <w:rPr>
          <w:w w:val="110"/>
        </w:rPr>
        <w:t>the</w:t>
      </w:r>
      <w:r>
        <w:rPr/>
        <w:t> </w:t>
      </w:r>
      <w:r>
        <w:rPr>
          <w:w w:val="103"/>
        </w:rPr>
        <w:t>half-Cauc</w:t>
      </w:r>
      <w:r>
        <w:rPr>
          <w:w w:val="108"/>
        </w:rPr>
        <w:t>h</w:t>
      </w:r>
      <w:r>
        <w:rPr>
          <w:w w:val="103"/>
        </w:rPr>
        <w:t>y </w:t>
      </w:r>
      <w:r>
        <w:rPr>
          <w:w w:val="105"/>
        </w:rPr>
        <w:t>distribution was used.</w:t>
      </w:r>
    </w:p>
    <w:p>
      <w:pPr>
        <w:spacing w:after="0" w:line="415" w:lineRule="auto"/>
        <w:sectPr>
          <w:type w:val="continuous"/>
          <w:pgSz w:w="12240" w:h="15840"/>
          <w:pgMar w:top="1320" w:bottom="280" w:left="820" w:right="1140"/>
          <w:cols w:num="2" w:equalWidth="0">
            <w:col w:w="421" w:space="40"/>
            <w:col w:w="9819"/>
          </w:cols>
        </w:sectPr>
      </w:pPr>
    </w:p>
    <w:p>
      <w:pPr>
        <w:pStyle w:val="BodyText"/>
        <w:spacing w:before="9"/>
        <w:ind w:left="0"/>
        <w:rPr>
          <w:sz w:val="13"/>
        </w:rPr>
      </w:pPr>
    </w:p>
    <w:p>
      <w:pPr>
        <w:pStyle w:val="BodyText"/>
        <w:spacing w:before="146"/>
      </w:pPr>
      <w:r>
        <w:rPr>
          <w:rFonts w:ascii="Arial"/>
          <w:w w:val="105"/>
          <w:sz w:val="12"/>
        </w:rPr>
        <w:t>412     </w:t>
      </w:r>
      <w:r>
        <w:rPr>
          <w:w w:val="105"/>
        </w:rPr>
        <w:t>H1.  The effect of training condition on the change in </w:t>
      </w:r>
      <w:r>
        <w:rPr>
          <w:spacing w:val="-3"/>
          <w:w w:val="105"/>
        </w:rPr>
        <w:t>approach-avoid </w:t>
      </w:r>
      <w:r>
        <w:rPr>
          <w:w w:val="105"/>
        </w:rPr>
        <w:t>bias scores from</w:t>
      </w:r>
      <w:r>
        <w:rPr>
          <w:spacing w:val="-11"/>
          <w:w w:val="105"/>
        </w:rPr>
        <w:t> </w:t>
      </w:r>
      <w:r>
        <w:rPr>
          <w:w w:val="105"/>
        </w:rPr>
        <w:t>pre-to</w:t>
      </w:r>
    </w:p>
    <w:p>
      <w:pPr>
        <w:pStyle w:val="BodyText"/>
      </w:pPr>
      <w:r>
        <w:rPr>
          <w:rFonts w:ascii="Arial"/>
          <w:w w:val="105"/>
          <w:sz w:val="12"/>
        </w:rPr>
        <w:t>413      </w:t>
      </w:r>
      <w:r>
        <w:rPr>
          <w:w w:val="105"/>
        </w:rPr>
        <w:t>post-training </w:t>
      </w:r>
      <w:r>
        <w:rPr>
          <w:spacing w:val="-3"/>
          <w:w w:val="105"/>
        </w:rPr>
        <w:t>was </w:t>
      </w:r>
      <w:r>
        <w:rPr>
          <w:w w:val="105"/>
        </w:rPr>
        <w:t>examined using a Bayesian Repeated Measures </w:t>
      </w:r>
      <w:r>
        <w:rPr>
          <w:spacing w:val="-7"/>
          <w:w w:val="105"/>
        </w:rPr>
        <w:t>ANOVA  </w:t>
      </w:r>
      <w:r>
        <w:rPr>
          <w:w w:val="105"/>
        </w:rPr>
        <w:t>with the</w:t>
      </w:r>
      <w:r>
        <w:rPr>
          <w:spacing w:val="62"/>
          <w:w w:val="105"/>
        </w:rPr>
        <w:t> </w:t>
      </w:r>
      <w:r>
        <w:rPr>
          <w:w w:val="105"/>
        </w:rPr>
        <w:t>default</w:t>
      </w:r>
    </w:p>
    <w:p>
      <w:pPr>
        <w:pStyle w:val="BodyText"/>
      </w:pPr>
      <w:r>
        <w:rPr>
          <w:rFonts w:ascii="Arial"/>
          <w:w w:val="105"/>
          <w:sz w:val="12"/>
        </w:rPr>
        <w:t>414    </w:t>
      </w:r>
      <w:r>
        <w:rPr>
          <w:rFonts w:ascii="Arial"/>
          <w:spacing w:val="6"/>
          <w:w w:val="105"/>
          <w:sz w:val="12"/>
        </w:rPr>
        <w:t> </w:t>
      </w:r>
      <w:r>
        <w:rPr>
          <w:w w:val="105"/>
        </w:rPr>
        <w:t>prior</w:t>
      </w:r>
      <w:r>
        <w:rPr>
          <w:spacing w:val="7"/>
          <w:w w:val="105"/>
        </w:rPr>
        <w:t> </w:t>
      </w:r>
      <w:r>
        <w:rPr>
          <w:w w:val="105"/>
        </w:rPr>
        <w:t>settings</w:t>
      </w:r>
      <w:r>
        <w:rPr>
          <w:spacing w:val="8"/>
          <w:w w:val="105"/>
        </w:rPr>
        <w:t> </w:t>
      </w:r>
      <w:r>
        <w:rPr>
          <w:w w:val="105"/>
        </w:rPr>
        <w:t>(Rouder,</w:t>
      </w:r>
      <w:r>
        <w:rPr>
          <w:spacing w:val="7"/>
          <w:w w:val="105"/>
        </w:rPr>
        <w:t> </w:t>
      </w:r>
      <w:r>
        <w:rPr>
          <w:w w:val="105"/>
        </w:rPr>
        <w:t>Engelhardt,</w:t>
      </w:r>
      <w:r>
        <w:rPr>
          <w:spacing w:val="8"/>
          <w:w w:val="105"/>
        </w:rPr>
        <w:t> </w:t>
      </w:r>
      <w:r>
        <w:rPr>
          <w:w w:val="105"/>
        </w:rPr>
        <w:t>McCabe,</w:t>
      </w:r>
      <w:r>
        <w:rPr>
          <w:spacing w:val="8"/>
          <w:w w:val="105"/>
        </w:rPr>
        <w:t> </w:t>
      </w:r>
      <w:r>
        <w:rPr>
          <w:w w:val="105"/>
        </w:rPr>
        <w:t>&amp;</w:t>
      </w:r>
      <w:r>
        <w:rPr>
          <w:spacing w:val="7"/>
          <w:w w:val="105"/>
        </w:rPr>
        <w:t> </w:t>
      </w:r>
      <w:r>
        <w:rPr>
          <w:spacing w:val="-4"/>
          <w:w w:val="105"/>
        </w:rPr>
        <w:t>Morey,</w:t>
      </w:r>
      <w:r>
        <w:rPr>
          <w:spacing w:val="8"/>
          <w:w w:val="105"/>
        </w:rPr>
        <w:t> </w:t>
      </w:r>
      <w:r>
        <w:rPr>
          <w:w w:val="105"/>
        </w:rPr>
        <w:t>2016;</w:t>
      </w:r>
      <w:r>
        <w:rPr>
          <w:spacing w:val="7"/>
          <w:w w:val="105"/>
        </w:rPr>
        <w:t> </w:t>
      </w:r>
      <w:r>
        <w:rPr>
          <w:w w:val="105"/>
        </w:rPr>
        <w:t>Rouder,</w:t>
      </w:r>
      <w:r>
        <w:rPr>
          <w:spacing w:val="7"/>
          <w:w w:val="105"/>
        </w:rPr>
        <w:t> </w:t>
      </w:r>
      <w:r>
        <w:rPr>
          <w:spacing w:val="-4"/>
          <w:w w:val="105"/>
        </w:rPr>
        <w:t>Morey,</w:t>
      </w:r>
      <w:r>
        <w:rPr>
          <w:spacing w:val="7"/>
          <w:w w:val="105"/>
        </w:rPr>
        <w:t> </w:t>
      </w:r>
      <w:r>
        <w:rPr>
          <w:w w:val="105"/>
        </w:rPr>
        <w:t>Speckman,</w:t>
      </w:r>
      <w:r>
        <w:rPr>
          <w:spacing w:val="7"/>
          <w:w w:val="105"/>
        </w:rPr>
        <w:t> </w:t>
      </w:r>
      <w:r>
        <w:rPr>
          <w:w w:val="105"/>
        </w:rPr>
        <w:t>&amp;</w:t>
      </w:r>
    </w:p>
    <w:p>
      <w:pPr>
        <w:pStyle w:val="BodyText"/>
      </w:pPr>
      <w:r>
        <w:rPr>
          <w:rFonts w:ascii="Arial"/>
          <w:w w:val="110"/>
          <w:sz w:val="12"/>
        </w:rPr>
        <w:t>415 </w:t>
      </w:r>
      <w:r>
        <w:rPr>
          <w:w w:val="110"/>
        </w:rPr>
        <w:t>Province, 2012) and participants treated as a nuisance</w:t>
      </w:r>
      <w:r>
        <w:rPr>
          <w:spacing w:val="61"/>
          <w:w w:val="110"/>
        </w:rPr>
        <w:t> </w:t>
      </w:r>
      <w:r>
        <w:rPr>
          <w:w w:val="110"/>
        </w:rPr>
        <w:t>term.</w:t>
      </w:r>
    </w:p>
    <w:p>
      <w:pPr>
        <w:pStyle w:val="BodyText"/>
        <w:spacing w:before="0"/>
        <w:ind w:left="0"/>
        <w:rPr>
          <w:sz w:val="20"/>
        </w:rPr>
      </w:pPr>
    </w:p>
    <w:p>
      <w:pPr>
        <w:pStyle w:val="BodyText"/>
        <w:spacing w:before="275"/>
      </w:pPr>
      <w:r>
        <w:rPr>
          <w:rFonts w:ascii="Arial" w:hAnsi="Arial"/>
          <w:w w:val="110"/>
          <w:sz w:val="12"/>
        </w:rPr>
        <w:t>416 </w:t>
      </w:r>
      <w:r>
        <w:rPr>
          <w:w w:val="110"/>
        </w:rPr>
        <w:t>H1a. </w:t>
      </w:r>
      <w:r>
        <w:rPr>
          <w:rFonts w:ascii="Arial" w:hAnsi="Arial"/>
          <w:w w:val="110"/>
        </w:rPr>
        <w:t>∆</w:t>
      </w:r>
      <w:r>
        <w:rPr>
          <w:w w:val="110"/>
        </w:rPr>
        <w:t>AAT</w:t>
      </w:r>
      <w:r>
        <w:rPr>
          <w:w w:val="110"/>
          <w:vertAlign w:val="subscript"/>
        </w:rPr>
        <w:t>nogo</w:t>
      </w:r>
      <w:r>
        <w:rPr>
          <w:w w:val="110"/>
          <w:vertAlign w:val="baseline"/>
        </w:rPr>
        <w:t> &lt; </w:t>
      </w:r>
      <w:r>
        <w:rPr>
          <w:rFonts w:ascii="Arial" w:hAnsi="Arial"/>
          <w:w w:val="110"/>
          <w:vertAlign w:val="baseline"/>
        </w:rPr>
        <w:t>∆</w:t>
      </w:r>
      <w:r>
        <w:rPr>
          <w:w w:val="110"/>
          <w:vertAlign w:val="baseline"/>
        </w:rPr>
        <w:t>AAT</w:t>
      </w:r>
      <w:r>
        <w:rPr>
          <w:w w:val="110"/>
          <w:vertAlign w:val="subscript"/>
        </w:rPr>
        <w:t>control</w:t>
      </w:r>
    </w:p>
    <w:p>
      <w:pPr>
        <w:pStyle w:val="BodyText"/>
        <w:spacing w:before="201"/>
      </w:pPr>
      <w:r>
        <w:rPr>
          <w:rFonts w:ascii="Arial" w:hAnsi="Arial"/>
          <w:w w:val="110"/>
          <w:sz w:val="12"/>
        </w:rPr>
        <w:t>417 </w:t>
      </w:r>
      <w:r>
        <w:rPr>
          <w:w w:val="110"/>
        </w:rPr>
        <w:t>H1b. </w:t>
      </w:r>
      <w:r>
        <w:rPr>
          <w:rFonts w:ascii="Arial" w:hAnsi="Arial"/>
          <w:w w:val="110"/>
        </w:rPr>
        <w:t>∆</w:t>
      </w:r>
      <w:r>
        <w:rPr>
          <w:w w:val="110"/>
        </w:rPr>
        <w:t>AAT</w:t>
      </w:r>
      <w:r>
        <w:rPr>
          <w:w w:val="110"/>
          <w:vertAlign w:val="subscript"/>
        </w:rPr>
        <w:t>go</w:t>
      </w:r>
      <w:r>
        <w:rPr>
          <w:w w:val="110"/>
          <w:vertAlign w:val="baseline"/>
        </w:rPr>
        <w:t> &gt; </w:t>
      </w:r>
      <w:r>
        <w:rPr>
          <w:rFonts w:ascii="Arial" w:hAnsi="Arial"/>
          <w:w w:val="110"/>
          <w:vertAlign w:val="baseline"/>
        </w:rPr>
        <w:t>∆</w:t>
      </w:r>
      <w:r>
        <w:rPr>
          <w:w w:val="110"/>
          <w:vertAlign w:val="baseline"/>
        </w:rPr>
        <w:t>AAT</w:t>
      </w:r>
      <w:r>
        <w:rPr>
          <w:w w:val="110"/>
          <w:vertAlign w:val="subscript"/>
        </w:rPr>
        <w:t>control</w:t>
      </w:r>
    </w:p>
    <w:p>
      <w:pPr>
        <w:pStyle w:val="BodyText"/>
        <w:spacing w:before="0"/>
        <w:ind w:left="0"/>
        <w:rPr>
          <w:sz w:val="20"/>
        </w:rPr>
      </w:pPr>
    </w:p>
    <w:p>
      <w:pPr>
        <w:pStyle w:val="BodyText"/>
        <w:spacing w:before="275"/>
      </w:pPr>
      <w:r>
        <w:rPr>
          <w:rFonts w:ascii="Arial"/>
          <w:w w:val="105"/>
          <w:sz w:val="12"/>
        </w:rPr>
        <w:t>418 </w:t>
      </w:r>
      <w:r>
        <w:rPr>
          <w:w w:val="105"/>
        </w:rPr>
        <w:t>H2. Two Bayesian paired samples t-tests were conducted for the mean proportions of</w:t>
      </w:r>
    </w:p>
    <w:p>
      <w:pPr>
        <w:pStyle w:val="BodyText"/>
      </w:pPr>
      <w:r>
        <w:rPr>
          <w:rFonts w:ascii="Arial"/>
          <w:w w:val="105"/>
          <w:sz w:val="12"/>
        </w:rPr>
        <w:t>419 </w:t>
      </w:r>
      <w:r>
        <w:rPr>
          <w:w w:val="105"/>
        </w:rPr>
        <w:t>selected foods in the go and no-go training condition compared to the control.</w:t>
      </w:r>
    </w:p>
    <w:p>
      <w:pPr>
        <w:pStyle w:val="BodyText"/>
        <w:spacing w:before="0"/>
        <w:ind w:left="0"/>
        <w:rPr>
          <w:sz w:val="20"/>
        </w:rPr>
      </w:pPr>
    </w:p>
    <w:p>
      <w:pPr>
        <w:pStyle w:val="BodyText"/>
        <w:spacing w:before="276"/>
      </w:pPr>
      <w:r>
        <w:rPr>
          <w:rFonts w:ascii="Arial"/>
          <w:w w:val="110"/>
          <w:sz w:val="12"/>
        </w:rPr>
        <w:t>420 </w:t>
      </w:r>
      <w:r>
        <w:rPr>
          <w:w w:val="110"/>
        </w:rPr>
        <w:t>H2a. p(no-go) &lt; p(control)</w:t>
      </w:r>
    </w:p>
    <w:p>
      <w:pPr>
        <w:pStyle w:val="BodyText"/>
      </w:pPr>
      <w:r>
        <w:rPr>
          <w:rFonts w:ascii="Arial"/>
          <w:w w:val="110"/>
          <w:sz w:val="12"/>
        </w:rPr>
        <w:t>421 </w:t>
      </w:r>
      <w:r>
        <w:rPr>
          <w:w w:val="110"/>
        </w:rPr>
        <w:t>H2b. p(go) &gt; p(control)</w:t>
      </w:r>
    </w:p>
    <w:p>
      <w:pPr>
        <w:pStyle w:val="BodyText"/>
        <w:spacing w:before="0"/>
        <w:ind w:left="0"/>
        <w:rPr>
          <w:sz w:val="20"/>
        </w:rPr>
      </w:pPr>
    </w:p>
    <w:p>
      <w:pPr>
        <w:pStyle w:val="BodyText"/>
        <w:spacing w:before="275"/>
      </w:pPr>
      <w:r>
        <w:rPr>
          <w:rFonts w:ascii="Arial"/>
          <w:w w:val="105"/>
          <w:sz w:val="12"/>
        </w:rPr>
        <w:t>422 </w:t>
      </w:r>
      <w:r>
        <w:rPr>
          <w:w w:val="105"/>
        </w:rPr>
        <w:t>H3. The effect of training condition on the change in food liking from pre-to post-training</w:t>
      </w:r>
    </w:p>
    <w:p>
      <w:pPr>
        <w:pStyle w:val="BodyText"/>
        <w:spacing w:before="203"/>
      </w:pPr>
      <w:r>
        <w:rPr>
          <w:rFonts w:ascii="Arial"/>
          <w:w w:val="105"/>
          <w:sz w:val="12"/>
        </w:rPr>
        <w:t>423 </w:t>
      </w:r>
      <w:r>
        <w:rPr>
          <w:w w:val="105"/>
        </w:rPr>
        <w:t>was examined using a Bayesian Repeated Measures ANOVA, consistent with H1.</w:t>
      </w:r>
    </w:p>
    <w:p>
      <w:pPr>
        <w:pStyle w:val="BodyText"/>
        <w:spacing w:before="0"/>
        <w:ind w:left="0"/>
        <w:rPr>
          <w:sz w:val="20"/>
        </w:rPr>
      </w:pPr>
    </w:p>
    <w:p>
      <w:pPr>
        <w:pStyle w:val="BodyText"/>
        <w:spacing w:before="274"/>
      </w:pPr>
      <w:r>
        <w:rPr>
          <w:rFonts w:ascii="Arial" w:hAnsi="Arial"/>
          <w:w w:val="110"/>
          <w:sz w:val="12"/>
        </w:rPr>
        <w:t>424 </w:t>
      </w:r>
      <w:r>
        <w:rPr>
          <w:w w:val="110"/>
        </w:rPr>
        <w:t>H3a. </w:t>
      </w:r>
      <w:r>
        <w:rPr>
          <w:rFonts w:ascii="Arial" w:hAnsi="Arial"/>
          <w:w w:val="110"/>
        </w:rPr>
        <w:t>∆</w:t>
      </w:r>
      <w:r>
        <w:rPr>
          <w:w w:val="110"/>
        </w:rPr>
        <w:t>Liking</w:t>
      </w:r>
      <w:r>
        <w:rPr>
          <w:w w:val="110"/>
          <w:vertAlign w:val="subscript"/>
        </w:rPr>
        <w:t>nogo</w:t>
      </w:r>
      <w:r>
        <w:rPr>
          <w:w w:val="110"/>
          <w:vertAlign w:val="baseline"/>
        </w:rPr>
        <w:t> &lt; </w:t>
      </w:r>
      <w:r>
        <w:rPr>
          <w:rFonts w:ascii="Arial" w:hAnsi="Arial"/>
          <w:w w:val="110"/>
          <w:vertAlign w:val="baseline"/>
        </w:rPr>
        <w:t>∆</w:t>
      </w:r>
      <w:r>
        <w:rPr>
          <w:w w:val="110"/>
          <w:vertAlign w:val="baseline"/>
        </w:rPr>
        <w:t>Liking</w:t>
      </w:r>
      <w:r>
        <w:rPr>
          <w:w w:val="110"/>
          <w:vertAlign w:val="subscript"/>
        </w:rPr>
        <w:t>control</w:t>
      </w:r>
    </w:p>
    <w:p>
      <w:pPr>
        <w:pStyle w:val="BodyText"/>
        <w:spacing w:before="201"/>
      </w:pPr>
      <w:r>
        <w:rPr>
          <w:rFonts w:ascii="Arial" w:hAnsi="Arial"/>
          <w:w w:val="110"/>
          <w:sz w:val="12"/>
        </w:rPr>
        <w:t>425 </w:t>
      </w:r>
      <w:r>
        <w:rPr>
          <w:w w:val="110"/>
        </w:rPr>
        <w:t>H3b. </w:t>
      </w:r>
      <w:r>
        <w:rPr>
          <w:rFonts w:ascii="Arial" w:hAnsi="Arial"/>
          <w:w w:val="110"/>
        </w:rPr>
        <w:t>∆</w:t>
      </w:r>
      <w:r>
        <w:rPr>
          <w:w w:val="110"/>
        </w:rPr>
        <w:t>Liking</w:t>
      </w:r>
      <w:r>
        <w:rPr>
          <w:w w:val="110"/>
          <w:vertAlign w:val="subscript"/>
        </w:rPr>
        <w:t>go</w:t>
      </w:r>
      <w:r>
        <w:rPr>
          <w:w w:val="110"/>
          <w:vertAlign w:val="baseline"/>
        </w:rPr>
        <w:t> &gt; </w:t>
      </w:r>
      <w:r>
        <w:rPr>
          <w:rFonts w:ascii="Arial" w:hAnsi="Arial"/>
          <w:w w:val="110"/>
          <w:vertAlign w:val="baseline"/>
        </w:rPr>
        <w:t>∆</w:t>
      </w:r>
      <w:r>
        <w:rPr>
          <w:w w:val="110"/>
          <w:vertAlign w:val="baseline"/>
        </w:rPr>
        <w:t>Liking</w:t>
      </w:r>
      <w:r>
        <w:rPr>
          <w:w w:val="110"/>
          <w:vertAlign w:val="subscript"/>
        </w:rPr>
        <w:t>control</w:t>
      </w:r>
    </w:p>
    <w:p>
      <w:pPr>
        <w:pStyle w:val="BodyText"/>
        <w:spacing w:before="0"/>
        <w:ind w:left="0"/>
        <w:rPr>
          <w:sz w:val="20"/>
        </w:rPr>
      </w:pPr>
    </w:p>
    <w:p>
      <w:pPr>
        <w:pStyle w:val="BodyText"/>
        <w:spacing w:before="275"/>
      </w:pPr>
      <w:r>
        <w:rPr>
          <w:rFonts w:ascii="Arial"/>
          <w:w w:val="105"/>
          <w:sz w:val="12"/>
        </w:rPr>
        <w:t>426 </w:t>
      </w:r>
      <w:r>
        <w:rPr>
          <w:w w:val="105"/>
        </w:rPr>
        <w:t>H4. Contingency learning during go/no-go training was examined using Bayesian</w:t>
      </w:r>
    </w:p>
    <w:p>
      <w:pPr>
        <w:pStyle w:val="BodyText"/>
        <w:spacing w:before="203"/>
      </w:pPr>
      <w:r>
        <w:rPr>
          <w:rFonts w:ascii="Arial"/>
          <w:w w:val="105"/>
          <w:sz w:val="12"/>
        </w:rPr>
        <w:t>427 </w:t>
      </w:r>
      <w:r>
        <w:rPr>
          <w:w w:val="105"/>
        </w:rPr>
        <w:t>paired-samples t-tests for the percentage of successful inhibition trials and go reaction times.</w:t>
      </w:r>
    </w:p>
    <w:p>
      <w:pPr>
        <w:spacing w:after="0"/>
        <w:sectPr>
          <w:type w:val="continuous"/>
          <w:pgSz w:w="12240" w:h="15840"/>
          <w:pgMar w:top="1320" w:bottom="280" w:left="820" w:right="1140"/>
        </w:sectPr>
      </w:pPr>
    </w:p>
    <w:p>
      <w:pPr>
        <w:pStyle w:val="BodyText"/>
        <w:spacing w:before="191"/>
      </w:pPr>
      <w:r>
        <w:rPr>
          <w:rFonts w:ascii="Arial"/>
          <w:w w:val="110"/>
          <w:sz w:val="12"/>
        </w:rPr>
        <w:t>428 </w:t>
      </w:r>
      <w:r>
        <w:rPr>
          <w:w w:val="110"/>
        </w:rPr>
        <w:t>H4a. PCsignal</w:t>
      </w:r>
      <w:r>
        <w:rPr>
          <w:w w:val="110"/>
          <w:vertAlign w:val="subscript"/>
        </w:rPr>
        <w:t>nogo</w:t>
      </w:r>
      <w:r>
        <w:rPr>
          <w:w w:val="110"/>
          <w:vertAlign w:val="baseline"/>
        </w:rPr>
        <w:t> &gt; PCsignal</w:t>
      </w:r>
      <w:r>
        <w:rPr>
          <w:w w:val="110"/>
          <w:vertAlign w:val="subscript"/>
        </w:rPr>
        <w:t>control-nogo</w:t>
      </w:r>
    </w:p>
    <w:p>
      <w:pPr>
        <w:pStyle w:val="BodyText"/>
      </w:pPr>
      <w:r>
        <w:rPr>
          <w:rFonts w:ascii="Arial"/>
          <w:w w:val="110"/>
          <w:sz w:val="12"/>
        </w:rPr>
        <w:t>429 </w:t>
      </w:r>
      <w:r>
        <w:rPr>
          <w:w w:val="110"/>
        </w:rPr>
        <w:t>H4b. GoRT</w:t>
      </w:r>
      <w:r>
        <w:rPr>
          <w:w w:val="110"/>
          <w:vertAlign w:val="subscript"/>
        </w:rPr>
        <w:t>go</w:t>
      </w:r>
      <w:r>
        <w:rPr>
          <w:w w:val="110"/>
          <w:vertAlign w:val="baseline"/>
        </w:rPr>
        <w:t> &lt; GoRT</w:t>
      </w:r>
      <w:r>
        <w:rPr>
          <w:w w:val="110"/>
          <w:vertAlign w:val="subscript"/>
        </w:rPr>
        <w:t>control-go</w:t>
      </w:r>
    </w:p>
    <w:p>
      <w:pPr>
        <w:pStyle w:val="BodyText"/>
        <w:spacing w:before="2"/>
        <w:ind w:left="0"/>
        <w:rPr>
          <w:sz w:val="29"/>
        </w:rPr>
      </w:pPr>
    </w:p>
    <w:p>
      <w:pPr>
        <w:pStyle w:val="BodyText"/>
        <w:tabs>
          <w:tab w:pos="1195" w:val="left" w:leader="none"/>
        </w:tabs>
        <w:spacing w:before="146"/>
      </w:pPr>
      <w:r>
        <w:rPr>
          <w:rFonts w:ascii="Arial"/>
          <w:w w:val="105"/>
          <w:sz w:val="12"/>
        </w:rPr>
        <w:t>430</w:t>
        <w:tab/>
      </w:r>
      <w:r>
        <w:rPr>
          <w:w w:val="105"/>
        </w:rPr>
        <w:t>The</w:t>
      </w:r>
      <w:r>
        <w:rPr>
          <w:spacing w:val="8"/>
          <w:w w:val="105"/>
        </w:rPr>
        <w:t> </w:t>
      </w:r>
      <w:r>
        <w:rPr>
          <w:w w:val="105"/>
        </w:rPr>
        <w:t>evidential</w:t>
      </w:r>
      <w:r>
        <w:rPr>
          <w:spacing w:val="8"/>
          <w:w w:val="105"/>
        </w:rPr>
        <w:t> </w:t>
      </w:r>
      <w:r>
        <w:rPr>
          <w:spacing w:val="-4"/>
          <w:w w:val="105"/>
        </w:rPr>
        <w:t>value</w:t>
      </w:r>
      <w:r>
        <w:rPr>
          <w:spacing w:val="8"/>
          <w:w w:val="105"/>
        </w:rPr>
        <w:t> </w:t>
      </w:r>
      <w:r>
        <w:rPr>
          <w:w w:val="105"/>
        </w:rPr>
        <w:t>of</w:t>
      </w:r>
      <w:r>
        <w:rPr>
          <w:spacing w:val="9"/>
          <w:w w:val="105"/>
        </w:rPr>
        <w:t> </w:t>
      </w:r>
      <w:r>
        <w:rPr>
          <w:w w:val="105"/>
        </w:rPr>
        <w:t>confirmatory</w:t>
      </w:r>
      <w:r>
        <w:rPr>
          <w:spacing w:val="9"/>
          <w:w w:val="105"/>
        </w:rPr>
        <w:t> </w:t>
      </w:r>
      <w:r>
        <w:rPr>
          <w:w w:val="105"/>
        </w:rPr>
        <w:t>findings</w:t>
      </w:r>
      <w:r>
        <w:rPr>
          <w:spacing w:val="8"/>
          <w:w w:val="105"/>
        </w:rPr>
        <w:t> </w:t>
      </w:r>
      <w:r>
        <w:rPr>
          <w:spacing w:val="-3"/>
          <w:w w:val="105"/>
        </w:rPr>
        <w:t>was</w:t>
      </w:r>
      <w:r>
        <w:rPr>
          <w:spacing w:val="7"/>
          <w:w w:val="105"/>
        </w:rPr>
        <w:t> </w:t>
      </w:r>
      <w:r>
        <w:rPr>
          <w:w w:val="105"/>
        </w:rPr>
        <w:t>solely</w:t>
      </w:r>
      <w:r>
        <w:rPr>
          <w:spacing w:val="9"/>
          <w:w w:val="105"/>
        </w:rPr>
        <w:t> </w:t>
      </w:r>
      <w:r>
        <w:rPr>
          <w:w w:val="105"/>
        </w:rPr>
        <w:t>determined</w:t>
      </w:r>
      <w:r>
        <w:rPr>
          <w:spacing w:val="9"/>
          <w:w w:val="105"/>
        </w:rPr>
        <w:t> </w:t>
      </w:r>
      <w:r>
        <w:rPr>
          <w:spacing w:val="-4"/>
          <w:w w:val="105"/>
        </w:rPr>
        <w:t>by</w:t>
      </w:r>
      <w:r>
        <w:rPr>
          <w:spacing w:val="8"/>
          <w:w w:val="105"/>
        </w:rPr>
        <w:t> </w:t>
      </w:r>
      <w:r>
        <w:rPr>
          <w:w w:val="105"/>
        </w:rPr>
        <w:t>the</w:t>
      </w:r>
      <w:r>
        <w:rPr>
          <w:spacing w:val="8"/>
          <w:w w:val="105"/>
        </w:rPr>
        <w:t> </w:t>
      </w:r>
      <w:r>
        <w:rPr>
          <w:w w:val="105"/>
        </w:rPr>
        <w:t>Bayesian</w:t>
      </w:r>
    </w:p>
    <w:p>
      <w:pPr>
        <w:pStyle w:val="BodyText"/>
      </w:pPr>
      <w:r>
        <w:rPr>
          <w:rFonts w:ascii="Arial"/>
          <w:w w:val="105"/>
          <w:sz w:val="12"/>
        </w:rPr>
        <w:t>431 </w:t>
      </w:r>
      <w:r>
        <w:rPr>
          <w:w w:val="105"/>
        </w:rPr>
        <w:t>tests outlined in this section, as previously explained (see </w:t>
      </w:r>
      <w:hyperlink w:history="true" w:anchor="_bookmark3">
        <w:r>
          <w:rPr>
            <w:i/>
            <w:w w:val="105"/>
          </w:rPr>
          <w:t>Sampling plan</w:t>
        </w:r>
      </w:hyperlink>
      <w:r>
        <w:rPr>
          <w:w w:val="105"/>
        </w:rPr>
        <w:t>. Frequentist tests</w:t>
      </w:r>
    </w:p>
    <w:p>
      <w:pPr>
        <w:pStyle w:val="BodyText"/>
      </w:pPr>
      <w:r>
        <w:rPr>
          <w:rFonts w:ascii="Arial"/>
          <w:w w:val="105"/>
          <w:sz w:val="12"/>
        </w:rPr>
        <w:t>432    </w:t>
      </w:r>
      <w:r>
        <w:rPr>
          <w:rFonts w:ascii="Arial"/>
          <w:spacing w:val="7"/>
          <w:w w:val="105"/>
          <w:sz w:val="12"/>
        </w:rPr>
        <w:t> </w:t>
      </w:r>
      <w:r>
        <w:rPr>
          <w:w w:val="105"/>
        </w:rPr>
        <w:t>were</w:t>
      </w:r>
      <w:r>
        <w:rPr>
          <w:spacing w:val="12"/>
          <w:w w:val="105"/>
        </w:rPr>
        <w:t> </w:t>
      </w:r>
      <w:r>
        <w:rPr>
          <w:w w:val="105"/>
        </w:rPr>
        <w:t>conducted</w:t>
      </w:r>
      <w:r>
        <w:rPr>
          <w:spacing w:val="12"/>
          <w:w w:val="105"/>
        </w:rPr>
        <w:t> </w:t>
      </w:r>
      <w:r>
        <w:rPr>
          <w:w w:val="105"/>
        </w:rPr>
        <w:t>in</w:t>
      </w:r>
      <w:r>
        <w:rPr>
          <w:spacing w:val="12"/>
          <w:w w:val="105"/>
        </w:rPr>
        <w:t> </w:t>
      </w:r>
      <w:r>
        <w:rPr>
          <w:w w:val="105"/>
        </w:rPr>
        <w:t>order</w:t>
      </w:r>
      <w:r>
        <w:rPr>
          <w:spacing w:val="11"/>
          <w:w w:val="105"/>
        </w:rPr>
        <w:t> </w:t>
      </w:r>
      <w:r>
        <w:rPr>
          <w:w w:val="105"/>
        </w:rPr>
        <w:t>to</w:t>
      </w:r>
      <w:r>
        <w:rPr>
          <w:spacing w:val="11"/>
          <w:w w:val="105"/>
        </w:rPr>
        <w:t> </w:t>
      </w:r>
      <w:r>
        <w:rPr>
          <w:w w:val="105"/>
        </w:rPr>
        <w:t>further</w:t>
      </w:r>
      <w:r>
        <w:rPr>
          <w:spacing w:val="12"/>
          <w:w w:val="105"/>
        </w:rPr>
        <w:t> </w:t>
      </w:r>
      <w:r>
        <w:rPr>
          <w:w w:val="105"/>
        </w:rPr>
        <w:t>the</w:t>
      </w:r>
      <w:r>
        <w:rPr>
          <w:spacing w:val="12"/>
          <w:w w:val="105"/>
        </w:rPr>
        <w:t> </w:t>
      </w:r>
      <w:r>
        <w:rPr>
          <w:w w:val="105"/>
        </w:rPr>
        <w:t>reproducibility</w:t>
      </w:r>
      <w:r>
        <w:rPr>
          <w:spacing w:val="11"/>
          <w:w w:val="105"/>
        </w:rPr>
        <w:t> </w:t>
      </w:r>
      <w:r>
        <w:rPr>
          <w:w w:val="105"/>
        </w:rPr>
        <w:t>of</w:t>
      </w:r>
      <w:r>
        <w:rPr>
          <w:spacing w:val="12"/>
          <w:w w:val="105"/>
        </w:rPr>
        <w:t> </w:t>
      </w:r>
      <w:r>
        <w:rPr>
          <w:w w:val="105"/>
        </w:rPr>
        <w:t>findings</w:t>
      </w:r>
      <w:r>
        <w:rPr>
          <w:spacing w:val="12"/>
          <w:w w:val="105"/>
        </w:rPr>
        <w:t> </w:t>
      </w:r>
      <w:r>
        <w:rPr>
          <w:w w:val="105"/>
        </w:rPr>
        <w:t>(e.g.,</w:t>
      </w:r>
      <w:r>
        <w:rPr>
          <w:spacing w:val="11"/>
          <w:w w:val="105"/>
        </w:rPr>
        <w:t> </w:t>
      </w:r>
      <w:r>
        <w:rPr>
          <w:w w:val="105"/>
        </w:rPr>
        <w:t>potential</w:t>
      </w:r>
      <w:r>
        <w:rPr>
          <w:spacing w:val="11"/>
          <w:w w:val="105"/>
        </w:rPr>
        <w:t> </w:t>
      </w:r>
      <w:r>
        <w:rPr>
          <w:w w:val="105"/>
        </w:rPr>
        <w:t>use</w:t>
      </w:r>
      <w:r>
        <w:rPr>
          <w:spacing w:val="12"/>
          <w:w w:val="105"/>
        </w:rPr>
        <w:t> </w:t>
      </w:r>
      <w:r>
        <w:rPr>
          <w:w w:val="105"/>
        </w:rPr>
        <w:t>in</w:t>
      </w:r>
    </w:p>
    <w:p>
      <w:pPr>
        <w:pStyle w:val="BodyText"/>
      </w:pPr>
      <w:r>
        <w:rPr>
          <w:rFonts w:ascii="Arial"/>
          <w:w w:val="105"/>
          <w:sz w:val="12"/>
        </w:rPr>
        <w:t>433      </w:t>
      </w:r>
      <w:r>
        <w:rPr>
          <w:w w:val="105"/>
        </w:rPr>
        <w:t>meta-analyses).  Paired samples t-tests were two-tailed, in line with the reported </w:t>
      </w:r>
      <w:r>
        <w:rPr>
          <w:spacing w:val="24"/>
          <w:w w:val="105"/>
        </w:rPr>
        <w:t> </w:t>
      </w:r>
      <w:r>
        <w:rPr>
          <w:w w:val="105"/>
        </w:rPr>
        <w:t>power</w:t>
      </w:r>
    </w:p>
    <w:p>
      <w:pPr>
        <w:pStyle w:val="BodyText"/>
        <w:spacing w:before="187"/>
      </w:pPr>
      <w:r>
        <w:rPr>
          <w:rFonts w:ascii="Arial"/>
          <w:w w:val="105"/>
          <w:sz w:val="12"/>
        </w:rPr>
        <w:t>434     </w:t>
      </w:r>
      <w:r>
        <w:rPr>
          <w:w w:val="105"/>
        </w:rPr>
        <w:t>analysis</w:t>
      </w:r>
      <w:r>
        <w:rPr>
          <w:w w:val="105"/>
          <w:position w:val="9"/>
          <w:sz w:val="16"/>
        </w:rPr>
        <w:t>6  </w:t>
      </w:r>
      <w:r>
        <w:rPr>
          <w:w w:val="105"/>
        </w:rPr>
        <w:t>Assumptions for repeated measures </w:t>
      </w:r>
      <w:r>
        <w:rPr>
          <w:spacing w:val="-6"/>
          <w:w w:val="105"/>
        </w:rPr>
        <w:t>ANOVAs </w:t>
      </w:r>
      <w:r>
        <w:rPr>
          <w:w w:val="105"/>
        </w:rPr>
        <w:t>(H1 and H3) were </w:t>
      </w:r>
      <w:r>
        <w:rPr>
          <w:spacing w:val="-3"/>
          <w:w w:val="105"/>
        </w:rPr>
        <w:t>checked </w:t>
      </w:r>
      <w:r>
        <w:rPr>
          <w:w w:val="105"/>
        </w:rPr>
        <w:t>in</w:t>
      </w:r>
      <w:r>
        <w:rPr>
          <w:spacing w:val="48"/>
          <w:w w:val="105"/>
        </w:rPr>
        <w:t> </w:t>
      </w:r>
      <w:r>
        <w:rPr>
          <w:w w:val="105"/>
        </w:rPr>
        <w:t>line</w:t>
      </w:r>
    </w:p>
    <w:p>
      <w:pPr>
        <w:pStyle w:val="BodyText"/>
      </w:pPr>
      <w:r>
        <w:rPr>
          <w:rFonts w:ascii="Arial"/>
          <w:w w:val="105"/>
          <w:sz w:val="12"/>
        </w:rPr>
        <w:t>435     </w:t>
      </w:r>
      <w:r>
        <w:rPr>
          <w:w w:val="105"/>
        </w:rPr>
        <w:t>with the pre-registered analysis plan and no violations were observed.  Contingency</w:t>
      </w:r>
      <w:r>
        <w:rPr>
          <w:spacing w:val="33"/>
          <w:w w:val="105"/>
        </w:rPr>
        <w:t> </w:t>
      </w:r>
      <w:r>
        <w:rPr>
          <w:w w:val="105"/>
        </w:rPr>
        <w:t>plans</w:t>
      </w:r>
    </w:p>
    <w:p>
      <w:pPr>
        <w:pStyle w:val="BodyText"/>
      </w:pPr>
      <w:r>
        <w:rPr>
          <w:rFonts w:ascii="Arial"/>
          <w:w w:val="105"/>
          <w:sz w:val="12"/>
        </w:rPr>
        <w:t>436    </w:t>
      </w:r>
      <w:r>
        <w:rPr>
          <w:w w:val="105"/>
        </w:rPr>
        <w:t>were not considered in case the normality assumption </w:t>
      </w:r>
      <w:r>
        <w:rPr>
          <w:spacing w:val="-3"/>
          <w:w w:val="105"/>
        </w:rPr>
        <w:t>was </w:t>
      </w:r>
      <w:r>
        <w:rPr>
          <w:w w:val="105"/>
        </w:rPr>
        <w:t>violated for paired t-tests</w:t>
      </w:r>
      <w:r>
        <w:rPr>
          <w:spacing w:val="-19"/>
          <w:w w:val="105"/>
        </w:rPr>
        <w:t> </w:t>
      </w:r>
      <w:r>
        <w:rPr>
          <w:w w:val="105"/>
        </w:rPr>
        <w:t>(Shapiro</w:t>
      </w:r>
    </w:p>
    <w:p>
      <w:pPr>
        <w:pStyle w:val="BodyText"/>
      </w:pPr>
      <w:r>
        <w:rPr>
          <w:rFonts w:ascii="Arial" w:hAnsi="Arial"/>
          <w:w w:val="110"/>
          <w:sz w:val="12"/>
        </w:rPr>
        <w:t>437  </w:t>
      </w:r>
      <w:r>
        <w:rPr>
          <w:rFonts w:ascii="Arial" w:hAnsi="Arial"/>
          <w:spacing w:val="26"/>
          <w:w w:val="110"/>
          <w:sz w:val="12"/>
        </w:rPr>
        <w:t> </w:t>
      </w:r>
      <w:r>
        <w:rPr>
          <w:w w:val="110"/>
        </w:rPr>
        <w:t>Wilk</w:t>
      </w:r>
      <w:r>
        <w:rPr>
          <w:spacing w:val="-10"/>
          <w:w w:val="110"/>
        </w:rPr>
        <w:t> </w:t>
      </w:r>
      <w:r>
        <w:rPr>
          <w:w w:val="110"/>
        </w:rPr>
        <w:t>test:</w:t>
      </w:r>
      <w:r>
        <w:rPr>
          <w:spacing w:val="10"/>
          <w:w w:val="110"/>
        </w:rPr>
        <w:t> </w:t>
      </w:r>
      <w:r>
        <w:rPr>
          <w:i/>
          <w:w w:val="110"/>
        </w:rPr>
        <w:t>p</w:t>
      </w:r>
      <w:r>
        <w:rPr>
          <w:i/>
          <w:spacing w:val="-4"/>
          <w:w w:val="110"/>
        </w:rPr>
        <w:t> </w:t>
      </w:r>
      <w:r>
        <w:rPr>
          <w:rFonts w:ascii="Arial" w:hAnsi="Arial"/>
          <w:i/>
          <w:w w:val="110"/>
        </w:rPr>
        <w:t>≤</w:t>
      </w:r>
      <w:r>
        <w:rPr>
          <w:rFonts w:ascii="Arial" w:hAnsi="Arial"/>
          <w:i/>
          <w:spacing w:val="-17"/>
          <w:w w:val="110"/>
        </w:rPr>
        <w:t> </w:t>
      </w:r>
      <w:r>
        <w:rPr>
          <w:w w:val="110"/>
        </w:rPr>
        <w:t>.005),</w:t>
      </w:r>
      <w:r>
        <w:rPr>
          <w:spacing w:val="-10"/>
          <w:w w:val="110"/>
        </w:rPr>
        <w:t> </w:t>
      </w:r>
      <w:r>
        <w:rPr>
          <w:w w:val="110"/>
        </w:rPr>
        <w:t>but</w:t>
      </w:r>
      <w:r>
        <w:rPr>
          <w:spacing w:val="-9"/>
          <w:w w:val="110"/>
        </w:rPr>
        <w:t> </w:t>
      </w:r>
      <w:r>
        <w:rPr>
          <w:w w:val="110"/>
        </w:rPr>
        <w:t>appropriate</w:t>
      </w:r>
      <w:r>
        <w:rPr>
          <w:spacing w:val="-10"/>
          <w:w w:val="110"/>
        </w:rPr>
        <w:t> </w:t>
      </w:r>
      <w:r>
        <w:rPr>
          <w:w w:val="110"/>
        </w:rPr>
        <w:t>exploratory</w:t>
      </w:r>
      <w:r>
        <w:rPr>
          <w:spacing w:val="-9"/>
          <w:w w:val="110"/>
        </w:rPr>
        <w:t> </w:t>
      </w:r>
      <w:r>
        <w:rPr>
          <w:w w:val="110"/>
        </w:rPr>
        <w:t>analyses</w:t>
      </w:r>
      <w:r>
        <w:rPr>
          <w:spacing w:val="-10"/>
          <w:w w:val="110"/>
        </w:rPr>
        <w:t> </w:t>
      </w:r>
      <w:r>
        <w:rPr>
          <w:w w:val="110"/>
        </w:rPr>
        <w:t>were</w:t>
      </w:r>
      <w:r>
        <w:rPr>
          <w:spacing w:val="-9"/>
          <w:w w:val="110"/>
        </w:rPr>
        <w:t> </w:t>
      </w:r>
      <w:r>
        <w:rPr>
          <w:w w:val="110"/>
        </w:rPr>
        <w:t>conducted</w:t>
      </w:r>
      <w:r>
        <w:rPr>
          <w:spacing w:val="-9"/>
          <w:w w:val="110"/>
        </w:rPr>
        <w:t> </w:t>
      </w:r>
      <w:r>
        <w:rPr>
          <w:w w:val="110"/>
        </w:rPr>
        <w:t>and</w:t>
      </w:r>
      <w:r>
        <w:rPr>
          <w:spacing w:val="-9"/>
          <w:w w:val="110"/>
        </w:rPr>
        <w:t> </w:t>
      </w:r>
      <w:r>
        <w:rPr>
          <w:w w:val="110"/>
        </w:rPr>
        <w:t>reported</w:t>
      </w:r>
      <w:r>
        <w:rPr>
          <w:spacing w:val="-10"/>
          <w:w w:val="110"/>
        </w:rPr>
        <w:t> </w:t>
      </w:r>
      <w:r>
        <w:rPr>
          <w:w w:val="110"/>
        </w:rPr>
        <w:t>in</w:t>
      </w:r>
    </w:p>
    <w:p>
      <w:pPr>
        <w:spacing w:before="186"/>
        <w:ind w:left="230" w:right="0" w:firstLine="0"/>
        <w:jc w:val="left"/>
        <w:rPr>
          <w:sz w:val="24"/>
        </w:rPr>
      </w:pPr>
      <w:r>
        <w:rPr>
          <w:rFonts w:ascii="Arial"/>
          <w:w w:val="105"/>
          <w:sz w:val="12"/>
        </w:rPr>
        <w:t>438     </w:t>
      </w:r>
      <w:r>
        <w:rPr>
          <w:w w:val="105"/>
          <w:sz w:val="24"/>
        </w:rPr>
        <w:t>the </w:t>
      </w:r>
      <w:hyperlink w:history="true" w:anchor="_bookmark28">
        <w:r>
          <w:rPr>
            <w:i/>
            <w:w w:val="105"/>
            <w:sz w:val="24"/>
          </w:rPr>
          <w:t>Robust statistics </w:t>
        </w:r>
      </w:hyperlink>
      <w:r>
        <w:rPr>
          <w:w w:val="105"/>
          <w:sz w:val="24"/>
        </w:rPr>
        <w:t>section</w:t>
      </w:r>
      <w:r>
        <w:rPr>
          <w:w w:val="105"/>
          <w:position w:val="9"/>
          <w:sz w:val="16"/>
        </w:rPr>
        <w:t>7</w:t>
      </w:r>
      <w:r>
        <w:rPr>
          <w:w w:val="105"/>
          <w:sz w:val="24"/>
        </w:rPr>
        <w:t>.  A minor deviation from the pre-registered frequentist</w:t>
      </w:r>
      <w:r>
        <w:rPr>
          <w:spacing w:val="-19"/>
          <w:w w:val="105"/>
          <w:sz w:val="24"/>
        </w:rPr>
        <w:t> </w:t>
      </w:r>
      <w:r>
        <w:rPr>
          <w:w w:val="105"/>
          <w:sz w:val="24"/>
        </w:rPr>
        <w:t>analyses</w:t>
      </w:r>
    </w:p>
    <w:p>
      <w:pPr>
        <w:pStyle w:val="BodyText"/>
        <w:spacing w:before="203"/>
      </w:pPr>
      <w:r>
        <w:rPr>
          <w:rFonts w:ascii="Arial"/>
          <w:w w:val="105"/>
          <w:sz w:val="12"/>
        </w:rPr>
        <w:t>439   </w:t>
      </w:r>
      <w:r>
        <w:rPr>
          <w:rFonts w:ascii="Arial"/>
          <w:spacing w:val="29"/>
          <w:w w:val="105"/>
          <w:sz w:val="12"/>
        </w:rPr>
        <w:t> </w:t>
      </w:r>
      <w:r>
        <w:rPr>
          <w:spacing w:val="-3"/>
          <w:w w:val="105"/>
        </w:rPr>
        <w:t>was</w:t>
      </w:r>
      <w:r>
        <w:rPr>
          <w:spacing w:val="7"/>
          <w:w w:val="105"/>
        </w:rPr>
        <w:t> </w:t>
      </w:r>
      <w:r>
        <w:rPr>
          <w:w w:val="105"/>
        </w:rPr>
        <w:t>that</w:t>
      </w:r>
      <w:r>
        <w:rPr>
          <w:spacing w:val="6"/>
          <w:w w:val="105"/>
        </w:rPr>
        <w:t> </w:t>
      </w:r>
      <w:r>
        <w:rPr>
          <w:w w:val="105"/>
        </w:rPr>
        <w:t>paired</w:t>
      </w:r>
      <w:r>
        <w:rPr>
          <w:spacing w:val="6"/>
          <w:w w:val="105"/>
        </w:rPr>
        <w:t> </w:t>
      </w:r>
      <w:r>
        <w:rPr>
          <w:w w:val="105"/>
        </w:rPr>
        <w:t>sample</w:t>
      </w:r>
      <w:r>
        <w:rPr>
          <w:spacing w:val="5"/>
          <w:w w:val="105"/>
        </w:rPr>
        <w:t> </w:t>
      </w:r>
      <w:r>
        <w:rPr>
          <w:w w:val="105"/>
        </w:rPr>
        <w:t>t-tests</w:t>
      </w:r>
      <w:r>
        <w:rPr>
          <w:spacing w:val="7"/>
          <w:w w:val="105"/>
        </w:rPr>
        <w:t> </w:t>
      </w:r>
      <w:r>
        <w:rPr>
          <w:w w:val="105"/>
        </w:rPr>
        <w:t>for</w:t>
      </w:r>
      <w:r>
        <w:rPr>
          <w:spacing w:val="7"/>
          <w:w w:val="105"/>
        </w:rPr>
        <w:t> </w:t>
      </w:r>
      <w:r>
        <w:rPr>
          <w:w w:val="105"/>
        </w:rPr>
        <w:t>H1a</w:t>
      </w:r>
      <w:r>
        <w:rPr>
          <w:spacing w:val="6"/>
          <w:w w:val="105"/>
        </w:rPr>
        <w:t> </w:t>
      </w:r>
      <w:r>
        <w:rPr>
          <w:w w:val="105"/>
        </w:rPr>
        <w:t>and</w:t>
      </w:r>
      <w:r>
        <w:rPr>
          <w:spacing w:val="5"/>
          <w:w w:val="105"/>
        </w:rPr>
        <w:t> </w:t>
      </w:r>
      <w:r>
        <w:rPr>
          <w:w w:val="105"/>
        </w:rPr>
        <w:t>H1b</w:t>
      </w:r>
      <w:r>
        <w:rPr>
          <w:spacing w:val="7"/>
          <w:w w:val="105"/>
        </w:rPr>
        <w:t> </w:t>
      </w:r>
      <w:r>
        <w:rPr>
          <w:w w:val="105"/>
        </w:rPr>
        <w:t>were</w:t>
      </w:r>
      <w:r>
        <w:rPr>
          <w:spacing w:val="6"/>
          <w:w w:val="105"/>
        </w:rPr>
        <w:t> </w:t>
      </w:r>
      <w:r>
        <w:rPr>
          <w:w w:val="105"/>
        </w:rPr>
        <w:t>conducted</w:t>
      </w:r>
      <w:r>
        <w:rPr>
          <w:spacing w:val="6"/>
          <w:w w:val="105"/>
        </w:rPr>
        <w:t> </w:t>
      </w:r>
      <w:r>
        <w:rPr>
          <w:w w:val="105"/>
        </w:rPr>
        <w:t>irrespective</w:t>
      </w:r>
      <w:r>
        <w:rPr>
          <w:spacing w:val="5"/>
          <w:w w:val="105"/>
        </w:rPr>
        <w:t> </w:t>
      </w:r>
      <w:r>
        <w:rPr>
          <w:w w:val="105"/>
        </w:rPr>
        <w:t>of</w:t>
      </w:r>
      <w:r>
        <w:rPr>
          <w:spacing w:val="7"/>
          <w:w w:val="105"/>
        </w:rPr>
        <w:t> </w:t>
      </w:r>
      <w:r>
        <w:rPr>
          <w:w w:val="105"/>
        </w:rPr>
        <w:t>the</w:t>
      </w:r>
      <w:r>
        <w:rPr>
          <w:spacing w:val="6"/>
          <w:w w:val="105"/>
        </w:rPr>
        <w:t> </w:t>
      </w:r>
      <w:r>
        <w:rPr>
          <w:w w:val="105"/>
        </w:rPr>
        <w:t>Repeated</w:t>
      </w:r>
    </w:p>
    <w:p>
      <w:pPr>
        <w:pStyle w:val="BodyText"/>
      </w:pPr>
      <w:r>
        <w:rPr>
          <w:rFonts w:ascii="Arial"/>
          <w:w w:val="105"/>
          <w:sz w:val="12"/>
        </w:rPr>
        <w:t>440 </w:t>
      </w:r>
      <w:r>
        <w:rPr>
          <w:w w:val="105"/>
        </w:rPr>
        <w:t>Measures ANOVA results (H1).</w:t>
      </w:r>
    </w:p>
    <w:p>
      <w:pPr>
        <w:pStyle w:val="BodyText"/>
        <w:spacing w:before="0"/>
        <w:ind w:left="0"/>
        <w:rPr>
          <w:sz w:val="20"/>
        </w:rPr>
      </w:pPr>
    </w:p>
    <w:p>
      <w:pPr>
        <w:pStyle w:val="BodyText"/>
        <w:spacing w:before="0"/>
        <w:ind w:left="0"/>
        <w:rPr>
          <w:sz w:val="20"/>
        </w:rPr>
      </w:pPr>
    </w:p>
    <w:p>
      <w:pPr>
        <w:pStyle w:val="BodyText"/>
        <w:spacing w:before="2"/>
        <w:ind w:left="0"/>
        <w:rPr>
          <w:sz w:val="20"/>
        </w:rPr>
      </w:pPr>
    </w:p>
    <w:p>
      <w:pPr>
        <w:tabs>
          <w:tab w:pos="4867" w:val="left" w:leader="none"/>
        </w:tabs>
        <w:spacing w:before="148"/>
        <w:ind w:left="230" w:right="0" w:firstLine="0"/>
        <w:jc w:val="left"/>
        <w:rPr>
          <w:b/>
          <w:sz w:val="24"/>
        </w:rPr>
      </w:pPr>
      <w:r>
        <w:rPr>
          <w:rFonts w:ascii="Arial"/>
          <w:w w:val="110"/>
          <w:sz w:val="12"/>
        </w:rPr>
        <w:t>441</w:t>
        <w:tab/>
      </w:r>
      <w:bookmarkStart w:name="Results" w:id="36"/>
      <w:bookmarkEnd w:id="36"/>
      <w:r>
        <w:rPr>
          <w:rFonts w:ascii="Arial"/>
          <w:w w:val="110"/>
          <w:sz w:val="12"/>
        </w:rPr>
      </w:r>
      <w:r>
        <w:rPr>
          <w:b/>
          <w:w w:val="110"/>
          <w:sz w:val="24"/>
        </w:rPr>
        <w:t>Results</w:t>
      </w:r>
    </w:p>
    <w:p>
      <w:pPr>
        <w:pStyle w:val="BodyText"/>
        <w:spacing w:before="0"/>
        <w:ind w:left="0"/>
        <w:rPr>
          <w:b/>
          <w:sz w:val="20"/>
        </w:rPr>
      </w:pPr>
    </w:p>
    <w:p>
      <w:pPr>
        <w:pStyle w:val="BodyText"/>
        <w:spacing w:before="8"/>
        <w:ind w:left="0"/>
        <w:rPr>
          <w:b/>
          <w:sz w:val="27"/>
        </w:rPr>
      </w:pPr>
    </w:p>
    <w:p>
      <w:pPr>
        <w:pStyle w:val="Heading1"/>
      </w:pPr>
      <w:r>
        <w:rPr>
          <w:rFonts w:ascii="Arial"/>
          <w:b w:val="0"/>
          <w:w w:val="110"/>
          <w:sz w:val="12"/>
        </w:rPr>
        <w:t>442</w:t>
      </w:r>
      <w:bookmarkStart w:name="Sample characteristics" w:id="37"/>
      <w:bookmarkEnd w:id="37"/>
      <w:r>
        <w:rPr>
          <w:rFonts w:ascii="Arial"/>
          <w:b w:val="0"/>
          <w:w w:val="110"/>
          <w:sz w:val="12"/>
        </w:rPr>
      </w:r>
      <w:r>
        <w:rPr>
          <w:rFonts w:ascii="Arial"/>
          <w:b w:val="0"/>
          <w:w w:val="110"/>
          <w:sz w:val="12"/>
        </w:rPr>
        <w:t> </w:t>
      </w:r>
      <w:r>
        <w:rPr>
          <w:w w:val="110"/>
        </w:rPr>
        <w:t>Sample characteristics</w:t>
      </w:r>
    </w:p>
    <w:p>
      <w:pPr>
        <w:pStyle w:val="BodyText"/>
        <w:spacing w:before="0"/>
        <w:ind w:left="0"/>
        <w:rPr>
          <w:b/>
          <w:sz w:val="20"/>
        </w:rPr>
      </w:pPr>
    </w:p>
    <w:p>
      <w:pPr>
        <w:pStyle w:val="BodyText"/>
        <w:spacing w:before="10"/>
        <w:ind w:left="0"/>
        <w:rPr>
          <w:b/>
          <w:sz w:val="27"/>
        </w:rPr>
      </w:pPr>
    </w:p>
    <w:p>
      <w:pPr>
        <w:pStyle w:val="BodyText"/>
        <w:tabs>
          <w:tab w:pos="1195" w:val="left" w:leader="none"/>
        </w:tabs>
        <w:spacing w:before="146"/>
      </w:pPr>
      <w:r>
        <w:rPr>
          <w:rFonts w:ascii="Arial"/>
          <w:w w:val="105"/>
          <w:sz w:val="12"/>
        </w:rPr>
        <w:t>443</w:t>
        <w:tab/>
      </w:r>
      <w:r>
        <w:rPr>
          <w:w w:val="105"/>
        </w:rPr>
        <w:t>The</w:t>
      </w:r>
      <w:r>
        <w:rPr>
          <w:spacing w:val="8"/>
          <w:w w:val="105"/>
        </w:rPr>
        <w:t> </w:t>
      </w:r>
      <w:r>
        <w:rPr>
          <w:w w:val="105"/>
        </w:rPr>
        <w:t>final</w:t>
      </w:r>
      <w:r>
        <w:rPr>
          <w:spacing w:val="9"/>
          <w:w w:val="105"/>
        </w:rPr>
        <w:t> </w:t>
      </w:r>
      <w:r>
        <w:rPr>
          <w:w w:val="105"/>
        </w:rPr>
        <w:t>sample</w:t>
      </w:r>
      <w:r>
        <w:rPr>
          <w:spacing w:val="8"/>
          <w:w w:val="105"/>
        </w:rPr>
        <w:t> </w:t>
      </w:r>
      <w:r>
        <w:rPr>
          <w:w w:val="105"/>
        </w:rPr>
        <w:t>for</w:t>
      </w:r>
      <w:r>
        <w:rPr>
          <w:spacing w:val="9"/>
          <w:w w:val="105"/>
        </w:rPr>
        <w:t> </w:t>
      </w:r>
      <w:r>
        <w:rPr>
          <w:w w:val="105"/>
        </w:rPr>
        <w:t>pre-registered</w:t>
      </w:r>
      <w:r>
        <w:rPr>
          <w:spacing w:val="7"/>
          <w:w w:val="105"/>
        </w:rPr>
        <w:t> </w:t>
      </w:r>
      <w:r>
        <w:rPr>
          <w:w w:val="105"/>
        </w:rPr>
        <w:t>analyses</w:t>
      </w:r>
      <w:r>
        <w:rPr>
          <w:spacing w:val="9"/>
          <w:w w:val="105"/>
        </w:rPr>
        <w:t> </w:t>
      </w:r>
      <w:r>
        <w:rPr>
          <w:w w:val="105"/>
        </w:rPr>
        <w:t>consisted</w:t>
      </w:r>
      <w:r>
        <w:rPr>
          <w:spacing w:val="8"/>
          <w:w w:val="105"/>
        </w:rPr>
        <w:t> </w:t>
      </w:r>
      <w:r>
        <w:rPr>
          <w:w w:val="105"/>
        </w:rPr>
        <w:t>of</w:t>
      </w:r>
      <w:r>
        <w:rPr>
          <w:spacing w:val="8"/>
          <w:w w:val="105"/>
        </w:rPr>
        <w:t> </w:t>
      </w:r>
      <w:r>
        <w:rPr>
          <w:w w:val="105"/>
        </w:rPr>
        <w:t>163</w:t>
      </w:r>
      <w:r>
        <w:rPr>
          <w:spacing w:val="8"/>
          <w:w w:val="105"/>
        </w:rPr>
        <w:t> </w:t>
      </w:r>
      <w:r>
        <w:rPr>
          <w:w w:val="105"/>
        </w:rPr>
        <w:t>participants</w:t>
      </w:r>
      <w:r>
        <w:rPr>
          <w:spacing w:val="9"/>
          <w:w w:val="105"/>
        </w:rPr>
        <w:t> </w:t>
      </w:r>
      <w:r>
        <w:rPr>
          <w:w w:val="105"/>
        </w:rPr>
        <w:t>(80.98%</w:t>
      </w:r>
    </w:p>
    <w:p>
      <w:pPr>
        <w:pStyle w:val="BodyText"/>
      </w:pPr>
      <w:r>
        <w:rPr>
          <w:rFonts w:ascii="Arial"/>
          <w:w w:val="105"/>
          <w:sz w:val="12"/>
        </w:rPr>
        <w:t>444 </w:t>
      </w:r>
      <w:r>
        <w:rPr>
          <w:w w:val="105"/>
        </w:rPr>
        <w:t>female). Detailed participant-level exclusions are presented in Figure A1. Participants had</w:t>
      </w:r>
    </w:p>
    <w:p>
      <w:pPr>
        <w:pStyle w:val="BodyText"/>
      </w:pPr>
      <w:r>
        <w:rPr>
          <w:rFonts w:ascii="Arial"/>
          <w:w w:val="110"/>
          <w:sz w:val="12"/>
        </w:rPr>
        <w:t>445 </w:t>
      </w:r>
      <w:r>
        <w:rPr>
          <w:w w:val="110"/>
        </w:rPr>
        <w:t>on average a healthy BMI (</w:t>
      </w:r>
      <w:r>
        <w:rPr>
          <w:i/>
          <w:w w:val="110"/>
        </w:rPr>
        <w:t>M </w:t>
      </w:r>
      <w:r>
        <w:rPr>
          <w:w w:val="110"/>
        </w:rPr>
        <w:t>= 22.88, </w:t>
      </w:r>
      <w:r>
        <w:rPr>
          <w:i/>
          <w:w w:val="110"/>
        </w:rPr>
        <w:t>SD </w:t>
      </w:r>
      <w:r>
        <w:rPr>
          <w:w w:val="110"/>
        </w:rPr>
        <w:t>= 2.98, range = 18.54 - 32.36) and their mean</w:t>
      </w:r>
    </w:p>
    <w:p>
      <w:pPr>
        <w:pStyle w:val="BodyText"/>
        <w:spacing w:before="7"/>
        <w:ind w:left="0"/>
        <w:rPr>
          <w:sz w:val="17"/>
        </w:rPr>
      </w:pPr>
      <w:r>
        <w:rPr/>
        <w:pict>
          <v:line style="position:absolute;mso-position-horizontal-relative:page;mso-position-vertical-relative:paragraph;z-index:-832;mso-wrap-distance-left:0;mso-wrap-distance-right:0" from="72pt,12.182671pt" to="108pt,12.182671pt" stroked="true" strokeweight=".125pt" strokecolor="#000000">
            <v:stroke dashstyle="solid"/>
            <w10:wrap type="topAndBottom"/>
          </v:line>
        </w:pict>
      </w:r>
    </w:p>
    <w:p>
      <w:pPr>
        <w:spacing w:line="412" w:lineRule="auto" w:before="140"/>
        <w:ind w:left="620" w:right="525" w:firstLine="0"/>
        <w:jc w:val="left"/>
        <w:rPr>
          <w:sz w:val="20"/>
        </w:rPr>
      </w:pPr>
      <w:r>
        <w:rPr>
          <w:w w:val="105"/>
          <w:position w:val="7"/>
          <w:sz w:val="14"/>
        </w:rPr>
        <w:t>6</w:t>
      </w:r>
      <w:bookmarkStart w:name="_bookmark15" w:id="38"/>
      <w:bookmarkEnd w:id="38"/>
      <w:r>
        <w:rPr>
          <w:w w:val="105"/>
          <w:position w:val="7"/>
          <w:sz w:val="14"/>
        </w:rPr>
      </w:r>
      <w:r>
        <w:rPr>
          <w:w w:val="105"/>
          <w:position w:val="7"/>
          <w:sz w:val="14"/>
        </w:rPr>
        <w:t> </w:t>
      </w:r>
      <w:r>
        <w:rPr>
          <w:w w:val="105"/>
          <w:sz w:val="20"/>
        </w:rPr>
        <w:t>Although Bonferroni corrections were pre-registered for paired sample t-tests for paired sample t-tests following Bayesian Repeated Measures </w:t>
      </w:r>
      <w:r>
        <w:rPr>
          <w:spacing w:val="-5"/>
          <w:w w:val="105"/>
          <w:sz w:val="20"/>
        </w:rPr>
        <w:t>ANOVAs, </w:t>
      </w:r>
      <w:r>
        <w:rPr>
          <w:w w:val="105"/>
          <w:sz w:val="20"/>
        </w:rPr>
        <w:t>there were only </w:t>
      </w:r>
      <w:r>
        <w:rPr>
          <w:spacing w:val="-4"/>
          <w:w w:val="105"/>
          <w:sz w:val="20"/>
        </w:rPr>
        <w:t>two </w:t>
      </w:r>
      <w:r>
        <w:rPr>
          <w:w w:val="105"/>
          <w:sz w:val="20"/>
        </w:rPr>
        <w:t>planned contrasts for each </w:t>
      </w:r>
      <w:r>
        <w:rPr>
          <w:spacing w:val="-6"/>
          <w:w w:val="105"/>
          <w:sz w:val="20"/>
        </w:rPr>
        <w:t>ANOVA </w:t>
      </w:r>
      <w:r>
        <w:rPr>
          <w:w w:val="105"/>
          <w:sz w:val="20"/>
        </w:rPr>
        <w:t>and reflected distinct hypotheses about the data. Therefore, such corrections were not applied for  the</w:t>
      </w:r>
      <w:bookmarkStart w:name="_bookmark16" w:id="39"/>
      <w:bookmarkEnd w:id="39"/>
      <w:r>
        <w:rPr>
          <w:w w:val="105"/>
          <w:sz w:val="20"/>
        </w:rPr>
      </w:r>
      <w:r>
        <w:rPr>
          <w:w w:val="105"/>
          <w:sz w:val="20"/>
        </w:rPr>
        <w:t> reported</w:t>
      </w:r>
      <w:r>
        <w:rPr>
          <w:spacing w:val="13"/>
          <w:w w:val="105"/>
          <w:sz w:val="20"/>
        </w:rPr>
        <w:t> </w:t>
      </w:r>
      <w:r>
        <w:rPr>
          <w:w w:val="105"/>
          <w:sz w:val="20"/>
        </w:rPr>
        <w:t>p-values.</w:t>
      </w:r>
    </w:p>
    <w:p>
      <w:pPr>
        <w:spacing w:before="28"/>
        <w:ind w:left="620" w:right="0" w:firstLine="0"/>
        <w:jc w:val="left"/>
        <w:rPr>
          <w:rFonts w:ascii="Arial"/>
          <w:i/>
          <w:sz w:val="20"/>
        </w:rPr>
      </w:pPr>
      <w:r>
        <w:rPr>
          <w:w w:val="105"/>
          <w:position w:val="7"/>
          <w:sz w:val="14"/>
        </w:rPr>
        <w:t>7 </w:t>
      </w:r>
      <w:r>
        <w:rPr>
          <w:w w:val="105"/>
          <w:sz w:val="20"/>
        </w:rPr>
        <w:t>For other analyses reported in the </w:t>
      </w:r>
      <w:r>
        <w:rPr>
          <w:b/>
          <w:w w:val="105"/>
          <w:sz w:val="20"/>
        </w:rPr>
        <w:t>?? </w:t>
      </w:r>
      <w:r>
        <w:rPr>
          <w:w w:val="105"/>
          <w:sz w:val="20"/>
        </w:rPr>
        <w:t>section, p-values from Wilcoxon signed-rank tests are reported as </w:t>
      </w:r>
      <w:r>
        <w:rPr>
          <w:i/>
          <w:w w:val="105"/>
          <w:sz w:val="20"/>
        </w:rPr>
        <w:t>p</w:t>
      </w:r>
      <w:r>
        <w:rPr>
          <w:rFonts w:ascii="Arial"/>
          <w:i/>
          <w:w w:val="105"/>
          <w:sz w:val="20"/>
          <w:vertAlign w:val="subscript"/>
        </w:rPr>
        <w:t>W</w:t>
      </w:r>
    </w:p>
    <w:p>
      <w:pPr>
        <w:spacing w:before="166"/>
        <w:ind w:left="619" w:right="0" w:firstLine="0"/>
        <w:jc w:val="left"/>
        <w:rPr>
          <w:sz w:val="20"/>
        </w:rPr>
      </w:pPr>
      <w:r>
        <w:rPr>
          <w:w w:val="110"/>
          <w:sz w:val="20"/>
        </w:rPr>
        <w:t>in a supplementary manner.</w:t>
      </w:r>
    </w:p>
    <w:p>
      <w:pPr>
        <w:spacing w:after="0"/>
        <w:jc w:val="left"/>
        <w:rPr>
          <w:sz w:val="20"/>
        </w:rPr>
        <w:sectPr>
          <w:pgSz w:w="12240" w:h="15840"/>
          <w:pgMar w:header="649" w:footer="0" w:top="1320" w:bottom="280" w:left="820" w:right="1140"/>
        </w:sectPr>
      </w:pPr>
    </w:p>
    <w:p>
      <w:pPr>
        <w:pStyle w:val="BodyText"/>
        <w:spacing w:before="191"/>
      </w:pPr>
      <w:r>
        <w:rPr>
          <w:rFonts w:ascii="Arial"/>
          <w:w w:val="110"/>
          <w:sz w:val="12"/>
        </w:rPr>
        <w:t>446 </w:t>
      </w:r>
      <w:r>
        <w:rPr>
          <w:w w:val="110"/>
        </w:rPr>
        <w:t>age was 22.39 (</w:t>
      </w:r>
      <w:r>
        <w:rPr>
          <w:i/>
          <w:w w:val="110"/>
        </w:rPr>
        <w:t>SD </w:t>
      </w:r>
      <w:r>
        <w:rPr>
          <w:w w:val="110"/>
        </w:rPr>
        <w:t>= 9.04, range = 18-59). 108 participants (66.26%) reported that they had</w:t>
      </w:r>
    </w:p>
    <w:p>
      <w:pPr>
        <w:pStyle w:val="BodyText"/>
      </w:pPr>
      <w:r>
        <w:rPr>
          <w:rFonts w:ascii="Arial"/>
          <w:w w:val="105"/>
          <w:sz w:val="12"/>
        </w:rPr>
        <w:t>447    </w:t>
      </w:r>
      <w:r>
        <w:rPr>
          <w:rFonts w:ascii="Arial"/>
          <w:spacing w:val="24"/>
          <w:w w:val="105"/>
          <w:sz w:val="12"/>
        </w:rPr>
        <w:t> </w:t>
      </w:r>
      <w:r>
        <w:rPr>
          <w:w w:val="105"/>
        </w:rPr>
        <w:t>their</w:t>
      </w:r>
      <w:r>
        <w:rPr>
          <w:spacing w:val="14"/>
          <w:w w:val="105"/>
        </w:rPr>
        <w:t> </w:t>
      </w:r>
      <w:r>
        <w:rPr>
          <w:w w:val="105"/>
        </w:rPr>
        <w:t>last</w:t>
      </w:r>
      <w:r>
        <w:rPr>
          <w:spacing w:val="15"/>
          <w:w w:val="105"/>
        </w:rPr>
        <w:t> </w:t>
      </w:r>
      <w:r>
        <w:rPr>
          <w:w w:val="105"/>
        </w:rPr>
        <w:t>meal</w:t>
      </w:r>
      <w:r>
        <w:rPr>
          <w:spacing w:val="14"/>
          <w:w w:val="105"/>
        </w:rPr>
        <w:t> </w:t>
      </w:r>
      <w:r>
        <w:rPr>
          <w:w w:val="105"/>
        </w:rPr>
        <w:t>3-5</w:t>
      </w:r>
      <w:r>
        <w:rPr>
          <w:spacing w:val="15"/>
          <w:w w:val="105"/>
        </w:rPr>
        <w:t> </w:t>
      </w:r>
      <w:r>
        <w:rPr>
          <w:w w:val="105"/>
        </w:rPr>
        <w:t>hours</w:t>
      </w:r>
      <w:r>
        <w:rPr>
          <w:spacing w:val="15"/>
          <w:w w:val="105"/>
        </w:rPr>
        <w:t> </w:t>
      </w:r>
      <w:r>
        <w:rPr>
          <w:w w:val="105"/>
        </w:rPr>
        <w:t>before</w:t>
      </w:r>
      <w:r>
        <w:rPr>
          <w:spacing w:val="15"/>
          <w:w w:val="105"/>
        </w:rPr>
        <w:t> </w:t>
      </w:r>
      <w:r>
        <w:rPr>
          <w:w w:val="105"/>
        </w:rPr>
        <w:t>the</w:t>
      </w:r>
      <w:r>
        <w:rPr>
          <w:spacing w:val="14"/>
          <w:w w:val="105"/>
        </w:rPr>
        <w:t> </w:t>
      </w:r>
      <w:r>
        <w:rPr>
          <w:w w:val="105"/>
        </w:rPr>
        <w:t>study</w:t>
      </w:r>
      <w:r>
        <w:rPr>
          <w:spacing w:val="15"/>
          <w:w w:val="105"/>
        </w:rPr>
        <w:t> </w:t>
      </w:r>
      <w:r>
        <w:rPr>
          <w:w w:val="105"/>
        </w:rPr>
        <w:t>and</w:t>
      </w:r>
      <w:r>
        <w:rPr>
          <w:spacing w:val="14"/>
          <w:w w:val="105"/>
        </w:rPr>
        <w:t> </w:t>
      </w:r>
      <w:r>
        <w:rPr>
          <w:w w:val="105"/>
        </w:rPr>
        <w:t>hunger</w:t>
      </w:r>
      <w:r>
        <w:rPr>
          <w:spacing w:val="14"/>
          <w:w w:val="105"/>
        </w:rPr>
        <w:t> </w:t>
      </w:r>
      <w:r>
        <w:rPr>
          <w:w w:val="105"/>
        </w:rPr>
        <w:t>levels</w:t>
      </w:r>
      <w:r>
        <w:rPr>
          <w:spacing w:val="16"/>
          <w:w w:val="105"/>
        </w:rPr>
        <w:t> </w:t>
      </w:r>
      <w:r>
        <w:rPr>
          <w:w w:val="105"/>
        </w:rPr>
        <w:t>at</w:t>
      </w:r>
      <w:r>
        <w:rPr>
          <w:spacing w:val="15"/>
          <w:w w:val="105"/>
        </w:rPr>
        <w:t> </w:t>
      </w:r>
      <w:r>
        <w:rPr>
          <w:w w:val="105"/>
        </w:rPr>
        <w:t>the</w:t>
      </w:r>
      <w:r>
        <w:rPr>
          <w:spacing w:val="14"/>
          <w:w w:val="105"/>
        </w:rPr>
        <w:t> </w:t>
      </w:r>
      <w:r>
        <w:rPr>
          <w:w w:val="105"/>
        </w:rPr>
        <w:t>beginning</w:t>
      </w:r>
      <w:r>
        <w:rPr>
          <w:spacing w:val="15"/>
          <w:w w:val="105"/>
        </w:rPr>
        <w:t> </w:t>
      </w:r>
      <w:r>
        <w:rPr>
          <w:w w:val="105"/>
        </w:rPr>
        <w:t>of</w:t>
      </w:r>
      <w:r>
        <w:rPr>
          <w:spacing w:val="14"/>
          <w:w w:val="105"/>
        </w:rPr>
        <w:t> </w:t>
      </w:r>
      <w:r>
        <w:rPr>
          <w:w w:val="105"/>
        </w:rPr>
        <w:t>the</w:t>
      </w:r>
      <w:r>
        <w:rPr>
          <w:spacing w:val="14"/>
          <w:w w:val="105"/>
        </w:rPr>
        <w:t> </w:t>
      </w:r>
      <w:r>
        <w:rPr>
          <w:w w:val="105"/>
        </w:rPr>
        <w:t>study</w:t>
      </w:r>
    </w:p>
    <w:p>
      <w:pPr>
        <w:pStyle w:val="BodyText"/>
        <w:spacing w:before="203"/>
      </w:pPr>
      <w:r>
        <w:rPr>
          <w:rFonts w:ascii="Arial"/>
          <w:w w:val="110"/>
          <w:sz w:val="12"/>
        </w:rPr>
        <w:t>448  </w:t>
      </w:r>
      <w:r>
        <w:rPr>
          <w:rFonts w:ascii="Arial"/>
          <w:spacing w:val="21"/>
          <w:w w:val="110"/>
          <w:sz w:val="12"/>
        </w:rPr>
        <w:t> </w:t>
      </w:r>
      <w:r>
        <w:rPr>
          <w:w w:val="110"/>
        </w:rPr>
        <w:t>were</w:t>
      </w:r>
      <w:r>
        <w:rPr>
          <w:spacing w:val="-12"/>
          <w:w w:val="110"/>
        </w:rPr>
        <w:t> </w:t>
      </w:r>
      <w:r>
        <w:rPr>
          <w:w w:val="110"/>
        </w:rPr>
        <w:t>not</w:t>
      </w:r>
      <w:r>
        <w:rPr>
          <w:spacing w:val="-13"/>
          <w:w w:val="110"/>
        </w:rPr>
        <w:t> </w:t>
      </w:r>
      <w:r>
        <w:rPr>
          <w:w w:val="110"/>
        </w:rPr>
        <w:t>particularly</w:t>
      </w:r>
      <w:r>
        <w:rPr>
          <w:spacing w:val="-12"/>
          <w:w w:val="110"/>
        </w:rPr>
        <w:t> </w:t>
      </w:r>
      <w:r>
        <w:rPr>
          <w:w w:val="110"/>
        </w:rPr>
        <w:t>high</w:t>
      </w:r>
      <w:r>
        <w:rPr>
          <w:spacing w:val="-13"/>
          <w:w w:val="110"/>
        </w:rPr>
        <w:t> </w:t>
      </w:r>
      <w:r>
        <w:rPr>
          <w:w w:val="110"/>
        </w:rPr>
        <w:t>(</w:t>
      </w:r>
      <w:r>
        <w:rPr>
          <w:i/>
          <w:w w:val="110"/>
        </w:rPr>
        <w:t>M</w:t>
      </w:r>
      <w:r>
        <w:rPr>
          <w:i/>
          <w:spacing w:val="9"/>
          <w:w w:val="110"/>
        </w:rPr>
        <w:t> </w:t>
      </w:r>
      <w:r>
        <w:rPr>
          <w:w w:val="110"/>
        </w:rPr>
        <w:t>=</w:t>
      </w:r>
      <w:r>
        <w:rPr>
          <w:spacing w:val="-13"/>
          <w:w w:val="110"/>
        </w:rPr>
        <w:t> </w:t>
      </w:r>
      <w:r>
        <w:rPr>
          <w:w w:val="110"/>
        </w:rPr>
        <w:t>5.70,</w:t>
      </w:r>
      <w:r>
        <w:rPr>
          <w:spacing w:val="-12"/>
          <w:w w:val="110"/>
        </w:rPr>
        <w:t> </w:t>
      </w:r>
      <w:r>
        <w:rPr>
          <w:i/>
          <w:w w:val="110"/>
        </w:rPr>
        <w:t>SD</w:t>
      </w:r>
      <w:r>
        <w:rPr>
          <w:i/>
          <w:spacing w:val="-4"/>
          <w:w w:val="110"/>
        </w:rPr>
        <w:t> </w:t>
      </w:r>
      <w:r>
        <w:rPr>
          <w:w w:val="110"/>
        </w:rPr>
        <w:t>=</w:t>
      </w:r>
      <w:r>
        <w:rPr>
          <w:spacing w:val="-13"/>
          <w:w w:val="110"/>
        </w:rPr>
        <w:t> </w:t>
      </w:r>
      <w:r>
        <w:rPr>
          <w:w w:val="110"/>
        </w:rPr>
        <w:t>2.22).</w:t>
      </w:r>
      <w:r>
        <w:rPr>
          <w:spacing w:val="5"/>
          <w:w w:val="110"/>
        </w:rPr>
        <w:t> </w:t>
      </w:r>
      <w:r>
        <w:rPr>
          <w:spacing w:val="-3"/>
          <w:w w:val="110"/>
        </w:rPr>
        <w:t>However,</w:t>
      </w:r>
      <w:r>
        <w:rPr>
          <w:spacing w:val="-12"/>
          <w:w w:val="110"/>
        </w:rPr>
        <w:t> </w:t>
      </w:r>
      <w:r>
        <w:rPr>
          <w:w w:val="110"/>
        </w:rPr>
        <w:t>24</w:t>
      </w:r>
      <w:r>
        <w:rPr>
          <w:spacing w:val="-12"/>
          <w:w w:val="110"/>
        </w:rPr>
        <w:t> </w:t>
      </w:r>
      <w:r>
        <w:rPr>
          <w:w w:val="110"/>
        </w:rPr>
        <w:t>participants</w:t>
      </w:r>
      <w:r>
        <w:rPr>
          <w:spacing w:val="-13"/>
          <w:w w:val="110"/>
        </w:rPr>
        <w:t> </w:t>
      </w:r>
      <w:r>
        <w:rPr>
          <w:w w:val="110"/>
        </w:rPr>
        <w:t>(14.72%)</w:t>
      </w:r>
      <w:r>
        <w:rPr>
          <w:spacing w:val="-12"/>
          <w:w w:val="110"/>
        </w:rPr>
        <w:t> </w:t>
      </w:r>
      <w:r>
        <w:rPr>
          <w:w w:val="110"/>
        </w:rPr>
        <w:t>did</w:t>
      </w:r>
    </w:p>
    <w:p>
      <w:pPr>
        <w:pStyle w:val="BodyText"/>
      </w:pPr>
      <w:r>
        <w:rPr>
          <w:rFonts w:ascii="Arial"/>
          <w:w w:val="110"/>
          <w:sz w:val="12"/>
        </w:rPr>
        <w:t>449 </w:t>
      </w:r>
      <w:r>
        <w:rPr>
          <w:w w:val="110"/>
        </w:rPr>
        <w:t>not adhere to the instruction not to eat three hours before the </w:t>
      </w:r>
      <w:r>
        <w:rPr>
          <w:spacing w:val="-4"/>
          <w:w w:val="110"/>
        </w:rPr>
        <w:t>study, </w:t>
      </w:r>
      <w:r>
        <w:rPr>
          <w:w w:val="110"/>
        </w:rPr>
        <w:t>as they</w:t>
      </w:r>
      <w:r>
        <w:rPr>
          <w:spacing w:val="65"/>
          <w:w w:val="110"/>
        </w:rPr>
        <w:t> </w:t>
      </w:r>
      <w:r>
        <w:rPr>
          <w:w w:val="110"/>
        </w:rPr>
        <w:t>reported</w:t>
      </w:r>
    </w:p>
    <w:p>
      <w:pPr>
        <w:pStyle w:val="BodyText"/>
      </w:pPr>
      <w:r>
        <w:rPr>
          <w:rFonts w:ascii="Arial" w:hAnsi="Arial"/>
          <w:w w:val="105"/>
          <w:sz w:val="12"/>
        </w:rPr>
        <w:t>450 </w:t>
      </w:r>
      <w:r>
        <w:rPr>
          <w:w w:val="105"/>
        </w:rPr>
        <w:t>having their last meal “less than 3 hours ago”.</w:t>
      </w:r>
    </w:p>
    <w:p>
      <w:pPr>
        <w:pStyle w:val="BodyText"/>
        <w:spacing w:before="0"/>
        <w:ind w:left="0"/>
        <w:rPr>
          <w:sz w:val="20"/>
        </w:rPr>
      </w:pPr>
    </w:p>
    <w:p>
      <w:pPr>
        <w:pStyle w:val="BodyText"/>
        <w:spacing w:before="0"/>
        <w:ind w:left="0"/>
        <w:rPr>
          <w:sz w:val="20"/>
        </w:rPr>
      </w:pPr>
    </w:p>
    <w:p>
      <w:pPr>
        <w:pStyle w:val="BodyText"/>
        <w:spacing w:before="5"/>
        <w:ind w:left="0"/>
      </w:pPr>
    </w:p>
    <w:p>
      <w:pPr>
        <w:pStyle w:val="Heading1"/>
      </w:pPr>
      <w:r>
        <w:rPr>
          <w:rFonts w:ascii="Arial"/>
          <w:b w:val="0"/>
          <w:w w:val="110"/>
          <w:sz w:val="12"/>
        </w:rPr>
        <w:t>451</w:t>
      </w:r>
      <w:bookmarkStart w:name="Confirmatory findings" w:id="40"/>
      <w:bookmarkEnd w:id="40"/>
      <w:r>
        <w:rPr>
          <w:rFonts w:ascii="Arial"/>
          <w:b w:val="0"/>
          <w:w w:val="110"/>
          <w:sz w:val="12"/>
        </w:rPr>
      </w:r>
      <w:r>
        <w:rPr>
          <w:rFonts w:ascii="Arial"/>
          <w:b w:val="0"/>
          <w:w w:val="110"/>
          <w:sz w:val="12"/>
        </w:rPr>
        <w:t> </w:t>
      </w:r>
      <w:r>
        <w:rPr>
          <w:w w:val="110"/>
        </w:rPr>
        <w:t>Confirmatory findings</w:t>
      </w:r>
    </w:p>
    <w:p>
      <w:pPr>
        <w:pStyle w:val="BodyText"/>
        <w:spacing w:before="0"/>
        <w:ind w:left="0"/>
        <w:rPr>
          <w:b/>
          <w:sz w:val="20"/>
        </w:rPr>
      </w:pPr>
    </w:p>
    <w:p>
      <w:pPr>
        <w:pStyle w:val="BodyText"/>
        <w:spacing w:before="0"/>
        <w:ind w:left="0"/>
        <w:rPr>
          <w:b/>
          <w:sz w:val="20"/>
        </w:rPr>
      </w:pPr>
    </w:p>
    <w:p>
      <w:pPr>
        <w:tabs>
          <w:tab w:pos="1195" w:val="left" w:leader="none"/>
          <w:tab w:pos="3678" w:val="left" w:leader="none"/>
        </w:tabs>
        <w:spacing w:before="270"/>
        <w:ind w:left="230" w:right="0" w:firstLine="0"/>
        <w:jc w:val="left"/>
        <w:rPr>
          <w:sz w:val="24"/>
        </w:rPr>
      </w:pPr>
      <w:r>
        <w:rPr>
          <w:rFonts w:ascii="Arial"/>
          <w:w w:val="105"/>
          <w:sz w:val="12"/>
        </w:rPr>
        <w:t>452</w:t>
        <w:tab/>
      </w:r>
      <w:bookmarkStart w:name="Training outcomes" w:id="41"/>
      <w:bookmarkEnd w:id="41"/>
      <w:r>
        <w:rPr>
          <w:rFonts w:ascii="Arial"/>
          <w:w w:val="105"/>
          <w:sz w:val="12"/>
        </w:rPr>
      </w:r>
      <w:bookmarkStart w:name="_bookmark17" w:id="42"/>
      <w:bookmarkEnd w:id="42"/>
      <w:r>
        <w:rPr>
          <w:rFonts w:ascii="Arial"/>
          <w:w w:val="105"/>
          <w:sz w:val="12"/>
        </w:rPr>
      </w:r>
      <w:r>
        <w:rPr>
          <w:b/>
          <w:spacing w:val="-4"/>
          <w:w w:val="105"/>
          <w:sz w:val="24"/>
        </w:rPr>
        <w:t>Training </w:t>
      </w:r>
      <w:r>
        <w:rPr>
          <w:b/>
          <w:spacing w:val="27"/>
          <w:w w:val="105"/>
          <w:sz w:val="24"/>
        </w:rPr>
        <w:t> </w:t>
      </w:r>
      <w:r>
        <w:rPr>
          <w:b/>
          <w:w w:val="105"/>
          <w:sz w:val="24"/>
        </w:rPr>
        <w:t>outcomes.</w:t>
        <w:tab/>
      </w:r>
      <w:r>
        <w:rPr>
          <w:w w:val="105"/>
          <w:sz w:val="24"/>
        </w:rPr>
        <w:t>There </w:t>
      </w:r>
      <w:r>
        <w:rPr>
          <w:spacing w:val="-3"/>
          <w:w w:val="105"/>
          <w:sz w:val="24"/>
        </w:rPr>
        <w:t>was </w:t>
      </w:r>
      <w:r>
        <w:rPr>
          <w:i/>
          <w:w w:val="105"/>
          <w:sz w:val="24"/>
        </w:rPr>
        <w:t>strong </w:t>
      </w:r>
      <w:r>
        <w:rPr>
          <w:w w:val="105"/>
          <w:sz w:val="24"/>
        </w:rPr>
        <w:t>evidence for the absence of a general</w:t>
      </w:r>
      <w:r>
        <w:rPr>
          <w:spacing w:val="1"/>
          <w:w w:val="105"/>
          <w:sz w:val="24"/>
        </w:rPr>
        <w:t> </w:t>
      </w:r>
      <w:r>
        <w:rPr>
          <w:w w:val="105"/>
          <w:sz w:val="24"/>
        </w:rPr>
        <w:t>effect</w:t>
      </w:r>
    </w:p>
    <w:p>
      <w:pPr>
        <w:pStyle w:val="BodyText"/>
      </w:pPr>
      <w:r>
        <w:rPr>
          <w:rFonts w:ascii="Arial"/>
          <w:w w:val="105"/>
          <w:sz w:val="12"/>
        </w:rPr>
        <w:t>453 </w:t>
      </w:r>
      <w:r>
        <w:rPr>
          <w:w w:val="105"/>
        </w:rPr>
        <w:t>of go/no-go training condition on the change in approach-avoidance bias scores [</w:t>
      </w:r>
      <w:r>
        <w:rPr>
          <w:i/>
          <w:w w:val="105"/>
        </w:rPr>
        <w:t>BF </w:t>
      </w:r>
      <w:r>
        <w:rPr>
          <w:rFonts w:ascii="Arial"/>
          <w:w w:val="105"/>
          <w:vertAlign w:val="subscript"/>
        </w:rPr>
        <w:t>01</w:t>
      </w:r>
      <w:r>
        <w:rPr>
          <w:rFonts w:ascii="Arial"/>
          <w:spacing w:val="62"/>
          <w:w w:val="105"/>
          <w:vertAlign w:val="baseline"/>
        </w:rPr>
        <w:t> </w:t>
      </w:r>
      <w:r>
        <w:rPr>
          <w:w w:val="105"/>
          <w:vertAlign w:val="baseline"/>
        </w:rPr>
        <w:t>=</w:t>
      </w:r>
    </w:p>
    <w:p>
      <w:pPr>
        <w:pStyle w:val="BodyText"/>
      </w:pPr>
      <w:r>
        <w:rPr>
          <w:rFonts w:ascii="Arial"/>
          <w:w w:val="105"/>
          <w:sz w:val="12"/>
        </w:rPr>
        <w:t>454 </w:t>
      </w:r>
      <w:r>
        <w:rPr>
          <w:w w:val="105"/>
        </w:rPr>
        <w:t>16.06; </w:t>
      </w:r>
      <w:r>
        <w:rPr>
          <w:i/>
          <w:w w:val="105"/>
        </w:rPr>
        <w:t>F </w:t>
      </w:r>
      <w:r>
        <w:rPr>
          <w:w w:val="105"/>
        </w:rPr>
        <w:t>(2, 324) = 1.01, </w:t>
      </w:r>
      <w:r>
        <w:rPr>
          <w:i/>
          <w:w w:val="105"/>
        </w:rPr>
        <w:t>p </w:t>
      </w:r>
      <w:r>
        <w:rPr>
          <w:w w:val="105"/>
        </w:rPr>
        <w:t>= 0.365]. Results for paired comparisons are shown in Table 1.</w:t>
      </w:r>
    </w:p>
    <w:p>
      <w:pPr>
        <w:pStyle w:val="BodyText"/>
        <w:spacing w:before="201"/>
        <w:rPr>
          <w:i/>
        </w:rPr>
      </w:pPr>
      <w:r>
        <w:rPr>
          <w:rFonts w:ascii="Arial" w:hAnsi="Arial"/>
          <w:w w:val="105"/>
          <w:sz w:val="12"/>
        </w:rPr>
        <w:t>455 </w:t>
      </w:r>
      <w:r>
        <w:rPr>
          <w:w w:val="105"/>
        </w:rPr>
        <w:t>There was </w:t>
      </w:r>
      <w:r>
        <w:rPr>
          <w:i/>
          <w:w w:val="105"/>
        </w:rPr>
        <w:t>moderate </w:t>
      </w:r>
      <w:r>
        <w:rPr>
          <w:w w:val="105"/>
        </w:rPr>
        <w:t>evidence that the change in bias scores for no-go foods (</w:t>
      </w:r>
      <w:r>
        <w:rPr>
          <w:rFonts w:ascii="Arial" w:hAnsi="Arial"/>
          <w:w w:val="105"/>
        </w:rPr>
        <w:t>∆</w:t>
      </w:r>
      <w:r>
        <w:rPr>
          <w:w w:val="105"/>
        </w:rPr>
        <w:t>AAT</w:t>
      </w:r>
      <w:r>
        <w:rPr>
          <w:w w:val="105"/>
          <w:vertAlign w:val="subscript"/>
        </w:rPr>
        <w:t>nogo</w:t>
      </w:r>
      <w:r>
        <w:rPr>
          <w:w w:val="105"/>
          <w:vertAlign w:val="baseline"/>
        </w:rPr>
        <w:t>; </w:t>
      </w:r>
      <w:r>
        <w:rPr>
          <w:i/>
          <w:w w:val="105"/>
          <w:vertAlign w:val="baseline"/>
        </w:rPr>
        <w:t>M</w:t>
      </w:r>
    </w:p>
    <w:p>
      <w:pPr>
        <w:pStyle w:val="BodyText"/>
        <w:spacing w:before="201"/>
      </w:pPr>
      <w:r>
        <w:rPr>
          <w:rFonts w:ascii="Arial" w:hAnsi="Arial"/>
          <w:w w:val="105"/>
          <w:sz w:val="12"/>
        </w:rPr>
        <w:t>456    </w:t>
      </w:r>
      <w:r>
        <w:rPr>
          <w:rFonts w:ascii="Arial" w:hAnsi="Arial"/>
          <w:spacing w:val="19"/>
          <w:w w:val="105"/>
          <w:sz w:val="12"/>
        </w:rPr>
        <w:t> </w:t>
      </w:r>
      <w:r>
        <w:rPr>
          <w:w w:val="105"/>
        </w:rPr>
        <w:t>=</w:t>
      </w:r>
      <w:r>
        <w:rPr>
          <w:spacing w:val="12"/>
          <w:w w:val="105"/>
        </w:rPr>
        <w:t> </w:t>
      </w:r>
      <w:r>
        <w:rPr>
          <w:w w:val="105"/>
        </w:rPr>
        <w:t>-3.31,</w:t>
      </w:r>
      <w:r>
        <w:rPr>
          <w:spacing w:val="12"/>
          <w:w w:val="105"/>
        </w:rPr>
        <w:t> </w:t>
      </w:r>
      <w:r>
        <w:rPr>
          <w:i/>
          <w:w w:val="105"/>
        </w:rPr>
        <w:t>SD</w:t>
      </w:r>
      <w:r>
        <w:rPr>
          <w:i/>
          <w:spacing w:val="24"/>
          <w:w w:val="105"/>
        </w:rPr>
        <w:t> </w:t>
      </w:r>
      <w:r>
        <w:rPr>
          <w:w w:val="105"/>
        </w:rPr>
        <w:t>=</w:t>
      </w:r>
      <w:r>
        <w:rPr>
          <w:spacing w:val="12"/>
          <w:w w:val="105"/>
        </w:rPr>
        <w:t> </w:t>
      </w:r>
      <w:r>
        <w:rPr>
          <w:w w:val="105"/>
        </w:rPr>
        <w:t>62.91)</w:t>
      </w:r>
      <w:r>
        <w:rPr>
          <w:spacing w:val="12"/>
          <w:w w:val="105"/>
        </w:rPr>
        <w:t> </w:t>
      </w:r>
      <w:r>
        <w:rPr>
          <w:spacing w:val="-3"/>
          <w:w w:val="105"/>
        </w:rPr>
        <w:t>was</w:t>
      </w:r>
      <w:r>
        <w:rPr>
          <w:spacing w:val="13"/>
          <w:w w:val="105"/>
        </w:rPr>
        <w:t> </w:t>
      </w:r>
      <w:r>
        <w:rPr>
          <w:w w:val="105"/>
        </w:rPr>
        <w:t>not</w:t>
      </w:r>
      <w:r>
        <w:rPr>
          <w:spacing w:val="13"/>
          <w:w w:val="105"/>
        </w:rPr>
        <w:t> </w:t>
      </w:r>
      <w:r>
        <w:rPr>
          <w:w w:val="105"/>
        </w:rPr>
        <w:t>reduced</w:t>
      </w:r>
      <w:r>
        <w:rPr>
          <w:spacing w:val="13"/>
          <w:w w:val="105"/>
        </w:rPr>
        <w:t> </w:t>
      </w:r>
      <w:r>
        <w:rPr>
          <w:w w:val="105"/>
        </w:rPr>
        <w:t>compared</w:t>
      </w:r>
      <w:r>
        <w:rPr>
          <w:spacing w:val="12"/>
          <w:w w:val="105"/>
        </w:rPr>
        <w:t> </w:t>
      </w:r>
      <w:r>
        <w:rPr>
          <w:w w:val="105"/>
        </w:rPr>
        <w:t>to</w:t>
      </w:r>
      <w:r>
        <w:rPr>
          <w:spacing w:val="12"/>
          <w:w w:val="105"/>
        </w:rPr>
        <w:t> </w:t>
      </w:r>
      <w:r>
        <w:rPr>
          <w:w w:val="105"/>
        </w:rPr>
        <w:t>the</w:t>
      </w:r>
      <w:r>
        <w:rPr>
          <w:spacing w:val="12"/>
          <w:w w:val="105"/>
        </w:rPr>
        <w:t> </w:t>
      </w:r>
      <w:r>
        <w:rPr>
          <w:w w:val="105"/>
        </w:rPr>
        <w:t>change</w:t>
      </w:r>
      <w:r>
        <w:rPr>
          <w:spacing w:val="12"/>
          <w:w w:val="105"/>
        </w:rPr>
        <w:t> </w:t>
      </w:r>
      <w:r>
        <w:rPr>
          <w:w w:val="105"/>
        </w:rPr>
        <w:t>for</w:t>
      </w:r>
      <w:r>
        <w:rPr>
          <w:spacing w:val="14"/>
          <w:w w:val="105"/>
        </w:rPr>
        <w:t> </w:t>
      </w:r>
      <w:r>
        <w:rPr>
          <w:w w:val="105"/>
        </w:rPr>
        <w:t>filler</w:t>
      </w:r>
      <w:r>
        <w:rPr>
          <w:spacing w:val="12"/>
          <w:w w:val="105"/>
        </w:rPr>
        <w:t> </w:t>
      </w:r>
      <w:r>
        <w:rPr>
          <w:spacing w:val="2"/>
          <w:w w:val="105"/>
        </w:rPr>
        <w:t>foods</w:t>
      </w:r>
      <w:r>
        <w:rPr>
          <w:spacing w:val="12"/>
          <w:w w:val="105"/>
        </w:rPr>
        <w:t> </w:t>
      </w:r>
      <w:r>
        <w:rPr>
          <w:w w:val="105"/>
        </w:rPr>
        <w:t>(</w:t>
      </w:r>
      <w:r>
        <w:rPr>
          <w:rFonts w:ascii="Arial" w:hAnsi="Arial"/>
          <w:w w:val="105"/>
        </w:rPr>
        <w:t>∆</w:t>
      </w:r>
      <w:r>
        <w:rPr>
          <w:w w:val="105"/>
        </w:rPr>
        <w:t>AAT</w:t>
      </w:r>
      <w:r>
        <w:rPr>
          <w:w w:val="105"/>
          <w:vertAlign w:val="subscript"/>
        </w:rPr>
        <w:t>control</w:t>
      </w:r>
      <w:r>
        <w:rPr>
          <w:w w:val="105"/>
          <w:vertAlign w:val="baseline"/>
        </w:rPr>
        <w:t>;</w:t>
      </w:r>
    </w:p>
    <w:p>
      <w:pPr>
        <w:spacing w:before="202"/>
        <w:ind w:left="230" w:right="0" w:firstLine="0"/>
        <w:jc w:val="left"/>
        <w:rPr>
          <w:sz w:val="24"/>
        </w:rPr>
      </w:pPr>
      <w:r>
        <w:rPr>
          <w:rFonts w:ascii="Arial"/>
          <w:w w:val="105"/>
          <w:sz w:val="12"/>
        </w:rPr>
        <w:t>457     </w:t>
      </w:r>
      <w:r>
        <w:rPr>
          <w:i/>
          <w:w w:val="105"/>
          <w:sz w:val="24"/>
        </w:rPr>
        <w:t>M  </w:t>
      </w:r>
      <w:r>
        <w:rPr>
          <w:w w:val="105"/>
          <w:sz w:val="24"/>
        </w:rPr>
        <w:t>= -1.81, </w:t>
      </w:r>
      <w:r>
        <w:rPr>
          <w:i/>
          <w:w w:val="105"/>
          <w:sz w:val="24"/>
        </w:rPr>
        <w:t>SD </w:t>
      </w:r>
      <w:r>
        <w:rPr>
          <w:w w:val="105"/>
          <w:sz w:val="24"/>
        </w:rPr>
        <w:t>= 59.55).  Similar to H1a, there </w:t>
      </w:r>
      <w:r>
        <w:rPr>
          <w:spacing w:val="-3"/>
          <w:w w:val="105"/>
          <w:sz w:val="24"/>
        </w:rPr>
        <w:t>was </w:t>
      </w:r>
      <w:r>
        <w:rPr>
          <w:i/>
          <w:w w:val="105"/>
          <w:sz w:val="24"/>
        </w:rPr>
        <w:t>strong </w:t>
      </w:r>
      <w:r>
        <w:rPr>
          <w:w w:val="105"/>
          <w:sz w:val="24"/>
        </w:rPr>
        <w:t>evidence for the null compared</w:t>
      </w:r>
      <w:r>
        <w:rPr>
          <w:spacing w:val="12"/>
          <w:w w:val="105"/>
          <w:sz w:val="24"/>
        </w:rPr>
        <w:t> </w:t>
      </w:r>
      <w:r>
        <w:rPr>
          <w:w w:val="105"/>
          <w:sz w:val="24"/>
        </w:rPr>
        <w:t>to</w:t>
      </w:r>
    </w:p>
    <w:p>
      <w:pPr>
        <w:pStyle w:val="BodyText"/>
        <w:spacing w:before="201"/>
      </w:pPr>
      <w:r>
        <w:rPr>
          <w:rFonts w:ascii="Arial" w:hAnsi="Arial"/>
          <w:w w:val="105"/>
          <w:sz w:val="12"/>
        </w:rPr>
        <w:t>458     </w:t>
      </w:r>
      <w:r>
        <w:rPr>
          <w:w w:val="105"/>
        </w:rPr>
        <w:t>the alternative for H1b.  The change in bias scores for go </w:t>
      </w:r>
      <w:r>
        <w:rPr>
          <w:spacing w:val="2"/>
          <w:w w:val="105"/>
        </w:rPr>
        <w:t>foods </w:t>
      </w:r>
      <w:r>
        <w:rPr>
          <w:w w:val="105"/>
        </w:rPr>
        <w:t>(</w:t>
      </w:r>
      <w:r>
        <w:rPr>
          <w:rFonts w:ascii="Arial" w:hAnsi="Arial"/>
          <w:w w:val="105"/>
        </w:rPr>
        <w:t>∆</w:t>
      </w:r>
      <w:r>
        <w:rPr>
          <w:w w:val="105"/>
        </w:rPr>
        <w:t>AAT</w:t>
      </w:r>
      <w:r>
        <w:rPr>
          <w:w w:val="105"/>
          <w:vertAlign w:val="subscript"/>
        </w:rPr>
        <w:t>go</w:t>
      </w:r>
      <w:r>
        <w:rPr>
          <w:w w:val="105"/>
          <w:vertAlign w:val="baseline"/>
        </w:rPr>
        <w:t>; </w:t>
      </w:r>
      <w:r>
        <w:rPr>
          <w:i/>
          <w:w w:val="105"/>
          <w:vertAlign w:val="baseline"/>
        </w:rPr>
        <w:t>M  </w:t>
      </w:r>
      <w:r>
        <w:rPr>
          <w:w w:val="105"/>
          <w:vertAlign w:val="baseline"/>
        </w:rPr>
        <w:t>= -10.47, </w:t>
      </w:r>
      <w:r>
        <w:rPr>
          <w:i/>
          <w:w w:val="105"/>
          <w:vertAlign w:val="baseline"/>
        </w:rPr>
        <w:t>SD</w:t>
      </w:r>
      <w:r>
        <w:rPr>
          <w:i/>
          <w:spacing w:val="7"/>
          <w:w w:val="105"/>
          <w:vertAlign w:val="baseline"/>
        </w:rPr>
        <w:t> </w:t>
      </w:r>
      <w:r>
        <w:rPr>
          <w:w w:val="105"/>
          <w:vertAlign w:val="baseline"/>
        </w:rPr>
        <w:t>=</w:t>
      </w:r>
    </w:p>
    <w:p>
      <w:pPr>
        <w:pStyle w:val="BodyText"/>
      </w:pPr>
      <w:r>
        <w:rPr>
          <w:rFonts w:ascii="Arial"/>
          <w:w w:val="105"/>
          <w:sz w:val="12"/>
        </w:rPr>
        <w:t>459     </w:t>
      </w:r>
      <w:r>
        <w:rPr>
          <w:w w:val="105"/>
        </w:rPr>
        <w:t>59.57) </w:t>
      </w:r>
      <w:r>
        <w:rPr>
          <w:spacing w:val="-3"/>
          <w:w w:val="105"/>
        </w:rPr>
        <w:t>was </w:t>
      </w:r>
      <w:r>
        <w:rPr>
          <w:w w:val="105"/>
        </w:rPr>
        <w:t>not greater than the change for filler foods.  Approach-avoidance bias scores</w:t>
      </w:r>
      <w:r>
        <w:rPr>
          <w:spacing w:val="27"/>
          <w:w w:val="105"/>
        </w:rPr>
        <w:t> </w:t>
      </w:r>
      <w:r>
        <w:rPr>
          <w:w w:val="105"/>
        </w:rPr>
        <w:t>pre-</w:t>
      </w:r>
    </w:p>
    <w:p>
      <w:pPr>
        <w:pStyle w:val="BodyText"/>
        <w:spacing w:before="203"/>
      </w:pPr>
      <w:r>
        <w:rPr>
          <w:rFonts w:ascii="Arial"/>
          <w:w w:val="105"/>
          <w:sz w:val="12"/>
        </w:rPr>
        <w:t>460 </w:t>
      </w:r>
      <w:r>
        <w:rPr>
          <w:w w:val="105"/>
        </w:rPr>
        <w:t>and post- training across training conditions can be visualised using rainclouds in Figure </w:t>
      </w:r>
      <w:hyperlink w:history="true" w:anchor="_bookmark19">
        <w:r>
          <w:rPr>
            <w:w w:val="105"/>
          </w:rPr>
          <w:t>2.</w:t>
        </w:r>
      </w:hyperlink>
    </w:p>
    <w:p>
      <w:pPr>
        <w:pStyle w:val="BodyText"/>
      </w:pPr>
      <w:r>
        <w:rPr>
          <w:rFonts w:ascii="Arial"/>
          <w:sz w:val="12"/>
        </w:rPr>
        <w:t>461 </w:t>
      </w:r>
      <w:r>
        <w:rPr/>
        <w:t>The raincloud plots have been created using existing code and guidelines (Allen, Poggiali,</w:t>
      </w:r>
    </w:p>
    <w:p>
      <w:pPr>
        <w:pStyle w:val="BodyText"/>
      </w:pPr>
      <w:r>
        <w:rPr>
          <w:rFonts w:ascii="Arial"/>
          <w:w w:val="105"/>
          <w:sz w:val="12"/>
        </w:rPr>
        <w:t>462 </w:t>
      </w:r>
      <w:r>
        <w:rPr>
          <w:w w:val="105"/>
        </w:rPr>
        <w:t>Whitaker, Marshall, &amp; Kievit, 2019, 2018).</w:t>
      </w:r>
    </w:p>
    <w:p>
      <w:pPr>
        <w:pStyle w:val="BodyText"/>
        <w:spacing w:before="0"/>
        <w:ind w:left="0"/>
        <w:rPr>
          <w:sz w:val="20"/>
        </w:rPr>
      </w:pPr>
    </w:p>
    <w:p>
      <w:pPr>
        <w:pStyle w:val="BodyText"/>
        <w:tabs>
          <w:tab w:pos="1195" w:val="left" w:leader="none"/>
        </w:tabs>
        <w:spacing w:before="264"/>
      </w:pPr>
      <w:r>
        <w:rPr>
          <w:rFonts w:ascii="Arial"/>
          <w:sz w:val="12"/>
        </w:rPr>
        <w:t>463</w:t>
        <w:tab/>
      </w:r>
      <w:r>
        <w:rPr/>
        <w:t>The</w:t>
      </w:r>
      <w:r>
        <w:rPr>
          <w:spacing w:val="25"/>
        </w:rPr>
        <w:t> </w:t>
      </w:r>
      <w:r>
        <w:rPr/>
        <w:t>effect</w:t>
      </w:r>
      <w:r>
        <w:rPr>
          <w:spacing w:val="25"/>
        </w:rPr>
        <w:t> </w:t>
      </w:r>
      <w:r>
        <w:rPr/>
        <w:t>of</w:t>
      </w:r>
      <w:r>
        <w:rPr>
          <w:spacing w:val="25"/>
        </w:rPr>
        <w:t> </w:t>
      </w:r>
      <w:r>
        <w:rPr/>
        <w:t>training</w:t>
      </w:r>
      <w:r>
        <w:rPr>
          <w:spacing w:val="24"/>
        </w:rPr>
        <w:t> </w:t>
      </w:r>
      <w:r>
        <w:rPr/>
        <w:t>on</w:t>
      </w:r>
      <w:r>
        <w:rPr>
          <w:spacing w:val="24"/>
        </w:rPr>
        <w:t> </w:t>
      </w:r>
      <w:r>
        <w:rPr/>
        <w:t>impulsive</w:t>
      </w:r>
      <w:r>
        <w:rPr>
          <w:spacing w:val="25"/>
        </w:rPr>
        <w:t> </w:t>
      </w:r>
      <w:r>
        <w:rPr>
          <w:spacing w:val="3"/>
        </w:rPr>
        <w:t>food</w:t>
      </w:r>
      <w:r>
        <w:rPr>
          <w:spacing w:val="24"/>
        </w:rPr>
        <w:t> </w:t>
      </w:r>
      <w:r>
        <w:rPr/>
        <w:t>choices</w:t>
      </w:r>
      <w:r>
        <w:rPr>
          <w:spacing w:val="24"/>
        </w:rPr>
        <w:t> </w:t>
      </w:r>
      <w:r>
        <w:rPr>
          <w:spacing w:val="-3"/>
        </w:rPr>
        <w:t>was</w:t>
      </w:r>
      <w:r>
        <w:rPr>
          <w:spacing w:val="26"/>
        </w:rPr>
        <w:t> </w:t>
      </w:r>
      <w:r>
        <w:rPr/>
        <w:t>examined</w:t>
      </w:r>
      <w:r>
        <w:rPr>
          <w:spacing w:val="25"/>
        </w:rPr>
        <w:t> </w:t>
      </w:r>
      <w:r>
        <w:rPr/>
        <w:t>for</w:t>
      </w:r>
      <w:r>
        <w:rPr>
          <w:spacing w:val="25"/>
        </w:rPr>
        <w:t> </w:t>
      </w:r>
      <w:r>
        <w:rPr/>
        <w:t>no-go</w:t>
      </w:r>
      <w:r>
        <w:rPr>
          <w:spacing w:val="25"/>
        </w:rPr>
        <w:t> </w:t>
      </w:r>
      <w:r>
        <w:rPr/>
        <w:t>and</w:t>
      </w:r>
      <w:r>
        <w:rPr>
          <w:spacing w:val="25"/>
        </w:rPr>
        <w:t> </w:t>
      </w:r>
      <w:r>
        <w:rPr/>
        <w:t>go</w:t>
      </w:r>
      <w:r>
        <w:rPr>
          <w:spacing w:val="24"/>
        </w:rPr>
        <w:t> </w:t>
      </w:r>
      <w:r>
        <w:rPr>
          <w:spacing w:val="2"/>
        </w:rPr>
        <w:t>foods</w:t>
      </w:r>
    </w:p>
    <w:p>
      <w:pPr>
        <w:pStyle w:val="BodyText"/>
      </w:pPr>
      <w:r>
        <w:rPr>
          <w:rFonts w:ascii="Arial"/>
          <w:sz w:val="12"/>
        </w:rPr>
        <w:t>464 </w:t>
      </w:r>
      <w:r>
        <w:rPr/>
        <w:t>compared to control, as stated in H2a and H2b respectively.</w:t>
      </w:r>
      <w:r>
        <w:rPr>
          <w:spacing w:val="55"/>
        </w:rPr>
        <w:t> </w:t>
      </w:r>
      <w:r>
        <w:rPr/>
        <w:t>There </w:t>
      </w:r>
      <w:r>
        <w:rPr>
          <w:spacing w:val="-3"/>
        </w:rPr>
        <w:t>was </w:t>
      </w:r>
      <w:r>
        <w:rPr>
          <w:i/>
        </w:rPr>
        <w:t>extreme </w:t>
      </w:r>
      <w:r>
        <w:rPr/>
        <w:t>evidence that</w:t>
      </w:r>
    </w:p>
    <w:p>
      <w:pPr>
        <w:pStyle w:val="BodyText"/>
        <w:spacing w:before="203"/>
      </w:pPr>
      <w:r>
        <w:rPr>
          <w:rFonts w:ascii="Arial"/>
          <w:w w:val="105"/>
          <w:sz w:val="12"/>
        </w:rPr>
        <w:t>465 </w:t>
      </w:r>
      <w:r>
        <w:rPr>
          <w:w w:val="105"/>
        </w:rPr>
        <w:t>the probability of choosing a no-go food (</w:t>
      </w:r>
      <w:r>
        <w:rPr>
          <w:i/>
          <w:w w:val="105"/>
        </w:rPr>
        <w:t>M </w:t>
      </w:r>
      <w:r>
        <w:rPr>
          <w:w w:val="105"/>
        </w:rPr>
        <w:t>= 0.21, </w:t>
      </w:r>
      <w:r>
        <w:rPr>
          <w:i/>
          <w:w w:val="105"/>
        </w:rPr>
        <w:t>SD </w:t>
      </w:r>
      <w:r>
        <w:rPr>
          <w:w w:val="105"/>
        </w:rPr>
        <w:t>= 0.27) was reduced compared to</w:t>
      </w:r>
    </w:p>
    <w:p>
      <w:pPr>
        <w:pStyle w:val="BodyText"/>
        <w:spacing w:before="187"/>
      </w:pPr>
      <w:r>
        <w:rPr>
          <w:rFonts w:ascii="Arial"/>
          <w:w w:val="105"/>
          <w:sz w:val="12"/>
        </w:rPr>
        <w:t>466 </w:t>
      </w:r>
      <w:r>
        <w:rPr>
          <w:w w:val="105"/>
        </w:rPr>
        <w:t>the probability of choosing a filler food (</w:t>
      </w:r>
      <w:r>
        <w:rPr>
          <w:i/>
          <w:w w:val="105"/>
        </w:rPr>
        <w:t>M </w:t>
      </w:r>
      <w:r>
        <w:rPr>
          <w:w w:val="105"/>
        </w:rPr>
        <w:t>= 0.36; </w:t>
      </w:r>
      <w:r>
        <w:rPr>
          <w:i/>
          <w:w w:val="105"/>
        </w:rPr>
        <w:t>SD </w:t>
      </w:r>
      <w:r>
        <w:rPr>
          <w:w w:val="105"/>
        </w:rPr>
        <w:t>= 0.31) after training</w:t>
      </w:r>
      <w:r>
        <w:rPr>
          <w:w w:val="105"/>
          <w:position w:val="9"/>
          <w:sz w:val="16"/>
        </w:rPr>
        <w:t>8 </w:t>
      </w:r>
      <w:r>
        <w:rPr>
          <w:w w:val="105"/>
        </w:rPr>
        <w:t>(see Table 1).</w:t>
      </w:r>
    </w:p>
    <w:p>
      <w:pPr>
        <w:pStyle w:val="BodyText"/>
      </w:pPr>
      <w:r>
        <w:rPr>
          <w:rFonts w:ascii="Arial"/>
          <w:w w:val="105"/>
          <w:sz w:val="12"/>
        </w:rPr>
        <w:t>467 </w:t>
      </w:r>
      <w:r>
        <w:rPr>
          <w:w w:val="105"/>
        </w:rPr>
        <w:t>In contrast, there was only </w:t>
      </w:r>
      <w:r>
        <w:rPr>
          <w:i/>
          <w:w w:val="105"/>
        </w:rPr>
        <w:t>anecdotal </w:t>
      </w:r>
      <w:r>
        <w:rPr>
          <w:w w:val="105"/>
        </w:rPr>
        <w:t>evidence that probability of choosing a go food (</w:t>
      </w:r>
      <w:r>
        <w:rPr>
          <w:i/>
          <w:w w:val="105"/>
        </w:rPr>
        <w:t>M </w:t>
      </w:r>
      <w:r>
        <w:rPr>
          <w:w w:val="105"/>
        </w:rPr>
        <w:t>=</w:t>
      </w:r>
    </w:p>
    <w:p>
      <w:pPr>
        <w:pStyle w:val="BodyText"/>
      </w:pPr>
      <w:r>
        <w:rPr>
          <w:rFonts w:ascii="Arial"/>
          <w:w w:val="105"/>
          <w:sz w:val="12"/>
        </w:rPr>
        <w:t>468 </w:t>
      </w:r>
      <w:r>
        <w:rPr>
          <w:w w:val="105"/>
        </w:rPr>
        <w:t>0.44; </w:t>
      </w:r>
      <w:r>
        <w:rPr>
          <w:i/>
          <w:w w:val="105"/>
        </w:rPr>
        <w:t>SD </w:t>
      </w:r>
      <w:r>
        <w:rPr>
          <w:w w:val="105"/>
        </w:rPr>
        <w:t>= 0.33) was not greater than the probability of choosing a filler food after training.</w:t>
      </w:r>
    </w:p>
    <w:p>
      <w:pPr>
        <w:pStyle w:val="BodyText"/>
        <w:spacing w:before="11"/>
        <w:ind w:left="0"/>
        <w:rPr>
          <w:sz w:val="19"/>
        </w:rPr>
      </w:pPr>
      <w:r>
        <w:rPr/>
        <w:pict>
          <v:line style="position:absolute;mso-position-horizontal-relative:page;mso-position-vertical-relative:paragraph;z-index:-808;mso-wrap-distance-left:0;mso-wrap-distance-right:0" from="72pt,13.537071pt" to="108pt,13.537071pt" stroked="true" strokeweight=".125pt" strokecolor="#000000">
            <v:stroke dashstyle="solid"/>
            <w10:wrap type="topAndBottom"/>
          </v:line>
        </w:pict>
      </w:r>
    </w:p>
    <w:p>
      <w:pPr>
        <w:spacing w:before="140"/>
        <w:ind w:left="620" w:right="0" w:firstLine="0"/>
        <w:jc w:val="left"/>
        <w:rPr>
          <w:sz w:val="20"/>
        </w:rPr>
      </w:pPr>
      <w:r>
        <w:rPr>
          <w:w w:val="110"/>
          <w:position w:val="7"/>
          <w:sz w:val="14"/>
        </w:rPr>
        <w:t>8</w:t>
      </w:r>
      <w:bookmarkStart w:name="_bookmark18" w:id="43"/>
      <w:bookmarkEnd w:id="43"/>
      <w:r>
        <w:rPr>
          <w:w w:val="110"/>
          <w:position w:val="7"/>
          <w:sz w:val="14"/>
        </w:rPr>
      </w:r>
      <w:r>
        <w:rPr>
          <w:w w:val="110"/>
          <w:position w:val="7"/>
          <w:sz w:val="14"/>
        </w:rPr>
        <w:t> </w:t>
      </w:r>
      <w:r>
        <w:rPr>
          <w:w w:val="110"/>
          <w:sz w:val="20"/>
        </w:rPr>
        <w:t>There was a missing value for this analysis as one participant did not complete the food choice task.</w:t>
      </w:r>
    </w:p>
    <w:p>
      <w:pPr>
        <w:spacing w:after="0"/>
        <w:jc w:val="left"/>
        <w:rPr>
          <w:sz w:val="20"/>
        </w:rPr>
        <w:sectPr>
          <w:pgSz w:w="12240" w:h="15840"/>
          <w:pgMar w:header="649" w:footer="0" w:top="1320" w:bottom="280" w:left="820" w:right="1140"/>
        </w:sectPr>
      </w:pPr>
    </w:p>
    <w:p>
      <w:pPr>
        <w:pStyle w:val="BodyText"/>
        <w:spacing w:before="0"/>
        <w:ind w:left="0"/>
        <w:rPr>
          <w:sz w:val="20"/>
        </w:rPr>
      </w:pPr>
    </w:p>
    <w:p>
      <w:pPr>
        <w:pStyle w:val="BodyText"/>
        <w:spacing w:before="5"/>
        <w:ind w:left="0"/>
        <w:rPr>
          <w:sz w:val="12"/>
        </w:rPr>
      </w:pPr>
    </w:p>
    <w:p>
      <w:pPr>
        <w:pStyle w:val="BodyText"/>
        <w:spacing w:before="0"/>
        <w:ind w:left="695"/>
        <w:rPr>
          <w:sz w:val="20"/>
        </w:rPr>
      </w:pPr>
      <w:r>
        <w:rPr>
          <w:sz w:val="20"/>
        </w:rPr>
        <w:drawing>
          <wp:inline distT="0" distB="0" distL="0" distR="0">
            <wp:extent cx="5894736" cy="4030503"/>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5894736" cy="4030503"/>
                    </a:xfrm>
                    <a:prstGeom prst="rect">
                      <a:avLst/>
                    </a:prstGeom>
                  </pic:spPr>
                </pic:pic>
              </a:graphicData>
            </a:graphic>
          </wp:inline>
        </w:drawing>
      </w:r>
      <w:r>
        <w:rPr>
          <w:sz w:val="20"/>
        </w:rPr>
      </w:r>
    </w:p>
    <w:p>
      <w:pPr>
        <w:pStyle w:val="BodyText"/>
        <w:spacing w:before="5"/>
        <w:ind w:left="0"/>
        <w:rPr>
          <w:sz w:val="13"/>
        </w:rPr>
      </w:pPr>
    </w:p>
    <w:p>
      <w:pPr>
        <w:spacing w:line="412" w:lineRule="auto" w:before="141"/>
        <w:ind w:left="604" w:right="257" w:firstLine="15"/>
        <w:jc w:val="both"/>
        <w:rPr>
          <w:sz w:val="20"/>
        </w:rPr>
      </w:pPr>
      <w:bookmarkStart w:name="_bookmark19" w:id="44"/>
      <w:bookmarkEnd w:id="44"/>
      <w:r>
        <w:rPr/>
      </w:r>
      <w:r>
        <w:rPr>
          <w:rFonts w:ascii="Arial-BoldItalicMT" w:hAnsi="Arial-BoldItalicMT"/>
          <w:b/>
          <w:i/>
          <w:w w:val="110"/>
          <w:sz w:val="20"/>
        </w:rPr>
        <w:t>Figure 2 </w:t>
      </w:r>
      <w:r>
        <w:rPr>
          <w:b/>
          <w:w w:val="110"/>
          <w:sz w:val="20"/>
        </w:rPr>
        <w:t>. Raincloud plot of the approach-avoidance bias scores pre- and post- training across training conditions. </w:t>
      </w:r>
      <w:r>
        <w:rPr>
          <w:w w:val="110"/>
          <w:sz w:val="20"/>
        </w:rPr>
        <w:t>There were no differences between the sample mean changes in approach-avoidance bias</w:t>
      </w:r>
      <w:r>
        <w:rPr>
          <w:spacing w:val="-21"/>
          <w:w w:val="110"/>
          <w:sz w:val="20"/>
        </w:rPr>
        <w:t> </w:t>
      </w:r>
      <w:r>
        <w:rPr>
          <w:w w:val="110"/>
          <w:sz w:val="20"/>
        </w:rPr>
        <w:t>scores</w:t>
      </w:r>
      <w:r>
        <w:rPr>
          <w:spacing w:val="-20"/>
          <w:w w:val="110"/>
          <w:sz w:val="20"/>
        </w:rPr>
        <w:t> </w:t>
      </w:r>
      <w:r>
        <w:rPr>
          <w:w w:val="110"/>
          <w:sz w:val="20"/>
        </w:rPr>
        <w:t>for</w:t>
      </w:r>
      <w:r>
        <w:rPr>
          <w:spacing w:val="-20"/>
          <w:w w:val="110"/>
          <w:sz w:val="20"/>
        </w:rPr>
        <w:t> </w:t>
      </w:r>
      <w:r>
        <w:rPr>
          <w:w w:val="110"/>
          <w:sz w:val="20"/>
        </w:rPr>
        <w:t>no-go</w:t>
      </w:r>
      <w:r>
        <w:rPr>
          <w:spacing w:val="-20"/>
          <w:w w:val="110"/>
          <w:sz w:val="20"/>
        </w:rPr>
        <w:t> </w:t>
      </w:r>
      <w:r>
        <w:rPr>
          <w:w w:val="110"/>
          <w:sz w:val="20"/>
        </w:rPr>
        <w:t>and</w:t>
      </w:r>
      <w:r>
        <w:rPr>
          <w:spacing w:val="-20"/>
          <w:w w:val="110"/>
          <w:sz w:val="20"/>
        </w:rPr>
        <w:t> </w:t>
      </w:r>
      <w:r>
        <w:rPr>
          <w:w w:val="110"/>
          <w:sz w:val="20"/>
        </w:rPr>
        <w:t>go</w:t>
      </w:r>
      <w:r>
        <w:rPr>
          <w:spacing w:val="-20"/>
          <w:w w:val="110"/>
          <w:sz w:val="20"/>
        </w:rPr>
        <w:t> </w:t>
      </w:r>
      <w:r>
        <w:rPr>
          <w:w w:val="110"/>
          <w:sz w:val="20"/>
        </w:rPr>
        <w:t>foods</w:t>
      </w:r>
      <w:r>
        <w:rPr>
          <w:spacing w:val="-20"/>
          <w:w w:val="110"/>
          <w:sz w:val="20"/>
        </w:rPr>
        <w:t> </w:t>
      </w:r>
      <w:r>
        <w:rPr>
          <w:w w:val="110"/>
          <w:sz w:val="20"/>
        </w:rPr>
        <w:t>compared</w:t>
      </w:r>
      <w:r>
        <w:rPr>
          <w:spacing w:val="-20"/>
          <w:w w:val="110"/>
          <w:sz w:val="20"/>
        </w:rPr>
        <w:t> </w:t>
      </w:r>
      <w:r>
        <w:rPr>
          <w:w w:val="110"/>
          <w:sz w:val="20"/>
        </w:rPr>
        <w:t>to</w:t>
      </w:r>
      <w:r>
        <w:rPr>
          <w:spacing w:val="-20"/>
          <w:w w:val="110"/>
          <w:sz w:val="20"/>
        </w:rPr>
        <w:t> </w:t>
      </w:r>
      <w:r>
        <w:rPr>
          <w:w w:val="110"/>
          <w:sz w:val="20"/>
        </w:rPr>
        <w:t>control</w:t>
      </w:r>
      <w:r>
        <w:rPr>
          <w:spacing w:val="-20"/>
          <w:w w:val="110"/>
          <w:sz w:val="20"/>
        </w:rPr>
        <w:t> </w:t>
      </w:r>
      <w:r>
        <w:rPr>
          <w:w w:val="110"/>
          <w:sz w:val="20"/>
        </w:rPr>
        <w:t>(filler)</w:t>
      </w:r>
      <w:r>
        <w:rPr>
          <w:spacing w:val="-20"/>
          <w:w w:val="110"/>
          <w:sz w:val="20"/>
        </w:rPr>
        <w:t> </w:t>
      </w:r>
      <w:r>
        <w:rPr>
          <w:w w:val="110"/>
          <w:sz w:val="20"/>
        </w:rPr>
        <w:t>foods,</w:t>
      </w:r>
      <w:r>
        <w:rPr>
          <w:spacing w:val="-19"/>
          <w:w w:val="110"/>
          <w:sz w:val="20"/>
        </w:rPr>
        <w:t> </w:t>
      </w:r>
      <w:r>
        <w:rPr>
          <w:w w:val="110"/>
          <w:sz w:val="20"/>
        </w:rPr>
        <w:t>as</w:t>
      </w:r>
      <w:r>
        <w:rPr>
          <w:spacing w:val="-21"/>
          <w:w w:val="110"/>
          <w:sz w:val="20"/>
        </w:rPr>
        <w:t> </w:t>
      </w:r>
      <w:r>
        <w:rPr>
          <w:w w:val="110"/>
          <w:sz w:val="20"/>
        </w:rPr>
        <w:t>shown</w:t>
      </w:r>
      <w:r>
        <w:rPr>
          <w:spacing w:val="-20"/>
          <w:w w:val="110"/>
          <w:sz w:val="20"/>
        </w:rPr>
        <w:t> </w:t>
      </w:r>
      <w:r>
        <w:rPr>
          <w:spacing w:val="-3"/>
          <w:w w:val="110"/>
          <w:sz w:val="20"/>
        </w:rPr>
        <w:t>by</w:t>
      </w:r>
      <w:r>
        <w:rPr>
          <w:spacing w:val="-20"/>
          <w:w w:val="110"/>
          <w:sz w:val="20"/>
        </w:rPr>
        <w:t> </w:t>
      </w:r>
      <w:r>
        <w:rPr>
          <w:w w:val="110"/>
          <w:sz w:val="20"/>
        </w:rPr>
        <w:t>the</w:t>
      </w:r>
      <w:r>
        <w:rPr>
          <w:spacing w:val="-20"/>
          <w:w w:val="110"/>
          <w:sz w:val="20"/>
        </w:rPr>
        <w:t> </w:t>
      </w:r>
      <w:r>
        <w:rPr>
          <w:w w:val="110"/>
          <w:sz w:val="20"/>
        </w:rPr>
        <w:t>dashed</w:t>
      </w:r>
      <w:r>
        <w:rPr>
          <w:spacing w:val="-20"/>
          <w:w w:val="110"/>
          <w:sz w:val="20"/>
        </w:rPr>
        <w:t> </w:t>
      </w:r>
      <w:r>
        <w:rPr>
          <w:w w:val="110"/>
          <w:sz w:val="20"/>
        </w:rPr>
        <w:t>lines.</w:t>
      </w:r>
      <w:r>
        <w:rPr>
          <w:spacing w:val="-5"/>
          <w:w w:val="110"/>
          <w:sz w:val="20"/>
        </w:rPr>
        <w:t> </w:t>
      </w:r>
      <w:r>
        <w:rPr>
          <w:spacing w:val="-3"/>
          <w:w w:val="110"/>
          <w:sz w:val="20"/>
        </w:rPr>
        <w:t>At</w:t>
      </w:r>
      <w:r>
        <w:rPr>
          <w:spacing w:val="-20"/>
          <w:w w:val="110"/>
          <w:sz w:val="20"/>
        </w:rPr>
        <w:t> </w:t>
      </w:r>
      <w:r>
        <w:rPr>
          <w:w w:val="110"/>
          <w:sz w:val="20"/>
        </w:rPr>
        <w:t>a</w:t>
      </w:r>
      <w:r>
        <w:rPr>
          <w:spacing w:val="-20"/>
          <w:w w:val="110"/>
          <w:sz w:val="20"/>
        </w:rPr>
        <w:t> </w:t>
      </w:r>
      <w:r>
        <w:rPr>
          <w:w w:val="110"/>
          <w:sz w:val="20"/>
        </w:rPr>
        <w:t>closer inspection, individual bias scores do not seem to </w:t>
      </w:r>
      <w:r>
        <w:rPr>
          <w:spacing w:val="2"/>
          <w:w w:val="110"/>
          <w:sz w:val="20"/>
        </w:rPr>
        <w:t>be </w:t>
      </w:r>
      <w:r>
        <w:rPr>
          <w:w w:val="110"/>
          <w:sz w:val="20"/>
        </w:rPr>
        <w:t>clustered around the positive end of the distribution  as it would </w:t>
      </w:r>
      <w:r>
        <w:rPr>
          <w:spacing w:val="2"/>
          <w:w w:val="110"/>
          <w:sz w:val="20"/>
        </w:rPr>
        <w:t>be </w:t>
      </w:r>
      <w:r>
        <w:rPr>
          <w:w w:val="110"/>
          <w:sz w:val="20"/>
        </w:rPr>
        <w:t>expected for for appetitive unhealthy foods, but actually show less dispersion around zero. Exploratory</w:t>
      </w:r>
      <w:r>
        <w:rPr>
          <w:spacing w:val="-14"/>
          <w:w w:val="110"/>
          <w:sz w:val="20"/>
        </w:rPr>
        <w:t> </w:t>
      </w:r>
      <w:r>
        <w:rPr>
          <w:w w:val="110"/>
          <w:sz w:val="20"/>
        </w:rPr>
        <w:t>analyses</w:t>
      </w:r>
      <w:r>
        <w:rPr>
          <w:spacing w:val="-14"/>
          <w:w w:val="110"/>
          <w:sz w:val="20"/>
        </w:rPr>
        <w:t> </w:t>
      </w:r>
      <w:r>
        <w:rPr>
          <w:w w:val="110"/>
          <w:sz w:val="20"/>
        </w:rPr>
        <w:t>confirmed</w:t>
      </w:r>
      <w:r>
        <w:rPr>
          <w:spacing w:val="-14"/>
          <w:w w:val="110"/>
          <w:sz w:val="20"/>
        </w:rPr>
        <w:t> </w:t>
      </w:r>
      <w:r>
        <w:rPr>
          <w:w w:val="110"/>
          <w:sz w:val="20"/>
        </w:rPr>
        <w:t>that</w:t>
      </w:r>
      <w:r>
        <w:rPr>
          <w:spacing w:val="-14"/>
          <w:w w:val="110"/>
          <w:sz w:val="20"/>
        </w:rPr>
        <w:t> </w:t>
      </w:r>
      <w:r>
        <w:rPr>
          <w:w w:val="110"/>
          <w:sz w:val="20"/>
        </w:rPr>
        <w:t>baseline</w:t>
      </w:r>
      <w:r>
        <w:rPr>
          <w:spacing w:val="-14"/>
          <w:w w:val="110"/>
          <w:sz w:val="20"/>
        </w:rPr>
        <w:t> </w:t>
      </w:r>
      <w:r>
        <w:rPr>
          <w:w w:val="110"/>
          <w:sz w:val="20"/>
        </w:rPr>
        <w:t>bias</w:t>
      </w:r>
      <w:r>
        <w:rPr>
          <w:spacing w:val="-13"/>
          <w:w w:val="110"/>
          <w:sz w:val="20"/>
        </w:rPr>
        <w:t> </w:t>
      </w:r>
      <w:r>
        <w:rPr>
          <w:w w:val="110"/>
          <w:sz w:val="20"/>
        </w:rPr>
        <w:t>scores</w:t>
      </w:r>
      <w:r>
        <w:rPr>
          <w:spacing w:val="-14"/>
          <w:w w:val="110"/>
          <w:sz w:val="20"/>
        </w:rPr>
        <w:t> </w:t>
      </w:r>
      <w:r>
        <w:rPr>
          <w:w w:val="110"/>
          <w:sz w:val="20"/>
        </w:rPr>
        <w:t>did</w:t>
      </w:r>
      <w:r>
        <w:rPr>
          <w:spacing w:val="-14"/>
          <w:w w:val="110"/>
          <w:sz w:val="20"/>
        </w:rPr>
        <w:t> </w:t>
      </w:r>
      <w:r>
        <w:rPr>
          <w:w w:val="110"/>
          <w:sz w:val="20"/>
        </w:rPr>
        <w:t>not</w:t>
      </w:r>
      <w:r>
        <w:rPr>
          <w:spacing w:val="-14"/>
          <w:w w:val="110"/>
          <w:sz w:val="20"/>
        </w:rPr>
        <w:t> </w:t>
      </w:r>
      <w:r>
        <w:rPr>
          <w:w w:val="110"/>
          <w:sz w:val="20"/>
        </w:rPr>
        <w:t>statistically</w:t>
      </w:r>
      <w:r>
        <w:rPr>
          <w:spacing w:val="-14"/>
          <w:w w:val="110"/>
          <w:sz w:val="20"/>
        </w:rPr>
        <w:t> </w:t>
      </w:r>
      <w:r>
        <w:rPr>
          <w:w w:val="110"/>
          <w:sz w:val="20"/>
        </w:rPr>
        <w:t>deviate</w:t>
      </w:r>
      <w:r>
        <w:rPr>
          <w:spacing w:val="-14"/>
          <w:w w:val="110"/>
          <w:sz w:val="20"/>
        </w:rPr>
        <w:t> </w:t>
      </w:r>
      <w:r>
        <w:rPr>
          <w:w w:val="110"/>
          <w:sz w:val="20"/>
        </w:rPr>
        <w:t>from</w:t>
      </w:r>
      <w:r>
        <w:rPr>
          <w:spacing w:val="-13"/>
          <w:w w:val="110"/>
          <w:sz w:val="20"/>
        </w:rPr>
        <w:t> </w:t>
      </w:r>
      <w:r>
        <w:rPr>
          <w:w w:val="110"/>
          <w:sz w:val="20"/>
        </w:rPr>
        <w:t>zero</w:t>
      </w:r>
      <w:r>
        <w:rPr>
          <w:spacing w:val="-14"/>
          <w:w w:val="110"/>
          <w:sz w:val="20"/>
        </w:rPr>
        <w:t> </w:t>
      </w:r>
      <w:r>
        <w:rPr>
          <w:w w:val="110"/>
          <w:sz w:val="20"/>
        </w:rPr>
        <w:t>(see</w:t>
      </w:r>
      <w:r>
        <w:rPr>
          <w:spacing w:val="-14"/>
          <w:w w:val="110"/>
          <w:sz w:val="20"/>
        </w:rPr>
        <w:t> </w:t>
      </w:r>
      <w:hyperlink w:history="true" w:anchor="_bookmark22">
        <w:r>
          <w:rPr>
            <w:i/>
            <w:w w:val="110"/>
            <w:sz w:val="20"/>
          </w:rPr>
          <w:t>Baseline</w:t>
        </w:r>
      </w:hyperlink>
      <w:r>
        <w:rPr>
          <w:i/>
          <w:w w:val="110"/>
          <w:sz w:val="20"/>
        </w:rPr>
        <w:t> </w:t>
      </w:r>
      <w:hyperlink w:history="true" w:anchor="_bookmark22">
        <w:r>
          <w:rPr>
            <w:i/>
            <w:spacing w:val="-3"/>
            <w:w w:val="110"/>
            <w:sz w:val="20"/>
          </w:rPr>
          <w:t>approach </w:t>
        </w:r>
        <w:r>
          <w:rPr>
            <w:i/>
            <w:w w:val="110"/>
            <w:sz w:val="20"/>
          </w:rPr>
          <w:t>bias </w:t>
        </w:r>
        <w:r>
          <w:rPr>
            <w:i/>
            <w:spacing w:val="-4"/>
            <w:w w:val="110"/>
            <w:sz w:val="20"/>
          </w:rPr>
          <w:t>scores</w:t>
        </w:r>
      </w:hyperlink>
      <w:r>
        <w:rPr>
          <w:spacing w:val="-4"/>
          <w:w w:val="110"/>
          <w:sz w:val="20"/>
        </w:rPr>
        <w:t>). </w:t>
      </w:r>
      <w:r>
        <w:rPr>
          <w:i/>
          <w:w w:val="110"/>
          <w:sz w:val="20"/>
        </w:rPr>
        <w:t>Note. </w:t>
      </w:r>
      <w:r>
        <w:rPr>
          <w:w w:val="110"/>
          <w:sz w:val="20"/>
        </w:rPr>
        <w:t>The ‘split-half violin’ elements in the plot show smoothed</w:t>
      </w:r>
      <w:r>
        <w:rPr>
          <w:spacing w:val="-32"/>
          <w:w w:val="110"/>
          <w:sz w:val="20"/>
        </w:rPr>
        <w:t> </w:t>
      </w:r>
      <w:r>
        <w:rPr>
          <w:w w:val="110"/>
          <w:sz w:val="20"/>
        </w:rPr>
        <w:t>distributions.</w:t>
      </w:r>
    </w:p>
    <w:p>
      <w:pPr>
        <w:pStyle w:val="BodyText"/>
        <w:spacing w:before="0"/>
        <w:ind w:left="0"/>
        <w:rPr>
          <w:sz w:val="20"/>
        </w:rPr>
      </w:pPr>
    </w:p>
    <w:p>
      <w:pPr>
        <w:pStyle w:val="BodyText"/>
        <w:spacing w:before="0"/>
        <w:ind w:left="0"/>
        <w:rPr>
          <w:sz w:val="20"/>
        </w:rPr>
      </w:pPr>
    </w:p>
    <w:p>
      <w:pPr>
        <w:tabs>
          <w:tab w:pos="1195" w:val="left" w:leader="none"/>
          <w:tab w:pos="5350" w:val="left" w:leader="none"/>
        </w:tabs>
        <w:spacing w:before="275"/>
        <w:ind w:left="230" w:right="0" w:firstLine="0"/>
        <w:jc w:val="left"/>
        <w:rPr>
          <w:sz w:val="24"/>
        </w:rPr>
      </w:pPr>
      <w:r>
        <w:rPr>
          <w:rFonts w:ascii="Arial"/>
          <w:w w:val="105"/>
          <w:sz w:val="12"/>
        </w:rPr>
        <w:t>469</w:t>
        <w:tab/>
      </w:r>
      <w:bookmarkStart w:name="Manipulation checks for training" w:id="45"/>
      <w:bookmarkEnd w:id="45"/>
      <w:r>
        <w:rPr>
          <w:rFonts w:ascii="Arial"/>
          <w:w w:val="105"/>
          <w:sz w:val="12"/>
        </w:rPr>
      </w:r>
      <w:r>
        <w:rPr>
          <w:b/>
          <w:w w:val="105"/>
          <w:sz w:val="24"/>
        </w:rPr>
        <w:t>Manipulation  </w:t>
      </w:r>
      <w:r>
        <w:rPr>
          <w:b/>
          <w:spacing w:val="-3"/>
          <w:w w:val="105"/>
          <w:sz w:val="24"/>
        </w:rPr>
        <w:t>checks </w:t>
      </w:r>
      <w:r>
        <w:rPr>
          <w:b/>
          <w:spacing w:val="26"/>
          <w:w w:val="105"/>
          <w:sz w:val="24"/>
        </w:rPr>
        <w:t> </w:t>
      </w:r>
      <w:r>
        <w:rPr>
          <w:b/>
          <w:w w:val="105"/>
          <w:sz w:val="24"/>
        </w:rPr>
        <w:t>for </w:t>
      </w:r>
      <w:r>
        <w:rPr>
          <w:b/>
          <w:spacing w:val="12"/>
          <w:w w:val="105"/>
          <w:sz w:val="24"/>
        </w:rPr>
        <w:t> </w:t>
      </w:r>
      <w:r>
        <w:rPr>
          <w:b/>
          <w:w w:val="105"/>
          <w:sz w:val="24"/>
        </w:rPr>
        <w:t>training.</w:t>
        <w:tab/>
      </w:r>
      <w:r>
        <w:rPr>
          <w:w w:val="105"/>
          <w:sz w:val="24"/>
        </w:rPr>
        <w:t>As a first manipulation </w:t>
      </w:r>
      <w:r>
        <w:rPr>
          <w:spacing w:val="-3"/>
          <w:w w:val="105"/>
          <w:sz w:val="24"/>
        </w:rPr>
        <w:t>check </w:t>
      </w:r>
      <w:r>
        <w:rPr>
          <w:w w:val="105"/>
          <w:sz w:val="24"/>
        </w:rPr>
        <w:t>for</w:t>
      </w:r>
      <w:r>
        <w:rPr>
          <w:spacing w:val="24"/>
          <w:w w:val="105"/>
          <w:sz w:val="24"/>
        </w:rPr>
        <w:t> </w:t>
      </w:r>
      <w:r>
        <w:rPr>
          <w:w w:val="105"/>
          <w:sz w:val="24"/>
        </w:rPr>
        <w:t>training</w:t>
      </w:r>
    </w:p>
    <w:p>
      <w:pPr>
        <w:pStyle w:val="BodyText"/>
      </w:pPr>
      <w:r>
        <w:rPr>
          <w:rFonts w:ascii="Arial"/>
          <w:w w:val="105"/>
          <w:sz w:val="12"/>
        </w:rPr>
        <w:t>470</w:t>
      </w:r>
      <w:r>
        <w:rPr>
          <w:rFonts w:ascii="Arial"/>
          <w:spacing w:val="28"/>
          <w:w w:val="105"/>
          <w:sz w:val="12"/>
        </w:rPr>
        <w:t> </w:t>
      </w:r>
      <w:r>
        <w:rPr>
          <w:w w:val="105"/>
        </w:rPr>
        <w:t>outcomes, it </w:t>
      </w:r>
      <w:r>
        <w:rPr>
          <w:spacing w:val="-3"/>
          <w:w w:val="105"/>
        </w:rPr>
        <w:t>was </w:t>
      </w:r>
      <w:r>
        <w:rPr>
          <w:w w:val="105"/>
        </w:rPr>
        <w:t>investigated whether GNG changed the evaluations of </w:t>
      </w:r>
      <w:r>
        <w:rPr>
          <w:spacing w:val="2"/>
          <w:w w:val="105"/>
        </w:rPr>
        <w:t>foods </w:t>
      </w:r>
      <w:r>
        <w:rPr>
          <w:w w:val="105"/>
        </w:rPr>
        <w:t>associated with</w:t>
      </w:r>
    </w:p>
    <w:p>
      <w:pPr>
        <w:pStyle w:val="BodyText"/>
      </w:pPr>
      <w:r>
        <w:rPr>
          <w:rFonts w:ascii="Arial"/>
          <w:w w:val="105"/>
          <w:sz w:val="12"/>
        </w:rPr>
        <w:t>471    </w:t>
      </w:r>
      <w:r>
        <w:rPr>
          <w:w w:val="105"/>
        </w:rPr>
        <w:t>signal and no-signal trials compared to the evaluations of filler </w:t>
      </w:r>
      <w:r>
        <w:rPr>
          <w:spacing w:val="2"/>
          <w:w w:val="105"/>
        </w:rPr>
        <w:t>foods </w:t>
      </w:r>
      <w:r>
        <w:rPr>
          <w:w w:val="105"/>
        </w:rPr>
        <w:t>which were paired</w:t>
      </w:r>
      <w:r>
        <w:rPr>
          <w:spacing w:val="-23"/>
          <w:w w:val="105"/>
        </w:rPr>
        <w:t> </w:t>
      </w:r>
      <w:r>
        <w:rPr>
          <w:w w:val="105"/>
        </w:rPr>
        <w:t>with</w:t>
      </w:r>
    </w:p>
    <w:p>
      <w:pPr>
        <w:pStyle w:val="BodyText"/>
        <w:spacing w:before="203"/>
      </w:pPr>
      <w:r>
        <w:rPr>
          <w:rFonts w:ascii="Arial"/>
          <w:w w:val="105"/>
          <w:sz w:val="12"/>
        </w:rPr>
        <w:t>472 </w:t>
      </w:r>
      <w:r>
        <w:rPr>
          <w:w w:val="105"/>
        </w:rPr>
        <w:t>either type of trial with equal probability (control). There </w:t>
      </w:r>
      <w:r>
        <w:rPr>
          <w:spacing w:val="-3"/>
          <w:w w:val="105"/>
        </w:rPr>
        <w:t>was </w:t>
      </w:r>
      <w:r>
        <w:rPr>
          <w:w w:val="105"/>
        </w:rPr>
        <w:t>only </w:t>
      </w:r>
      <w:r>
        <w:rPr>
          <w:i/>
          <w:spacing w:val="-3"/>
          <w:w w:val="105"/>
        </w:rPr>
        <w:t>anecdotal </w:t>
      </w:r>
      <w:r>
        <w:rPr>
          <w:w w:val="105"/>
        </w:rPr>
        <w:t>evidence</w:t>
      </w:r>
      <w:r>
        <w:rPr>
          <w:spacing w:val="51"/>
          <w:w w:val="105"/>
        </w:rPr>
        <w:t> </w:t>
      </w:r>
      <w:r>
        <w:rPr>
          <w:w w:val="105"/>
        </w:rPr>
        <w:t>for</w:t>
      </w:r>
    </w:p>
    <w:p>
      <w:pPr>
        <w:pStyle w:val="BodyText"/>
      </w:pPr>
      <w:r>
        <w:rPr>
          <w:rFonts w:ascii="Arial"/>
          <w:w w:val="105"/>
          <w:sz w:val="12"/>
        </w:rPr>
        <w:t>473 </w:t>
      </w:r>
      <w:r>
        <w:rPr>
          <w:w w:val="105"/>
        </w:rPr>
        <w:t>the absence of a general effect of training condition on the changes in liking from pre- to</w:t>
      </w:r>
    </w:p>
    <w:p>
      <w:pPr>
        <w:pStyle w:val="BodyText"/>
      </w:pPr>
      <w:r>
        <w:rPr>
          <w:rFonts w:ascii="Arial"/>
          <w:w w:val="110"/>
          <w:sz w:val="12"/>
        </w:rPr>
        <w:t>474 </w:t>
      </w:r>
      <w:r>
        <w:rPr>
          <w:w w:val="110"/>
        </w:rPr>
        <w:t>post- training [H3; </w:t>
      </w:r>
      <w:r>
        <w:rPr>
          <w:i/>
          <w:w w:val="110"/>
        </w:rPr>
        <w:t>BF </w:t>
      </w:r>
      <w:r>
        <w:rPr>
          <w:w w:val="110"/>
          <w:vertAlign w:val="subscript"/>
        </w:rPr>
        <w:t>01</w:t>
      </w:r>
      <w:r>
        <w:rPr>
          <w:w w:val="110"/>
          <w:vertAlign w:val="baseline"/>
        </w:rPr>
        <w:t> = 2.89; </w:t>
      </w:r>
      <w:r>
        <w:rPr>
          <w:i/>
          <w:w w:val="110"/>
          <w:vertAlign w:val="baseline"/>
        </w:rPr>
        <w:t>F </w:t>
      </w:r>
      <w:r>
        <w:rPr>
          <w:w w:val="110"/>
          <w:vertAlign w:val="baseline"/>
        </w:rPr>
        <w:t>(2, 324) = 2.90, </w:t>
      </w:r>
      <w:r>
        <w:rPr>
          <w:i/>
          <w:w w:val="110"/>
          <w:vertAlign w:val="baseline"/>
        </w:rPr>
        <w:t>p </w:t>
      </w:r>
      <w:r>
        <w:rPr>
          <w:w w:val="110"/>
          <w:vertAlign w:val="baseline"/>
        </w:rPr>
        <w:t>= 0.057]. The change in liking scores</w:t>
      </w:r>
    </w:p>
    <w:p>
      <w:pPr>
        <w:spacing w:after="0"/>
        <w:sectPr>
          <w:pgSz w:w="12240" w:h="15840"/>
          <w:pgMar w:header="649" w:footer="0" w:top="1320" w:bottom="280" w:left="820" w:right="1140"/>
        </w:sectPr>
      </w:pPr>
    </w:p>
    <w:p>
      <w:pPr>
        <w:spacing w:before="129"/>
        <w:ind w:left="620" w:right="0" w:firstLine="0"/>
        <w:jc w:val="left"/>
        <w:rPr>
          <w:b/>
          <w:sz w:val="20"/>
        </w:rPr>
      </w:pPr>
      <w:bookmarkStart w:name="_bookmark20" w:id="46"/>
      <w:bookmarkEnd w:id="46"/>
      <w:r>
        <w:rPr/>
      </w:r>
      <w:r>
        <w:rPr>
          <w:b/>
          <w:w w:val="115"/>
          <w:sz w:val="20"/>
        </w:rPr>
        <w:t>Table 1</w:t>
      </w:r>
    </w:p>
    <w:p>
      <w:pPr>
        <w:spacing w:before="165"/>
        <w:ind w:left="620" w:right="0" w:firstLine="0"/>
        <w:jc w:val="left"/>
        <w:rPr>
          <w:i/>
          <w:sz w:val="20"/>
        </w:rPr>
      </w:pPr>
      <w:r>
        <w:rPr>
          <w:i/>
          <w:w w:val="105"/>
          <w:sz w:val="20"/>
        </w:rPr>
        <w:t>Results for </w:t>
      </w:r>
      <w:r>
        <w:rPr>
          <w:i/>
          <w:spacing w:val="5"/>
          <w:w w:val="105"/>
          <w:sz w:val="20"/>
        </w:rPr>
        <w:t>all </w:t>
      </w:r>
      <w:r>
        <w:rPr>
          <w:i/>
          <w:spacing w:val="-4"/>
          <w:w w:val="105"/>
          <w:sz w:val="20"/>
        </w:rPr>
        <w:t>pre-registered </w:t>
      </w:r>
      <w:r>
        <w:rPr>
          <w:i/>
          <w:w w:val="105"/>
          <w:sz w:val="20"/>
        </w:rPr>
        <w:t>hypotheses and </w:t>
      </w:r>
      <w:r>
        <w:rPr>
          <w:i/>
          <w:spacing w:val="-4"/>
          <w:w w:val="105"/>
          <w:sz w:val="20"/>
        </w:rPr>
        <w:t>respective </w:t>
      </w:r>
      <w:r>
        <w:rPr>
          <w:i/>
          <w:w w:val="105"/>
          <w:sz w:val="20"/>
        </w:rPr>
        <w:t>statistical</w:t>
      </w:r>
      <w:r>
        <w:rPr>
          <w:i/>
          <w:spacing w:val="51"/>
          <w:w w:val="105"/>
          <w:sz w:val="20"/>
        </w:rPr>
        <w:t> </w:t>
      </w:r>
      <w:r>
        <w:rPr>
          <w:i/>
          <w:w w:val="105"/>
          <w:sz w:val="20"/>
        </w:rPr>
        <w:t>tests</w:t>
      </w:r>
    </w:p>
    <w:p>
      <w:pPr>
        <w:pStyle w:val="BodyText"/>
        <w:spacing w:before="5"/>
        <w:ind w:left="0"/>
        <w:rPr>
          <w:i/>
          <w:sz w:val="20"/>
        </w:rPr>
      </w:pPr>
      <w:r>
        <w:rPr/>
        <w:pict>
          <v:line style="position:absolute;mso-position-horizontal-relative:page;mso-position-vertical-relative:paragraph;z-index:-784;mso-wrap-distance-left:0;mso-wrap-distance-right:0" from="72pt,14.242579pt" to="540.759pt,14.242579pt" stroked="true" strokeweight=".936pt" strokecolor="#000000">
            <v:stroke dashstyle="solid"/>
            <w10:wrap type="topAndBottom"/>
          </v:line>
        </w:pict>
      </w:r>
    </w:p>
    <w:p>
      <w:pPr>
        <w:pStyle w:val="BodyText"/>
        <w:spacing w:before="148"/>
        <w:ind w:left="5575"/>
        <w:rPr>
          <w:i/>
        </w:rPr>
      </w:pPr>
      <w:r>
        <w:rPr/>
        <w:t>95% CI for </w:t>
      </w:r>
      <w:r>
        <w:rPr>
          <w:i/>
        </w:rPr>
        <w:t>d</w:t>
      </w:r>
    </w:p>
    <w:p>
      <w:pPr>
        <w:pStyle w:val="BodyText"/>
        <w:spacing w:before="3"/>
        <w:ind w:left="0"/>
        <w:rPr>
          <w:i/>
          <w:sz w:val="8"/>
        </w:rPr>
      </w:pPr>
    </w:p>
    <w:tbl>
      <w:tblPr>
        <w:tblW w:w="0" w:type="auto"/>
        <w:jc w:val="left"/>
        <w:tblInd w:w="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2"/>
        <w:gridCol w:w="1124"/>
        <w:gridCol w:w="734"/>
        <w:gridCol w:w="591"/>
        <w:gridCol w:w="917"/>
        <w:gridCol w:w="734"/>
        <w:gridCol w:w="856"/>
        <w:gridCol w:w="876"/>
        <w:gridCol w:w="2771"/>
        <w:gridCol w:w="118"/>
      </w:tblGrid>
      <w:tr>
        <w:trPr>
          <w:trHeight w:val="508" w:hRule="atLeast"/>
        </w:trPr>
        <w:tc>
          <w:tcPr>
            <w:tcW w:w="662" w:type="dxa"/>
            <w:tcBorders>
              <w:bottom w:val="single" w:sz="4" w:space="0" w:color="000000"/>
            </w:tcBorders>
          </w:tcPr>
          <w:p>
            <w:pPr>
              <w:pStyle w:val="TableParagraph"/>
              <w:rPr>
                <w:sz w:val="22"/>
              </w:rPr>
            </w:pPr>
          </w:p>
        </w:tc>
        <w:tc>
          <w:tcPr>
            <w:tcW w:w="1124" w:type="dxa"/>
            <w:tcBorders>
              <w:bottom w:val="single" w:sz="4" w:space="0" w:color="000000"/>
            </w:tcBorders>
          </w:tcPr>
          <w:p>
            <w:pPr>
              <w:pStyle w:val="TableParagraph"/>
              <w:spacing w:before="101"/>
              <w:ind w:right="128"/>
              <w:jc w:val="right"/>
              <w:rPr>
                <w:sz w:val="24"/>
              </w:rPr>
            </w:pPr>
            <w:r>
              <w:rPr>
                <w:i/>
                <w:w w:val="105"/>
                <w:sz w:val="24"/>
              </w:rPr>
              <w:t>BF </w:t>
            </w:r>
            <w:r>
              <w:rPr>
                <w:w w:val="105"/>
                <w:sz w:val="24"/>
                <w:vertAlign w:val="subscript"/>
              </w:rPr>
              <w:t>10</w:t>
            </w:r>
          </w:p>
        </w:tc>
        <w:tc>
          <w:tcPr>
            <w:tcW w:w="734" w:type="dxa"/>
            <w:tcBorders>
              <w:bottom w:val="single" w:sz="4" w:space="0" w:color="000000"/>
            </w:tcBorders>
          </w:tcPr>
          <w:p>
            <w:pPr>
              <w:pStyle w:val="TableParagraph"/>
              <w:spacing w:before="101"/>
              <w:ind w:right="135"/>
              <w:jc w:val="right"/>
              <w:rPr>
                <w:i/>
                <w:sz w:val="24"/>
              </w:rPr>
            </w:pPr>
            <w:r>
              <w:rPr>
                <w:i/>
                <w:w w:val="116"/>
                <w:sz w:val="24"/>
              </w:rPr>
              <w:t>t</w:t>
            </w:r>
          </w:p>
        </w:tc>
        <w:tc>
          <w:tcPr>
            <w:tcW w:w="591" w:type="dxa"/>
            <w:tcBorders>
              <w:bottom w:val="single" w:sz="4" w:space="0" w:color="000000"/>
            </w:tcBorders>
          </w:tcPr>
          <w:p>
            <w:pPr>
              <w:pStyle w:val="TableParagraph"/>
              <w:spacing w:before="101"/>
              <w:ind w:left="95" w:right="22"/>
              <w:jc w:val="center"/>
              <w:rPr>
                <w:i/>
                <w:sz w:val="24"/>
              </w:rPr>
            </w:pPr>
            <w:r>
              <w:rPr>
                <w:i/>
                <w:sz w:val="24"/>
              </w:rPr>
              <w:t>df</w:t>
            </w:r>
          </w:p>
        </w:tc>
        <w:tc>
          <w:tcPr>
            <w:tcW w:w="917" w:type="dxa"/>
            <w:tcBorders>
              <w:bottom w:val="single" w:sz="4" w:space="0" w:color="000000"/>
            </w:tcBorders>
          </w:tcPr>
          <w:p>
            <w:pPr>
              <w:pStyle w:val="TableParagraph"/>
              <w:spacing w:before="101"/>
              <w:ind w:right="127"/>
              <w:jc w:val="right"/>
              <w:rPr>
                <w:i/>
                <w:sz w:val="24"/>
              </w:rPr>
            </w:pPr>
            <w:r>
              <w:rPr>
                <w:i/>
                <w:w w:val="99"/>
                <w:sz w:val="24"/>
              </w:rPr>
              <w:t>p</w:t>
            </w:r>
          </w:p>
        </w:tc>
        <w:tc>
          <w:tcPr>
            <w:tcW w:w="734" w:type="dxa"/>
            <w:tcBorders>
              <w:bottom w:val="single" w:sz="4" w:space="0" w:color="000000"/>
            </w:tcBorders>
          </w:tcPr>
          <w:p>
            <w:pPr>
              <w:pStyle w:val="TableParagraph"/>
              <w:spacing w:before="101"/>
              <w:ind w:right="140"/>
              <w:jc w:val="right"/>
              <w:rPr>
                <w:i/>
                <w:sz w:val="24"/>
              </w:rPr>
            </w:pPr>
            <w:r>
              <w:rPr>
                <w:i/>
                <w:w w:val="99"/>
                <w:sz w:val="24"/>
              </w:rPr>
              <w:t>d</w:t>
            </w:r>
          </w:p>
        </w:tc>
        <w:tc>
          <w:tcPr>
            <w:tcW w:w="856" w:type="dxa"/>
            <w:tcBorders>
              <w:top w:val="single" w:sz="4" w:space="0" w:color="000000"/>
              <w:bottom w:val="single" w:sz="4" w:space="0" w:color="000000"/>
            </w:tcBorders>
          </w:tcPr>
          <w:p>
            <w:pPr>
              <w:pStyle w:val="TableParagraph"/>
              <w:spacing w:before="101"/>
              <w:ind w:right="123"/>
              <w:jc w:val="right"/>
              <w:rPr>
                <w:sz w:val="24"/>
              </w:rPr>
            </w:pPr>
            <w:r>
              <w:rPr>
                <w:sz w:val="24"/>
              </w:rPr>
              <w:t>Lower</w:t>
            </w:r>
          </w:p>
        </w:tc>
        <w:tc>
          <w:tcPr>
            <w:tcW w:w="876" w:type="dxa"/>
            <w:tcBorders>
              <w:top w:val="single" w:sz="4" w:space="0" w:color="000000"/>
              <w:bottom w:val="single" w:sz="4" w:space="0" w:color="000000"/>
            </w:tcBorders>
          </w:tcPr>
          <w:p>
            <w:pPr>
              <w:pStyle w:val="TableParagraph"/>
              <w:spacing w:before="101"/>
              <w:ind w:right="123"/>
              <w:jc w:val="right"/>
              <w:rPr>
                <w:sz w:val="24"/>
              </w:rPr>
            </w:pPr>
            <w:r>
              <w:rPr>
                <w:w w:val="105"/>
                <w:sz w:val="24"/>
              </w:rPr>
              <w:t>Upper</w:t>
            </w:r>
          </w:p>
        </w:tc>
        <w:tc>
          <w:tcPr>
            <w:tcW w:w="2771" w:type="dxa"/>
            <w:tcBorders>
              <w:bottom w:val="single" w:sz="4" w:space="0" w:color="000000"/>
            </w:tcBorders>
          </w:tcPr>
          <w:p>
            <w:pPr>
              <w:pStyle w:val="TableParagraph"/>
              <w:spacing w:before="101"/>
              <w:ind w:right="7"/>
              <w:jc w:val="right"/>
              <w:rPr>
                <w:sz w:val="24"/>
              </w:rPr>
            </w:pPr>
            <w:r>
              <w:rPr>
                <w:w w:val="105"/>
                <w:sz w:val="24"/>
              </w:rPr>
              <w:t>Evidence interpretation</w:t>
            </w:r>
          </w:p>
        </w:tc>
        <w:tc>
          <w:tcPr>
            <w:tcW w:w="118" w:type="dxa"/>
          </w:tcPr>
          <w:p>
            <w:pPr>
              <w:pStyle w:val="TableParagraph"/>
              <w:rPr>
                <w:sz w:val="22"/>
              </w:rPr>
            </w:pPr>
          </w:p>
        </w:tc>
      </w:tr>
      <w:tr>
        <w:trPr>
          <w:trHeight w:val="545" w:hRule="atLeast"/>
        </w:trPr>
        <w:tc>
          <w:tcPr>
            <w:tcW w:w="662" w:type="dxa"/>
            <w:tcBorders>
              <w:top w:val="single" w:sz="4" w:space="0" w:color="000000"/>
            </w:tcBorders>
          </w:tcPr>
          <w:p>
            <w:pPr>
              <w:pStyle w:val="TableParagraph"/>
              <w:spacing w:before="176"/>
              <w:ind w:left="93" w:right="104"/>
              <w:jc w:val="center"/>
              <w:rPr>
                <w:sz w:val="24"/>
              </w:rPr>
            </w:pPr>
            <w:r>
              <w:rPr>
                <w:sz w:val="24"/>
              </w:rPr>
              <w:t>H1a</w:t>
            </w:r>
          </w:p>
        </w:tc>
        <w:tc>
          <w:tcPr>
            <w:tcW w:w="1124" w:type="dxa"/>
            <w:tcBorders>
              <w:top w:val="single" w:sz="4" w:space="0" w:color="000000"/>
            </w:tcBorders>
          </w:tcPr>
          <w:p>
            <w:pPr>
              <w:pStyle w:val="TableParagraph"/>
              <w:spacing w:before="176"/>
              <w:ind w:right="118"/>
              <w:jc w:val="right"/>
              <w:rPr>
                <w:sz w:val="24"/>
              </w:rPr>
            </w:pPr>
            <w:r>
              <w:rPr>
                <w:w w:val="95"/>
                <w:sz w:val="24"/>
              </w:rPr>
              <w:t>0.107</w:t>
            </w:r>
          </w:p>
        </w:tc>
        <w:tc>
          <w:tcPr>
            <w:tcW w:w="734" w:type="dxa"/>
            <w:tcBorders>
              <w:top w:val="single" w:sz="4" w:space="0" w:color="000000"/>
            </w:tcBorders>
          </w:tcPr>
          <w:p>
            <w:pPr>
              <w:pStyle w:val="TableParagraph"/>
              <w:spacing w:before="176"/>
              <w:ind w:right="118"/>
              <w:jc w:val="right"/>
              <w:rPr>
                <w:sz w:val="24"/>
              </w:rPr>
            </w:pPr>
            <w:r>
              <w:rPr>
                <w:w w:val="95"/>
                <w:sz w:val="24"/>
              </w:rPr>
              <w:t>-0.25</w:t>
            </w:r>
          </w:p>
        </w:tc>
        <w:tc>
          <w:tcPr>
            <w:tcW w:w="591" w:type="dxa"/>
            <w:tcBorders>
              <w:top w:val="single" w:sz="4" w:space="0" w:color="000000"/>
            </w:tcBorders>
          </w:tcPr>
          <w:p>
            <w:pPr>
              <w:pStyle w:val="TableParagraph"/>
              <w:spacing w:before="176"/>
              <w:ind w:left="95" w:right="96"/>
              <w:jc w:val="center"/>
              <w:rPr>
                <w:sz w:val="24"/>
              </w:rPr>
            </w:pPr>
            <w:r>
              <w:rPr>
                <w:sz w:val="24"/>
              </w:rPr>
              <w:t>162</w:t>
            </w:r>
          </w:p>
        </w:tc>
        <w:tc>
          <w:tcPr>
            <w:tcW w:w="917" w:type="dxa"/>
            <w:tcBorders>
              <w:top w:val="single" w:sz="4" w:space="0" w:color="000000"/>
            </w:tcBorders>
          </w:tcPr>
          <w:p>
            <w:pPr>
              <w:pStyle w:val="TableParagraph"/>
              <w:spacing w:before="176"/>
              <w:ind w:right="120"/>
              <w:jc w:val="right"/>
              <w:rPr>
                <w:sz w:val="24"/>
              </w:rPr>
            </w:pPr>
            <w:r>
              <w:rPr>
                <w:w w:val="95"/>
                <w:sz w:val="24"/>
              </w:rPr>
              <w:t>0.805</w:t>
            </w:r>
          </w:p>
        </w:tc>
        <w:tc>
          <w:tcPr>
            <w:tcW w:w="734" w:type="dxa"/>
            <w:tcBorders>
              <w:top w:val="single" w:sz="4" w:space="0" w:color="000000"/>
            </w:tcBorders>
          </w:tcPr>
          <w:p>
            <w:pPr>
              <w:pStyle w:val="TableParagraph"/>
              <w:spacing w:before="176"/>
              <w:ind w:right="120"/>
              <w:jc w:val="right"/>
              <w:rPr>
                <w:sz w:val="24"/>
              </w:rPr>
            </w:pPr>
            <w:r>
              <w:rPr>
                <w:w w:val="95"/>
                <w:sz w:val="24"/>
              </w:rPr>
              <w:t>-0.02</w:t>
            </w:r>
          </w:p>
        </w:tc>
        <w:tc>
          <w:tcPr>
            <w:tcW w:w="856" w:type="dxa"/>
            <w:tcBorders>
              <w:top w:val="single" w:sz="4" w:space="0" w:color="000000"/>
            </w:tcBorders>
          </w:tcPr>
          <w:p>
            <w:pPr>
              <w:pStyle w:val="TableParagraph"/>
              <w:spacing w:before="176"/>
              <w:ind w:right="122"/>
              <w:jc w:val="right"/>
              <w:rPr>
                <w:sz w:val="24"/>
              </w:rPr>
            </w:pPr>
            <w:r>
              <w:rPr>
                <w:w w:val="95"/>
                <w:sz w:val="24"/>
              </w:rPr>
              <w:t>-0.17</w:t>
            </w:r>
          </w:p>
        </w:tc>
        <w:tc>
          <w:tcPr>
            <w:tcW w:w="876" w:type="dxa"/>
            <w:tcBorders>
              <w:top w:val="single" w:sz="4" w:space="0" w:color="000000"/>
            </w:tcBorders>
          </w:tcPr>
          <w:p>
            <w:pPr>
              <w:pStyle w:val="TableParagraph"/>
              <w:spacing w:before="176"/>
              <w:ind w:right="121"/>
              <w:jc w:val="right"/>
              <w:rPr>
                <w:sz w:val="24"/>
              </w:rPr>
            </w:pPr>
            <w:r>
              <w:rPr>
                <w:w w:val="95"/>
                <w:sz w:val="24"/>
              </w:rPr>
              <w:t>0.13</w:t>
            </w:r>
          </w:p>
        </w:tc>
        <w:tc>
          <w:tcPr>
            <w:tcW w:w="2771" w:type="dxa"/>
            <w:tcBorders>
              <w:top w:val="single" w:sz="4" w:space="0" w:color="000000"/>
            </w:tcBorders>
          </w:tcPr>
          <w:p>
            <w:pPr>
              <w:pStyle w:val="TableParagraph"/>
              <w:spacing w:before="176"/>
              <w:ind w:right="17"/>
              <w:jc w:val="right"/>
              <w:rPr>
                <w:sz w:val="24"/>
              </w:rPr>
            </w:pPr>
            <w:r>
              <w:rPr>
                <w:i/>
                <w:sz w:val="24"/>
              </w:rPr>
              <w:t>Moderate </w:t>
            </w:r>
            <w:r>
              <w:rPr>
                <w:sz w:val="24"/>
              </w:rPr>
              <w:t>evidence for H</w:t>
            </w:r>
            <w:r>
              <w:rPr>
                <w:sz w:val="24"/>
                <w:vertAlign w:val="subscript"/>
              </w:rPr>
              <w:t>0</w:t>
            </w:r>
          </w:p>
        </w:tc>
        <w:tc>
          <w:tcPr>
            <w:tcW w:w="118" w:type="dxa"/>
          </w:tcPr>
          <w:p>
            <w:pPr>
              <w:pStyle w:val="TableParagraph"/>
              <w:rPr>
                <w:sz w:val="22"/>
              </w:rPr>
            </w:pPr>
          </w:p>
        </w:tc>
      </w:tr>
      <w:tr>
        <w:trPr>
          <w:trHeight w:val="478" w:hRule="atLeast"/>
        </w:trPr>
        <w:tc>
          <w:tcPr>
            <w:tcW w:w="662" w:type="dxa"/>
          </w:tcPr>
          <w:p>
            <w:pPr>
              <w:pStyle w:val="TableParagraph"/>
              <w:spacing w:before="108"/>
              <w:ind w:left="104" w:right="104"/>
              <w:jc w:val="center"/>
              <w:rPr>
                <w:sz w:val="24"/>
              </w:rPr>
            </w:pPr>
            <w:r>
              <w:rPr>
                <w:sz w:val="24"/>
              </w:rPr>
              <w:t>H1b</w:t>
            </w:r>
          </w:p>
        </w:tc>
        <w:tc>
          <w:tcPr>
            <w:tcW w:w="1124" w:type="dxa"/>
          </w:tcPr>
          <w:p>
            <w:pPr>
              <w:pStyle w:val="TableParagraph"/>
              <w:spacing w:before="108"/>
              <w:ind w:right="118"/>
              <w:jc w:val="right"/>
              <w:rPr>
                <w:sz w:val="24"/>
              </w:rPr>
            </w:pPr>
            <w:r>
              <w:rPr>
                <w:w w:val="95"/>
                <w:sz w:val="24"/>
              </w:rPr>
              <w:t>0.039</w:t>
            </w:r>
          </w:p>
        </w:tc>
        <w:tc>
          <w:tcPr>
            <w:tcW w:w="734" w:type="dxa"/>
          </w:tcPr>
          <w:p>
            <w:pPr>
              <w:pStyle w:val="TableParagraph"/>
              <w:spacing w:before="108"/>
              <w:ind w:right="118"/>
              <w:jc w:val="right"/>
              <w:rPr>
                <w:sz w:val="24"/>
              </w:rPr>
            </w:pPr>
            <w:r>
              <w:rPr>
                <w:w w:val="95"/>
                <w:sz w:val="24"/>
              </w:rPr>
              <w:t>-1.35</w:t>
            </w:r>
          </w:p>
        </w:tc>
        <w:tc>
          <w:tcPr>
            <w:tcW w:w="591" w:type="dxa"/>
          </w:tcPr>
          <w:p>
            <w:pPr>
              <w:pStyle w:val="TableParagraph"/>
              <w:spacing w:before="108"/>
              <w:ind w:left="95" w:right="96"/>
              <w:jc w:val="center"/>
              <w:rPr>
                <w:sz w:val="24"/>
              </w:rPr>
            </w:pPr>
            <w:r>
              <w:rPr>
                <w:sz w:val="24"/>
              </w:rPr>
              <w:t>162</w:t>
            </w:r>
          </w:p>
        </w:tc>
        <w:tc>
          <w:tcPr>
            <w:tcW w:w="917" w:type="dxa"/>
          </w:tcPr>
          <w:p>
            <w:pPr>
              <w:pStyle w:val="TableParagraph"/>
              <w:spacing w:before="108"/>
              <w:ind w:right="120"/>
              <w:jc w:val="right"/>
              <w:rPr>
                <w:sz w:val="24"/>
              </w:rPr>
            </w:pPr>
            <w:r>
              <w:rPr>
                <w:w w:val="95"/>
                <w:sz w:val="24"/>
              </w:rPr>
              <w:t>0.179</w:t>
            </w:r>
          </w:p>
        </w:tc>
        <w:tc>
          <w:tcPr>
            <w:tcW w:w="734" w:type="dxa"/>
          </w:tcPr>
          <w:p>
            <w:pPr>
              <w:pStyle w:val="TableParagraph"/>
              <w:spacing w:before="108"/>
              <w:ind w:right="120"/>
              <w:jc w:val="right"/>
              <w:rPr>
                <w:sz w:val="24"/>
              </w:rPr>
            </w:pPr>
            <w:r>
              <w:rPr>
                <w:w w:val="95"/>
                <w:sz w:val="24"/>
              </w:rPr>
              <w:t>-0.11</w:t>
            </w:r>
          </w:p>
        </w:tc>
        <w:tc>
          <w:tcPr>
            <w:tcW w:w="856" w:type="dxa"/>
          </w:tcPr>
          <w:p>
            <w:pPr>
              <w:pStyle w:val="TableParagraph"/>
              <w:spacing w:before="108"/>
              <w:ind w:right="122"/>
              <w:jc w:val="right"/>
              <w:rPr>
                <w:sz w:val="24"/>
              </w:rPr>
            </w:pPr>
            <w:r>
              <w:rPr>
                <w:w w:val="95"/>
                <w:sz w:val="24"/>
              </w:rPr>
              <w:t>-0.26</w:t>
            </w:r>
          </w:p>
        </w:tc>
        <w:tc>
          <w:tcPr>
            <w:tcW w:w="876" w:type="dxa"/>
          </w:tcPr>
          <w:p>
            <w:pPr>
              <w:pStyle w:val="TableParagraph"/>
              <w:spacing w:before="108"/>
              <w:ind w:right="121"/>
              <w:jc w:val="right"/>
              <w:rPr>
                <w:sz w:val="24"/>
              </w:rPr>
            </w:pPr>
            <w:r>
              <w:rPr>
                <w:w w:val="95"/>
                <w:sz w:val="24"/>
              </w:rPr>
              <w:t>0.05</w:t>
            </w:r>
          </w:p>
        </w:tc>
        <w:tc>
          <w:tcPr>
            <w:tcW w:w="2771" w:type="dxa"/>
          </w:tcPr>
          <w:p>
            <w:pPr>
              <w:pStyle w:val="TableParagraph"/>
              <w:spacing w:before="108"/>
              <w:ind w:right="17"/>
              <w:jc w:val="right"/>
              <w:rPr>
                <w:sz w:val="24"/>
              </w:rPr>
            </w:pPr>
            <w:r>
              <w:rPr>
                <w:i/>
                <w:sz w:val="24"/>
              </w:rPr>
              <w:t>Strong </w:t>
            </w:r>
            <w:r>
              <w:rPr>
                <w:sz w:val="24"/>
              </w:rPr>
              <w:t>evidence for H</w:t>
            </w:r>
            <w:r>
              <w:rPr>
                <w:sz w:val="24"/>
                <w:vertAlign w:val="subscript"/>
              </w:rPr>
              <w:t>0</w:t>
            </w:r>
          </w:p>
        </w:tc>
        <w:tc>
          <w:tcPr>
            <w:tcW w:w="118" w:type="dxa"/>
          </w:tcPr>
          <w:p>
            <w:pPr>
              <w:pStyle w:val="TableParagraph"/>
              <w:rPr>
                <w:sz w:val="22"/>
              </w:rPr>
            </w:pPr>
          </w:p>
        </w:tc>
      </w:tr>
      <w:tr>
        <w:trPr>
          <w:trHeight w:val="478" w:hRule="atLeast"/>
        </w:trPr>
        <w:tc>
          <w:tcPr>
            <w:tcW w:w="662" w:type="dxa"/>
          </w:tcPr>
          <w:p>
            <w:pPr>
              <w:pStyle w:val="TableParagraph"/>
              <w:spacing w:before="108"/>
              <w:ind w:left="93" w:right="104"/>
              <w:jc w:val="center"/>
              <w:rPr>
                <w:sz w:val="24"/>
              </w:rPr>
            </w:pPr>
            <w:r>
              <w:rPr>
                <w:sz w:val="24"/>
              </w:rPr>
              <w:t>H2a</w:t>
            </w:r>
          </w:p>
        </w:tc>
        <w:tc>
          <w:tcPr>
            <w:tcW w:w="1124" w:type="dxa"/>
          </w:tcPr>
          <w:p>
            <w:pPr>
              <w:pStyle w:val="TableParagraph"/>
              <w:spacing w:before="108"/>
              <w:ind w:right="118"/>
              <w:jc w:val="right"/>
              <w:rPr>
                <w:sz w:val="24"/>
              </w:rPr>
            </w:pPr>
            <w:r>
              <w:rPr>
                <w:w w:val="95"/>
                <w:sz w:val="24"/>
              </w:rPr>
              <w:t>247.782</w:t>
            </w:r>
          </w:p>
        </w:tc>
        <w:tc>
          <w:tcPr>
            <w:tcW w:w="734" w:type="dxa"/>
          </w:tcPr>
          <w:p>
            <w:pPr>
              <w:pStyle w:val="TableParagraph"/>
              <w:spacing w:before="108"/>
              <w:ind w:right="118"/>
              <w:jc w:val="right"/>
              <w:rPr>
                <w:sz w:val="24"/>
              </w:rPr>
            </w:pPr>
            <w:r>
              <w:rPr>
                <w:w w:val="95"/>
                <w:sz w:val="24"/>
              </w:rPr>
              <w:t>-3.93</w:t>
            </w:r>
          </w:p>
        </w:tc>
        <w:tc>
          <w:tcPr>
            <w:tcW w:w="591" w:type="dxa"/>
          </w:tcPr>
          <w:p>
            <w:pPr>
              <w:pStyle w:val="TableParagraph"/>
              <w:spacing w:before="108"/>
              <w:ind w:left="95" w:right="96"/>
              <w:jc w:val="center"/>
              <w:rPr>
                <w:sz w:val="24"/>
              </w:rPr>
            </w:pPr>
            <w:r>
              <w:rPr>
                <w:sz w:val="24"/>
              </w:rPr>
              <w:t>161</w:t>
            </w:r>
          </w:p>
        </w:tc>
        <w:tc>
          <w:tcPr>
            <w:tcW w:w="917" w:type="dxa"/>
          </w:tcPr>
          <w:p>
            <w:pPr>
              <w:pStyle w:val="TableParagraph"/>
              <w:spacing w:before="108"/>
              <w:ind w:right="120"/>
              <w:jc w:val="right"/>
              <w:rPr>
                <w:sz w:val="24"/>
              </w:rPr>
            </w:pPr>
            <w:r>
              <w:rPr>
                <w:w w:val="115"/>
                <w:sz w:val="24"/>
              </w:rPr>
              <w:t>&lt; .001</w:t>
            </w:r>
          </w:p>
        </w:tc>
        <w:tc>
          <w:tcPr>
            <w:tcW w:w="734" w:type="dxa"/>
          </w:tcPr>
          <w:p>
            <w:pPr>
              <w:pStyle w:val="TableParagraph"/>
              <w:spacing w:before="108"/>
              <w:ind w:right="120"/>
              <w:jc w:val="right"/>
              <w:rPr>
                <w:sz w:val="24"/>
              </w:rPr>
            </w:pPr>
            <w:r>
              <w:rPr>
                <w:w w:val="95"/>
                <w:sz w:val="24"/>
              </w:rPr>
              <w:t>-0.31</w:t>
            </w:r>
          </w:p>
        </w:tc>
        <w:tc>
          <w:tcPr>
            <w:tcW w:w="856" w:type="dxa"/>
          </w:tcPr>
          <w:p>
            <w:pPr>
              <w:pStyle w:val="TableParagraph"/>
              <w:spacing w:before="108"/>
              <w:ind w:right="121"/>
              <w:jc w:val="right"/>
              <w:rPr>
                <w:sz w:val="24"/>
              </w:rPr>
            </w:pPr>
            <w:r>
              <w:rPr>
                <w:w w:val="95"/>
                <w:sz w:val="24"/>
              </w:rPr>
              <w:t>-0.47</w:t>
            </w:r>
          </w:p>
        </w:tc>
        <w:tc>
          <w:tcPr>
            <w:tcW w:w="876" w:type="dxa"/>
          </w:tcPr>
          <w:p>
            <w:pPr>
              <w:pStyle w:val="TableParagraph"/>
              <w:spacing w:before="108"/>
              <w:ind w:right="120"/>
              <w:jc w:val="right"/>
              <w:rPr>
                <w:sz w:val="24"/>
              </w:rPr>
            </w:pPr>
            <w:r>
              <w:rPr>
                <w:w w:val="95"/>
                <w:sz w:val="24"/>
              </w:rPr>
              <w:t>-0.15</w:t>
            </w:r>
          </w:p>
        </w:tc>
        <w:tc>
          <w:tcPr>
            <w:tcW w:w="2771" w:type="dxa"/>
          </w:tcPr>
          <w:p>
            <w:pPr>
              <w:pStyle w:val="TableParagraph"/>
              <w:spacing w:before="108"/>
              <w:ind w:right="17"/>
              <w:jc w:val="right"/>
              <w:rPr>
                <w:sz w:val="24"/>
              </w:rPr>
            </w:pPr>
            <w:r>
              <w:rPr>
                <w:i/>
                <w:sz w:val="24"/>
              </w:rPr>
              <w:t>Extreme </w:t>
            </w:r>
            <w:r>
              <w:rPr>
                <w:sz w:val="24"/>
              </w:rPr>
              <w:t>evidence for H</w:t>
            </w:r>
            <w:r>
              <w:rPr>
                <w:sz w:val="24"/>
                <w:vertAlign w:val="subscript"/>
              </w:rPr>
              <w:t>1</w:t>
            </w:r>
          </w:p>
        </w:tc>
        <w:tc>
          <w:tcPr>
            <w:tcW w:w="118" w:type="dxa"/>
          </w:tcPr>
          <w:p>
            <w:pPr>
              <w:pStyle w:val="TableParagraph"/>
              <w:rPr>
                <w:sz w:val="22"/>
              </w:rPr>
            </w:pPr>
          </w:p>
        </w:tc>
      </w:tr>
      <w:tr>
        <w:trPr>
          <w:trHeight w:val="478" w:hRule="atLeast"/>
        </w:trPr>
        <w:tc>
          <w:tcPr>
            <w:tcW w:w="662" w:type="dxa"/>
          </w:tcPr>
          <w:p>
            <w:pPr>
              <w:pStyle w:val="TableParagraph"/>
              <w:spacing w:before="108"/>
              <w:ind w:left="104" w:right="104"/>
              <w:jc w:val="center"/>
              <w:rPr>
                <w:sz w:val="24"/>
              </w:rPr>
            </w:pPr>
            <w:r>
              <w:rPr>
                <w:sz w:val="24"/>
              </w:rPr>
              <w:t>H2b</w:t>
            </w:r>
          </w:p>
        </w:tc>
        <w:tc>
          <w:tcPr>
            <w:tcW w:w="1124" w:type="dxa"/>
          </w:tcPr>
          <w:p>
            <w:pPr>
              <w:pStyle w:val="TableParagraph"/>
              <w:spacing w:before="108"/>
              <w:ind w:right="118"/>
              <w:jc w:val="right"/>
              <w:rPr>
                <w:sz w:val="24"/>
              </w:rPr>
            </w:pPr>
            <w:r>
              <w:rPr>
                <w:w w:val="95"/>
                <w:sz w:val="24"/>
              </w:rPr>
              <w:t>0.849</w:t>
            </w:r>
          </w:p>
        </w:tc>
        <w:tc>
          <w:tcPr>
            <w:tcW w:w="734" w:type="dxa"/>
          </w:tcPr>
          <w:p>
            <w:pPr>
              <w:pStyle w:val="TableParagraph"/>
              <w:spacing w:before="108"/>
              <w:ind w:right="118"/>
              <w:jc w:val="right"/>
              <w:rPr>
                <w:sz w:val="24"/>
              </w:rPr>
            </w:pPr>
            <w:r>
              <w:rPr>
                <w:w w:val="95"/>
                <w:sz w:val="24"/>
              </w:rPr>
              <w:t>1.82</w:t>
            </w:r>
          </w:p>
        </w:tc>
        <w:tc>
          <w:tcPr>
            <w:tcW w:w="591" w:type="dxa"/>
          </w:tcPr>
          <w:p>
            <w:pPr>
              <w:pStyle w:val="TableParagraph"/>
              <w:spacing w:before="108"/>
              <w:ind w:left="95" w:right="96"/>
              <w:jc w:val="center"/>
              <w:rPr>
                <w:sz w:val="24"/>
              </w:rPr>
            </w:pPr>
            <w:r>
              <w:rPr>
                <w:sz w:val="24"/>
              </w:rPr>
              <w:t>161</w:t>
            </w:r>
          </w:p>
        </w:tc>
        <w:tc>
          <w:tcPr>
            <w:tcW w:w="917" w:type="dxa"/>
          </w:tcPr>
          <w:p>
            <w:pPr>
              <w:pStyle w:val="TableParagraph"/>
              <w:spacing w:before="108"/>
              <w:ind w:right="121"/>
              <w:jc w:val="right"/>
              <w:rPr>
                <w:sz w:val="24"/>
              </w:rPr>
            </w:pPr>
            <w:r>
              <w:rPr>
                <w:w w:val="95"/>
                <w:sz w:val="24"/>
              </w:rPr>
              <w:t>0.070</w:t>
            </w:r>
          </w:p>
        </w:tc>
        <w:tc>
          <w:tcPr>
            <w:tcW w:w="734" w:type="dxa"/>
          </w:tcPr>
          <w:p>
            <w:pPr>
              <w:pStyle w:val="TableParagraph"/>
              <w:spacing w:before="108"/>
              <w:ind w:right="121"/>
              <w:jc w:val="right"/>
              <w:rPr>
                <w:sz w:val="24"/>
              </w:rPr>
            </w:pPr>
            <w:r>
              <w:rPr>
                <w:w w:val="95"/>
                <w:sz w:val="24"/>
              </w:rPr>
              <w:t>0.14</w:t>
            </w:r>
          </w:p>
        </w:tc>
        <w:tc>
          <w:tcPr>
            <w:tcW w:w="856" w:type="dxa"/>
          </w:tcPr>
          <w:p>
            <w:pPr>
              <w:pStyle w:val="TableParagraph"/>
              <w:spacing w:before="108"/>
              <w:ind w:right="123"/>
              <w:jc w:val="right"/>
              <w:rPr>
                <w:sz w:val="24"/>
              </w:rPr>
            </w:pPr>
            <w:r>
              <w:rPr>
                <w:w w:val="95"/>
                <w:sz w:val="24"/>
              </w:rPr>
              <w:t>-0.01</w:t>
            </w:r>
          </w:p>
        </w:tc>
        <w:tc>
          <w:tcPr>
            <w:tcW w:w="876" w:type="dxa"/>
          </w:tcPr>
          <w:p>
            <w:pPr>
              <w:pStyle w:val="TableParagraph"/>
              <w:spacing w:before="108"/>
              <w:ind w:right="123"/>
              <w:jc w:val="right"/>
              <w:rPr>
                <w:sz w:val="24"/>
              </w:rPr>
            </w:pPr>
            <w:r>
              <w:rPr>
                <w:w w:val="95"/>
                <w:sz w:val="24"/>
              </w:rPr>
              <w:t>0.30</w:t>
            </w:r>
          </w:p>
        </w:tc>
        <w:tc>
          <w:tcPr>
            <w:tcW w:w="2771" w:type="dxa"/>
          </w:tcPr>
          <w:p>
            <w:pPr>
              <w:pStyle w:val="TableParagraph"/>
              <w:spacing w:before="108"/>
              <w:ind w:right="17"/>
              <w:jc w:val="right"/>
              <w:rPr>
                <w:sz w:val="24"/>
              </w:rPr>
            </w:pPr>
            <w:r>
              <w:rPr>
                <w:i/>
                <w:sz w:val="24"/>
              </w:rPr>
              <w:t>Anecdotal </w:t>
            </w:r>
            <w:r>
              <w:rPr>
                <w:sz w:val="24"/>
              </w:rPr>
              <w:t>evidence for H</w:t>
            </w:r>
            <w:r>
              <w:rPr>
                <w:sz w:val="24"/>
                <w:vertAlign w:val="subscript"/>
              </w:rPr>
              <w:t>0</w:t>
            </w:r>
          </w:p>
        </w:tc>
        <w:tc>
          <w:tcPr>
            <w:tcW w:w="118" w:type="dxa"/>
          </w:tcPr>
          <w:p>
            <w:pPr>
              <w:pStyle w:val="TableParagraph"/>
              <w:rPr>
                <w:sz w:val="22"/>
              </w:rPr>
            </w:pPr>
          </w:p>
        </w:tc>
      </w:tr>
      <w:tr>
        <w:trPr>
          <w:trHeight w:val="478" w:hRule="atLeast"/>
        </w:trPr>
        <w:tc>
          <w:tcPr>
            <w:tcW w:w="662" w:type="dxa"/>
          </w:tcPr>
          <w:p>
            <w:pPr>
              <w:pStyle w:val="TableParagraph"/>
              <w:spacing w:before="108"/>
              <w:ind w:left="93" w:right="104"/>
              <w:jc w:val="center"/>
              <w:rPr>
                <w:sz w:val="24"/>
              </w:rPr>
            </w:pPr>
            <w:r>
              <w:rPr>
                <w:sz w:val="24"/>
              </w:rPr>
              <w:t>H3a</w:t>
            </w:r>
          </w:p>
        </w:tc>
        <w:tc>
          <w:tcPr>
            <w:tcW w:w="1124" w:type="dxa"/>
          </w:tcPr>
          <w:p>
            <w:pPr>
              <w:pStyle w:val="TableParagraph"/>
              <w:spacing w:before="108"/>
              <w:ind w:right="118"/>
              <w:jc w:val="right"/>
              <w:rPr>
                <w:sz w:val="24"/>
              </w:rPr>
            </w:pPr>
            <w:r>
              <w:rPr>
                <w:w w:val="95"/>
                <w:sz w:val="24"/>
              </w:rPr>
              <w:t>2.648</w:t>
            </w:r>
          </w:p>
        </w:tc>
        <w:tc>
          <w:tcPr>
            <w:tcW w:w="734" w:type="dxa"/>
          </w:tcPr>
          <w:p>
            <w:pPr>
              <w:pStyle w:val="TableParagraph"/>
              <w:spacing w:before="108"/>
              <w:ind w:right="118"/>
              <w:jc w:val="right"/>
              <w:rPr>
                <w:sz w:val="24"/>
              </w:rPr>
            </w:pPr>
            <w:r>
              <w:rPr>
                <w:w w:val="95"/>
                <w:sz w:val="24"/>
              </w:rPr>
              <w:t>-2.38</w:t>
            </w:r>
          </w:p>
        </w:tc>
        <w:tc>
          <w:tcPr>
            <w:tcW w:w="591" w:type="dxa"/>
          </w:tcPr>
          <w:p>
            <w:pPr>
              <w:pStyle w:val="TableParagraph"/>
              <w:spacing w:before="108"/>
              <w:ind w:left="95" w:right="96"/>
              <w:jc w:val="center"/>
              <w:rPr>
                <w:sz w:val="24"/>
              </w:rPr>
            </w:pPr>
            <w:r>
              <w:rPr>
                <w:sz w:val="24"/>
              </w:rPr>
              <w:t>162</w:t>
            </w:r>
          </w:p>
        </w:tc>
        <w:tc>
          <w:tcPr>
            <w:tcW w:w="917" w:type="dxa"/>
          </w:tcPr>
          <w:p>
            <w:pPr>
              <w:pStyle w:val="TableParagraph"/>
              <w:spacing w:before="108"/>
              <w:ind w:right="120"/>
              <w:jc w:val="right"/>
              <w:rPr>
                <w:sz w:val="24"/>
              </w:rPr>
            </w:pPr>
            <w:r>
              <w:rPr>
                <w:w w:val="95"/>
                <w:sz w:val="24"/>
              </w:rPr>
              <w:t>0.019</w:t>
            </w:r>
          </w:p>
        </w:tc>
        <w:tc>
          <w:tcPr>
            <w:tcW w:w="734" w:type="dxa"/>
          </w:tcPr>
          <w:p>
            <w:pPr>
              <w:pStyle w:val="TableParagraph"/>
              <w:spacing w:before="108"/>
              <w:ind w:right="120"/>
              <w:jc w:val="right"/>
              <w:rPr>
                <w:sz w:val="24"/>
              </w:rPr>
            </w:pPr>
            <w:r>
              <w:rPr>
                <w:w w:val="95"/>
                <w:sz w:val="24"/>
              </w:rPr>
              <w:t>-0.19</w:t>
            </w:r>
          </w:p>
        </w:tc>
        <w:tc>
          <w:tcPr>
            <w:tcW w:w="856" w:type="dxa"/>
          </w:tcPr>
          <w:p>
            <w:pPr>
              <w:pStyle w:val="TableParagraph"/>
              <w:spacing w:before="108"/>
              <w:ind w:right="122"/>
              <w:jc w:val="right"/>
              <w:rPr>
                <w:sz w:val="24"/>
              </w:rPr>
            </w:pPr>
            <w:r>
              <w:rPr>
                <w:w w:val="95"/>
                <w:sz w:val="24"/>
              </w:rPr>
              <w:t>-0.34</w:t>
            </w:r>
          </w:p>
        </w:tc>
        <w:tc>
          <w:tcPr>
            <w:tcW w:w="876" w:type="dxa"/>
          </w:tcPr>
          <w:p>
            <w:pPr>
              <w:pStyle w:val="TableParagraph"/>
              <w:spacing w:before="108"/>
              <w:ind w:right="121"/>
              <w:jc w:val="right"/>
              <w:rPr>
                <w:sz w:val="24"/>
              </w:rPr>
            </w:pPr>
            <w:r>
              <w:rPr>
                <w:w w:val="95"/>
                <w:sz w:val="24"/>
              </w:rPr>
              <w:t>-0.03</w:t>
            </w:r>
          </w:p>
        </w:tc>
        <w:tc>
          <w:tcPr>
            <w:tcW w:w="2771" w:type="dxa"/>
          </w:tcPr>
          <w:p>
            <w:pPr>
              <w:pStyle w:val="TableParagraph"/>
              <w:spacing w:before="108"/>
              <w:ind w:right="17"/>
              <w:jc w:val="right"/>
              <w:rPr>
                <w:sz w:val="24"/>
              </w:rPr>
            </w:pPr>
            <w:r>
              <w:rPr>
                <w:i/>
                <w:sz w:val="24"/>
              </w:rPr>
              <w:t>Anecdotal </w:t>
            </w:r>
            <w:r>
              <w:rPr>
                <w:sz w:val="24"/>
              </w:rPr>
              <w:t>evidence for H</w:t>
            </w:r>
            <w:r>
              <w:rPr>
                <w:sz w:val="24"/>
                <w:vertAlign w:val="subscript"/>
              </w:rPr>
              <w:t>1</w:t>
            </w:r>
          </w:p>
        </w:tc>
        <w:tc>
          <w:tcPr>
            <w:tcW w:w="118" w:type="dxa"/>
          </w:tcPr>
          <w:p>
            <w:pPr>
              <w:pStyle w:val="TableParagraph"/>
              <w:rPr>
                <w:sz w:val="22"/>
              </w:rPr>
            </w:pPr>
          </w:p>
        </w:tc>
      </w:tr>
      <w:tr>
        <w:trPr>
          <w:trHeight w:val="478" w:hRule="atLeast"/>
        </w:trPr>
        <w:tc>
          <w:tcPr>
            <w:tcW w:w="662" w:type="dxa"/>
          </w:tcPr>
          <w:p>
            <w:pPr>
              <w:pStyle w:val="TableParagraph"/>
              <w:spacing w:before="108"/>
              <w:ind w:left="104" w:right="104"/>
              <w:jc w:val="center"/>
              <w:rPr>
                <w:sz w:val="24"/>
              </w:rPr>
            </w:pPr>
            <w:r>
              <w:rPr>
                <w:sz w:val="24"/>
              </w:rPr>
              <w:t>H3b</w:t>
            </w:r>
          </w:p>
        </w:tc>
        <w:tc>
          <w:tcPr>
            <w:tcW w:w="1124" w:type="dxa"/>
          </w:tcPr>
          <w:p>
            <w:pPr>
              <w:pStyle w:val="TableParagraph"/>
              <w:spacing w:before="108"/>
              <w:ind w:right="118"/>
              <w:jc w:val="right"/>
              <w:rPr>
                <w:sz w:val="24"/>
              </w:rPr>
            </w:pPr>
            <w:r>
              <w:rPr>
                <w:w w:val="95"/>
                <w:sz w:val="24"/>
              </w:rPr>
              <w:t>0.067</w:t>
            </w:r>
          </w:p>
        </w:tc>
        <w:tc>
          <w:tcPr>
            <w:tcW w:w="734" w:type="dxa"/>
          </w:tcPr>
          <w:p>
            <w:pPr>
              <w:pStyle w:val="TableParagraph"/>
              <w:spacing w:before="108"/>
              <w:ind w:right="118"/>
              <w:jc w:val="right"/>
              <w:rPr>
                <w:sz w:val="24"/>
              </w:rPr>
            </w:pPr>
            <w:r>
              <w:rPr>
                <w:w w:val="95"/>
                <w:sz w:val="24"/>
              </w:rPr>
              <w:t>-0.37</w:t>
            </w:r>
          </w:p>
        </w:tc>
        <w:tc>
          <w:tcPr>
            <w:tcW w:w="591" w:type="dxa"/>
          </w:tcPr>
          <w:p>
            <w:pPr>
              <w:pStyle w:val="TableParagraph"/>
              <w:spacing w:before="108"/>
              <w:ind w:left="95" w:right="96"/>
              <w:jc w:val="center"/>
              <w:rPr>
                <w:sz w:val="24"/>
              </w:rPr>
            </w:pPr>
            <w:r>
              <w:rPr>
                <w:sz w:val="24"/>
              </w:rPr>
              <w:t>162</w:t>
            </w:r>
          </w:p>
        </w:tc>
        <w:tc>
          <w:tcPr>
            <w:tcW w:w="917" w:type="dxa"/>
          </w:tcPr>
          <w:p>
            <w:pPr>
              <w:pStyle w:val="TableParagraph"/>
              <w:spacing w:before="108"/>
              <w:ind w:right="120"/>
              <w:jc w:val="right"/>
              <w:rPr>
                <w:sz w:val="24"/>
              </w:rPr>
            </w:pPr>
            <w:r>
              <w:rPr>
                <w:w w:val="95"/>
                <w:sz w:val="24"/>
              </w:rPr>
              <w:t>0.715</w:t>
            </w:r>
          </w:p>
        </w:tc>
        <w:tc>
          <w:tcPr>
            <w:tcW w:w="734" w:type="dxa"/>
          </w:tcPr>
          <w:p>
            <w:pPr>
              <w:pStyle w:val="TableParagraph"/>
              <w:spacing w:before="108"/>
              <w:ind w:right="120"/>
              <w:jc w:val="right"/>
              <w:rPr>
                <w:sz w:val="24"/>
              </w:rPr>
            </w:pPr>
            <w:r>
              <w:rPr>
                <w:w w:val="95"/>
                <w:sz w:val="24"/>
              </w:rPr>
              <w:t>-0.03</w:t>
            </w:r>
          </w:p>
        </w:tc>
        <w:tc>
          <w:tcPr>
            <w:tcW w:w="856" w:type="dxa"/>
          </w:tcPr>
          <w:p>
            <w:pPr>
              <w:pStyle w:val="TableParagraph"/>
              <w:spacing w:before="108"/>
              <w:ind w:right="122"/>
              <w:jc w:val="right"/>
              <w:rPr>
                <w:sz w:val="24"/>
              </w:rPr>
            </w:pPr>
            <w:r>
              <w:rPr>
                <w:w w:val="95"/>
                <w:sz w:val="24"/>
              </w:rPr>
              <w:t>-0.18</w:t>
            </w:r>
          </w:p>
        </w:tc>
        <w:tc>
          <w:tcPr>
            <w:tcW w:w="876" w:type="dxa"/>
          </w:tcPr>
          <w:p>
            <w:pPr>
              <w:pStyle w:val="TableParagraph"/>
              <w:spacing w:before="108"/>
              <w:ind w:right="121"/>
              <w:jc w:val="right"/>
              <w:rPr>
                <w:sz w:val="24"/>
              </w:rPr>
            </w:pPr>
            <w:r>
              <w:rPr>
                <w:w w:val="95"/>
                <w:sz w:val="24"/>
              </w:rPr>
              <w:t>0.13</w:t>
            </w:r>
          </w:p>
        </w:tc>
        <w:tc>
          <w:tcPr>
            <w:tcW w:w="2771" w:type="dxa"/>
          </w:tcPr>
          <w:p>
            <w:pPr>
              <w:pStyle w:val="TableParagraph"/>
              <w:spacing w:before="108"/>
              <w:ind w:right="17"/>
              <w:jc w:val="right"/>
              <w:rPr>
                <w:sz w:val="24"/>
              </w:rPr>
            </w:pPr>
            <w:r>
              <w:rPr>
                <w:i/>
                <w:sz w:val="24"/>
              </w:rPr>
              <w:t>Strong </w:t>
            </w:r>
            <w:r>
              <w:rPr>
                <w:sz w:val="24"/>
              </w:rPr>
              <w:t>evidence for H</w:t>
            </w:r>
            <w:r>
              <w:rPr>
                <w:sz w:val="24"/>
                <w:vertAlign w:val="subscript"/>
              </w:rPr>
              <w:t>0</w:t>
            </w:r>
          </w:p>
        </w:tc>
        <w:tc>
          <w:tcPr>
            <w:tcW w:w="118" w:type="dxa"/>
          </w:tcPr>
          <w:p>
            <w:pPr>
              <w:pStyle w:val="TableParagraph"/>
              <w:rPr>
                <w:sz w:val="22"/>
              </w:rPr>
            </w:pPr>
          </w:p>
        </w:tc>
      </w:tr>
      <w:tr>
        <w:trPr>
          <w:trHeight w:val="478" w:hRule="atLeast"/>
        </w:trPr>
        <w:tc>
          <w:tcPr>
            <w:tcW w:w="662" w:type="dxa"/>
          </w:tcPr>
          <w:p>
            <w:pPr>
              <w:pStyle w:val="TableParagraph"/>
              <w:spacing w:before="108"/>
              <w:ind w:left="93" w:right="104"/>
              <w:jc w:val="center"/>
              <w:rPr>
                <w:sz w:val="24"/>
              </w:rPr>
            </w:pPr>
            <w:r>
              <w:rPr>
                <w:sz w:val="24"/>
              </w:rPr>
              <w:t>H4a</w:t>
            </w:r>
          </w:p>
        </w:tc>
        <w:tc>
          <w:tcPr>
            <w:tcW w:w="1124" w:type="dxa"/>
          </w:tcPr>
          <w:p>
            <w:pPr>
              <w:pStyle w:val="TableParagraph"/>
              <w:spacing w:before="108"/>
              <w:ind w:right="118"/>
              <w:jc w:val="right"/>
              <w:rPr>
                <w:sz w:val="24"/>
              </w:rPr>
            </w:pPr>
            <w:r>
              <w:rPr>
                <w:w w:val="95"/>
                <w:sz w:val="24"/>
              </w:rPr>
              <w:t>140.254</w:t>
            </w:r>
          </w:p>
        </w:tc>
        <w:tc>
          <w:tcPr>
            <w:tcW w:w="734" w:type="dxa"/>
          </w:tcPr>
          <w:p>
            <w:pPr>
              <w:pStyle w:val="TableParagraph"/>
              <w:spacing w:before="108"/>
              <w:ind w:right="118"/>
              <w:jc w:val="right"/>
              <w:rPr>
                <w:sz w:val="24"/>
              </w:rPr>
            </w:pPr>
            <w:r>
              <w:rPr>
                <w:w w:val="95"/>
                <w:sz w:val="24"/>
              </w:rPr>
              <w:t>3.77</w:t>
            </w:r>
          </w:p>
        </w:tc>
        <w:tc>
          <w:tcPr>
            <w:tcW w:w="591" w:type="dxa"/>
          </w:tcPr>
          <w:p>
            <w:pPr>
              <w:pStyle w:val="TableParagraph"/>
              <w:spacing w:before="108"/>
              <w:ind w:left="95" w:right="96"/>
              <w:jc w:val="center"/>
              <w:rPr>
                <w:sz w:val="24"/>
              </w:rPr>
            </w:pPr>
            <w:r>
              <w:rPr>
                <w:sz w:val="24"/>
              </w:rPr>
              <w:t>162</w:t>
            </w:r>
          </w:p>
        </w:tc>
        <w:tc>
          <w:tcPr>
            <w:tcW w:w="917" w:type="dxa"/>
          </w:tcPr>
          <w:p>
            <w:pPr>
              <w:pStyle w:val="TableParagraph"/>
              <w:spacing w:before="108"/>
              <w:ind w:right="120"/>
              <w:jc w:val="right"/>
              <w:rPr>
                <w:sz w:val="24"/>
              </w:rPr>
            </w:pPr>
            <w:r>
              <w:rPr>
                <w:w w:val="115"/>
                <w:sz w:val="24"/>
              </w:rPr>
              <w:t>&lt; .001</w:t>
            </w:r>
          </w:p>
        </w:tc>
        <w:tc>
          <w:tcPr>
            <w:tcW w:w="734" w:type="dxa"/>
          </w:tcPr>
          <w:p>
            <w:pPr>
              <w:pStyle w:val="TableParagraph"/>
              <w:spacing w:before="108"/>
              <w:ind w:right="121"/>
              <w:jc w:val="right"/>
              <w:rPr>
                <w:sz w:val="24"/>
              </w:rPr>
            </w:pPr>
            <w:r>
              <w:rPr>
                <w:w w:val="95"/>
                <w:sz w:val="24"/>
              </w:rPr>
              <w:t>0.30</w:t>
            </w:r>
          </w:p>
        </w:tc>
        <w:tc>
          <w:tcPr>
            <w:tcW w:w="856" w:type="dxa"/>
          </w:tcPr>
          <w:p>
            <w:pPr>
              <w:pStyle w:val="TableParagraph"/>
              <w:spacing w:before="108"/>
              <w:ind w:right="124"/>
              <w:jc w:val="right"/>
              <w:rPr>
                <w:sz w:val="24"/>
              </w:rPr>
            </w:pPr>
            <w:r>
              <w:rPr>
                <w:w w:val="95"/>
                <w:sz w:val="24"/>
              </w:rPr>
              <w:t>0.14</w:t>
            </w:r>
          </w:p>
        </w:tc>
        <w:tc>
          <w:tcPr>
            <w:tcW w:w="876" w:type="dxa"/>
          </w:tcPr>
          <w:p>
            <w:pPr>
              <w:pStyle w:val="TableParagraph"/>
              <w:spacing w:before="108"/>
              <w:ind w:right="123"/>
              <w:jc w:val="right"/>
              <w:rPr>
                <w:sz w:val="24"/>
              </w:rPr>
            </w:pPr>
            <w:r>
              <w:rPr>
                <w:w w:val="95"/>
                <w:sz w:val="24"/>
              </w:rPr>
              <w:t>0.45</w:t>
            </w:r>
          </w:p>
        </w:tc>
        <w:tc>
          <w:tcPr>
            <w:tcW w:w="2771" w:type="dxa"/>
          </w:tcPr>
          <w:p>
            <w:pPr>
              <w:pStyle w:val="TableParagraph"/>
              <w:spacing w:before="108"/>
              <w:ind w:right="17"/>
              <w:jc w:val="right"/>
              <w:rPr>
                <w:sz w:val="24"/>
              </w:rPr>
            </w:pPr>
            <w:r>
              <w:rPr>
                <w:i/>
                <w:sz w:val="24"/>
              </w:rPr>
              <w:t>Extreme </w:t>
            </w:r>
            <w:r>
              <w:rPr>
                <w:sz w:val="24"/>
              </w:rPr>
              <w:t>evidence for H</w:t>
            </w:r>
            <w:r>
              <w:rPr>
                <w:sz w:val="24"/>
                <w:vertAlign w:val="subscript"/>
              </w:rPr>
              <w:t>1</w:t>
            </w:r>
          </w:p>
        </w:tc>
        <w:tc>
          <w:tcPr>
            <w:tcW w:w="118" w:type="dxa"/>
          </w:tcPr>
          <w:p>
            <w:pPr>
              <w:pStyle w:val="TableParagraph"/>
              <w:rPr>
                <w:sz w:val="22"/>
              </w:rPr>
            </w:pPr>
          </w:p>
        </w:tc>
      </w:tr>
      <w:tr>
        <w:trPr>
          <w:trHeight w:val="516" w:hRule="atLeast"/>
        </w:trPr>
        <w:tc>
          <w:tcPr>
            <w:tcW w:w="662" w:type="dxa"/>
            <w:tcBorders>
              <w:bottom w:val="single" w:sz="8" w:space="0" w:color="000000"/>
            </w:tcBorders>
          </w:tcPr>
          <w:p>
            <w:pPr>
              <w:pStyle w:val="TableParagraph"/>
              <w:spacing w:before="108"/>
              <w:ind w:left="104" w:right="104"/>
              <w:jc w:val="center"/>
              <w:rPr>
                <w:sz w:val="24"/>
              </w:rPr>
            </w:pPr>
            <w:r>
              <w:rPr>
                <w:sz w:val="24"/>
              </w:rPr>
              <w:t>H4b</w:t>
            </w:r>
          </w:p>
        </w:tc>
        <w:tc>
          <w:tcPr>
            <w:tcW w:w="1124" w:type="dxa"/>
            <w:tcBorders>
              <w:bottom w:val="single" w:sz="8" w:space="0" w:color="000000"/>
            </w:tcBorders>
          </w:tcPr>
          <w:p>
            <w:pPr>
              <w:pStyle w:val="TableParagraph"/>
              <w:spacing w:before="108"/>
              <w:ind w:right="118"/>
              <w:jc w:val="right"/>
              <w:rPr>
                <w:sz w:val="24"/>
              </w:rPr>
            </w:pPr>
            <w:r>
              <w:rPr>
                <w:w w:val="95"/>
                <w:sz w:val="24"/>
              </w:rPr>
              <w:t>3973.214</w:t>
            </w:r>
          </w:p>
        </w:tc>
        <w:tc>
          <w:tcPr>
            <w:tcW w:w="734" w:type="dxa"/>
            <w:tcBorders>
              <w:bottom w:val="single" w:sz="8" w:space="0" w:color="000000"/>
            </w:tcBorders>
          </w:tcPr>
          <w:p>
            <w:pPr>
              <w:pStyle w:val="TableParagraph"/>
              <w:spacing w:before="108"/>
              <w:ind w:right="118"/>
              <w:jc w:val="right"/>
              <w:rPr>
                <w:sz w:val="24"/>
              </w:rPr>
            </w:pPr>
            <w:r>
              <w:rPr>
                <w:w w:val="95"/>
                <w:sz w:val="24"/>
              </w:rPr>
              <w:t>-4.66</w:t>
            </w:r>
          </w:p>
        </w:tc>
        <w:tc>
          <w:tcPr>
            <w:tcW w:w="591" w:type="dxa"/>
            <w:tcBorders>
              <w:bottom w:val="single" w:sz="8" w:space="0" w:color="000000"/>
            </w:tcBorders>
          </w:tcPr>
          <w:p>
            <w:pPr>
              <w:pStyle w:val="TableParagraph"/>
              <w:spacing w:before="108"/>
              <w:ind w:left="95" w:right="96"/>
              <w:jc w:val="center"/>
              <w:rPr>
                <w:sz w:val="24"/>
              </w:rPr>
            </w:pPr>
            <w:r>
              <w:rPr>
                <w:sz w:val="24"/>
              </w:rPr>
              <w:t>162</w:t>
            </w:r>
          </w:p>
        </w:tc>
        <w:tc>
          <w:tcPr>
            <w:tcW w:w="917" w:type="dxa"/>
            <w:tcBorders>
              <w:bottom w:val="single" w:sz="8" w:space="0" w:color="000000"/>
            </w:tcBorders>
          </w:tcPr>
          <w:p>
            <w:pPr>
              <w:pStyle w:val="TableParagraph"/>
              <w:spacing w:before="108"/>
              <w:ind w:right="120"/>
              <w:jc w:val="right"/>
              <w:rPr>
                <w:sz w:val="24"/>
              </w:rPr>
            </w:pPr>
            <w:r>
              <w:rPr>
                <w:w w:val="115"/>
                <w:sz w:val="24"/>
              </w:rPr>
              <w:t>&lt; .001</w:t>
            </w:r>
          </w:p>
        </w:tc>
        <w:tc>
          <w:tcPr>
            <w:tcW w:w="734" w:type="dxa"/>
            <w:tcBorders>
              <w:bottom w:val="single" w:sz="8" w:space="0" w:color="000000"/>
            </w:tcBorders>
          </w:tcPr>
          <w:p>
            <w:pPr>
              <w:pStyle w:val="TableParagraph"/>
              <w:spacing w:before="108"/>
              <w:ind w:right="120"/>
              <w:jc w:val="right"/>
              <w:rPr>
                <w:sz w:val="24"/>
              </w:rPr>
            </w:pPr>
            <w:r>
              <w:rPr>
                <w:w w:val="95"/>
                <w:sz w:val="24"/>
              </w:rPr>
              <w:t>-0.37</w:t>
            </w:r>
          </w:p>
        </w:tc>
        <w:tc>
          <w:tcPr>
            <w:tcW w:w="856" w:type="dxa"/>
            <w:tcBorders>
              <w:bottom w:val="single" w:sz="8" w:space="0" w:color="000000"/>
            </w:tcBorders>
          </w:tcPr>
          <w:p>
            <w:pPr>
              <w:pStyle w:val="TableParagraph"/>
              <w:spacing w:before="108"/>
              <w:ind w:right="121"/>
              <w:jc w:val="right"/>
              <w:rPr>
                <w:sz w:val="24"/>
              </w:rPr>
            </w:pPr>
            <w:r>
              <w:rPr>
                <w:w w:val="95"/>
                <w:sz w:val="24"/>
              </w:rPr>
              <w:t>-0.52</w:t>
            </w:r>
          </w:p>
        </w:tc>
        <w:tc>
          <w:tcPr>
            <w:tcW w:w="876" w:type="dxa"/>
            <w:tcBorders>
              <w:bottom w:val="single" w:sz="8" w:space="0" w:color="000000"/>
            </w:tcBorders>
          </w:tcPr>
          <w:p>
            <w:pPr>
              <w:pStyle w:val="TableParagraph"/>
              <w:spacing w:before="108"/>
              <w:ind w:right="120"/>
              <w:jc w:val="right"/>
              <w:rPr>
                <w:sz w:val="24"/>
              </w:rPr>
            </w:pPr>
            <w:r>
              <w:rPr>
                <w:w w:val="95"/>
                <w:sz w:val="24"/>
              </w:rPr>
              <w:t>-0.21</w:t>
            </w:r>
          </w:p>
        </w:tc>
        <w:tc>
          <w:tcPr>
            <w:tcW w:w="2771" w:type="dxa"/>
            <w:tcBorders>
              <w:bottom w:val="single" w:sz="8" w:space="0" w:color="000000"/>
            </w:tcBorders>
          </w:tcPr>
          <w:p>
            <w:pPr>
              <w:pStyle w:val="TableParagraph"/>
              <w:spacing w:before="108"/>
              <w:ind w:right="17"/>
              <w:jc w:val="right"/>
              <w:rPr>
                <w:sz w:val="24"/>
              </w:rPr>
            </w:pPr>
            <w:r>
              <w:rPr>
                <w:i/>
                <w:sz w:val="24"/>
              </w:rPr>
              <w:t>Extreme </w:t>
            </w:r>
            <w:r>
              <w:rPr>
                <w:sz w:val="24"/>
              </w:rPr>
              <w:t>evidence for H</w:t>
            </w:r>
            <w:r>
              <w:rPr>
                <w:sz w:val="24"/>
                <w:vertAlign w:val="subscript"/>
              </w:rPr>
              <w:t>1</w:t>
            </w:r>
          </w:p>
        </w:tc>
        <w:tc>
          <w:tcPr>
            <w:tcW w:w="118" w:type="dxa"/>
            <w:tcBorders>
              <w:bottom w:val="single" w:sz="8" w:space="0" w:color="000000"/>
            </w:tcBorders>
          </w:tcPr>
          <w:p>
            <w:pPr>
              <w:pStyle w:val="TableParagraph"/>
              <w:rPr>
                <w:sz w:val="22"/>
              </w:rPr>
            </w:pPr>
          </w:p>
        </w:tc>
      </w:tr>
    </w:tbl>
    <w:p>
      <w:pPr>
        <w:spacing w:line="412" w:lineRule="auto" w:before="28"/>
        <w:ind w:left="612" w:right="309" w:hanging="4"/>
        <w:jc w:val="both"/>
        <w:rPr>
          <w:sz w:val="20"/>
        </w:rPr>
      </w:pPr>
      <w:r>
        <w:rPr>
          <w:i/>
          <w:w w:val="105"/>
          <w:sz w:val="20"/>
        </w:rPr>
        <w:t>Note.  </w:t>
      </w:r>
      <w:r>
        <w:rPr>
          <w:w w:val="105"/>
          <w:sz w:val="20"/>
        </w:rPr>
        <w:t>Evidence is interpreted for the alternative hypothesis </w:t>
      </w:r>
      <w:r>
        <w:rPr>
          <w:spacing w:val="2"/>
          <w:w w:val="105"/>
          <w:sz w:val="20"/>
        </w:rPr>
        <w:t>(H</w:t>
      </w:r>
      <w:r>
        <w:rPr>
          <w:spacing w:val="2"/>
          <w:w w:val="105"/>
          <w:sz w:val="20"/>
          <w:vertAlign w:val="subscript"/>
        </w:rPr>
        <w:t>1</w:t>
      </w:r>
      <w:r>
        <w:rPr>
          <w:spacing w:val="2"/>
          <w:w w:val="105"/>
          <w:sz w:val="20"/>
          <w:vertAlign w:val="baseline"/>
        </w:rPr>
        <w:t>) </w:t>
      </w:r>
      <w:r>
        <w:rPr>
          <w:w w:val="105"/>
          <w:sz w:val="20"/>
          <w:vertAlign w:val="baseline"/>
        </w:rPr>
        <w:t>compared to the null (H</w:t>
      </w:r>
      <w:r>
        <w:rPr>
          <w:w w:val="105"/>
          <w:sz w:val="20"/>
          <w:vertAlign w:val="subscript"/>
        </w:rPr>
        <w:t>0</w:t>
      </w:r>
      <w:r>
        <w:rPr>
          <w:w w:val="105"/>
          <w:sz w:val="20"/>
          <w:vertAlign w:val="baseline"/>
        </w:rPr>
        <w:t>) and vice versa.    All Bayesian paired samples t-tests were directional, as indicated in the </w:t>
      </w:r>
      <w:hyperlink w:history="true" w:anchor="_bookmark14">
        <w:r>
          <w:rPr>
            <w:i/>
            <w:spacing w:val="-5"/>
            <w:w w:val="105"/>
            <w:sz w:val="20"/>
            <w:vertAlign w:val="baseline"/>
          </w:rPr>
          <w:t>Pre-registered </w:t>
        </w:r>
        <w:r>
          <w:rPr>
            <w:i/>
            <w:w w:val="105"/>
            <w:sz w:val="20"/>
            <w:vertAlign w:val="baseline"/>
          </w:rPr>
          <w:t>analyses </w:t>
        </w:r>
      </w:hyperlink>
      <w:r>
        <w:rPr>
          <w:w w:val="105"/>
          <w:sz w:val="20"/>
          <w:vertAlign w:val="baseline"/>
        </w:rPr>
        <w:t>section and frequentist</w:t>
      </w:r>
      <w:r>
        <w:rPr>
          <w:spacing w:val="14"/>
          <w:w w:val="105"/>
          <w:sz w:val="20"/>
          <w:vertAlign w:val="baseline"/>
        </w:rPr>
        <w:t> </w:t>
      </w:r>
      <w:r>
        <w:rPr>
          <w:w w:val="105"/>
          <w:sz w:val="20"/>
          <w:vertAlign w:val="baseline"/>
        </w:rPr>
        <w:t>equivalents</w:t>
      </w:r>
      <w:r>
        <w:rPr>
          <w:spacing w:val="15"/>
          <w:w w:val="105"/>
          <w:sz w:val="20"/>
          <w:vertAlign w:val="baseline"/>
        </w:rPr>
        <w:t> </w:t>
      </w:r>
      <w:r>
        <w:rPr>
          <w:w w:val="105"/>
          <w:sz w:val="20"/>
          <w:vertAlign w:val="baseline"/>
        </w:rPr>
        <w:t>were</w:t>
      </w:r>
      <w:r>
        <w:rPr>
          <w:spacing w:val="14"/>
          <w:w w:val="105"/>
          <w:sz w:val="20"/>
          <w:vertAlign w:val="baseline"/>
        </w:rPr>
        <w:t> </w:t>
      </w:r>
      <w:r>
        <w:rPr>
          <w:w w:val="105"/>
          <w:sz w:val="20"/>
          <w:vertAlign w:val="baseline"/>
        </w:rPr>
        <w:t>non-directional</w:t>
      </w:r>
      <w:r>
        <w:rPr>
          <w:spacing w:val="15"/>
          <w:w w:val="105"/>
          <w:sz w:val="20"/>
          <w:vertAlign w:val="baseline"/>
        </w:rPr>
        <w:t> </w:t>
      </w:r>
      <w:r>
        <w:rPr>
          <w:w w:val="105"/>
          <w:sz w:val="20"/>
          <w:vertAlign w:val="baseline"/>
        </w:rPr>
        <w:t>(two-tailed).</w:t>
      </w:r>
      <w:r>
        <w:rPr>
          <w:spacing w:val="37"/>
          <w:w w:val="105"/>
          <w:sz w:val="20"/>
          <w:vertAlign w:val="baseline"/>
        </w:rPr>
        <w:t> </w:t>
      </w:r>
      <w:r>
        <w:rPr>
          <w:w w:val="105"/>
          <w:sz w:val="20"/>
          <w:vertAlign w:val="baseline"/>
        </w:rPr>
        <w:t>The</w:t>
      </w:r>
      <w:r>
        <w:rPr>
          <w:spacing w:val="14"/>
          <w:w w:val="105"/>
          <w:sz w:val="20"/>
          <w:vertAlign w:val="baseline"/>
        </w:rPr>
        <w:t> </w:t>
      </w:r>
      <w:r>
        <w:rPr>
          <w:w w:val="105"/>
          <w:sz w:val="20"/>
          <w:vertAlign w:val="baseline"/>
        </w:rPr>
        <w:t>effect</w:t>
      </w:r>
      <w:r>
        <w:rPr>
          <w:spacing w:val="15"/>
          <w:w w:val="105"/>
          <w:sz w:val="20"/>
          <w:vertAlign w:val="baseline"/>
        </w:rPr>
        <w:t> </w:t>
      </w:r>
      <w:r>
        <w:rPr>
          <w:w w:val="105"/>
          <w:sz w:val="20"/>
          <w:vertAlign w:val="baseline"/>
        </w:rPr>
        <w:t>size</w:t>
      </w:r>
      <w:r>
        <w:rPr>
          <w:spacing w:val="14"/>
          <w:w w:val="105"/>
          <w:sz w:val="20"/>
          <w:vertAlign w:val="baseline"/>
        </w:rPr>
        <w:t> </w:t>
      </w:r>
      <w:r>
        <w:rPr>
          <w:w w:val="105"/>
          <w:sz w:val="20"/>
          <w:vertAlign w:val="baseline"/>
        </w:rPr>
        <w:t>is</w:t>
      </w:r>
      <w:r>
        <w:rPr>
          <w:spacing w:val="15"/>
          <w:w w:val="105"/>
          <w:sz w:val="20"/>
          <w:vertAlign w:val="baseline"/>
        </w:rPr>
        <w:t> </w:t>
      </w:r>
      <w:r>
        <w:rPr>
          <w:w w:val="105"/>
          <w:sz w:val="20"/>
          <w:vertAlign w:val="baseline"/>
        </w:rPr>
        <w:t>represented</w:t>
      </w:r>
      <w:r>
        <w:rPr>
          <w:spacing w:val="14"/>
          <w:w w:val="105"/>
          <w:sz w:val="20"/>
          <w:vertAlign w:val="baseline"/>
        </w:rPr>
        <w:t> </w:t>
      </w:r>
      <w:r>
        <w:rPr>
          <w:spacing w:val="-3"/>
          <w:w w:val="105"/>
          <w:sz w:val="20"/>
          <w:vertAlign w:val="baseline"/>
        </w:rPr>
        <w:t>by</w:t>
      </w:r>
      <w:r>
        <w:rPr>
          <w:spacing w:val="15"/>
          <w:w w:val="105"/>
          <w:sz w:val="20"/>
          <w:vertAlign w:val="baseline"/>
        </w:rPr>
        <w:t> </w:t>
      </w:r>
      <w:r>
        <w:rPr>
          <w:w w:val="105"/>
          <w:sz w:val="20"/>
          <w:vertAlign w:val="baseline"/>
        </w:rPr>
        <w:t>Cohen’s</w:t>
      </w:r>
      <w:r>
        <w:rPr>
          <w:spacing w:val="15"/>
          <w:w w:val="105"/>
          <w:sz w:val="20"/>
          <w:vertAlign w:val="baseline"/>
        </w:rPr>
        <w:t> </w:t>
      </w:r>
      <w:r>
        <w:rPr>
          <w:i/>
          <w:w w:val="105"/>
          <w:sz w:val="20"/>
          <w:vertAlign w:val="baseline"/>
        </w:rPr>
        <w:t>d</w:t>
      </w:r>
      <w:r>
        <w:rPr>
          <w:w w:val="105"/>
          <w:sz w:val="20"/>
          <w:vertAlign w:val="baseline"/>
        </w:rPr>
        <w:t>.</w:t>
      </w:r>
    </w:p>
    <w:p>
      <w:pPr>
        <w:pStyle w:val="BodyText"/>
        <w:spacing w:before="4"/>
        <w:ind w:left="0"/>
      </w:pPr>
    </w:p>
    <w:p>
      <w:pPr>
        <w:pStyle w:val="BodyText"/>
        <w:spacing w:before="145"/>
      </w:pPr>
      <w:r>
        <w:rPr>
          <w:rFonts w:ascii="Arial" w:hAnsi="Arial"/>
          <w:w w:val="105"/>
          <w:sz w:val="12"/>
        </w:rPr>
        <w:t>475 </w:t>
      </w:r>
      <w:r>
        <w:rPr>
          <w:w w:val="105"/>
        </w:rPr>
        <w:t>from pre-to post-training for nogo foods (</w:t>
      </w:r>
      <w:r>
        <w:rPr>
          <w:rFonts w:ascii="Arial" w:hAnsi="Arial"/>
          <w:w w:val="105"/>
        </w:rPr>
        <w:t>∆</w:t>
      </w:r>
      <w:r>
        <w:rPr>
          <w:w w:val="105"/>
        </w:rPr>
        <w:t>Liking</w:t>
      </w:r>
      <w:r>
        <w:rPr>
          <w:w w:val="105"/>
          <w:vertAlign w:val="subscript"/>
        </w:rPr>
        <w:t>nogo</w:t>
      </w:r>
      <w:r>
        <w:rPr>
          <w:w w:val="105"/>
          <w:vertAlign w:val="baseline"/>
        </w:rPr>
        <w:t>; </w:t>
      </w:r>
      <w:r>
        <w:rPr>
          <w:i/>
          <w:w w:val="105"/>
          <w:vertAlign w:val="baseline"/>
        </w:rPr>
        <w:t>M </w:t>
      </w:r>
      <w:r>
        <w:rPr>
          <w:w w:val="105"/>
          <w:vertAlign w:val="baseline"/>
        </w:rPr>
        <w:t>= -4.16; </w:t>
      </w:r>
      <w:r>
        <w:rPr>
          <w:i/>
          <w:w w:val="105"/>
          <w:vertAlign w:val="baseline"/>
        </w:rPr>
        <w:t>SD </w:t>
      </w:r>
      <w:r>
        <w:rPr>
          <w:w w:val="105"/>
          <w:vertAlign w:val="baseline"/>
        </w:rPr>
        <w:t>= 9.51) was only</w:t>
      </w:r>
    </w:p>
    <w:p>
      <w:pPr>
        <w:pStyle w:val="BodyText"/>
        <w:spacing w:before="201"/>
        <w:rPr>
          <w:i/>
        </w:rPr>
      </w:pPr>
      <w:r>
        <w:rPr>
          <w:rFonts w:ascii="Arial" w:hAnsi="Arial"/>
          <w:w w:val="105"/>
          <w:sz w:val="12"/>
        </w:rPr>
        <w:t>476     </w:t>
      </w:r>
      <w:r>
        <w:rPr>
          <w:w w:val="105"/>
        </w:rPr>
        <w:t>slightly reduced compared to change in liking for filler </w:t>
      </w:r>
      <w:r>
        <w:rPr>
          <w:spacing w:val="2"/>
          <w:w w:val="105"/>
        </w:rPr>
        <w:t>foods </w:t>
      </w:r>
      <w:r>
        <w:rPr>
          <w:w w:val="105"/>
        </w:rPr>
        <w:t>(</w:t>
      </w:r>
      <w:r>
        <w:rPr>
          <w:rFonts w:ascii="Arial" w:hAnsi="Arial"/>
          <w:w w:val="105"/>
        </w:rPr>
        <w:t>∆</w:t>
      </w:r>
      <w:r>
        <w:rPr>
          <w:w w:val="105"/>
        </w:rPr>
        <w:t>Liking</w:t>
      </w:r>
      <w:r>
        <w:rPr>
          <w:w w:val="105"/>
          <w:vertAlign w:val="subscript"/>
        </w:rPr>
        <w:t>control</w:t>
      </w:r>
      <w:r>
        <w:rPr>
          <w:w w:val="105"/>
          <w:vertAlign w:val="baseline"/>
        </w:rPr>
        <w:t>; </w:t>
      </w:r>
      <w:r>
        <w:rPr>
          <w:spacing w:val="14"/>
          <w:w w:val="105"/>
          <w:vertAlign w:val="baseline"/>
        </w:rPr>
        <w:t> </w:t>
      </w:r>
      <w:r>
        <w:rPr>
          <w:i/>
          <w:w w:val="105"/>
          <w:vertAlign w:val="baseline"/>
        </w:rPr>
        <w:t>M  </w:t>
      </w:r>
      <w:r>
        <w:rPr>
          <w:w w:val="105"/>
          <w:vertAlign w:val="baseline"/>
        </w:rPr>
        <w:t>= -2.61, </w:t>
      </w:r>
      <w:r>
        <w:rPr>
          <w:i/>
          <w:w w:val="105"/>
          <w:vertAlign w:val="baseline"/>
        </w:rPr>
        <w:t>SD</w:t>
      </w:r>
    </w:p>
    <w:p>
      <w:pPr>
        <w:pStyle w:val="BodyText"/>
      </w:pPr>
      <w:r>
        <w:rPr>
          <w:rFonts w:ascii="Arial"/>
          <w:w w:val="105"/>
          <w:sz w:val="12"/>
        </w:rPr>
        <w:t>477     </w:t>
      </w:r>
      <w:r>
        <w:rPr>
          <w:w w:val="105"/>
        </w:rPr>
        <w:t>= 8.77), and there </w:t>
      </w:r>
      <w:r>
        <w:rPr>
          <w:spacing w:val="-3"/>
          <w:w w:val="105"/>
        </w:rPr>
        <w:t>was </w:t>
      </w:r>
      <w:r>
        <w:rPr>
          <w:w w:val="105"/>
        </w:rPr>
        <w:t>only </w:t>
      </w:r>
      <w:r>
        <w:rPr>
          <w:i/>
          <w:spacing w:val="-3"/>
          <w:w w:val="105"/>
        </w:rPr>
        <w:t>anecdotal </w:t>
      </w:r>
      <w:r>
        <w:rPr>
          <w:w w:val="105"/>
        </w:rPr>
        <w:t>evidence for this effect (H3a; see </w:t>
      </w:r>
      <w:r>
        <w:rPr>
          <w:spacing w:val="-5"/>
          <w:w w:val="105"/>
        </w:rPr>
        <w:t>Table </w:t>
      </w:r>
      <w:r>
        <w:rPr>
          <w:w w:val="105"/>
        </w:rPr>
        <w:t>1). The</w:t>
      </w:r>
      <w:r>
        <w:rPr>
          <w:spacing w:val="-17"/>
          <w:w w:val="105"/>
        </w:rPr>
        <w:t> </w:t>
      </w:r>
      <w:r>
        <w:rPr>
          <w:w w:val="105"/>
        </w:rPr>
        <w:t>change</w:t>
      </w:r>
    </w:p>
    <w:p>
      <w:pPr>
        <w:pStyle w:val="BodyText"/>
        <w:spacing w:before="201"/>
      </w:pPr>
      <w:r>
        <w:rPr>
          <w:rFonts w:ascii="Arial" w:hAnsi="Arial"/>
          <w:w w:val="110"/>
          <w:sz w:val="12"/>
        </w:rPr>
        <w:t>478  </w:t>
      </w:r>
      <w:r>
        <w:rPr>
          <w:rFonts w:ascii="Arial" w:hAnsi="Arial"/>
          <w:spacing w:val="21"/>
          <w:w w:val="110"/>
          <w:sz w:val="12"/>
        </w:rPr>
        <w:t> </w:t>
      </w:r>
      <w:r>
        <w:rPr>
          <w:w w:val="110"/>
        </w:rPr>
        <w:t>in</w:t>
      </w:r>
      <w:r>
        <w:rPr>
          <w:spacing w:val="-14"/>
          <w:w w:val="110"/>
        </w:rPr>
        <w:t> </w:t>
      </w:r>
      <w:r>
        <w:rPr>
          <w:w w:val="110"/>
        </w:rPr>
        <w:t>liking</w:t>
      </w:r>
      <w:r>
        <w:rPr>
          <w:spacing w:val="-15"/>
          <w:w w:val="110"/>
        </w:rPr>
        <w:t> </w:t>
      </w:r>
      <w:r>
        <w:rPr>
          <w:w w:val="110"/>
        </w:rPr>
        <w:t>scores</w:t>
      </w:r>
      <w:r>
        <w:rPr>
          <w:spacing w:val="-14"/>
          <w:w w:val="110"/>
        </w:rPr>
        <w:t> </w:t>
      </w:r>
      <w:r>
        <w:rPr>
          <w:w w:val="110"/>
        </w:rPr>
        <w:t>from</w:t>
      </w:r>
      <w:r>
        <w:rPr>
          <w:spacing w:val="-14"/>
          <w:w w:val="110"/>
        </w:rPr>
        <w:t> </w:t>
      </w:r>
      <w:r>
        <w:rPr>
          <w:w w:val="110"/>
        </w:rPr>
        <w:t>pre-to</w:t>
      </w:r>
      <w:r>
        <w:rPr>
          <w:spacing w:val="-15"/>
          <w:w w:val="110"/>
        </w:rPr>
        <w:t> </w:t>
      </w:r>
      <w:r>
        <w:rPr>
          <w:w w:val="110"/>
        </w:rPr>
        <w:t>post-training</w:t>
      </w:r>
      <w:r>
        <w:rPr>
          <w:spacing w:val="-15"/>
          <w:w w:val="110"/>
        </w:rPr>
        <w:t> </w:t>
      </w:r>
      <w:r>
        <w:rPr>
          <w:w w:val="110"/>
        </w:rPr>
        <w:t>for</w:t>
      </w:r>
      <w:r>
        <w:rPr>
          <w:spacing w:val="-14"/>
          <w:w w:val="110"/>
        </w:rPr>
        <w:t> </w:t>
      </w:r>
      <w:r>
        <w:rPr>
          <w:w w:val="110"/>
        </w:rPr>
        <w:t>go</w:t>
      </w:r>
      <w:r>
        <w:rPr>
          <w:spacing w:val="-15"/>
          <w:w w:val="110"/>
        </w:rPr>
        <w:t> </w:t>
      </w:r>
      <w:r>
        <w:rPr>
          <w:spacing w:val="2"/>
          <w:w w:val="110"/>
        </w:rPr>
        <w:t>foods</w:t>
      </w:r>
      <w:r>
        <w:rPr>
          <w:spacing w:val="-14"/>
          <w:w w:val="110"/>
        </w:rPr>
        <w:t> </w:t>
      </w:r>
      <w:r>
        <w:rPr>
          <w:w w:val="110"/>
        </w:rPr>
        <w:t>(</w:t>
      </w:r>
      <w:r>
        <w:rPr>
          <w:rFonts w:ascii="Arial" w:hAnsi="Arial"/>
          <w:w w:val="110"/>
        </w:rPr>
        <w:t>∆</w:t>
      </w:r>
      <w:r>
        <w:rPr>
          <w:rFonts w:ascii="Arial" w:hAnsi="Arial"/>
          <w:spacing w:val="-22"/>
          <w:w w:val="110"/>
        </w:rPr>
        <w:t> </w:t>
      </w:r>
      <w:r>
        <w:rPr>
          <w:w w:val="110"/>
        </w:rPr>
        <w:t>Liking</w:t>
      </w:r>
      <w:r>
        <w:rPr>
          <w:w w:val="110"/>
          <w:vertAlign w:val="subscript"/>
        </w:rPr>
        <w:t>go</w:t>
      </w:r>
      <w:r>
        <w:rPr>
          <w:w w:val="110"/>
          <w:vertAlign w:val="baseline"/>
        </w:rPr>
        <w:t>;</w:t>
      </w:r>
      <w:r>
        <w:rPr>
          <w:spacing w:val="-14"/>
          <w:w w:val="110"/>
          <w:vertAlign w:val="baseline"/>
        </w:rPr>
        <w:t> </w:t>
      </w:r>
      <w:r>
        <w:rPr>
          <w:i/>
          <w:w w:val="110"/>
          <w:vertAlign w:val="baseline"/>
        </w:rPr>
        <w:t>M</w:t>
      </w:r>
      <w:r>
        <w:rPr>
          <w:i/>
          <w:spacing w:val="5"/>
          <w:w w:val="110"/>
          <w:vertAlign w:val="baseline"/>
        </w:rPr>
        <w:t> </w:t>
      </w:r>
      <w:r>
        <w:rPr>
          <w:w w:val="110"/>
          <w:vertAlign w:val="baseline"/>
        </w:rPr>
        <w:t>=</w:t>
      </w:r>
      <w:r>
        <w:rPr>
          <w:spacing w:val="-14"/>
          <w:w w:val="110"/>
          <w:vertAlign w:val="baseline"/>
        </w:rPr>
        <w:t> </w:t>
      </w:r>
      <w:r>
        <w:rPr>
          <w:w w:val="110"/>
          <w:vertAlign w:val="baseline"/>
        </w:rPr>
        <w:t>-2.87,</w:t>
      </w:r>
      <w:r>
        <w:rPr>
          <w:spacing w:val="-15"/>
          <w:w w:val="110"/>
          <w:vertAlign w:val="baseline"/>
        </w:rPr>
        <w:t> </w:t>
      </w:r>
      <w:r>
        <w:rPr>
          <w:i/>
          <w:w w:val="110"/>
          <w:vertAlign w:val="baseline"/>
        </w:rPr>
        <w:t>SD</w:t>
      </w:r>
      <w:r>
        <w:rPr>
          <w:i/>
          <w:spacing w:val="-7"/>
          <w:w w:val="110"/>
          <w:vertAlign w:val="baseline"/>
        </w:rPr>
        <w:t> </w:t>
      </w:r>
      <w:r>
        <w:rPr>
          <w:w w:val="110"/>
          <w:vertAlign w:val="baseline"/>
        </w:rPr>
        <w:t>=</w:t>
      </w:r>
      <w:r>
        <w:rPr>
          <w:spacing w:val="-14"/>
          <w:w w:val="110"/>
          <w:vertAlign w:val="baseline"/>
        </w:rPr>
        <w:t> </w:t>
      </w:r>
      <w:r>
        <w:rPr>
          <w:w w:val="110"/>
          <w:vertAlign w:val="baseline"/>
        </w:rPr>
        <w:t>10.15),</w:t>
      </w:r>
    </w:p>
    <w:p>
      <w:pPr>
        <w:pStyle w:val="BodyText"/>
      </w:pPr>
      <w:r>
        <w:rPr>
          <w:rFonts w:ascii="Arial"/>
          <w:w w:val="105"/>
          <w:sz w:val="12"/>
        </w:rPr>
        <w:t>479 </w:t>
      </w:r>
      <w:r>
        <w:rPr>
          <w:w w:val="105"/>
        </w:rPr>
        <w:t>however, was not greater than the change for filler foods as originally expected. Instead,</w:t>
      </w:r>
    </w:p>
    <w:p>
      <w:pPr>
        <w:pStyle w:val="BodyText"/>
      </w:pPr>
      <w:r>
        <w:rPr>
          <w:rFonts w:ascii="Arial"/>
          <w:w w:val="105"/>
          <w:sz w:val="12"/>
        </w:rPr>
        <w:t>480 </w:t>
      </w:r>
      <w:r>
        <w:rPr>
          <w:w w:val="105"/>
        </w:rPr>
        <w:t>there was </w:t>
      </w:r>
      <w:r>
        <w:rPr>
          <w:i/>
          <w:w w:val="105"/>
        </w:rPr>
        <w:t>strong </w:t>
      </w:r>
      <w:r>
        <w:rPr>
          <w:w w:val="105"/>
        </w:rPr>
        <w:t>evidence for the null hypothesis compared to the alternative (H3b).</w:t>
      </w:r>
    </w:p>
    <w:p>
      <w:pPr>
        <w:pStyle w:val="BodyText"/>
        <w:spacing w:before="0"/>
        <w:ind w:left="0"/>
        <w:rPr>
          <w:sz w:val="20"/>
        </w:rPr>
      </w:pPr>
    </w:p>
    <w:p>
      <w:pPr>
        <w:pStyle w:val="BodyText"/>
        <w:spacing w:before="7"/>
        <w:ind w:left="0"/>
        <w:rPr>
          <w:sz w:val="20"/>
        </w:rPr>
      </w:pPr>
    </w:p>
    <w:p>
      <w:pPr>
        <w:pStyle w:val="BodyText"/>
        <w:tabs>
          <w:tab w:pos="1195" w:val="left" w:leader="none"/>
        </w:tabs>
        <w:spacing w:before="145"/>
      </w:pPr>
      <w:r>
        <w:rPr>
          <w:rFonts w:ascii="Arial"/>
          <w:w w:val="105"/>
          <w:sz w:val="12"/>
        </w:rPr>
        <w:t>481</w:t>
        <w:tab/>
      </w:r>
      <w:r>
        <w:rPr>
          <w:w w:val="105"/>
        </w:rPr>
        <w:t>In</w:t>
      </w:r>
      <w:r>
        <w:rPr>
          <w:spacing w:val="18"/>
          <w:w w:val="105"/>
        </w:rPr>
        <w:t> </w:t>
      </w:r>
      <w:r>
        <w:rPr>
          <w:w w:val="105"/>
        </w:rPr>
        <w:t>order</w:t>
      </w:r>
      <w:r>
        <w:rPr>
          <w:spacing w:val="18"/>
          <w:w w:val="105"/>
        </w:rPr>
        <w:t> </w:t>
      </w:r>
      <w:r>
        <w:rPr>
          <w:w w:val="105"/>
        </w:rPr>
        <w:t>to</w:t>
      </w:r>
      <w:r>
        <w:rPr>
          <w:spacing w:val="17"/>
          <w:w w:val="105"/>
        </w:rPr>
        <w:t> </w:t>
      </w:r>
      <w:r>
        <w:rPr>
          <w:spacing w:val="-3"/>
          <w:w w:val="105"/>
        </w:rPr>
        <w:t>validate</w:t>
      </w:r>
      <w:r>
        <w:rPr>
          <w:spacing w:val="17"/>
          <w:w w:val="105"/>
        </w:rPr>
        <w:t> </w:t>
      </w:r>
      <w:r>
        <w:rPr>
          <w:w w:val="105"/>
        </w:rPr>
        <w:t>whether</w:t>
      </w:r>
      <w:r>
        <w:rPr>
          <w:spacing w:val="18"/>
          <w:w w:val="105"/>
        </w:rPr>
        <w:t> </w:t>
      </w:r>
      <w:r>
        <w:rPr>
          <w:w w:val="105"/>
        </w:rPr>
        <w:t>the</w:t>
      </w:r>
      <w:r>
        <w:rPr>
          <w:spacing w:val="17"/>
          <w:w w:val="105"/>
        </w:rPr>
        <w:t> </w:t>
      </w:r>
      <w:r>
        <w:rPr>
          <w:w w:val="105"/>
        </w:rPr>
        <w:t>implemented</w:t>
      </w:r>
      <w:r>
        <w:rPr>
          <w:spacing w:val="17"/>
          <w:w w:val="105"/>
        </w:rPr>
        <w:t> </w:t>
      </w:r>
      <w:r>
        <w:rPr>
          <w:w w:val="105"/>
        </w:rPr>
        <w:t>go/no-go</w:t>
      </w:r>
      <w:r>
        <w:rPr>
          <w:spacing w:val="18"/>
          <w:w w:val="105"/>
        </w:rPr>
        <w:t> </w:t>
      </w:r>
      <w:r>
        <w:rPr>
          <w:w w:val="105"/>
        </w:rPr>
        <w:t>training</w:t>
      </w:r>
      <w:r>
        <w:rPr>
          <w:spacing w:val="17"/>
          <w:w w:val="105"/>
        </w:rPr>
        <w:t> </w:t>
      </w:r>
      <w:r>
        <w:rPr>
          <w:w w:val="105"/>
        </w:rPr>
        <w:t>paradigm</w:t>
      </w:r>
      <w:r>
        <w:rPr>
          <w:spacing w:val="18"/>
          <w:w w:val="105"/>
        </w:rPr>
        <w:t> </w:t>
      </w:r>
      <w:r>
        <w:rPr>
          <w:w w:val="105"/>
        </w:rPr>
        <w:t>led</w:t>
      </w:r>
      <w:r>
        <w:rPr>
          <w:spacing w:val="18"/>
          <w:w w:val="105"/>
        </w:rPr>
        <w:t> </w:t>
      </w:r>
      <w:r>
        <w:rPr>
          <w:w w:val="105"/>
        </w:rPr>
        <w:t>to</w:t>
      </w:r>
    </w:p>
    <w:p>
      <w:pPr>
        <w:pStyle w:val="BodyText"/>
      </w:pPr>
      <w:r>
        <w:rPr>
          <w:rFonts w:ascii="Arial"/>
          <w:w w:val="105"/>
          <w:sz w:val="12"/>
        </w:rPr>
        <w:t>482 </w:t>
      </w:r>
      <w:r>
        <w:rPr>
          <w:w w:val="105"/>
        </w:rPr>
        <w:t>stimulus-response associations (i.e., contingency learning), it was tested whether the</w:t>
      </w:r>
    </w:p>
    <w:p>
      <w:pPr>
        <w:pStyle w:val="BodyText"/>
        <w:spacing w:before="203"/>
      </w:pPr>
      <w:r>
        <w:rPr>
          <w:rFonts w:ascii="Arial"/>
          <w:sz w:val="12"/>
        </w:rPr>
        <w:t>483     </w:t>
      </w:r>
      <w:r>
        <w:rPr>
          <w:rFonts w:ascii="Arial"/>
          <w:spacing w:val="24"/>
          <w:sz w:val="12"/>
        </w:rPr>
        <w:t> </w:t>
      </w:r>
      <w:r>
        <w:rPr/>
        <w:t>percentage</w:t>
      </w:r>
      <w:r>
        <w:rPr>
          <w:spacing w:val="27"/>
        </w:rPr>
        <w:t> </w:t>
      </w:r>
      <w:r>
        <w:rPr/>
        <w:t>of</w:t>
      </w:r>
      <w:r>
        <w:rPr>
          <w:spacing w:val="27"/>
        </w:rPr>
        <w:t> </w:t>
      </w:r>
      <w:r>
        <w:rPr/>
        <w:t>correct</w:t>
      </w:r>
      <w:r>
        <w:rPr>
          <w:spacing w:val="26"/>
        </w:rPr>
        <w:t> </w:t>
      </w:r>
      <w:r>
        <w:rPr/>
        <w:t>responses</w:t>
      </w:r>
      <w:r>
        <w:rPr>
          <w:spacing w:val="27"/>
        </w:rPr>
        <w:t> </w:t>
      </w:r>
      <w:r>
        <w:rPr/>
        <w:t>for</w:t>
      </w:r>
      <w:r>
        <w:rPr>
          <w:spacing w:val="27"/>
        </w:rPr>
        <w:t> </w:t>
      </w:r>
      <w:r>
        <w:rPr/>
        <w:t>no-go</w:t>
      </w:r>
      <w:r>
        <w:rPr>
          <w:spacing w:val="28"/>
        </w:rPr>
        <w:t> </w:t>
      </w:r>
      <w:r>
        <w:rPr>
          <w:spacing w:val="2"/>
        </w:rPr>
        <w:t>foods</w:t>
      </w:r>
      <w:r>
        <w:rPr>
          <w:spacing w:val="28"/>
        </w:rPr>
        <w:t> </w:t>
      </w:r>
      <w:r>
        <w:rPr/>
        <w:t>(i.e.,</w:t>
      </w:r>
      <w:r>
        <w:rPr>
          <w:spacing w:val="27"/>
        </w:rPr>
        <w:t> </w:t>
      </w:r>
      <w:r>
        <w:rPr/>
        <w:t>successful</w:t>
      </w:r>
      <w:r>
        <w:rPr>
          <w:spacing w:val="28"/>
        </w:rPr>
        <w:t> </w:t>
      </w:r>
      <w:r>
        <w:rPr/>
        <w:t>inhibitions)</w:t>
      </w:r>
      <w:r>
        <w:rPr>
          <w:spacing w:val="27"/>
        </w:rPr>
        <w:t> </w:t>
      </w:r>
      <w:r>
        <w:rPr/>
        <w:t>would</w:t>
      </w:r>
      <w:r>
        <w:rPr>
          <w:spacing w:val="26"/>
        </w:rPr>
        <w:t> </w:t>
      </w:r>
      <w:r>
        <w:rPr>
          <w:spacing w:val="3"/>
        </w:rPr>
        <w:t>be</w:t>
      </w:r>
      <w:r>
        <w:rPr>
          <w:spacing w:val="27"/>
        </w:rPr>
        <w:t> </w:t>
      </w:r>
      <w:r>
        <w:rPr/>
        <w:t>greater</w:t>
      </w:r>
    </w:p>
    <w:p>
      <w:pPr>
        <w:pStyle w:val="BodyText"/>
      </w:pPr>
      <w:r>
        <w:rPr>
          <w:rFonts w:ascii="Arial"/>
          <w:w w:val="105"/>
          <w:sz w:val="12"/>
        </w:rPr>
        <w:t>484    </w:t>
      </w:r>
      <w:r>
        <w:rPr>
          <w:rFonts w:ascii="Arial"/>
          <w:spacing w:val="3"/>
          <w:w w:val="105"/>
          <w:sz w:val="12"/>
        </w:rPr>
        <w:t> </w:t>
      </w:r>
      <w:r>
        <w:rPr>
          <w:w w:val="105"/>
        </w:rPr>
        <w:t>compared</w:t>
      </w:r>
      <w:r>
        <w:rPr>
          <w:spacing w:val="7"/>
          <w:w w:val="105"/>
        </w:rPr>
        <w:t> </w:t>
      </w:r>
      <w:r>
        <w:rPr>
          <w:w w:val="105"/>
        </w:rPr>
        <w:t>to</w:t>
      </w:r>
      <w:r>
        <w:rPr>
          <w:spacing w:val="7"/>
          <w:w w:val="105"/>
        </w:rPr>
        <w:t> </w:t>
      </w:r>
      <w:r>
        <w:rPr>
          <w:w w:val="105"/>
        </w:rPr>
        <w:t>the</w:t>
      </w:r>
      <w:r>
        <w:rPr>
          <w:spacing w:val="6"/>
          <w:w w:val="105"/>
        </w:rPr>
        <w:t> </w:t>
      </w:r>
      <w:r>
        <w:rPr>
          <w:w w:val="105"/>
        </w:rPr>
        <w:t>percentage</w:t>
      </w:r>
      <w:r>
        <w:rPr>
          <w:spacing w:val="6"/>
          <w:w w:val="105"/>
        </w:rPr>
        <w:t> </w:t>
      </w:r>
      <w:r>
        <w:rPr>
          <w:w w:val="105"/>
        </w:rPr>
        <w:t>of</w:t>
      </w:r>
      <w:r>
        <w:rPr>
          <w:spacing w:val="6"/>
          <w:w w:val="105"/>
        </w:rPr>
        <w:t> </w:t>
      </w:r>
      <w:r>
        <w:rPr>
          <w:w w:val="105"/>
        </w:rPr>
        <w:t>correct</w:t>
      </w:r>
      <w:r>
        <w:rPr>
          <w:spacing w:val="7"/>
          <w:w w:val="105"/>
        </w:rPr>
        <w:t> </w:t>
      </w:r>
      <w:r>
        <w:rPr>
          <w:w w:val="105"/>
        </w:rPr>
        <w:t>responses</w:t>
      </w:r>
      <w:r>
        <w:rPr>
          <w:spacing w:val="7"/>
          <w:w w:val="105"/>
        </w:rPr>
        <w:t> </w:t>
      </w:r>
      <w:r>
        <w:rPr>
          <w:w w:val="105"/>
        </w:rPr>
        <w:t>for</w:t>
      </w:r>
      <w:r>
        <w:rPr>
          <w:spacing w:val="7"/>
          <w:w w:val="105"/>
        </w:rPr>
        <w:t> </w:t>
      </w:r>
      <w:r>
        <w:rPr>
          <w:w w:val="105"/>
        </w:rPr>
        <w:t>filler</w:t>
      </w:r>
      <w:r>
        <w:rPr>
          <w:spacing w:val="7"/>
          <w:w w:val="105"/>
        </w:rPr>
        <w:t> </w:t>
      </w:r>
      <w:r>
        <w:rPr>
          <w:spacing w:val="2"/>
          <w:w w:val="105"/>
        </w:rPr>
        <w:t>foods</w:t>
      </w:r>
      <w:r>
        <w:rPr>
          <w:spacing w:val="7"/>
          <w:w w:val="105"/>
        </w:rPr>
        <w:t> </w:t>
      </w:r>
      <w:r>
        <w:rPr>
          <w:w w:val="105"/>
        </w:rPr>
        <w:t>associated</w:t>
      </w:r>
      <w:r>
        <w:rPr>
          <w:spacing w:val="7"/>
          <w:w w:val="105"/>
        </w:rPr>
        <w:t> </w:t>
      </w:r>
      <w:r>
        <w:rPr>
          <w:w w:val="105"/>
        </w:rPr>
        <w:t>with</w:t>
      </w:r>
      <w:r>
        <w:rPr>
          <w:spacing w:val="7"/>
          <w:w w:val="105"/>
        </w:rPr>
        <w:t> </w:t>
      </w:r>
      <w:r>
        <w:rPr>
          <w:w w:val="105"/>
        </w:rPr>
        <w:t>signal</w:t>
      </w:r>
      <w:r>
        <w:rPr>
          <w:spacing w:val="7"/>
          <w:w w:val="105"/>
        </w:rPr>
        <w:t> </w:t>
      </w:r>
      <w:r>
        <w:rPr>
          <w:w w:val="105"/>
        </w:rPr>
        <w:t>trials</w:t>
      </w:r>
    </w:p>
    <w:p>
      <w:pPr>
        <w:pStyle w:val="BodyText"/>
      </w:pPr>
      <w:r>
        <w:rPr>
          <w:rFonts w:ascii="Arial"/>
          <w:w w:val="105"/>
          <w:sz w:val="12"/>
        </w:rPr>
        <w:t>485 </w:t>
      </w:r>
      <w:r>
        <w:rPr>
          <w:w w:val="105"/>
        </w:rPr>
        <w:t>(H4a). There was </w:t>
      </w:r>
      <w:r>
        <w:rPr>
          <w:i/>
          <w:w w:val="105"/>
        </w:rPr>
        <w:t>extreme </w:t>
      </w:r>
      <w:r>
        <w:rPr>
          <w:w w:val="105"/>
        </w:rPr>
        <w:t>evidence that participants had on average more successful</w:t>
      </w:r>
    </w:p>
    <w:p>
      <w:pPr>
        <w:spacing w:after="0"/>
        <w:sectPr>
          <w:pgSz w:w="12240" w:h="15840"/>
          <w:pgMar w:header="649" w:footer="0" w:top="1320" w:bottom="280" w:left="820" w:right="1140"/>
        </w:sectPr>
      </w:pPr>
    </w:p>
    <w:p>
      <w:pPr>
        <w:pStyle w:val="BodyText"/>
        <w:spacing w:before="0"/>
        <w:ind w:left="0"/>
        <w:rPr>
          <w:sz w:val="20"/>
        </w:rPr>
      </w:pPr>
    </w:p>
    <w:p>
      <w:pPr>
        <w:pStyle w:val="BodyText"/>
        <w:spacing w:before="5"/>
        <w:ind w:left="0"/>
        <w:rPr>
          <w:sz w:val="12"/>
        </w:rPr>
      </w:pPr>
    </w:p>
    <w:p>
      <w:pPr>
        <w:pStyle w:val="BodyText"/>
        <w:spacing w:before="0"/>
        <w:ind w:left="701"/>
        <w:rPr>
          <w:sz w:val="20"/>
        </w:rPr>
      </w:pPr>
      <w:r>
        <w:rPr>
          <w:sz w:val="20"/>
        </w:rPr>
        <w:drawing>
          <wp:inline distT="0" distB="0" distL="0" distR="0">
            <wp:extent cx="5890736" cy="4030503"/>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5890736" cy="4030503"/>
                    </a:xfrm>
                    <a:prstGeom prst="rect">
                      <a:avLst/>
                    </a:prstGeom>
                  </pic:spPr>
                </pic:pic>
              </a:graphicData>
            </a:graphic>
          </wp:inline>
        </w:drawing>
      </w:r>
      <w:r>
        <w:rPr>
          <w:sz w:val="20"/>
        </w:rPr>
      </w:r>
    </w:p>
    <w:p>
      <w:pPr>
        <w:pStyle w:val="BodyText"/>
        <w:spacing w:before="5"/>
        <w:ind w:left="0"/>
        <w:rPr>
          <w:sz w:val="13"/>
        </w:rPr>
      </w:pPr>
    </w:p>
    <w:p>
      <w:pPr>
        <w:spacing w:line="412" w:lineRule="auto" w:before="141"/>
        <w:ind w:left="612" w:right="259" w:firstLine="7"/>
        <w:jc w:val="both"/>
        <w:rPr>
          <w:sz w:val="20"/>
        </w:rPr>
      </w:pPr>
      <w:bookmarkStart w:name="_bookmark21" w:id="47"/>
      <w:bookmarkEnd w:id="47"/>
      <w:r>
        <w:rPr/>
      </w:r>
      <w:r>
        <w:rPr>
          <w:rFonts w:ascii="Arial-BoldItalicMT" w:hAnsi="Arial-BoldItalicMT"/>
          <w:b/>
          <w:i/>
          <w:w w:val="110"/>
          <w:sz w:val="20"/>
        </w:rPr>
        <w:t>Figure 3 </w:t>
      </w:r>
      <w:r>
        <w:rPr>
          <w:b/>
          <w:w w:val="110"/>
          <w:sz w:val="20"/>
        </w:rPr>
        <w:t>. Raincloud plot of the mean liking ratings pre- and post- training across training conditions.</w:t>
      </w:r>
      <w:r>
        <w:rPr>
          <w:b/>
          <w:spacing w:val="8"/>
          <w:w w:val="110"/>
          <w:sz w:val="20"/>
        </w:rPr>
        <w:t> </w:t>
      </w:r>
      <w:r>
        <w:rPr>
          <w:w w:val="110"/>
          <w:sz w:val="20"/>
        </w:rPr>
        <w:t>This</w:t>
      </w:r>
      <w:r>
        <w:rPr>
          <w:spacing w:val="-10"/>
          <w:w w:val="110"/>
          <w:sz w:val="20"/>
        </w:rPr>
        <w:t> </w:t>
      </w:r>
      <w:r>
        <w:rPr>
          <w:w w:val="110"/>
          <w:sz w:val="20"/>
        </w:rPr>
        <w:t>visualisation</w:t>
      </w:r>
      <w:r>
        <w:rPr>
          <w:spacing w:val="-11"/>
          <w:w w:val="110"/>
          <w:sz w:val="20"/>
        </w:rPr>
        <w:t> </w:t>
      </w:r>
      <w:r>
        <w:rPr>
          <w:w w:val="110"/>
          <w:sz w:val="20"/>
        </w:rPr>
        <w:t>of</w:t>
      </w:r>
      <w:r>
        <w:rPr>
          <w:spacing w:val="-10"/>
          <w:w w:val="110"/>
          <w:sz w:val="20"/>
        </w:rPr>
        <w:t> </w:t>
      </w:r>
      <w:r>
        <w:rPr>
          <w:w w:val="110"/>
          <w:sz w:val="20"/>
        </w:rPr>
        <w:t>the</w:t>
      </w:r>
      <w:r>
        <w:rPr>
          <w:spacing w:val="-11"/>
          <w:w w:val="110"/>
          <w:sz w:val="20"/>
        </w:rPr>
        <w:t> </w:t>
      </w:r>
      <w:r>
        <w:rPr>
          <w:w w:val="110"/>
          <w:sz w:val="20"/>
        </w:rPr>
        <w:t>mean</w:t>
      </w:r>
      <w:r>
        <w:rPr>
          <w:spacing w:val="-10"/>
          <w:w w:val="110"/>
          <w:sz w:val="20"/>
        </w:rPr>
        <w:t> </w:t>
      </w:r>
      <w:r>
        <w:rPr>
          <w:w w:val="110"/>
          <w:sz w:val="20"/>
        </w:rPr>
        <w:t>liking</w:t>
      </w:r>
      <w:r>
        <w:rPr>
          <w:spacing w:val="-11"/>
          <w:w w:val="110"/>
          <w:sz w:val="20"/>
        </w:rPr>
        <w:t> </w:t>
      </w:r>
      <w:r>
        <w:rPr>
          <w:w w:val="110"/>
          <w:sz w:val="20"/>
        </w:rPr>
        <w:t>ratings</w:t>
      </w:r>
      <w:r>
        <w:rPr>
          <w:spacing w:val="-10"/>
          <w:w w:val="110"/>
          <w:sz w:val="20"/>
        </w:rPr>
        <w:t> </w:t>
      </w:r>
      <w:r>
        <w:rPr>
          <w:w w:val="110"/>
          <w:sz w:val="20"/>
        </w:rPr>
        <w:t>from</w:t>
      </w:r>
      <w:r>
        <w:rPr>
          <w:spacing w:val="-11"/>
          <w:w w:val="110"/>
          <w:sz w:val="20"/>
        </w:rPr>
        <w:t> </w:t>
      </w:r>
      <w:r>
        <w:rPr>
          <w:w w:val="110"/>
          <w:sz w:val="20"/>
        </w:rPr>
        <w:t>all</w:t>
      </w:r>
      <w:r>
        <w:rPr>
          <w:spacing w:val="-10"/>
          <w:w w:val="110"/>
          <w:sz w:val="20"/>
        </w:rPr>
        <w:t> </w:t>
      </w:r>
      <w:r>
        <w:rPr>
          <w:w w:val="110"/>
          <w:sz w:val="20"/>
        </w:rPr>
        <w:t>participants</w:t>
      </w:r>
      <w:r>
        <w:rPr>
          <w:spacing w:val="-11"/>
          <w:w w:val="110"/>
          <w:sz w:val="20"/>
        </w:rPr>
        <w:t> </w:t>
      </w:r>
      <w:r>
        <w:rPr>
          <w:w w:val="110"/>
          <w:sz w:val="20"/>
        </w:rPr>
        <w:t>revealed</w:t>
      </w:r>
      <w:r>
        <w:rPr>
          <w:spacing w:val="-10"/>
          <w:w w:val="110"/>
          <w:sz w:val="20"/>
        </w:rPr>
        <w:t> </w:t>
      </w:r>
      <w:r>
        <w:rPr>
          <w:w w:val="110"/>
          <w:sz w:val="20"/>
        </w:rPr>
        <w:t>that</w:t>
      </w:r>
      <w:r>
        <w:rPr>
          <w:spacing w:val="-11"/>
          <w:w w:val="110"/>
          <w:sz w:val="20"/>
        </w:rPr>
        <w:t> </w:t>
      </w:r>
      <w:r>
        <w:rPr>
          <w:w w:val="110"/>
          <w:sz w:val="20"/>
        </w:rPr>
        <w:t>the</w:t>
      </w:r>
      <w:r>
        <w:rPr>
          <w:spacing w:val="-10"/>
          <w:w w:val="110"/>
          <w:sz w:val="20"/>
        </w:rPr>
        <w:t> </w:t>
      </w:r>
      <w:r>
        <w:rPr>
          <w:w w:val="110"/>
          <w:sz w:val="20"/>
        </w:rPr>
        <w:t>distributions are</w:t>
      </w:r>
      <w:r>
        <w:rPr>
          <w:spacing w:val="-24"/>
          <w:w w:val="110"/>
          <w:sz w:val="20"/>
        </w:rPr>
        <w:t> </w:t>
      </w:r>
      <w:r>
        <w:rPr>
          <w:w w:val="110"/>
          <w:sz w:val="20"/>
        </w:rPr>
        <w:t>more</w:t>
      </w:r>
      <w:r>
        <w:rPr>
          <w:spacing w:val="-24"/>
          <w:w w:val="110"/>
          <w:sz w:val="20"/>
        </w:rPr>
        <w:t> </w:t>
      </w:r>
      <w:r>
        <w:rPr>
          <w:w w:val="110"/>
          <w:sz w:val="20"/>
        </w:rPr>
        <w:t>skewed</w:t>
      </w:r>
      <w:r>
        <w:rPr>
          <w:spacing w:val="-23"/>
          <w:w w:val="110"/>
          <w:sz w:val="20"/>
        </w:rPr>
        <w:t> </w:t>
      </w:r>
      <w:r>
        <w:rPr>
          <w:w w:val="110"/>
          <w:sz w:val="20"/>
        </w:rPr>
        <w:t>than</w:t>
      </w:r>
      <w:r>
        <w:rPr>
          <w:spacing w:val="-24"/>
          <w:w w:val="110"/>
          <w:sz w:val="20"/>
        </w:rPr>
        <w:t> </w:t>
      </w:r>
      <w:r>
        <w:rPr>
          <w:w w:val="110"/>
          <w:sz w:val="20"/>
        </w:rPr>
        <w:t>expected,</w:t>
      </w:r>
      <w:r>
        <w:rPr>
          <w:spacing w:val="-22"/>
          <w:w w:val="110"/>
          <w:sz w:val="20"/>
        </w:rPr>
        <w:t> </w:t>
      </w:r>
      <w:r>
        <w:rPr>
          <w:w w:val="110"/>
          <w:sz w:val="20"/>
        </w:rPr>
        <w:t>towards</w:t>
      </w:r>
      <w:r>
        <w:rPr>
          <w:spacing w:val="-24"/>
          <w:w w:val="110"/>
          <w:sz w:val="20"/>
        </w:rPr>
        <w:t> </w:t>
      </w:r>
      <w:r>
        <w:rPr>
          <w:w w:val="110"/>
          <w:sz w:val="20"/>
        </w:rPr>
        <w:t>the</w:t>
      </w:r>
      <w:r>
        <w:rPr>
          <w:spacing w:val="-24"/>
          <w:w w:val="110"/>
          <w:sz w:val="20"/>
        </w:rPr>
        <w:t> </w:t>
      </w:r>
      <w:r>
        <w:rPr>
          <w:w w:val="110"/>
          <w:sz w:val="20"/>
        </w:rPr>
        <w:t>least</w:t>
      </w:r>
      <w:r>
        <w:rPr>
          <w:spacing w:val="-23"/>
          <w:w w:val="110"/>
          <w:sz w:val="20"/>
        </w:rPr>
        <w:t> </w:t>
      </w:r>
      <w:r>
        <w:rPr>
          <w:w w:val="110"/>
          <w:sz w:val="20"/>
        </w:rPr>
        <w:t>liked</w:t>
      </w:r>
      <w:r>
        <w:rPr>
          <w:spacing w:val="-24"/>
          <w:w w:val="110"/>
          <w:sz w:val="20"/>
        </w:rPr>
        <w:t> </w:t>
      </w:r>
      <w:r>
        <w:rPr>
          <w:w w:val="110"/>
          <w:sz w:val="20"/>
        </w:rPr>
        <w:t>range</w:t>
      </w:r>
      <w:r>
        <w:rPr>
          <w:spacing w:val="-23"/>
          <w:w w:val="110"/>
          <w:sz w:val="20"/>
        </w:rPr>
        <w:t> </w:t>
      </w:r>
      <w:r>
        <w:rPr>
          <w:w w:val="110"/>
          <w:sz w:val="20"/>
        </w:rPr>
        <w:t>of</w:t>
      </w:r>
      <w:r>
        <w:rPr>
          <w:spacing w:val="-24"/>
          <w:w w:val="110"/>
          <w:sz w:val="20"/>
        </w:rPr>
        <w:t> </w:t>
      </w:r>
      <w:r>
        <w:rPr>
          <w:w w:val="110"/>
          <w:sz w:val="20"/>
        </w:rPr>
        <w:t>the</w:t>
      </w:r>
      <w:r>
        <w:rPr>
          <w:spacing w:val="-23"/>
          <w:w w:val="110"/>
          <w:sz w:val="20"/>
        </w:rPr>
        <w:t> </w:t>
      </w:r>
      <w:r>
        <w:rPr>
          <w:w w:val="110"/>
          <w:sz w:val="20"/>
        </w:rPr>
        <w:t>visual</w:t>
      </w:r>
      <w:r>
        <w:rPr>
          <w:spacing w:val="-24"/>
          <w:w w:val="110"/>
          <w:sz w:val="20"/>
        </w:rPr>
        <w:t> </w:t>
      </w:r>
      <w:r>
        <w:rPr>
          <w:w w:val="110"/>
          <w:sz w:val="20"/>
        </w:rPr>
        <w:t>analogue</w:t>
      </w:r>
      <w:r>
        <w:rPr>
          <w:spacing w:val="-24"/>
          <w:w w:val="110"/>
          <w:sz w:val="20"/>
        </w:rPr>
        <w:t> </w:t>
      </w:r>
      <w:r>
        <w:rPr>
          <w:w w:val="110"/>
          <w:sz w:val="20"/>
        </w:rPr>
        <w:t>scale</w:t>
      </w:r>
      <w:r>
        <w:rPr>
          <w:spacing w:val="-23"/>
          <w:w w:val="110"/>
          <w:sz w:val="20"/>
        </w:rPr>
        <w:t> </w:t>
      </w:r>
      <w:r>
        <w:rPr>
          <w:spacing w:val="-4"/>
          <w:w w:val="110"/>
          <w:sz w:val="20"/>
        </w:rPr>
        <w:t>(VAS).</w:t>
      </w:r>
      <w:r>
        <w:rPr>
          <w:spacing w:val="-24"/>
          <w:w w:val="110"/>
          <w:sz w:val="20"/>
        </w:rPr>
        <w:t> </w:t>
      </w:r>
      <w:r>
        <w:rPr>
          <w:spacing w:val="-4"/>
          <w:w w:val="110"/>
          <w:sz w:val="20"/>
        </w:rPr>
        <w:t>Taste</w:t>
      </w:r>
      <w:r>
        <w:rPr>
          <w:spacing w:val="-23"/>
          <w:w w:val="110"/>
          <w:sz w:val="20"/>
        </w:rPr>
        <w:t> </w:t>
      </w:r>
      <w:r>
        <w:rPr>
          <w:w w:val="110"/>
          <w:sz w:val="20"/>
        </w:rPr>
        <w:t>(liking) ratings were registered on a </w:t>
      </w:r>
      <w:r>
        <w:rPr>
          <w:spacing w:val="-8"/>
          <w:w w:val="110"/>
          <w:sz w:val="20"/>
        </w:rPr>
        <w:t>VAS </w:t>
      </w:r>
      <w:r>
        <w:rPr>
          <w:w w:val="110"/>
          <w:sz w:val="20"/>
        </w:rPr>
        <w:t>ranging from 0 to 100 (i.e., 50=neutral). Although there appears to </w:t>
      </w:r>
      <w:r>
        <w:rPr>
          <w:spacing w:val="2"/>
          <w:w w:val="110"/>
          <w:sz w:val="20"/>
        </w:rPr>
        <w:t>be </w:t>
      </w:r>
      <w:r>
        <w:rPr>
          <w:w w:val="110"/>
          <w:sz w:val="20"/>
        </w:rPr>
        <w:t>a small</w:t>
      </w:r>
      <w:r>
        <w:rPr>
          <w:spacing w:val="-8"/>
          <w:w w:val="110"/>
          <w:sz w:val="20"/>
        </w:rPr>
        <w:t> </w:t>
      </w:r>
      <w:r>
        <w:rPr>
          <w:w w:val="110"/>
          <w:sz w:val="20"/>
        </w:rPr>
        <w:t>difference</w:t>
      </w:r>
      <w:r>
        <w:rPr>
          <w:spacing w:val="-8"/>
          <w:w w:val="110"/>
          <w:sz w:val="20"/>
        </w:rPr>
        <w:t> </w:t>
      </w:r>
      <w:r>
        <w:rPr>
          <w:w w:val="110"/>
          <w:sz w:val="20"/>
        </w:rPr>
        <w:t>between</w:t>
      </w:r>
      <w:r>
        <w:rPr>
          <w:spacing w:val="-8"/>
          <w:w w:val="110"/>
          <w:sz w:val="20"/>
        </w:rPr>
        <w:t> </w:t>
      </w:r>
      <w:r>
        <w:rPr>
          <w:w w:val="110"/>
          <w:sz w:val="20"/>
        </w:rPr>
        <w:t>the</w:t>
      </w:r>
      <w:r>
        <w:rPr>
          <w:spacing w:val="-8"/>
          <w:w w:val="110"/>
          <w:sz w:val="20"/>
        </w:rPr>
        <w:t> </w:t>
      </w:r>
      <w:r>
        <w:rPr>
          <w:w w:val="110"/>
          <w:sz w:val="20"/>
        </w:rPr>
        <w:t>change</w:t>
      </w:r>
      <w:r>
        <w:rPr>
          <w:spacing w:val="-7"/>
          <w:w w:val="110"/>
          <w:sz w:val="20"/>
        </w:rPr>
        <w:t> </w:t>
      </w:r>
      <w:r>
        <w:rPr>
          <w:w w:val="110"/>
          <w:sz w:val="20"/>
        </w:rPr>
        <w:t>in</w:t>
      </w:r>
      <w:r>
        <w:rPr>
          <w:spacing w:val="-8"/>
          <w:w w:val="110"/>
          <w:sz w:val="20"/>
        </w:rPr>
        <w:t> </w:t>
      </w:r>
      <w:r>
        <w:rPr>
          <w:w w:val="110"/>
          <w:sz w:val="20"/>
        </w:rPr>
        <w:t>liking</w:t>
      </w:r>
      <w:r>
        <w:rPr>
          <w:spacing w:val="-8"/>
          <w:w w:val="110"/>
          <w:sz w:val="20"/>
        </w:rPr>
        <w:t> </w:t>
      </w:r>
      <w:r>
        <w:rPr>
          <w:w w:val="110"/>
          <w:sz w:val="20"/>
        </w:rPr>
        <w:t>for</w:t>
      </w:r>
      <w:r>
        <w:rPr>
          <w:spacing w:val="-8"/>
          <w:w w:val="110"/>
          <w:sz w:val="20"/>
        </w:rPr>
        <w:t> </w:t>
      </w:r>
      <w:r>
        <w:rPr>
          <w:w w:val="110"/>
          <w:sz w:val="20"/>
        </w:rPr>
        <w:t>no-go</w:t>
      </w:r>
      <w:r>
        <w:rPr>
          <w:spacing w:val="-8"/>
          <w:w w:val="110"/>
          <w:sz w:val="20"/>
        </w:rPr>
        <w:t> </w:t>
      </w:r>
      <w:r>
        <w:rPr>
          <w:w w:val="110"/>
          <w:sz w:val="20"/>
        </w:rPr>
        <w:t>foods</w:t>
      </w:r>
      <w:r>
        <w:rPr>
          <w:spacing w:val="-7"/>
          <w:w w:val="110"/>
          <w:sz w:val="20"/>
        </w:rPr>
        <w:t> </w:t>
      </w:r>
      <w:r>
        <w:rPr>
          <w:w w:val="110"/>
          <w:sz w:val="20"/>
        </w:rPr>
        <w:t>compared</w:t>
      </w:r>
      <w:r>
        <w:rPr>
          <w:spacing w:val="-8"/>
          <w:w w:val="110"/>
          <w:sz w:val="20"/>
        </w:rPr>
        <w:t> </w:t>
      </w:r>
      <w:r>
        <w:rPr>
          <w:w w:val="110"/>
          <w:sz w:val="20"/>
        </w:rPr>
        <w:t>to</w:t>
      </w:r>
      <w:r>
        <w:rPr>
          <w:spacing w:val="-8"/>
          <w:w w:val="110"/>
          <w:sz w:val="20"/>
        </w:rPr>
        <w:t> </w:t>
      </w:r>
      <w:r>
        <w:rPr>
          <w:w w:val="110"/>
          <w:sz w:val="20"/>
        </w:rPr>
        <w:t>the</w:t>
      </w:r>
      <w:r>
        <w:rPr>
          <w:spacing w:val="-8"/>
          <w:w w:val="110"/>
          <w:sz w:val="20"/>
        </w:rPr>
        <w:t> </w:t>
      </w:r>
      <w:r>
        <w:rPr>
          <w:w w:val="110"/>
          <w:sz w:val="20"/>
        </w:rPr>
        <w:t>control,</w:t>
      </w:r>
      <w:r>
        <w:rPr>
          <w:spacing w:val="-8"/>
          <w:w w:val="110"/>
          <w:sz w:val="20"/>
        </w:rPr>
        <w:t> </w:t>
      </w:r>
      <w:r>
        <w:rPr>
          <w:w w:val="110"/>
          <w:sz w:val="20"/>
        </w:rPr>
        <w:t>the</w:t>
      </w:r>
      <w:r>
        <w:rPr>
          <w:spacing w:val="-7"/>
          <w:w w:val="110"/>
          <w:sz w:val="20"/>
        </w:rPr>
        <w:t> </w:t>
      </w:r>
      <w:r>
        <w:rPr>
          <w:w w:val="110"/>
          <w:sz w:val="20"/>
        </w:rPr>
        <w:t>trends</w:t>
      </w:r>
      <w:r>
        <w:rPr>
          <w:spacing w:val="-8"/>
          <w:w w:val="110"/>
          <w:sz w:val="20"/>
        </w:rPr>
        <w:t> </w:t>
      </w:r>
      <w:r>
        <w:rPr>
          <w:w w:val="110"/>
          <w:sz w:val="20"/>
        </w:rPr>
        <w:t>presented in this plot were inspected further to establish whether observed effects were robust (see </w:t>
      </w:r>
      <w:hyperlink w:history="true" w:anchor="_bookmark28">
        <w:r>
          <w:rPr>
            <w:i/>
            <w:w w:val="110"/>
            <w:sz w:val="20"/>
          </w:rPr>
          <w:t>Robust statistics</w:t>
        </w:r>
      </w:hyperlink>
      <w:r>
        <w:rPr>
          <w:w w:val="110"/>
          <w:sz w:val="20"/>
        </w:rPr>
        <w:t>). Also, there appears to </w:t>
      </w:r>
      <w:r>
        <w:rPr>
          <w:spacing w:val="2"/>
          <w:w w:val="110"/>
          <w:sz w:val="20"/>
        </w:rPr>
        <w:t>be </w:t>
      </w:r>
      <w:r>
        <w:rPr>
          <w:w w:val="110"/>
          <w:sz w:val="20"/>
        </w:rPr>
        <w:t>a general trend of devaluation across training conditions and this was statistically supported (see </w:t>
      </w:r>
      <w:hyperlink w:history="true" w:anchor="_bookmark26">
        <w:r>
          <w:rPr>
            <w:i/>
            <w:w w:val="110"/>
            <w:sz w:val="20"/>
          </w:rPr>
          <w:t>Devaluation trends across training conditions</w:t>
        </w:r>
      </w:hyperlink>
      <w:r>
        <w:rPr>
          <w:w w:val="110"/>
          <w:sz w:val="20"/>
        </w:rPr>
        <w:t>). </w:t>
      </w:r>
      <w:r>
        <w:rPr>
          <w:i/>
          <w:w w:val="110"/>
          <w:sz w:val="20"/>
        </w:rPr>
        <w:t>Note. </w:t>
      </w:r>
      <w:r>
        <w:rPr>
          <w:w w:val="110"/>
          <w:sz w:val="20"/>
        </w:rPr>
        <w:t>The ‘split-half violin’ elements in the plot show smoothed and trimmed</w:t>
      </w:r>
      <w:r>
        <w:rPr>
          <w:spacing w:val="50"/>
          <w:w w:val="110"/>
          <w:sz w:val="20"/>
        </w:rPr>
        <w:t> </w:t>
      </w:r>
      <w:r>
        <w:rPr>
          <w:w w:val="110"/>
          <w:sz w:val="20"/>
        </w:rPr>
        <w:t>distributions.</w:t>
      </w:r>
    </w:p>
    <w:p>
      <w:pPr>
        <w:pStyle w:val="BodyText"/>
        <w:spacing w:before="0"/>
        <w:ind w:left="0"/>
      </w:pPr>
    </w:p>
    <w:p>
      <w:pPr>
        <w:pStyle w:val="BodyText"/>
        <w:spacing w:before="146"/>
      </w:pPr>
      <w:r>
        <w:rPr>
          <w:rFonts w:ascii="Arial"/>
          <w:w w:val="105"/>
          <w:sz w:val="12"/>
        </w:rPr>
        <w:t>486 </w:t>
      </w:r>
      <w:r>
        <w:rPr>
          <w:w w:val="105"/>
        </w:rPr>
        <w:t>inhibitions for no-go </w:t>
      </w:r>
      <w:r>
        <w:rPr>
          <w:spacing w:val="2"/>
          <w:w w:val="105"/>
        </w:rPr>
        <w:t>foods </w:t>
      </w:r>
      <w:r>
        <w:rPr>
          <w:w w:val="105"/>
        </w:rPr>
        <w:t>(PCsignal</w:t>
      </w:r>
      <w:r>
        <w:rPr>
          <w:w w:val="105"/>
          <w:vertAlign w:val="subscript"/>
        </w:rPr>
        <w:t>nogo</w:t>
      </w:r>
      <w:r>
        <w:rPr>
          <w:w w:val="105"/>
          <w:vertAlign w:val="baseline"/>
        </w:rPr>
        <w:t>; </w:t>
      </w:r>
      <w:r>
        <w:rPr>
          <w:i/>
          <w:w w:val="105"/>
          <w:vertAlign w:val="baseline"/>
        </w:rPr>
        <w:t>M </w:t>
      </w:r>
      <w:r>
        <w:rPr>
          <w:w w:val="105"/>
          <w:vertAlign w:val="baseline"/>
        </w:rPr>
        <w:t>= 0.97, </w:t>
      </w:r>
      <w:r>
        <w:rPr>
          <w:i/>
          <w:w w:val="105"/>
          <w:vertAlign w:val="baseline"/>
        </w:rPr>
        <w:t>SD </w:t>
      </w:r>
      <w:r>
        <w:rPr>
          <w:w w:val="105"/>
          <w:vertAlign w:val="baseline"/>
        </w:rPr>
        <w:t>= 0.03) than filler</w:t>
      </w:r>
      <w:r>
        <w:rPr>
          <w:spacing w:val="54"/>
          <w:w w:val="105"/>
          <w:vertAlign w:val="baseline"/>
        </w:rPr>
        <w:t> </w:t>
      </w:r>
      <w:r>
        <w:rPr>
          <w:spacing w:val="2"/>
          <w:w w:val="105"/>
          <w:vertAlign w:val="baseline"/>
        </w:rPr>
        <w:t>foods</w:t>
      </w:r>
    </w:p>
    <w:p>
      <w:pPr>
        <w:pStyle w:val="BodyText"/>
      </w:pPr>
      <w:r>
        <w:rPr>
          <w:rFonts w:ascii="Arial"/>
          <w:w w:val="110"/>
          <w:sz w:val="12"/>
        </w:rPr>
        <w:t>487 </w:t>
      </w:r>
      <w:r>
        <w:rPr>
          <w:w w:val="110"/>
        </w:rPr>
        <w:t>(PCsignal</w:t>
      </w:r>
      <w:r>
        <w:rPr>
          <w:w w:val="110"/>
          <w:vertAlign w:val="subscript"/>
        </w:rPr>
        <w:t>control-nogo</w:t>
      </w:r>
      <w:r>
        <w:rPr>
          <w:w w:val="110"/>
          <w:vertAlign w:val="baseline"/>
        </w:rPr>
        <w:t>; </w:t>
      </w:r>
      <w:r>
        <w:rPr>
          <w:i/>
          <w:w w:val="110"/>
          <w:vertAlign w:val="baseline"/>
        </w:rPr>
        <w:t>M </w:t>
      </w:r>
      <w:r>
        <w:rPr>
          <w:w w:val="110"/>
          <w:vertAlign w:val="baseline"/>
        </w:rPr>
        <w:t>= 0.96, </w:t>
      </w:r>
      <w:r>
        <w:rPr>
          <w:i/>
          <w:w w:val="110"/>
          <w:vertAlign w:val="baseline"/>
        </w:rPr>
        <w:t>SD </w:t>
      </w:r>
      <w:r>
        <w:rPr>
          <w:w w:val="110"/>
          <w:vertAlign w:val="baseline"/>
        </w:rPr>
        <w:t>= 0.04). For H4b, it was examined whether mean</w:t>
      </w:r>
    </w:p>
    <w:p>
      <w:pPr>
        <w:pStyle w:val="BodyText"/>
      </w:pPr>
      <w:r>
        <w:rPr>
          <w:rFonts w:ascii="Arial"/>
          <w:w w:val="105"/>
          <w:sz w:val="12"/>
        </w:rPr>
        <w:t>488     </w:t>
      </w:r>
      <w:r>
        <w:rPr>
          <w:w w:val="105"/>
        </w:rPr>
        <w:t>reaction times would </w:t>
      </w:r>
      <w:r>
        <w:rPr>
          <w:spacing w:val="3"/>
          <w:w w:val="105"/>
        </w:rPr>
        <w:t>be </w:t>
      </w:r>
      <w:r>
        <w:rPr>
          <w:w w:val="105"/>
        </w:rPr>
        <w:t>reduced for go </w:t>
      </w:r>
      <w:r>
        <w:rPr>
          <w:spacing w:val="2"/>
          <w:w w:val="105"/>
        </w:rPr>
        <w:t>foods </w:t>
      </w:r>
      <w:r>
        <w:rPr>
          <w:w w:val="105"/>
        </w:rPr>
        <w:t>(GoRT</w:t>
      </w:r>
      <w:r>
        <w:rPr>
          <w:w w:val="105"/>
          <w:vertAlign w:val="subscript"/>
        </w:rPr>
        <w:t>go</w:t>
      </w:r>
      <w:r>
        <w:rPr>
          <w:w w:val="105"/>
          <w:vertAlign w:val="baseline"/>
        </w:rPr>
        <w:t>; </w:t>
      </w:r>
      <w:r>
        <w:rPr>
          <w:i/>
          <w:w w:val="105"/>
          <w:vertAlign w:val="baseline"/>
        </w:rPr>
        <w:t>M  </w:t>
      </w:r>
      <w:r>
        <w:rPr>
          <w:w w:val="105"/>
          <w:vertAlign w:val="baseline"/>
        </w:rPr>
        <w:t>= 507.00, </w:t>
      </w:r>
      <w:r>
        <w:rPr>
          <w:i/>
          <w:w w:val="105"/>
          <w:vertAlign w:val="baseline"/>
        </w:rPr>
        <w:t>SD </w:t>
      </w:r>
      <w:r>
        <w:rPr>
          <w:w w:val="105"/>
          <w:vertAlign w:val="baseline"/>
        </w:rPr>
        <w:t>= 70.48)</w:t>
      </w:r>
      <w:r>
        <w:rPr>
          <w:spacing w:val="2"/>
          <w:w w:val="105"/>
          <w:vertAlign w:val="baseline"/>
        </w:rPr>
        <w:t> </w:t>
      </w:r>
      <w:r>
        <w:rPr>
          <w:w w:val="105"/>
          <w:vertAlign w:val="baseline"/>
        </w:rPr>
        <w:t>compared</w:t>
      </w:r>
    </w:p>
    <w:p>
      <w:pPr>
        <w:pStyle w:val="BodyText"/>
        <w:spacing w:before="203"/>
      </w:pPr>
      <w:r>
        <w:rPr>
          <w:rFonts w:ascii="Arial"/>
          <w:w w:val="110"/>
          <w:sz w:val="12"/>
        </w:rPr>
        <w:t>489  </w:t>
      </w:r>
      <w:r>
        <w:rPr>
          <w:rFonts w:ascii="Arial"/>
          <w:spacing w:val="17"/>
          <w:w w:val="110"/>
          <w:sz w:val="12"/>
        </w:rPr>
        <w:t> </w:t>
      </w:r>
      <w:r>
        <w:rPr>
          <w:w w:val="110"/>
        </w:rPr>
        <w:t>to</w:t>
      </w:r>
      <w:r>
        <w:rPr>
          <w:spacing w:val="-17"/>
          <w:w w:val="110"/>
        </w:rPr>
        <w:t> </w:t>
      </w:r>
      <w:r>
        <w:rPr>
          <w:w w:val="110"/>
        </w:rPr>
        <w:t>filler</w:t>
      </w:r>
      <w:r>
        <w:rPr>
          <w:spacing w:val="-16"/>
          <w:w w:val="110"/>
        </w:rPr>
        <w:t> </w:t>
      </w:r>
      <w:r>
        <w:rPr>
          <w:spacing w:val="2"/>
          <w:w w:val="110"/>
        </w:rPr>
        <w:t>foods</w:t>
      </w:r>
      <w:r>
        <w:rPr>
          <w:spacing w:val="-16"/>
          <w:w w:val="110"/>
        </w:rPr>
        <w:t> </w:t>
      </w:r>
      <w:r>
        <w:rPr>
          <w:w w:val="110"/>
        </w:rPr>
        <w:t>associated</w:t>
      </w:r>
      <w:r>
        <w:rPr>
          <w:spacing w:val="-16"/>
          <w:w w:val="110"/>
        </w:rPr>
        <w:t> </w:t>
      </w:r>
      <w:r>
        <w:rPr>
          <w:w w:val="110"/>
        </w:rPr>
        <w:t>with</w:t>
      </w:r>
      <w:r>
        <w:rPr>
          <w:spacing w:val="-16"/>
          <w:w w:val="110"/>
        </w:rPr>
        <w:t> </w:t>
      </w:r>
      <w:r>
        <w:rPr>
          <w:w w:val="110"/>
        </w:rPr>
        <w:t>no-signal</w:t>
      </w:r>
      <w:r>
        <w:rPr>
          <w:spacing w:val="-16"/>
          <w:w w:val="110"/>
        </w:rPr>
        <w:t> </w:t>
      </w:r>
      <w:r>
        <w:rPr>
          <w:w w:val="110"/>
        </w:rPr>
        <w:t>trials</w:t>
      </w:r>
      <w:r>
        <w:rPr>
          <w:spacing w:val="-17"/>
          <w:w w:val="110"/>
        </w:rPr>
        <w:t> </w:t>
      </w:r>
      <w:r>
        <w:rPr>
          <w:w w:val="110"/>
        </w:rPr>
        <w:t>(GoRT</w:t>
      </w:r>
      <w:r>
        <w:rPr>
          <w:w w:val="110"/>
          <w:vertAlign w:val="subscript"/>
        </w:rPr>
        <w:t>control-go</w:t>
      </w:r>
      <w:r>
        <w:rPr>
          <w:w w:val="110"/>
          <w:vertAlign w:val="baseline"/>
        </w:rPr>
        <w:t>;</w:t>
      </w:r>
      <w:r>
        <w:rPr>
          <w:spacing w:val="-16"/>
          <w:w w:val="110"/>
          <w:vertAlign w:val="baseline"/>
        </w:rPr>
        <w:t> </w:t>
      </w:r>
      <w:r>
        <w:rPr>
          <w:i/>
          <w:w w:val="110"/>
          <w:vertAlign w:val="baseline"/>
        </w:rPr>
        <w:t>M</w:t>
      </w:r>
      <w:r>
        <w:rPr>
          <w:i/>
          <w:spacing w:val="3"/>
          <w:w w:val="110"/>
          <w:vertAlign w:val="baseline"/>
        </w:rPr>
        <w:t> </w:t>
      </w:r>
      <w:r>
        <w:rPr>
          <w:w w:val="110"/>
          <w:vertAlign w:val="baseline"/>
        </w:rPr>
        <w:t>=</w:t>
      </w:r>
      <w:r>
        <w:rPr>
          <w:spacing w:val="-17"/>
          <w:w w:val="110"/>
          <w:vertAlign w:val="baseline"/>
        </w:rPr>
        <w:t> </w:t>
      </w:r>
      <w:r>
        <w:rPr>
          <w:w w:val="110"/>
          <w:vertAlign w:val="baseline"/>
        </w:rPr>
        <w:t>515.00,</w:t>
      </w:r>
      <w:r>
        <w:rPr>
          <w:spacing w:val="-16"/>
          <w:w w:val="110"/>
          <w:vertAlign w:val="baseline"/>
        </w:rPr>
        <w:t> </w:t>
      </w:r>
      <w:r>
        <w:rPr>
          <w:i/>
          <w:w w:val="110"/>
          <w:vertAlign w:val="baseline"/>
        </w:rPr>
        <w:t>SD</w:t>
      </w:r>
      <w:r>
        <w:rPr>
          <w:i/>
          <w:spacing w:val="-8"/>
          <w:w w:val="110"/>
          <w:vertAlign w:val="baseline"/>
        </w:rPr>
        <w:t> </w:t>
      </w:r>
      <w:r>
        <w:rPr>
          <w:w w:val="110"/>
          <w:vertAlign w:val="baseline"/>
        </w:rPr>
        <w:t>=</w:t>
      </w:r>
      <w:r>
        <w:rPr>
          <w:spacing w:val="-17"/>
          <w:w w:val="110"/>
          <w:vertAlign w:val="baseline"/>
        </w:rPr>
        <w:t> </w:t>
      </w:r>
      <w:r>
        <w:rPr>
          <w:w w:val="110"/>
          <w:vertAlign w:val="baseline"/>
        </w:rPr>
        <w:t>75.51)</w:t>
      </w:r>
      <w:r>
        <w:rPr>
          <w:spacing w:val="-16"/>
          <w:w w:val="110"/>
          <w:vertAlign w:val="baseline"/>
        </w:rPr>
        <w:t> </w:t>
      </w:r>
      <w:r>
        <w:rPr>
          <w:w w:val="110"/>
          <w:vertAlign w:val="baseline"/>
        </w:rPr>
        <w:t>and</w:t>
      </w:r>
    </w:p>
    <w:p>
      <w:pPr>
        <w:pStyle w:val="BodyText"/>
      </w:pPr>
      <w:r>
        <w:rPr>
          <w:rFonts w:ascii="Arial"/>
          <w:w w:val="105"/>
          <w:sz w:val="12"/>
        </w:rPr>
        <w:t>490 </w:t>
      </w:r>
      <w:r>
        <w:rPr>
          <w:w w:val="105"/>
        </w:rPr>
        <w:t>there was </w:t>
      </w:r>
      <w:r>
        <w:rPr>
          <w:i/>
          <w:w w:val="105"/>
        </w:rPr>
        <w:t>extreme </w:t>
      </w:r>
      <w:r>
        <w:rPr>
          <w:w w:val="105"/>
        </w:rPr>
        <w:t>evidence for such an effect. Therefore, contingency learning was observed</w:t>
      </w:r>
    </w:p>
    <w:p>
      <w:pPr>
        <w:spacing w:after="0"/>
        <w:sectPr>
          <w:pgSz w:w="12240" w:h="15840"/>
          <w:pgMar w:header="649" w:footer="0" w:top="1320" w:bottom="280" w:left="820" w:right="1140"/>
        </w:sectPr>
      </w:pPr>
    </w:p>
    <w:p>
      <w:pPr>
        <w:pStyle w:val="BodyText"/>
        <w:spacing w:before="191"/>
      </w:pPr>
      <w:r>
        <w:rPr>
          <w:rFonts w:ascii="Arial"/>
          <w:w w:val="105"/>
          <w:sz w:val="12"/>
        </w:rPr>
        <w:t>491 </w:t>
      </w:r>
      <w:r>
        <w:rPr>
          <w:w w:val="105"/>
        </w:rPr>
        <w:t>in the employed GNG paradigm for both reaction time and accuracy outcomes.</w:t>
      </w:r>
    </w:p>
    <w:p>
      <w:pPr>
        <w:pStyle w:val="BodyText"/>
        <w:spacing w:before="9"/>
        <w:ind w:left="0"/>
        <w:rPr>
          <w:sz w:val="25"/>
        </w:rPr>
      </w:pPr>
      <w:r>
        <w:rPr/>
        <w:drawing>
          <wp:anchor distT="0" distB="0" distL="0" distR="0" allowOverlap="1" layoutInCell="1" locked="0" behindDoc="0" simplePos="0" relativeHeight="11">
            <wp:simplePos x="0" y="0"/>
            <wp:positionH relativeFrom="page">
              <wp:posOffset>942649</wp:posOffset>
            </wp:positionH>
            <wp:positionV relativeFrom="paragraph">
              <wp:posOffset>213551</wp:posOffset>
            </wp:positionV>
            <wp:extent cx="5833300" cy="4793646"/>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5833300" cy="4793646"/>
                    </a:xfrm>
                    <a:prstGeom prst="rect">
                      <a:avLst/>
                    </a:prstGeom>
                  </pic:spPr>
                </pic:pic>
              </a:graphicData>
            </a:graphic>
          </wp:anchor>
        </w:drawing>
      </w:r>
    </w:p>
    <w:p>
      <w:pPr>
        <w:pStyle w:val="BodyText"/>
        <w:spacing w:before="4"/>
        <w:ind w:left="0"/>
        <w:rPr>
          <w:sz w:val="28"/>
        </w:rPr>
      </w:pPr>
    </w:p>
    <w:p>
      <w:pPr>
        <w:spacing w:line="412" w:lineRule="auto" w:before="1"/>
        <w:ind w:left="620" w:right="293" w:firstLine="0"/>
        <w:jc w:val="both"/>
        <w:rPr>
          <w:sz w:val="20"/>
        </w:rPr>
      </w:pPr>
      <w:r>
        <w:rPr>
          <w:rFonts w:ascii="Arial-BoldItalicMT"/>
          <w:b/>
          <w:i/>
          <w:w w:val="110"/>
          <w:sz w:val="20"/>
        </w:rPr>
        <w:t>Figure 4 </w:t>
      </w:r>
      <w:r>
        <w:rPr>
          <w:b/>
          <w:w w:val="110"/>
          <w:sz w:val="20"/>
        </w:rPr>
        <w:t>. Plots for </w:t>
      </w:r>
      <w:r>
        <w:rPr>
          <w:b/>
          <w:spacing w:val="3"/>
          <w:w w:val="110"/>
          <w:sz w:val="20"/>
        </w:rPr>
        <w:t>food </w:t>
      </w:r>
      <w:r>
        <w:rPr>
          <w:b/>
          <w:w w:val="110"/>
          <w:sz w:val="20"/>
        </w:rPr>
        <w:t>choice outcomes, accuracy-based contingency learning in training and test-retest reliability of approach-avoidance bias scores. A. </w:t>
      </w:r>
      <w:r>
        <w:rPr>
          <w:w w:val="110"/>
          <w:sz w:val="20"/>
        </w:rPr>
        <w:t>The boxplots with corresponding jittered individual data points clearly show that the probability of choosing a no-go </w:t>
      </w:r>
      <w:r>
        <w:rPr>
          <w:spacing w:val="2"/>
          <w:w w:val="110"/>
          <w:sz w:val="20"/>
        </w:rPr>
        <w:t>food </w:t>
      </w:r>
      <w:r>
        <w:rPr>
          <w:w w:val="110"/>
          <w:sz w:val="20"/>
        </w:rPr>
        <w:t>after training is reduced compared</w:t>
      </w:r>
      <w:r>
        <w:rPr>
          <w:spacing w:val="-26"/>
          <w:w w:val="110"/>
          <w:sz w:val="20"/>
        </w:rPr>
        <w:t> </w:t>
      </w:r>
      <w:r>
        <w:rPr>
          <w:w w:val="110"/>
          <w:sz w:val="20"/>
        </w:rPr>
        <w:t>to</w:t>
      </w:r>
      <w:r>
        <w:rPr>
          <w:spacing w:val="-25"/>
          <w:w w:val="110"/>
          <w:sz w:val="20"/>
        </w:rPr>
        <w:t> </w:t>
      </w:r>
      <w:r>
        <w:rPr>
          <w:w w:val="110"/>
          <w:sz w:val="20"/>
        </w:rPr>
        <w:t>the</w:t>
      </w:r>
      <w:r>
        <w:rPr>
          <w:spacing w:val="-25"/>
          <w:w w:val="110"/>
          <w:sz w:val="20"/>
        </w:rPr>
        <w:t> </w:t>
      </w:r>
      <w:r>
        <w:rPr>
          <w:w w:val="110"/>
          <w:sz w:val="20"/>
        </w:rPr>
        <w:t>probability</w:t>
      </w:r>
      <w:r>
        <w:rPr>
          <w:spacing w:val="-26"/>
          <w:w w:val="110"/>
          <w:sz w:val="20"/>
        </w:rPr>
        <w:t> </w:t>
      </w:r>
      <w:r>
        <w:rPr>
          <w:w w:val="110"/>
          <w:sz w:val="20"/>
        </w:rPr>
        <w:t>of</w:t>
      </w:r>
      <w:r>
        <w:rPr>
          <w:spacing w:val="-25"/>
          <w:w w:val="110"/>
          <w:sz w:val="20"/>
        </w:rPr>
        <w:t> </w:t>
      </w:r>
      <w:r>
        <w:rPr>
          <w:w w:val="110"/>
          <w:sz w:val="20"/>
        </w:rPr>
        <w:t>choosing</w:t>
      </w:r>
      <w:r>
        <w:rPr>
          <w:spacing w:val="-25"/>
          <w:w w:val="110"/>
          <w:sz w:val="20"/>
        </w:rPr>
        <w:t> </w:t>
      </w:r>
      <w:r>
        <w:rPr>
          <w:w w:val="110"/>
          <w:sz w:val="20"/>
        </w:rPr>
        <w:t>control</w:t>
      </w:r>
      <w:r>
        <w:rPr>
          <w:spacing w:val="-26"/>
          <w:w w:val="110"/>
          <w:sz w:val="20"/>
        </w:rPr>
        <w:t> </w:t>
      </w:r>
      <w:r>
        <w:rPr>
          <w:spacing w:val="2"/>
          <w:w w:val="110"/>
          <w:sz w:val="20"/>
        </w:rPr>
        <w:t>food</w:t>
      </w:r>
      <w:r>
        <w:rPr>
          <w:spacing w:val="-25"/>
          <w:w w:val="110"/>
          <w:sz w:val="20"/>
        </w:rPr>
        <w:t> </w:t>
      </w:r>
      <w:r>
        <w:rPr>
          <w:w w:val="110"/>
          <w:sz w:val="20"/>
        </w:rPr>
        <w:t>[H2a].</w:t>
      </w:r>
      <w:r>
        <w:rPr>
          <w:spacing w:val="-13"/>
          <w:w w:val="110"/>
          <w:sz w:val="20"/>
        </w:rPr>
        <w:t> </w:t>
      </w:r>
      <w:r>
        <w:rPr>
          <w:w w:val="110"/>
          <w:sz w:val="20"/>
        </w:rPr>
        <w:t>Contrary</w:t>
      </w:r>
      <w:r>
        <w:rPr>
          <w:spacing w:val="-25"/>
          <w:w w:val="110"/>
          <w:sz w:val="20"/>
        </w:rPr>
        <w:t> </w:t>
      </w:r>
      <w:r>
        <w:rPr>
          <w:w w:val="110"/>
          <w:sz w:val="20"/>
        </w:rPr>
        <w:t>to</w:t>
      </w:r>
      <w:r>
        <w:rPr>
          <w:spacing w:val="-26"/>
          <w:w w:val="110"/>
          <w:sz w:val="20"/>
        </w:rPr>
        <w:t> </w:t>
      </w:r>
      <w:r>
        <w:rPr>
          <w:w w:val="110"/>
          <w:sz w:val="20"/>
        </w:rPr>
        <w:t>initial</w:t>
      </w:r>
      <w:r>
        <w:rPr>
          <w:spacing w:val="-25"/>
          <w:w w:val="110"/>
          <w:sz w:val="20"/>
        </w:rPr>
        <w:t> </w:t>
      </w:r>
      <w:r>
        <w:rPr>
          <w:w w:val="110"/>
          <w:sz w:val="20"/>
        </w:rPr>
        <w:t>predictions,</w:t>
      </w:r>
      <w:r>
        <w:rPr>
          <w:spacing w:val="-25"/>
          <w:w w:val="110"/>
          <w:sz w:val="20"/>
        </w:rPr>
        <w:t> </w:t>
      </w:r>
      <w:r>
        <w:rPr>
          <w:w w:val="110"/>
          <w:sz w:val="20"/>
        </w:rPr>
        <w:t>the</w:t>
      </w:r>
      <w:r>
        <w:rPr>
          <w:spacing w:val="-25"/>
          <w:w w:val="110"/>
          <w:sz w:val="20"/>
        </w:rPr>
        <w:t> </w:t>
      </w:r>
      <w:r>
        <w:rPr>
          <w:w w:val="110"/>
          <w:sz w:val="20"/>
        </w:rPr>
        <w:t>average</w:t>
      </w:r>
      <w:r>
        <w:rPr>
          <w:spacing w:val="-25"/>
          <w:w w:val="110"/>
          <w:sz w:val="20"/>
        </w:rPr>
        <w:t> </w:t>
      </w:r>
      <w:r>
        <w:rPr>
          <w:w w:val="110"/>
          <w:sz w:val="20"/>
        </w:rPr>
        <w:t>choice probability</w:t>
      </w:r>
      <w:r>
        <w:rPr>
          <w:spacing w:val="-13"/>
          <w:w w:val="110"/>
          <w:sz w:val="20"/>
        </w:rPr>
        <w:t> </w:t>
      </w:r>
      <w:r>
        <w:rPr>
          <w:w w:val="110"/>
          <w:sz w:val="20"/>
        </w:rPr>
        <w:t>was</w:t>
      </w:r>
      <w:r>
        <w:rPr>
          <w:spacing w:val="-12"/>
          <w:w w:val="110"/>
          <w:sz w:val="20"/>
        </w:rPr>
        <w:t> </w:t>
      </w:r>
      <w:r>
        <w:rPr>
          <w:w w:val="110"/>
          <w:sz w:val="20"/>
        </w:rPr>
        <w:t>not</w:t>
      </w:r>
      <w:r>
        <w:rPr>
          <w:spacing w:val="-12"/>
          <w:w w:val="110"/>
          <w:sz w:val="20"/>
        </w:rPr>
        <w:t> </w:t>
      </w:r>
      <w:r>
        <w:rPr>
          <w:w w:val="110"/>
          <w:sz w:val="20"/>
        </w:rPr>
        <w:t>greater</w:t>
      </w:r>
      <w:r>
        <w:rPr>
          <w:spacing w:val="-12"/>
          <w:w w:val="110"/>
          <w:sz w:val="20"/>
        </w:rPr>
        <w:t> </w:t>
      </w:r>
      <w:r>
        <w:rPr>
          <w:w w:val="110"/>
          <w:sz w:val="20"/>
        </w:rPr>
        <w:t>for</w:t>
      </w:r>
      <w:r>
        <w:rPr>
          <w:spacing w:val="-12"/>
          <w:w w:val="110"/>
          <w:sz w:val="20"/>
        </w:rPr>
        <w:t> </w:t>
      </w:r>
      <w:r>
        <w:rPr>
          <w:w w:val="110"/>
          <w:sz w:val="20"/>
        </w:rPr>
        <w:t>go</w:t>
      </w:r>
      <w:r>
        <w:rPr>
          <w:spacing w:val="-13"/>
          <w:w w:val="110"/>
          <w:sz w:val="20"/>
        </w:rPr>
        <w:t> </w:t>
      </w:r>
      <w:r>
        <w:rPr>
          <w:w w:val="110"/>
          <w:sz w:val="20"/>
        </w:rPr>
        <w:t>foods</w:t>
      </w:r>
      <w:r>
        <w:rPr>
          <w:spacing w:val="-12"/>
          <w:w w:val="110"/>
          <w:sz w:val="20"/>
        </w:rPr>
        <w:t> </w:t>
      </w:r>
      <w:r>
        <w:rPr>
          <w:w w:val="110"/>
          <w:sz w:val="20"/>
        </w:rPr>
        <w:t>relative</w:t>
      </w:r>
      <w:r>
        <w:rPr>
          <w:spacing w:val="-12"/>
          <w:w w:val="110"/>
          <w:sz w:val="20"/>
        </w:rPr>
        <w:t> </w:t>
      </w:r>
      <w:r>
        <w:rPr>
          <w:w w:val="110"/>
          <w:sz w:val="20"/>
        </w:rPr>
        <w:t>to</w:t>
      </w:r>
      <w:r>
        <w:rPr>
          <w:spacing w:val="-12"/>
          <w:w w:val="110"/>
          <w:sz w:val="20"/>
        </w:rPr>
        <w:t> </w:t>
      </w:r>
      <w:r>
        <w:rPr>
          <w:w w:val="110"/>
          <w:sz w:val="20"/>
        </w:rPr>
        <w:t>the</w:t>
      </w:r>
      <w:r>
        <w:rPr>
          <w:spacing w:val="-12"/>
          <w:w w:val="110"/>
          <w:sz w:val="20"/>
        </w:rPr>
        <w:t> </w:t>
      </w:r>
      <w:r>
        <w:rPr>
          <w:w w:val="110"/>
          <w:sz w:val="20"/>
        </w:rPr>
        <w:t>control</w:t>
      </w:r>
      <w:r>
        <w:rPr>
          <w:spacing w:val="-13"/>
          <w:w w:val="110"/>
          <w:sz w:val="20"/>
        </w:rPr>
        <w:t> </w:t>
      </w:r>
      <w:r>
        <w:rPr>
          <w:w w:val="110"/>
          <w:sz w:val="20"/>
        </w:rPr>
        <w:t>[H2b].</w:t>
      </w:r>
      <w:r>
        <w:rPr>
          <w:spacing w:val="3"/>
          <w:w w:val="110"/>
          <w:sz w:val="20"/>
        </w:rPr>
        <w:t> </w:t>
      </w:r>
      <w:r>
        <w:rPr>
          <w:b/>
          <w:w w:val="110"/>
          <w:sz w:val="20"/>
        </w:rPr>
        <w:t>B.</w:t>
      </w:r>
      <w:r>
        <w:rPr>
          <w:b/>
          <w:spacing w:val="-12"/>
          <w:w w:val="110"/>
          <w:sz w:val="20"/>
        </w:rPr>
        <w:t> </w:t>
      </w:r>
      <w:r>
        <w:rPr>
          <w:w w:val="110"/>
          <w:sz w:val="20"/>
        </w:rPr>
        <w:t>The</w:t>
      </w:r>
      <w:r>
        <w:rPr>
          <w:spacing w:val="-12"/>
          <w:w w:val="110"/>
          <w:sz w:val="20"/>
        </w:rPr>
        <w:t> </w:t>
      </w:r>
      <w:r>
        <w:rPr>
          <w:w w:val="110"/>
          <w:sz w:val="20"/>
        </w:rPr>
        <w:t>proportion</w:t>
      </w:r>
      <w:r>
        <w:rPr>
          <w:spacing w:val="-13"/>
          <w:w w:val="110"/>
          <w:sz w:val="20"/>
        </w:rPr>
        <w:t> </w:t>
      </w:r>
      <w:r>
        <w:rPr>
          <w:w w:val="110"/>
          <w:sz w:val="20"/>
        </w:rPr>
        <w:t>of</w:t>
      </w:r>
      <w:r>
        <w:rPr>
          <w:spacing w:val="-12"/>
          <w:w w:val="110"/>
          <w:sz w:val="20"/>
        </w:rPr>
        <w:t> </w:t>
      </w:r>
      <w:r>
        <w:rPr>
          <w:w w:val="110"/>
          <w:sz w:val="20"/>
        </w:rPr>
        <w:t>correct</w:t>
      </w:r>
      <w:r>
        <w:rPr>
          <w:spacing w:val="-12"/>
          <w:w w:val="110"/>
          <w:sz w:val="20"/>
        </w:rPr>
        <w:t> </w:t>
      </w:r>
      <w:r>
        <w:rPr>
          <w:w w:val="110"/>
          <w:sz w:val="20"/>
        </w:rPr>
        <w:t>responses on signal trials (PC</w:t>
      </w:r>
      <w:r>
        <w:rPr>
          <w:w w:val="110"/>
          <w:sz w:val="20"/>
          <w:vertAlign w:val="subscript"/>
        </w:rPr>
        <w:t>signal</w:t>
      </w:r>
      <w:r>
        <w:rPr>
          <w:w w:val="110"/>
          <w:sz w:val="20"/>
          <w:vertAlign w:val="baseline"/>
        </w:rPr>
        <w:t>) was relatively greater for no-go foods compared to control foods. The PC</w:t>
      </w:r>
      <w:r>
        <w:rPr>
          <w:w w:val="110"/>
          <w:sz w:val="20"/>
          <w:vertAlign w:val="subscript"/>
        </w:rPr>
        <w:t>signal</w:t>
      </w:r>
      <w:r>
        <w:rPr>
          <w:w w:val="110"/>
          <w:sz w:val="20"/>
          <w:vertAlign w:val="baseline"/>
        </w:rPr>
        <w:t> distribution</w:t>
      </w:r>
      <w:r>
        <w:rPr>
          <w:spacing w:val="-23"/>
          <w:w w:val="110"/>
          <w:sz w:val="20"/>
          <w:vertAlign w:val="baseline"/>
        </w:rPr>
        <w:t> </w:t>
      </w:r>
      <w:r>
        <w:rPr>
          <w:w w:val="110"/>
          <w:sz w:val="20"/>
          <w:vertAlign w:val="baseline"/>
        </w:rPr>
        <w:t>for</w:t>
      </w:r>
      <w:r>
        <w:rPr>
          <w:spacing w:val="-23"/>
          <w:w w:val="110"/>
          <w:sz w:val="20"/>
          <w:vertAlign w:val="baseline"/>
        </w:rPr>
        <w:t> </w:t>
      </w:r>
      <w:r>
        <w:rPr>
          <w:w w:val="110"/>
          <w:sz w:val="20"/>
          <w:vertAlign w:val="baseline"/>
        </w:rPr>
        <w:t>control</w:t>
      </w:r>
      <w:r>
        <w:rPr>
          <w:spacing w:val="-23"/>
          <w:w w:val="110"/>
          <w:sz w:val="20"/>
          <w:vertAlign w:val="baseline"/>
        </w:rPr>
        <w:t> </w:t>
      </w:r>
      <w:r>
        <w:rPr>
          <w:w w:val="110"/>
          <w:sz w:val="20"/>
          <w:vertAlign w:val="baseline"/>
        </w:rPr>
        <w:t>foods</w:t>
      </w:r>
      <w:r>
        <w:rPr>
          <w:spacing w:val="-23"/>
          <w:w w:val="110"/>
          <w:sz w:val="20"/>
          <w:vertAlign w:val="baseline"/>
        </w:rPr>
        <w:t> </w:t>
      </w:r>
      <w:r>
        <w:rPr>
          <w:w w:val="110"/>
          <w:sz w:val="20"/>
          <w:vertAlign w:val="baseline"/>
        </w:rPr>
        <w:t>was</w:t>
      </w:r>
      <w:r>
        <w:rPr>
          <w:spacing w:val="-23"/>
          <w:w w:val="110"/>
          <w:sz w:val="20"/>
          <w:vertAlign w:val="baseline"/>
        </w:rPr>
        <w:t> </w:t>
      </w:r>
      <w:r>
        <w:rPr>
          <w:w w:val="110"/>
          <w:sz w:val="20"/>
          <w:vertAlign w:val="baseline"/>
        </w:rPr>
        <w:t>heavily</w:t>
      </w:r>
      <w:r>
        <w:rPr>
          <w:spacing w:val="-23"/>
          <w:w w:val="110"/>
          <w:sz w:val="20"/>
          <w:vertAlign w:val="baseline"/>
        </w:rPr>
        <w:t> </w:t>
      </w:r>
      <w:r>
        <w:rPr>
          <w:w w:val="110"/>
          <w:sz w:val="20"/>
          <w:vertAlign w:val="baseline"/>
        </w:rPr>
        <w:t>skewed</w:t>
      </w:r>
      <w:r>
        <w:rPr>
          <w:spacing w:val="-23"/>
          <w:w w:val="110"/>
          <w:sz w:val="20"/>
          <w:vertAlign w:val="baseline"/>
        </w:rPr>
        <w:t> </w:t>
      </w:r>
      <w:r>
        <w:rPr>
          <w:w w:val="110"/>
          <w:sz w:val="20"/>
          <w:vertAlign w:val="baseline"/>
        </w:rPr>
        <w:t>and</w:t>
      </w:r>
      <w:r>
        <w:rPr>
          <w:spacing w:val="-23"/>
          <w:w w:val="110"/>
          <w:sz w:val="20"/>
          <w:vertAlign w:val="baseline"/>
        </w:rPr>
        <w:t> </w:t>
      </w:r>
      <w:r>
        <w:rPr>
          <w:w w:val="110"/>
          <w:sz w:val="20"/>
          <w:vertAlign w:val="baseline"/>
        </w:rPr>
        <w:t>this</w:t>
      </w:r>
      <w:r>
        <w:rPr>
          <w:spacing w:val="-23"/>
          <w:w w:val="110"/>
          <w:sz w:val="20"/>
          <w:vertAlign w:val="baseline"/>
        </w:rPr>
        <w:t> </w:t>
      </w:r>
      <w:r>
        <w:rPr>
          <w:w w:val="110"/>
          <w:sz w:val="20"/>
          <w:vertAlign w:val="baseline"/>
        </w:rPr>
        <w:t>observation</w:t>
      </w:r>
      <w:r>
        <w:rPr>
          <w:spacing w:val="-23"/>
          <w:w w:val="110"/>
          <w:sz w:val="20"/>
          <w:vertAlign w:val="baseline"/>
        </w:rPr>
        <w:t> </w:t>
      </w:r>
      <w:r>
        <w:rPr>
          <w:w w:val="110"/>
          <w:sz w:val="20"/>
          <w:vertAlign w:val="baseline"/>
        </w:rPr>
        <w:t>warranted</w:t>
      </w:r>
      <w:r>
        <w:rPr>
          <w:spacing w:val="-23"/>
          <w:w w:val="110"/>
          <w:sz w:val="20"/>
          <w:vertAlign w:val="baseline"/>
        </w:rPr>
        <w:t> </w:t>
      </w:r>
      <w:r>
        <w:rPr>
          <w:w w:val="110"/>
          <w:sz w:val="20"/>
          <w:vertAlign w:val="baseline"/>
        </w:rPr>
        <w:t>a</w:t>
      </w:r>
      <w:r>
        <w:rPr>
          <w:spacing w:val="-22"/>
          <w:w w:val="110"/>
          <w:sz w:val="20"/>
          <w:vertAlign w:val="baseline"/>
        </w:rPr>
        <w:t> </w:t>
      </w:r>
      <w:r>
        <w:rPr>
          <w:w w:val="110"/>
          <w:sz w:val="20"/>
          <w:vertAlign w:val="baseline"/>
        </w:rPr>
        <w:t>robustness</w:t>
      </w:r>
      <w:r>
        <w:rPr>
          <w:spacing w:val="-23"/>
          <w:w w:val="110"/>
          <w:sz w:val="20"/>
          <w:vertAlign w:val="baseline"/>
        </w:rPr>
        <w:t> </w:t>
      </w:r>
      <w:r>
        <w:rPr>
          <w:spacing w:val="-3"/>
          <w:w w:val="110"/>
          <w:sz w:val="20"/>
          <w:vertAlign w:val="baseline"/>
        </w:rPr>
        <w:t>check</w:t>
      </w:r>
      <w:r>
        <w:rPr>
          <w:spacing w:val="-23"/>
          <w:w w:val="110"/>
          <w:sz w:val="20"/>
          <w:vertAlign w:val="baseline"/>
        </w:rPr>
        <w:t> </w:t>
      </w:r>
      <w:r>
        <w:rPr>
          <w:w w:val="110"/>
          <w:sz w:val="20"/>
          <w:vertAlign w:val="baseline"/>
        </w:rPr>
        <w:t>for</w:t>
      </w:r>
      <w:r>
        <w:rPr>
          <w:spacing w:val="-23"/>
          <w:w w:val="110"/>
          <w:sz w:val="20"/>
          <w:vertAlign w:val="baseline"/>
        </w:rPr>
        <w:t> </w:t>
      </w:r>
      <w:r>
        <w:rPr>
          <w:w w:val="110"/>
          <w:sz w:val="20"/>
          <w:vertAlign w:val="baseline"/>
        </w:rPr>
        <w:t>effect estimates, as presented in the </w:t>
      </w:r>
      <w:hyperlink w:history="true" w:anchor="_bookmark28">
        <w:r>
          <w:rPr>
            <w:i/>
            <w:w w:val="110"/>
            <w:sz w:val="20"/>
            <w:vertAlign w:val="baseline"/>
          </w:rPr>
          <w:t>Robust statistics</w:t>
        </w:r>
        <w:r>
          <w:rPr>
            <w:i/>
            <w:spacing w:val="16"/>
            <w:w w:val="110"/>
            <w:sz w:val="20"/>
            <w:vertAlign w:val="baseline"/>
          </w:rPr>
          <w:t> </w:t>
        </w:r>
      </w:hyperlink>
      <w:r>
        <w:rPr>
          <w:w w:val="110"/>
          <w:sz w:val="20"/>
          <w:vertAlign w:val="baseline"/>
        </w:rPr>
        <w:t>section.</w:t>
      </w:r>
    </w:p>
    <w:p>
      <w:pPr>
        <w:spacing w:after="0" w:line="412" w:lineRule="auto"/>
        <w:jc w:val="both"/>
        <w:rPr>
          <w:sz w:val="20"/>
        </w:rPr>
        <w:sectPr>
          <w:pgSz w:w="12240" w:h="15840"/>
          <w:pgMar w:header="649" w:footer="0" w:top="1320" w:bottom="280" w:left="820" w:right="1140"/>
        </w:sectPr>
      </w:pPr>
    </w:p>
    <w:p>
      <w:pPr>
        <w:pStyle w:val="BodyText"/>
        <w:spacing w:before="5"/>
        <w:ind w:left="0"/>
        <w:rPr>
          <w:sz w:val="28"/>
        </w:rPr>
      </w:pPr>
    </w:p>
    <w:p>
      <w:pPr>
        <w:spacing w:line="412" w:lineRule="auto" w:before="139"/>
        <w:ind w:left="620" w:right="266" w:firstLine="0"/>
        <w:jc w:val="both"/>
        <w:rPr>
          <w:sz w:val="20"/>
        </w:rPr>
      </w:pPr>
      <w:r>
        <w:rPr>
          <w:b/>
          <w:w w:val="110"/>
          <w:sz w:val="20"/>
        </w:rPr>
        <w:t>C. </w:t>
      </w:r>
      <w:r>
        <w:rPr>
          <w:spacing w:val="-6"/>
          <w:w w:val="110"/>
          <w:sz w:val="20"/>
        </w:rPr>
        <w:t>For </w:t>
      </w:r>
      <w:r>
        <w:rPr>
          <w:w w:val="110"/>
          <w:sz w:val="20"/>
        </w:rPr>
        <w:t>the pre-registered analysis of training outcomes on automatic action tendencies [H1], approach- avoidance bias scores </w:t>
      </w:r>
      <w:r>
        <w:rPr>
          <w:spacing w:val="-3"/>
          <w:w w:val="110"/>
          <w:sz w:val="20"/>
        </w:rPr>
        <w:t>(</w:t>
      </w:r>
      <w:r>
        <w:rPr>
          <w:rFonts w:ascii="Arial" w:hAnsi="Arial"/>
          <w:spacing w:val="-3"/>
          <w:w w:val="110"/>
          <w:sz w:val="20"/>
        </w:rPr>
        <w:t>∆</w:t>
      </w:r>
      <w:r>
        <w:rPr>
          <w:spacing w:val="-3"/>
          <w:w w:val="110"/>
          <w:sz w:val="20"/>
        </w:rPr>
        <w:t>AAT) </w:t>
      </w:r>
      <w:r>
        <w:rPr>
          <w:w w:val="110"/>
          <w:sz w:val="20"/>
        </w:rPr>
        <w:t>were calculated based on median reaction times for correct pull and push responses from pre-to post-training (AAT</w:t>
      </w:r>
      <w:r>
        <w:rPr>
          <w:w w:val="110"/>
          <w:sz w:val="20"/>
          <w:vertAlign w:val="subscript"/>
        </w:rPr>
        <w:t>post</w:t>
      </w:r>
      <w:r>
        <w:rPr>
          <w:w w:val="110"/>
          <w:sz w:val="20"/>
          <w:vertAlign w:val="baseline"/>
        </w:rPr>
        <w:t> - AAT</w:t>
      </w:r>
      <w:r>
        <w:rPr>
          <w:w w:val="110"/>
          <w:sz w:val="20"/>
          <w:vertAlign w:val="subscript"/>
        </w:rPr>
        <w:t>pre</w:t>
      </w:r>
      <w:r>
        <w:rPr>
          <w:w w:val="110"/>
          <w:sz w:val="20"/>
          <w:vertAlign w:val="baseline"/>
        </w:rPr>
        <w:t>). These reaction times refer to the time participants took to complete an action (i.e., completion time). TThe test-retest reliability for the calculated scores is </w:t>
      </w:r>
      <w:r>
        <w:rPr>
          <w:spacing w:val="2"/>
          <w:w w:val="110"/>
          <w:sz w:val="20"/>
          <w:vertAlign w:val="baseline"/>
        </w:rPr>
        <w:t>poor</w:t>
      </w:r>
      <w:r>
        <w:rPr>
          <w:spacing w:val="-24"/>
          <w:w w:val="110"/>
          <w:sz w:val="20"/>
          <w:vertAlign w:val="baseline"/>
        </w:rPr>
        <w:t> </w:t>
      </w:r>
      <w:r>
        <w:rPr>
          <w:w w:val="110"/>
          <w:sz w:val="20"/>
          <w:vertAlign w:val="baseline"/>
        </w:rPr>
        <w:t>(Pearson’s</w:t>
      </w:r>
      <w:r>
        <w:rPr>
          <w:spacing w:val="-24"/>
          <w:w w:val="110"/>
          <w:sz w:val="20"/>
          <w:vertAlign w:val="baseline"/>
        </w:rPr>
        <w:t> </w:t>
      </w:r>
      <w:r>
        <w:rPr>
          <w:w w:val="110"/>
          <w:sz w:val="20"/>
          <w:vertAlign w:val="baseline"/>
        </w:rPr>
        <w:t>*r*</w:t>
      </w:r>
      <w:r>
        <w:rPr>
          <w:spacing w:val="-24"/>
          <w:w w:val="110"/>
          <w:sz w:val="20"/>
          <w:vertAlign w:val="baseline"/>
        </w:rPr>
        <w:t> </w:t>
      </w:r>
      <w:r>
        <w:rPr>
          <w:w w:val="110"/>
          <w:sz w:val="20"/>
          <w:vertAlign w:val="baseline"/>
        </w:rPr>
        <w:t>coefficient</w:t>
      </w:r>
      <w:r>
        <w:rPr>
          <w:spacing w:val="-23"/>
          <w:w w:val="110"/>
          <w:sz w:val="20"/>
          <w:vertAlign w:val="baseline"/>
        </w:rPr>
        <w:t> </w:t>
      </w:r>
      <w:r>
        <w:rPr>
          <w:w w:val="110"/>
          <w:sz w:val="20"/>
          <w:vertAlign w:val="baseline"/>
        </w:rPr>
        <w:t>=</w:t>
      </w:r>
      <w:r>
        <w:rPr>
          <w:spacing w:val="-24"/>
          <w:w w:val="110"/>
          <w:sz w:val="20"/>
          <w:vertAlign w:val="baseline"/>
        </w:rPr>
        <w:t> </w:t>
      </w:r>
      <w:r>
        <w:rPr>
          <w:w w:val="110"/>
          <w:sz w:val="20"/>
          <w:vertAlign w:val="baseline"/>
        </w:rPr>
        <w:t>0.41;</w:t>
      </w:r>
      <w:r>
        <w:rPr>
          <w:spacing w:val="-23"/>
          <w:w w:val="110"/>
          <w:sz w:val="20"/>
          <w:vertAlign w:val="baseline"/>
        </w:rPr>
        <w:t> </w:t>
      </w:r>
      <w:r>
        <w:rPr>
          <w:w w:val="110"/>
          <w:sz w:val="20"/>
          <w:vertAlign w:val="baseline"/>
        </w:rPr>
        <w:t>see</w:t>
      </w:r>
      <w:r>
        <w:rPr>
          <w:spacing w:val="-24"/>
          <w:w w:val="110"/>
          <w:sz w:val="20"/>
          <w:vertAlign w:val="baseline"/>
        </w:rPr>
        <w:t> </w:t>
      </w:r>
      <w:hyperlink w:history="true" w:anchor="_bookmark25">
        <w:r>
          <w:rPr>
            <w:i/>
            <w:w w:val="110"/>
            <w:sz w:val="20"/>
            <w:vertAlign w:val="baseline"/>
          </w:rPr>
          <w:t>Reliability</w:t>
        </w:r>
        <w:r>
          <w:rPr>
            <w:i/>
            <w:spacing w:val="-21"/>
            <w:w w:val="110"/>
            <w:sz w:val="20"/>
            <w:vertAlign w:val="baseline"/>
          </w:rPr>
          <w:t> </w:t>
        </w:r>
        <w:r>
          <w:rPr>
            <w:i/>
            <w:w w:val="110"/>
            <w:sz w:val="20"/>
            <w:vertAlign w:val="baseline"/>
          </w:rPr>
          <w:t>of</w:t>
        </w:r>
        <w:r>
          <w:rPr>
            <w:i/>
            <w:spacing w:val="-22"/>
            <w:w w:val="110"/>
            <w:sz w:val="20"/>
            <w:vertAlign w:val="baseline"/>
          </w:rPr>
          <w:t> </w:t>
        </w:r>
        <w:r>
          <w:rPr>
            <w:i/>
            <w:spacing w:val="-3"/>
            <w:w w:val="110"/>
            <w:sz w:val="20"/>
            <w:vertAlign w:val="baseline"/>
          </w:rPr>
          <w:t>calculated</w:t>
        </w:r>
        <w:r>
          <w:rPr>
            <w:i/>
            <w:spacing w:val="-21"/>
            <w:w w:val="110"/>
            <w:sz w:val="20"/>
            <w:vertAlign w:val="baseline"/>
          </w:rPr>
          <w:t> </w:t>
        </w:r>
        <w:r>
          <w:rPr>
            <w:i/>
            <w:w w:val="110"/>
            <w:sz w:val="20"/>
            <w:vertAlign w:val="baseline"/>
          </w:rPr>
          <w:t>bias</w:t>
        </w:r>
        <w:r>
          <w:rPr>
            <w:i/>
            <w:spacing w:val="-21"/>
            <w:w w:val="110"/>
            <w:sz w:val="20"/>
            <w:vertAlign w:val="baseline"/>
          </w:rPr>
          <w:t> </w:t>
        </w:r>
        <w:r>
          <w:rPr>
            <w:i/>
            <w:spacing w:val="-4"/>
            <w:w w:val="110"/>
            <w:sz w:val="20"/>
            <w:vertAlign w:val="baseline"/>
          </w:rPr>
          <w:t>scores</w:t>
        </w:r>
        <w:r>
          <w:rPr>
            <w:i/>
            <w:spacing w:val="-24"/>
            <w:w w:val="110"/>
            <w:sz w:val="20"/>
            <w:vertAlign w:val="baseline"/>
          </w:rPr>
          <w:t> </w:t>
        </w:r>
      </w:hyperlink>
      <w:r>
        <w:rPr>
          <w:w w:val="110"/>
          <w:sz w:val="20"/>
          <w:vertAlign w:val="baseline"/>
        </w:rPr>
        <w:t>for</w:t>
      </w:r>
      <w:r>
        <w:rPr>
          <w:spacing w:val="-24"/>
          <w:w w:val="110"/>
          <w:sz w:val="20"/>
          <w:vertAlign w:val="baseline"/>
        </w:rPr>
        <w:t> </w:t>
      </w:r>
      <w:r>
        <w:rPr>
          <w:w w:val="110"/>
          <w:sz w:val="20"/>
          <w:vertAlign w:val="baseline"/>
        </w:rPr>
        <w:t>detailed</w:t>
      </w:r>
      <w:r>
        <w:rPr>
          <w:spacing w:val="-24"/>
          <w:w w:val="110"/>
          <w:sz w:val="20"/>
          <w:vertAlign w:val="baseline"/>
        </w:rPr>
        <w:t> </w:t>
      </w:r>
      <w:r>
        <w:rPr>
          <w:w w:val="110"/>
          <w:sz w:val="20"/>
          <w:vertAlign w:val="baseline"/>
        </w:rPr>
        <w:t>results).</w:t>
      </w:r>
      <w:r>
        <w:rPr>
          <w:spacing w:val="-12"/>
          <w:w w:val="110"/>
          <w:sz w:val="20"/>
          <w:vertAlign w:val="baseline"/>
        </w:rPr>
        <w:t> </w:t>
      </w:r>
      <w:r>
        <w:rPr>
          <w:w w:val="110"/>
          <w:sz w:val="20"/>
          <w:vertAlign w:val="baseline"/>
        </w:rPr>
        <w:t>When</w:t>
      </w:r>
      <w:r>
        <w:rPr>
          <w:spacing w:val="-24"/>
          <w:w w:val="110"/>
          <w:sz w:val="20"/>
          <w:vertAlign w:val="baseline"/>
        </w:rPr>
        <w:t> </w:t>
      </w:r>
      <w:r>
        <w:rPr>
          <w:w w:val="110"/>
          <w:sz w:val="20"/>
          <w:vertAlign w:val="baseline"/>
        </w:rPr>
        <w:t>bias scores</w:t>
      </w:r>
      <w:r>
        <w:rPr>
          <w:spacing w:val="-11"/>
          <w:w w:val="110"/>
          <w:sz w:val="20"/>
          <w:vertAlign w:val="baseline"/>
        </w:rPr>
        <w:t> </w:t>
      </w:r>
      <w:r>
        <w:rPr>
          <w:w w:val="110"/>
          <w:sz w:val="20"/>
          <w:vertAlign w:val="baseline"/>
        </w:rPr>
        <w:t>are</w:t>
      </w:r>
      <w:r>
        <w:rPr>
          <w:spacing w:val="-10"/>
          <w:w w:val="110"/>
          <w:sz w:val="20"/>
          <w:vertAlign w:val="baseline"/>
        </w:rPr>
        <w:t> </w:t>
      </w:r>
      <w:r>
        <w:rPr>
          <w:w w:val="110"/>
          <w:sz w:val="20"/>
          <w:vertAlign w:val="baseline"/>
        </w:rPr>
        <w:t>computed</w:t>
      </w:r>
      <w:r>
        <w:rPr>
          <w:spacing w:val="-11"/>
          <w:w w:val="110"/>
          <w:sz w:val="20"/>
          <w:vertAlign w:val="baseline"/>
        </w:rPr>
        <w:t> </w:t>
      </w:r>
      <w:r>
        <w:rPr>
          <w:w w:val="110"/>
          <w:sz w:val="20"/>
          <w:vertAlign w:val="baseline"/>
        </w:rPr>
        <w:t>using</w:t>
      </w:r>
      <w:r>
        <w:rPr>
          <w:spacing w:val="-10"/>
          <w:w w:val="110"/>
          <w:sz w:val="20"/>
          <w:vertAlign w:val="baseline"/>
        </w:rPr>
        <w:t> </w:t>
      </w:r>
      <w:r>
        <w:rPr>
          <w:w w:val="110"/>
          <w:sz w:val="20"/>
          <w:vertAlign w:val="baseline"/>
        </w:rPr>
        <w:t>the</w:t>
      </w:r>
      <w:r>
        <w:rPr>
          <w:spacing w:val="-10"/>
          <w:w w:val="110"/>
          <w:sz w:val="20"/>
          <w:vertAlign w:val="baseline"/>
        </w:rPr>
        <w:t> </w:t>
      </w:r>
      <w:r>
        <w:rPr>
          <w:w w:val="110"/>
          <w:sz w:val="20"/>
          <w:vertAlign w:val="baseline"/>
        </w:rPr>
        <w:t>time</w:t>
      </w:r>
      <w:r>
        <w:rPr>
          <w:spacing w:val="-11"/>
          <w:w w:val="110"/>
          <w:sz w:val="20"/>
          <w:vertAlign w:val="baseline"/>
        </w:rPr>
        <w:t> </w:t>
      </w:r>
      <w:r>
        <w:rPr>
          <w:w w:val="110"/>
          <w:sz w:val="20"/>
          <w:vertAlign w:val="baseline"/>
        </w:rPr>
        <w:t>when</w:t>
      </w:r>
      <w:r>
        <w:rPr>
          <w:spacing w:val="-10"/>
          <w:w w:val="110"/>
          <w:sz w:val="20"/>
          <w:vertAlign w:val="baseline"/>
        </w:rPr>
        <w:t> </w:t>
      </w:r>
      <w:r>
        <w:rPr>
          <w:w w:val="110"/>
          <w:sz w:val="20"/>
          <w:vertAlign w:val="baseline"/>
        </w:rPr>
        <w:t>participants</w:t>
      </w:r>
      <w:r>
        <w:rPr>
          <w:spacing w:val="-10"/>
          <w:w w:val="110"/>
          <w:sz w:val="20"/>
          <w:vertAlign w:val="baseline"/>
        </w:rPr>
        <w:t> </w:t>
      </w:r>
      <w:r>
        <w:rPr>
          <w:w w:val="110"/>
          <w:sz w:val="20"/>
          <w:vertAlign w:val="baseline"/>
        </w:rPr>
        <w:t>initiated</w:t>
      </w:r>
      <w:r>
        <w:rPr>
          <w:spacing w:val="-11"/>
          <w:w w:val="110"/>
          <w:sz w:val="20"/>
          <w:vertAlign w:val="baseline"/>
        </w:rPr>
        <w:t> </w:t>
      </w:r>
      <w:r>
        <w:rPr>
          <w:w w:val="110"/>
          <w:sz w:val="20"/>
          <w:vertAlign w:val="baseline"/>
        </w:rPr>
        <w:t>a</w:t>
      </w:r>
      <w:r>
        <w:rPr>
          <w:spacing w:val="-10"/>
          <w:w w:val="110"/>
          <w:sz w:val="20"/>
          <w:vertAlign w:val="baseline"/>
        </w:rPr>
        <w:t> </w:t>
      </w:r>
      <w:r>
        <w:rPr>
          <w:spacing w:val="-3"/>
          <w:w w:val="110"/>
          <w:sz w:val="20"/>
          <w:vertAlign w:val="baseline"/>
        </w:rPr>
        <w:t>movement</w:t>
      </w:r>
      <w:r>
        <w:rPr>
          <w:spacing w:val="-10"/>
          <w:w w:val="110"/>
          <w:sz w:val="20"/>
          <w:vertAlign w:val="baseline"/>
        </w:rPr>
        <w:t> </w:t>
      </w:r>
      <w:r>
        <w:rPr>
          <w:w w:val="110"/>
          <w:sz w:val="20"/>
          <w:vertAlign w:val="baseline"/>
        </w:rPr>
        <w:t>since</w:t>
      </w:r>
      <w:r>
        <w:rPr>
          <w:spacing w:val="-11"/>
          <w:w w:val="110"/>
          <w:sz w:val="20"/>
          <w:vertAlign w:val="baseline"/>
        </w:rPr>
        <w:t> </w:t>
      </w:r>
      <w:r>
        <w:rPr>
          <w:w w:val="110"/>
          <w:sz w:val="20"/>
          <w:vertAlign w:val="baseline"/>
        </w:rPr>
        <w:t>stimulus</w:t>
      </w:r>
      <w:r>
        <w:rPr>
          <w:spacing w:val="-10"/>
          <w:w w:val="110"/>
          <w:sz w:val="20"/>
          <w:vertAlign w:val="baseline"/>
        </w:rPr>
        <w:t> </w:t>
      </w:r>
      <w:r>
        <w:rPr>
          <w:w w:val="110"/>
          <w:sz w:val="20"/>
          <w:vertAlign w:val="baseline"/>
        </w:rPr>
        <w:t>onset</w:t>
      </w:r>
      <w:r>
        <w:rPr>
          <w:spacing w:val="-10"/>
          <w:w w:val="110"/>
          <w:sz w:val="20"/>
          <w:vertAlign w:val="baseline"/>
        </w:rPr>
        <w:t> </w:t>
      </w:r>
      <w:r>
        <w:rPr>
          <w:w w:val="110"/>
          <w:sz w:val="20"/>
          <w:vertAlign w:val="baseline"/>
        </w:rPr>
        <w:t>on</w:t>
      </w:r>
      <w:r>
        <w:rPr>
          <w:spacing w:val="-11"/>
          <w:w w:val="110"/>
          <w:sz w:val="20"/>
          <w:vertAlign w:val="baseline"/>
        </w:rPr>
        <w:t> </w:t>
      </w:r>
      <w:r>
        <w:rPr>
          <w:w w:val="110"/>
          <w:sz w:val="20"/>
          <w:vertAlign w:val="baseline"/>
        </w:rPr>
        <w:t>a</w:t>
      </w:r>
      <w:r>
        <w:rPr>
          <w:spacing w:val="-10"/>
          <w:w w:val="110"/>
          <w:sz w:val="20"/>
          <w:vertAlign w:val="baseline"/>
        </w:rPr>
        <w:t> </w:t>
      </w:r>
      <w:r>
        <w:rPr>
          <w:w w:val="110"/>
          <w:sz w:val="20"/>
          <w:vertAlign w:val="baseline"/>
        </w:rPr>
        <w:t>correct trial</w:t>
      </w:r>
      <w:r>
        <w:rPr>
          <w:spacing w:val="-10"/>
          <w:w w:val="110"/>
          <w:sz w:val="20"/>
          <w:vertAlign w:val="baseline"/>
        </w:rPr>
        <w:t> </w:t>
      </w:r>
      <w:r>
        <w:rPr>
          <w:w w:val="110"/>
          <w:sz w:val="20"/>
          <w:vertAlign w:val="baseline"/>
        </w:rPr>
        <w:t>(i..e,</w:t>
      </w:r>
      <w:r>
        <w:rPr>
          <w:spacing w:val="-10"/>
          <w:w w:val="110"/>
          <w:sz w:val="20"/>
          <w:vertAlign w:val="baseline"/>
        </w:rPr>
        <w:t> </w:t>
      </w:r>
      <w:r>
        <w:rPr>
          <w:w w:val="110"/>
          <w:sz w:val="20"/>
          <w:vertAlign w:val="baseline"/>
        </w:rPr>
        <w:t>initiation</w:t>
      </w:r>
      <w:r>
        <w:rPr>
          <w:spacing w:val="-10"/>
          <w:w w:val="110"/>
          <w:sz w:val="20"/>
          <w:vertAlign w:val="baseline"/>
        </w:rPr>
        <w:t> </w:t>
      </w:r>
      <w:r>
        <w:rPr>
          <w:w w:val="110"/>
          <w:sz w:val="20"/>
          <w:vertAlign w:val="baseline"/>
        </w:rPr>
        <w:t>times),</w:t>
      </w:r>
      <w:r>
        <w:rPr>
          <w:spacing w:val="-9"/>
          <w:w w:val="110"/>
          <w:sz w:val="20"/>
          <w:vertAlign w:val="baseline"/>
        </w:rPr>
        <w:t> </w:t>
      </w:r>
      <w:r>
        <w:rPr>
          <w:w w:val="110"/>
          <w:sz w:val="20"/>
          <w:vertAlign w:val="baseline"/>
        </w:rPr>
        <w:t>the</w:t>
      </w:r>
      <w:r>
        <w:rPr>
          <w:spacing w:val="-10"/>
          <w:w w:val="110"/>
          <w:sz w:val="20"/>
          <w:vertAlign w:val="baseline"/>
        </w:rPr>
        <w:t> </w:t>
      </w:r>
      <w:r>
        <w:rPr>
          <w:w w:val="110"/>
          <w:sz w:val="20"/>
          <w:vertAlign w:val="baseline"/>
        </w:rPr>
        <w:t>test-retest</w:t>
      </w:r>
      <w:r>
        <w:rPr>
          <w:spacing w:val="-10"/>
          <w:w w:val="110"/>
          <w:sz w:val="20"/>
          <w:vertAlign w:val="baseline"/>
        </w:rPr>
        <w:t> </w:t>
      </w:r>
      <w:r>
        <w:rPr>
          <w:w w:val="110"/>
          <w:sz w:val="20"/>
          <w:vertAlign w:val="baseline"/>
        </w:rPr>
        <w:t>reliability</w:t>
      </w:r>
      <w:r>
        <w:rPr>
          <w:spacing w:val="-10"/>
          <w:w w:val="110"/>
          <w:sz w:val="20"/>
          <w:vertAlign w:val="baseline"/>
        </w:rPr>
        <w:t> </w:t>
      </w:r>
      <w:r>
        <w:rPr>
          <w:w w:val="110"/>
          <w:sz w:val="20"/>
          <w:vertAlign w:val="baseline"/>
        </w:rPr>
        <w:t>was</w:t>
      </w:r>
      <w:r>
        <w:rPr>
          <w:spacing w:val="-9"/>
          <w:w w:val="110"/>
          <w:sz w:val="20"/>
          <w:vertAlign w:val="baseline"/>
        </w:rPr>
        <w:t> </w:t>
      </w:r>
      <w:r>
        <w:rPr>
          <w:w w:val="110"/>
          <w:sz w:val="20"/>
          <w:vertAlign w:val="baseline"/>
        </w:rPr>
        <w:t>slightly</w:t>
      </w:r>
      <w:r>
        <w:rPr>
          <w:spacing w:val="-10"/>
          <w:w w:val="110"/>
          <w:sz w:val="20"/>
          <w:vertAlign w:val="baseline"/>
        </w:rPr>
        <w:t> </w:t>
      </w:r>
      <w:r>
        <w:rPr>
          <w:w w:val="110"/>
          <w:sz w:val="20"/>
          <w:vertAlign w:val="baseline"/>
        </w:rPr>
        <w:t>improved</w:t>
      </w:r>
      <w:r>
        <w:rPr>
          <w:spacing w:val="-10"/>
          <w:w w:val="110"/>
          <w:sz w:val="20"/>
          <w:vertAlign w:val="baseline"/>
        </w:rPr>
        <w:t> </w:t>
      </w:r>
      <w:r>
        <w:rPr>
          <w:w w:val="110"/>
          <w:sz w:val="20"/>
          <w:vertAlign w:val="baseline"/>
        </w:rPr>
        <w:t>(r</w:t>
      </w:r>
      <w:r>
        <w:rPr>
          <w:spacing w:val="-9"/>
          <w:w w:val="110"/>
          <w:sz w:val="20"/>
          <w:vertAlign w:val="baseline"/>
        </w:rPr>
        <w:t> </w:t>
      </w:r>
      <w:r>
        <w:rPr>
          <w:w w:val="110"/>
          <w:sz w:val="20"/>
          <w:vertAlign w:val="baseline"/>
        </w:rPr>
        <w:t>=</w:t>
      </w:r>
      <w:r>
        <w:rPr>
          <w:spacing w:val="-10"/>
          <w:w w:val="110"/>
          <w:sz w:val="20"/>
          <w:vertAlign w:val="baseline"/>
        </w:rPr>
        <w:t> </w:t>
      </w:r>
      <w:r>
        <w:rPr>
          <w:w w:val="110"/>
          <w:sz w:val="20"/>
          <w:vertAlign w:val="baseline"/>
        </w:rPr>
        <w:t>0.53)</w:t>
      </w:r>
      <w:r>
        <w:rPr>
          <w:spacing w:val="-10"/>
          <w:w w:val="110"/>
          <w:sz w:val="20"/>
          <w:vertAlign w:val="baseline"/>
        </w:rPr>
        <w:t> </w:t>
      </w:r>
      <w:r>
        <w:rPr>
          <w:w w:val="110"/>
          <w:sz w:val="20"/>
          <w:vertAlign w:val="baseline"/>
        </w:rPr>
        <w:t>and</w:t>
      </w:r>
      <w:r>
        <w:rPr>
          <w:spacing w:val="-10"/>
          <w:w w:val="110"/>
          <w:sz w:val="20"/>
          <w:vertAlign w:val="baseline"/>
        </w:rPr>
        <w:t> </w:t>
      </w:r>
      <w:r>
        <w:rPr>
          <w:w w:val="110"/>
          <w:sz w:val="20"/>
          <w:vertAlign w:val="baseline"/>
        </w:rPr>
        <w:t>less</w:t>
      </w:r>
      <w:r>
        <w:rPr>
          <w:spacing w:val="-9"/>
          <w:w w:val="110"/>
          <w:sz w:val="20"/>
          <w:vertAlign w:val="baseline"/>
        </w:rPr>
        <w:t> </w:t>
      </w:r>
      <w:r>
        <w:rPr>
          <w:w w:val="110"/>
          <w:sz w:val="20"/>
          <w:vertAlign w:val="baseline"/>
        </w:rPr>
        <w:t>dispersion</w:t>
      </w:r>
      <w:r>
        <w:rPr>
          <w:spacing w:val="-10"/>
          <w:w w:val="110"/>
          <w:sz w:val="20"/>
          <w:vertAlign w:val="baseline"/>
        </w:rPr>
        <w:t> </w:t>
      </w:r>
      <w:r>
        <w:rPr>
          <w:w w:val="110"/>
          <w:sz w:val="20"/>
          <w:vertAlign w:val="baseline"/>
        </w:rPr>
        <w:t>was observed</w:t>
      </w:r>
      <w:r>
        <w:rPr>
          <w:spacing w:val="-15"/>
          <w:w w:val="110"/>
          <w:sz w:val="20"/>
          <w:vertAlign w:val="baseline"/>
        </w:rPr>
        <w:t> </w:t>
      </w:r>
      <w:r>
        <w:rPr>
          <w:w w:val="110"/>
          <w:sz w:val="20"/>
          <w:vertAlign w:val="baseline"/>
        </w:rPr>
        <w:t>for</w:t>
      </w:r>
      <w:r>
        <w:rPr>
          <w:spacing w:val="-16"/>
          <w:w w:val="110"/>
          <w:sz w:val="20"/>
          <w:vertAlign w:val="baseline"/>
        </w:rPr>
        <w:t> </w:t>
      </w:r>
      <w:r>
        <w:rPr>
          <w:rFonts w:ascii="Arial" w:hAnsi="Arial"/>
          <w:spacing w:val="-5"/>
          <w:w w:val="110"/>
          <w:sz w:val="20"/>
          <w:vertAlign w:val="baseline"/>
        </w:rPr>
        <w:t>∆</w:t>
      </w:r>
      <w:r>
        <w:rPr>
          <w:spacing w:val="-5"/>
          <w:w w:val="110"/>
          <w:sz w:val="20"/>
          <w:vertAlign w:val="baseline"/>
        </w:rPr>
        <w:t>AAT</w:t>
      </w:r>
      <w:r>
        <w:rPr>
          <w:spacing w:val="-14"/>
          <w:w w:val="110"/>
          <w:sz w:val="20"/>
          <w:vertAlign w:val="baseline"/>
        </w:rPr>
        <w:t> </w:t>
      </w:r>
      <w:r>
        <w:rPr>
          <w:w w:val="110"/>
          <w:sz w:val="20"/>
          <w:vertAlign w:val="baseline"/>
        </w:rPr>
        <w:t>across</w:t>
      </w:r>
      <w:r>
        <w:rPr>
          <w:spacing w:val="-15"/>
          <w:w w:val="110"/>
          <w:sz w:val="20"/>
          <w:vertAlign w:val="baseline"/>
        </w:rPr>
        <w:t> </w:t>
      </w:r>
      <w:r>
        <w:rPr>
          <w:w w:val="110"/>
          <w:sz w:val="20"/>
          <w:vertAlign w:val="baseline"/>
        </w:rPr>
        <w:t>participants.</w:t>
      </w:r>
      <w:r>
        <w:rPr>
          <w:spacing w:val="-1"/>
          <w:w w:val="110"/>
          <w:sz w:val="20"/>
          <w:vertAlign w:val="baseline"/>
        </w:rPr>
        <w:t> </w:t>
      </w:r>
      <w:r>
        <w:rPr>
          <w:i/>
          <w:w w:val="110"/>
          <w:sz w:val="20"/>
          <w:vertAlign w:val="baseline"/>
        </w:rPr>
        <w:t>Note.</w:t>
      </w:r>
      <w:r>
        <w:rPr>
          <w:i/>
          <w:spacing w:val="-1"/>
          <w:w w:val="110"/>
          <w:sz w:val="20"/>
          <w:vertAlign w:val="baseline"/>
        </w:rPr>
        <w:t> </w:t>
      </w:r>
      <w:r>
        <w:rPr>
          <w:w w:val="110"/>
          <w:sz w:val="20"/>
          <w:vertAlign w:val="baseline"/>
        </w:rPr>
        <w:t>The</w:t>
      </w:r>
      <w:r>
        <w:rPr>
          <w:spacing w:val="-15"/>
          <w:w w:val="110"/>
          <w:sz w:val="20"/>
          <w:vertAlign w:val="baseline"/>
        </w:rPr>
        <w:t> </w:t>
      </w:r>
      <w:r>
        <w:rPr>
          <w:w w:val="110"/>
          <w:sz w:val="20"/>
          <w:vertAlign w:val="baseline"/>
        </w:rPr>
        <w:t>‘split-half</w:t>
      </w:r>
      <w:r>
        <w:rPr>
          <w:spacing w:val="-14"/>
          <w:w w:val="110"/>
          <w:sz w:val="20"/>
          <w:vertAlign w:val="baseline"/>
        </w:rPr>
        <w:t> </w:t>
      </w:r>
      <w:r>
        <w:rPr>
          <w:w w:val="110"/>
          <w:sz w:val="20"/>
          <w:vertAlign w:val="baseline"/>
        </w:rPr>
        <w:t>violin’</w:t>
      </w:r>
      <w:r>
        <w:rPr>
          <w:spacing w:val="-16"/>
          <w:w w:val="110"/>
          <w:sz w:val="20"/>
          <w:vertAlign w:val="baseline"/>
        </w:rPr>
        <w:t> </w:t>
      </w:r>
      <w:r>
        <w:rPr>
          <w:w w:val="110"/>
          <w:sz w:val="20"/>
          <w:vertAlign w:val="baseline"/>
        </w:rPr>
        <w:t>elements</w:t>
      </w:r>
      <w:r>
        <w:rPr>
          <w:spacing w:val="-14"/>
          <w:w w:val="110"/>
          <w:sz w:val="20"/>
          <w:vertAlign w:val="baseline"/>
        </w:rPr>
        <w:t> </w:t>
      </w:r>
      <w:r>
        <w:rPr>
          <w:w w:val="110"/>
          <w:sz w:val="20"/>
          <w:vertAlign w:val="baseline"/>
        </w:rPr>
        <w:t>in</w:t>
      </w:r>
      <w:r>
        <w:rPr>
          <w:spacing w:val="-16"/>
          <w:w w:val="110"/>
          <w:sz w:val="20"/>
          <w:vertAlign w:val="baseline"/>
        </w:rPr>
        <w:t> </w:t>
      </w:r>
      <w:r>
        <w:rPr>
          <w:w w:val="110"/>
          <w:sz w:val="20"/>
          <w:vertAlign w:val="baseline"/>
        </w:rPr>
        <w:t>the</w:t>
      </w:r>
      <w:r>
        <w:rPr>
          <w:spacing w:val="-14"/>
          <w:w w:val="110"/>
          <w:sz w:val="20"/>
          <w:vertAlign w:val="baseline"/>
        </w:rPr>
        <w:t> </w:t>
      </w:r>
      <w:r>
        <w:rPr>
          <w:w w:val="110"/>
          <w:sz w:val="20"/>
          <w:vertAlign w:val="baseline"/>
        </w:rPr>
        <w:t>plot</w:t>
      </w:r>
      <w:r>
        <w:rPr>
          <w:spacing w:val="-16"/>
          <w:w w:val="110"/>
          <w:sz w:val="20"/>
          <w:vertAlign w:val="baseline"/>
        </w:rPr>
        <w:t> </w:t>
      </w:r>
      <w:r>
        <w:rPr>
          <w:w w:val="110"/>
          <w:sz w:val="20"/>
          <w:vertAlign w:val="baseline"/>
        </w:rPr>
        <w:t>show</w:t>
      </w:r>
      <w:r>
        <w:rPr>
          <w:spacing w:val="-14"/>
          <w:w w:val="110"/>
          <w:sz w:val="20"/>
          <w:vertAlign w:val="baseline"/>
        </w:rPr>
        <w:t> </w:t>
      </w:r>
      <w:r>
        <w:rPr>
          <w:w w:val="110"/>
          <w:sz w:val="20"/>
          <w:vertAlign w:val="baseline"/>
        </w:rPr>
        <w:t>smoothed</w:t>
      </w:r>
      <w:r>
        <w:rPr>
          <w:spacing w:val="-15"/>
          <w:w w:val="110"/>
          <w:sz w:val="20"/>
          <w:vertAlign w:val="baseline"/>
        </w:rPr>
        <w:t> </w:t>
      </w:r>
      <w:r>
        <w:rPr>
          <w:w w:val="110"/>
          <w:sz w:val="20"/>
          <w:vertAlign w:val="baseline"/>
        </w:rPr>
        <w:t>and trimmed distributions. Individual data points </w:t>
      </w:r>
      <w:r>
        <w:rPr>
          <w:spacing w:val="-4"/>
          <w:w w:val="110"/>
          <w:sz w:val="20"/>
          <w:vertAlign w:val="baseline"/>
        </w:rPr>
        <w:t>have </w:t>
      </w:r>
      <w:r>
        <w:rPr>
          <w:w w:val="110"/>
          <w:sz w:val="20"/>
          <w:vertAlign w:val="baseline"/>
        </w:rPr>
        <w:t>been jittered to some degree due to overfitting, as it can </w:t>
      </w:r>
      <w:r>
        <w:rPr>
          <w:spacing w:val="2"/>
          <w:w w:val="110"/>
          <w:sz w:val="20"/>
          <w:vertAlign w:val="baseline"/>
        </w:rPr>
        <w:t>be</w:t>
      </w:r>
      <w:r>
        <w:rPr>
          <w:spacing w:val="-15"/>
          <w:w w:val="110"/>
          <w:sz w:val="20"/>
          <w:vertAlign w:val="baseline"/>
        </w:rPr>
        <w:t> </w:t>
      </w:r>
      <w:r>
        <w:rPr>
          <w:w w:val="110"/>
          <w:sz w:val="20"/>
          <w:vertAlign w:val="baseline"/>
        </w:rPr>
        <w:t>seen</w:t>
      </w:r>
      <w:r>
        <w:rPr>
          <w:spacing w:val="-15"/>
          <w:w w:val="110"/>
          <w:sz w:val="20"/>
          <w:vertAlign w:val="baseline"/>
        </w:rPr>
        <w:t> </w:t>
      </w:r>
      <w:r>
        <w:rPr>
          <w:w w:val="110"/>
          <w:sz w:val="20"/>
          <w:vertAlign w:val="baseline"/>
        </w:rPr>
        <w:t>for</w:t>
      </w:r>
      <w:r>
        <w:rPr>
          <w:spacing w:val="-15"/>
          <w:w w:val="110"/>
          <w:sz w:val="20"/>
          <w:vertAlign w:val="baseline"/>
        </w:rPr>
        <w:t> </w:t>
      </w:r>
      <w:r>
        <w:rPr>
          <w:w w:val="110"/>
          <w:sz w:val="20"/>
          <w:vertAlign w:val="baseline"/>
        </w:rPr>
        <w:t>the</w:t>
      </w:r>
      <w:r>
        <w:rPr>
          <w:spacing w:val="-15"/>
          <w:w w:val="110"/>
          <w:sz w:val="20"/>
          <w:vertAlign w:val="baseline"/>
        </w:rPr>
        <w:t> </w:t>
      </w:r>
      <w:r>
        <w:rPr>
          <w:w w:val="110"/>
          <w:sz w:val="20"/>
          <w:vertAlign w:val="baseline"/>
        </w:rPr>
        <w:t>cluster</w:t>
      </w:r>
      <w:r>
        <w:rPr>
          <w:spacing w:val="-15"/>
          <w:w w:val="110"/>
          <w:sz w:val="20"/>
          <w:vertAlign w:val="baseline"/>
        </w:rPr>
        <w:t> </w:t>
      </w:r>
      <w:r>
        <w:rPr>
          <w:w w:val="110"/>
          <w:sz w:val="20"/>
          <w:vertAlign w:val="baseline"/>
        </w:rPr>
        <w:t>of</w:t>
      </w:r>
      <w:r>
        <w:rPr>
          <w:spacing w:val="-15"/>
          <w:w w:val="110"/>
          <w:sz w:val="20"/>
          <w:vertAlign w:val="baseline"/>
        </w:rPr>
        <w:t> </w:t>
      </w:r>
      <w:r>
        <w:rPr>
          <w:w w:val="110"/>
          <w:sz w:val="20"/>
          <w:vertAlign w:val="baseline"/>
        </w:rPr>
        <w:t>data</w:t>
      </w:r>
      <w:r>
        <w:rPr>
          <w:spacing w:val="-15"/>
          <w:w w:val="110"/>
          <w:sz w:val="20"/>
          <w:vertAlign w:val="baseline"/>
        </w:rPr>
        <w:t> </w:t>
      </w:r>
      <w:r>
        <w:rPr>
          <w:w w:val="110"/>
          <w:sz w:val="20"/>
          <w:vertAlign w:val="baseline"/>
        </w:rPr>
        <w:t>points</w:t>
      </w:r>
      <w:r>
        <w:rPr>
          <w:spacing w:val="-15"/>
          <w:w w:val="110"/>
          <w:sz w:val="20"/>
          <w:vertAlign w:val="baseline"/>
        </w:rPr>
        <w:t> </w:t>
      </w:r>
      <w:r>
        <w:rPr>
          <w:w w:val="110"/>
          <w:sz w:val="20"/>
          <w:vertAlign w:val="baseline"/>
        </w:rPr>
        <w:t>in</w:t>
      </w:r>
      <w:r>
        <w:rPr>
          <w:spacing w:val="-14"/>
          <w:w w:val="110"/>
          <w:sz w:val="20"/>
          <w:vertAlign w:val="baseline"/>
        </w:rPr>
        <w:t> </w:t>
      </w:r>
      <w:r>
        <w:rPr>
          <w:w w:val="110"/>
          <w:sz w:val="20"/>
          <w:vertAlign w:val="baseline"/>
        </w:rPr>
        <w:t>panel</w:t>
      </w:r>
      <w:r>
        <w:rPr>
          <w:spacing w:val="-15"/>
          <w:w w:val="110"/>
          <w:sz w:val="20"/>
          <w:vertAlign w:val="baseline"/>
        </w:rPr>
        <w:t> </w:t>
      </w:r>
      <w:r>
        <w:rPr>
          <w:w w:val="110"/>
          <w:sz w:val="20"/>
          <w:vertAlign w:val="baseline"/>
        </w:rPr>
        <w:t>B</w:t>
      </w:r>
      <w:r>
        <w:rPr>
          <w:spacing w:val="-15"/>
          <w:w w:val="110"/>
          <w:sz w:val="20"/>
          <w:vertAlign w:val="baseline"/>
        </w:rPr>
        <w:t> </w:t>
      </w:r>
      <w:r>
        <w:rPr>
          <w:w w:val="110"/>
          <w:sz w:val="20"/>
          <w:vertAlign w:val="baseline"/>
        </w:rPr>
        <w:t>for</w:t>
      </w:r>
      <w:r>
        <w:rPr>
          <w:spacing w:val="-15"/>
          <w:w w:val="110"/>
          <w:sz w:val="20"/>
          <w:vertAlign w:val="baseline"/>
        </w:rPr>
        <w:t> </w:t>
      </w:r>
      <w:r>
        <w:rPr>
          <w:w w:val="110"/>
          <w:sz w:val="20"/>
          <w:vertAlign w:val="baseline"/>
        </w:rPr>
        <w:t>very</w:t>
      </w:r>
      <w:r>
        <w:rPr>
          <w:spacing w:val="-15"/>
          <w:w w:val="110"/>
          <w:sz w:val="20"/>
          <w:vertAlign w:val="baseline"/>
        </w:rPr>
        <w:t> </w:t>
      </w:r>
      <w:r>
        <w:rPr>
          <w:w w:val="110"/>
          <w:sz w:val="20"/>
          <w:vertAlign w:val="baseline"/>
        </w:rPr>
        <w:t>high</w:t>
      </w:r>
      <w:r>
        <w:rPr>
          <w:spacing w:val="-15"/>
          <w:w w:val="110"/>
          <w:sz w:val="20"/>
          <w:vertAlign w:val="baseline"/>
        </w:rPr>
        <w:t> </w:t>
      </w:r>
      <w:r>
        <w:rPr>
          <w:w w:val="110"/>
          <w:sz w:val="20"/>
          <w:vertAlign w:val="baseline"/>
        </w:rPr>
        <w:t>proportions</w:t>
      </w:r>
      <w:r>
        <w:rPr>
          <w:spacing w:val="-15"/>
          <w:w w:val="110"/>
          <w:sz w:val="20"/>
          <w:vertAlign w:val="baseline"/>
        </w:rPr>
        <w:t> </w:t>
      </w:r>
      <w:r>
        <w:rPr>
          <w:w w:val="110"/>
          <w:sz w:val="20"/>
          <w:vertAlign w:val="baseline"/>
        </w:rPr>
        <w:t>of</w:t>
      </w:r>
      <w:r>
        <w:rPr>
          <w:spacing w:val="-15"/>
          <w:w w:val="110"/>
          <w:sz w:val="20"/>
          <w:vertAlign w:val="baseline"/>
        </w:rPr>
        <w:t> </w:t>
      </w:r>
      <w:r>
        <w:rPr>
          <w:w w:val="110"/>
          <w:sz w:val="20"/>
          <w:vertAlign w:val="baseline"/>
        </w:rPr>
        <w:t>correct</w:t>
      </w:r>
      <w:r>
        <w:rPr>
          <w:spacing w:val="-14"/>
          <w:w w:val="110"/>
          <w:sz w:val="20"/>
          <w:vertAlign w:val="baseline"/>
        </w:rPr>
        <w:t> </w:t>
      </w:r>
      <w:r>
        <w:rPr>
          <w:w w:val="110"/>
          <w:sz w:val="20"/>
          <w:vertAlign w:val="baseline"/>
        </w:rPr>
        <w:t>responses</w:t>
      </w:r>
      <w:r>
        <w:rPr>
          <w:spacing w:val="-15"/>
          <w:w w:val="110"/>
          <w:sz w:val="20"/>
          <w:vertAlign w:val="baseline"/>
        </w:rPr>
        <w:t> </w:t>
      </w:r>
      <w:r>
        <w:rPr>
          <w:w w:val="110"/>
          <w:sz w:val="20"/>
          <w:vertAlign w:val="baseline"/>
        </w:rPr>
        <w:t>on</w:t>
      </w:r>
      <w:r>
        <w:rPr>
          <w:spacing w:val="-15"/>
          <w:w w:val="110"/>
          <w:sz w:val="20"/>
          <w:vertAlign w:val="baseline"/>
        </w:rPr>
        <w:t> </w:t>
      </w:r>
      <w:r>
        <w:rPr>
          <w:w w:val="110"/>
          <w:sz w:val="20"/>
          <w:vertAlign w:val="baseline"/>
        </w:rPr>
        <w:t>signal</w:t>
      </w:r>
      <w:r>
        <w:rPr>
          <w:spacing w:val="-15"/>
          <w:w w:val="110"/>
          <w:sz w:val="20"/>
          <w:vertAlign w:val="baseline"/>
        </w:rPr>
        <w:t> </w:t>
      </w:r>
      <w:r>
        <w:rPr>
          <w:w w:val="110"/>
          <w:sz w:val="20"/>
          <w:vertAlign w:val="baseline"/>
        </w:rPr>
        <w:t>trials.</w:t>
      </w:r>
    </w:p>
    <w:p>
      <w:pPr>
        <w:pStyle w:val="BodyText"/>
        <w:spacing w:before="0"/>
        <w:ind w:left="0"/>
        <w:rPr>
          <w:sz w:val="20"/>
        </w:rPr>
      </w:pPr>
    </w:p>
    <w:p>
      <w:pPr>
        <w:pStyle w:val="BodyText"/>
        <w:spacing w:before="8"/>
        <w:ind w:left="0"/>
        <w:rPr>
          <w:sz w:val="26"/>
        </w:rPr>
      </w:pPr>
    </w:p>
    <w:p>
      <w:pPr>
        <w:pStyle w:val="Heading1"/>
      </w:pPr>
      <w:r>
        <w:rPr>
          <w:rFonts w:ascii="Arial"/>
          <w:b w:val="0"/>
          <w:w w:val="110"/>
          <w:sz w:val="12"/>
        </w:rPr>
        <w:t>492</w:t>
      </w:r>
      <w:bookmarkStart w:name="Exploratory findings" w:id="48"/>
      <w:bookmarkEnd w:id="48"/>
      <w:r>
        <w:rPr>
          <w:rFonts w:ascii="Arial"/>
          <w:b w:val="0"/>
          <w:w w:val="110"/>
          <w:sz w:val="12"/>
        </w:rPr>
      </w:r>
      <w:r>
        <w:rPr>
          <w:rFonts w:ascii="Arial"/>
          <w:b w:val="0"/>
          <w:w w:val="110"/>
          <w:sz w:val="12"/>
        </w:rPr>
        <w:t> </w:t>
      </w:r>
      <w:r>
        <w:rPr>
          <w:w w:val="110"/>
        </w:rPr>
        <w:t>Exploratory findings</w:t>
      </w:r>
    </w:p>
    <w:p>
      <w:pPr>
        <w:pStyle w:val="BodyText"/>
        <w:spacing w:before="0"/>
        <w:ind w:left="0"/>
        <w:rPr>
          <w:b/>
          <w:sz w:val="20"/>
        </w:rPr>
      </w:pPr>
    </w:p>
    <w:p>
      <w:pPr>
        <w:pStyle w:val="BodyText"/>
        <w:spacing w:before="10"/>
        <w:ind w:left="0"/>
        <w:rPr>
          <w:b/>
          <w:sz w:val="18"/>
        </w:rPr>
      </w:pPr>
    </w:p>
    <w:p>
      <w:pPr>
        <w:tabs>
          <w:tab w:pos="1195" w:val="left" w:leader="none"/>
          <w:tab w:pos="4971" w:val="left" w:leader="none"/>
        </w:tabs>
        <w:spacing w:before="148"/>
        <w:ind w:left="230" w:right="0" w:firstLine="0"/>
        <w:jc w:val="left"/>
        <w:rPr>
          <w:sz w:val="24"/>
        </w:rPr>
      </w:pPr>
      <w:r>
        <w:rPr>
          <w:rFonts w:ascii="Arial"/>
          <w:w w:val="105"/>
          <w:sz w:val="12"/>
        </w:rPr>
        <w:t>493</w:t>
        <w:tab/>
      </w:r>
      <w:bookmarkStart w:name="Baseline approach bias scores" w:id="49"/>
      <w:bookmarkEnd w:id="49"/>
      <w:r>
        <w:rPr>
          <w:rFonts w:ascii="Arial"/>
          <w:w w:val="105"/>
          <w:sz w:val="12"/>
        </w:rPr>
      </w:r>
      <w:bookmarkStart w:name="_bookmark22" w:id="50"/>
      <w:bookmarkEnd w:id="50"/>
      <w:r>
        <w:rPr>
          <w:rFonts w:ascii="Arial"/>
          <w:w w:val="105"/>
          <w:sz w:val="12"/>
        </w:rPr>
      </w:r>
      <w:r>
        <w:rPr>
          <w:b/>
          <w:w w:val="105"/>
          <w:sz w:val="24"/>
        </w:rPr>
        <w:t>Baseline  approach </w:t>
      </w:r>
      <w:r>
        <w:rPr>
          <w:b/>
          <w:spacing w:val="5"/>
          <w:w w:val="105"/>
          <w:sz w:val="24"/>
        </w:rPr>
        <w:t> </w:t>
      </w:r>
      <w:r>
        <w:rPr>
          <w:b/>
          <w:w w:val="105"/>
          <w:sz w:val="24"/>
        </w:rPr>
        <w:t>bias </w:t>
      </w:r>
      <w:r>
        <w:rPr>
          <w:b/>
          <w:spacing w:val="3"/>
          <w:w w:val="105"/>
          <w:sz w:val="24"/>
        </w:rPr>
        <w:t> </w:t>
      </w:r>
      <w:r>
        <w:rPr>
          <w:b/>
          <w:w w:val="105"/>
          <w:sz w:val="24"/>
        </w:rPr>
        <w:t>scores.</w:t>
        <w:tab/>
      </w:r>
      <w:r>
        <w:rPr>
          <w:w w:val="105"/>
          <w:sz w:val="24"/>
        </w:rPr>
        <w:t>Performance in the </w:t>
      </w:r>
      <w:r>
        <w:rPr>
          <w:spacing w:val="-7"/>
          <w:w w:val="105"/>
          <w:sz w:val="24"/>
        </w:rPr>
        <w:t>AAT </w:t>
      </w:r>
      <w:r>
        <w:rPr>
          <w:spacing w:val="-3"/>
          <w:w w:val="105"/>
          <w:sz w:val="24"/>
        </w:rPr>
        <w:t>was </w:t>
      </w:r>
      <w:r>
        <w:rPr>
          <w:w w:val="105"/>
          <w:sz w:val="24"/>
        </w:rPr>
        <w:t>inspected further</w:t>
      </w:r>
      <w:r>
        <w:rPr>
          <w:spacing w:val="22"/>
          <w:w w:val="105"/>
          <w:sz w:val="24"/>
        </w:rPr>
        <w:t> </w:t>
      </w:r>
      <w:r>
        <w:rPr>
          <w:w w:val="105"/>
          <w:sz w:val="24"/>
        </w:rPr>
        <w:t>to</w:t>
      </w:r>
    </w:p>
    <w:p>
      <w:pPr>
        <w:pStyle w:val="BodyText"/>
      </w:pPr>
      <w:r>
        <w:rPr>
          <w:rFonts w:ascii="Arial"/>
          <w:w w:val="105"/>
          <w:sz w:val="12"/>
        </w:rPr>
        <w:t>494 </w:t>
      </w:r>
      <w:r>
        <w:rPr>
          <w:w w:val="105"/>
        </w:rPr>
        <w:t>check if approach bias for foods was present in the final sample and whether error rates</w:t>
      </w:r>
    </w:p>
    <w:p>
      <w:pPr>
        <w:pStyle w:val="BodyText"/>
      </w:pPr>
      <w:r>
        <w:rPr>
          <w:rFonts w:ascii="Arial"/>
          <w:w w:val="105"/>
          <w:sz w:val="12"/>
        </w:rPr>
        <w:t>495 </w:t>
      </w:r>
      <w:r>
        <w:rPr>
          <w:w w:val="105"/>
        </w:rPr>
        <w:t>differed across conditions. Although the sample means for AAT</w:t>
      </w:r>
      <w:r>
        <w:rPr>
          <w:w w:val="105"/>
          <w:vertAlign w:val="subscript"/>
        </w:rPr>
        <w:t>pre</w:t>
      </w:r>
      <w:r>
        <w:rPr>
          <w:w w:val="105"/>
          <w:vertAlign w:val="baseline"/>
        </w:rPr>
        <w:t> bias scores are negative</w:t>
      </w:r>
    </w:p>
    <w:p>
      <w:pPr>
        <w:pStyle w:val="BodyText"/>
      </w:pPr>
      <w:r>
        <w:rPr>
          <w:rFonts w:ascii="Arial"/>
          <w:w w:val="105"/>
          <w:sz w:val="12"/>
        </w:rPr>
        <w:t>496     </w:t>
      </w:r>
      <w:r>
        <w:rPr>
          <w:w w:val="105"/>
        </w:rPr>
        <w:t>for go </w:t>
      </w:r>
      <w:r>
        <w:rPr>
          <w:spacing w:val="2"/>
          <w:w w:val="105"/>
        </w:rPr>
        <w:t>foods </w:t>
      </w:r>
      <w:r>
        <w:rPr>
          <w:w w:val="105"/>
        </w:rPr>
        <w:t>(</w:t>
      </w:r>
      <w:r>
        <w:rPr>
          <w:i/>
          <w:w w:val="105"/>
        </w:rPr>
        <w:t>M  </w:t>
      </w:r>
      <w:r>
        <w:rPr>
          <w:w w:val="105"/>
        </w:rPr>
        <w:t>= -2.32, </w:t>
      </w:r>
      <w:r>
        <w:rPr>
          <w:i/>
          <w:w w:val="105"/>
        </w:rPr>
        <w:t>SD </w:t>
      </w:r>
      <w:r>
        <w:rPr>
          <w:w w:val="105"/>
        </w:rPr>
        <w:t>= 58.14), no-go </w:t>
      </w:r>
      <w:r>
        <w:rPr>
          <w:spacing w:val="2"/>
          <w:w w:val="105"/>
        </w:rPr>
        <w:t>foods </w:t>
      </w:r>
      <w:r>
        <w:rPr>
          <w:w w:val="105"/>
        </w:rPr>
        <w:t>(</w:t>
      </w:r>
      <w:r>
        <w:rPr>
          <w:i/>
          <w:w w:val="105"/>
        </w:rPr>
        <w:t>M  </w:t>
      </w:r>
      <w:r>
        <w:rPr>
          <w:w w:val="105"/>
        </w:rPr>
        <w:t>= -4.75, </w:t>
      </w:r>
      <w:r>
        <w:rPr>
          <w:i/>
          <w:w w:val="105"/>
        </w:rPr>
        <w:t>SD </w:t>
      </w:r>
      <w:r>
        <w:rPr>
          <w:w w:val="105"/>
        </w:rPr>
        <w:t>= 60.58) and filler</w:t>
      </w:r>
      <w:r>
        <w:rPr>
          <w:spacing w:val="-4"/>
          <w:w w:val="105"/>
        </w:rPr>
        <w:t> </w:t>
      </w:r>
      <w:r>
        <w:rPr>
          <w:spacing w:val="2"/>
          <w:w w:val="105"/>
        </w:rPr>
        <w:t>foods</w:t>
      </w:r>
    </w:p>
    <w:p>
      <w:pPr>
        <w:pStyle w:val="BodyText"/>
      </w:pPr>
      <w:r>
        <w:rPr>
          <w:rFonts w:ascii="Arial"/>
          <w:w w:val="105"/>
          <w:sz w:val="12"/>
        </w:rPr>
        <w:t>497     </w:t>
      </w:r>
      <w:r>
        <w:rPr>
          <w:w w:val="105"/>
        </w:rPr>
        <w:t>(</w:t>
      </w:r>
      <w:r>
        <w:rPr>
          <w:i/>
          <w:w w:val="105"/>
        </w:rPr>
        <w:t>M  </w:t>
      </w:r>
      <w:r>
        <w:rPr>
          <w:w w:val="105"/>
        </w:rPr>
        <w:t>= -4.48, </w:t>
      </w:r>
      <w:r>
        <w:rPr>
          <w:i/>
          <w:w w:val="105"/>
        </w:rPr>
        <w:t>SD  </w:t>
      </w:r>
      <w:r>
        <w:rPr>
          <w:w w:val="105"/>
        </w:rPr>
        <w:t>= 52.25), individual data points (see Figure </w:t>
      </w:r>
      <w:hyperlink w:history="true" w:anchor="_bookmark19">
        <w:r>
          <w:rPr>
            <w:w w:val="105"/>
          </w:rPr>
          <w:t>2 </w:t>
        </w:r>
      </w:hyperlink>
      <w:r>
        <w:rPr>
          <w:w w:val="105"/>
        </w:rPr>
        <w:t>show less dispersion close </w:t>
      </w:r>
      <w:r>
        <w:rPr>
          <w:spacing w:val="12"/>
          <w:w w:val="105"/>
        </w:rPr>
        <w:t> </w:t>
      </w:r>
      <w:r>
        <w:rPr>
          <w:w w:val="105"/>
        </w:rPr>
        <w:t>to</w:t>
      </w:r>
    </w:p>
    <w:p>
      <w:pPr>
        <w:pStyle w:val="BodyText"/>
      </w:pPr>
      <w:r>
        <w:rPr>
          <w:rFonts w:ascii="Arial"/>
          <w:w w:val="105"/>
          <w:sz w:val="12"/>
        </w:rPr>
        <w:t>498      </w:t>
      </w:r>
      <w:r>
        <w:rPr>
          <w:w w:val="105"/>
        </w:rPr>
        <w:t>zero, suggesting that neither approach or </w:t>
      </w:r>
      <w:r>
        <w:rPr>
          <w:spacing w:val="-3"/>
          <w:w w:val="105"/>
        </w:rPr>
        <w:t>avoidance  </w:t>
      </w:r>
      <w:r>
        <w:rPr>
          <w:w w:val="105"/>
        </w:rPr>
        <w:t>bias </w:t>
      </w:r>
      <w:r>
        <w:rPr>
          <w:spacing w:val="-3"/>
          <w:w w:val="105"/>
        </w:rPr>
        <w:t>was</w:t>
      </w:r>
      <w:r>
        <w:rPr>
          <w:spacing w:val="57"/>
          <w:w w:val="105"/>
        </w:rPr>
        <w:t> </w:t>
      </w:r>
      <w:r>
        <w:rPr>
          <w:w w:val="105"/>
        </w:rPr>
        <w:t>captured </w:t>
      </w:r>
      <w:r>
        <w:rPr>
          <w:spacing w:val="-4"/>
          <w:w w:val="105"/>
        </w:rPr>
        <w:t>by</w:t>
      </w:r>
      <w:r>
        <w:rPr>
          <w:spacing w:val="55"/>
          <w:w w:val="105"/>
        </w:rPr>
        <w:t> </w:t>
      </w:r>
      <w:r>
        <w:rPr>
          <w:w w:val="105"/>
        </w:rPr>
        <w:t>the </w:t>
      </w:r>
      <w:r>
        <w:rPr>
          <w:spacing w:val="-5"/>
          <w:w w:val="105"/>
        </w:rPr>
        <w:t>AAT.</w:t>
      </w:r>
      <w:r>
        <w:rPr>
          <w:spacing w:val="53"/>
          <w:w w:val="105"/>
        </w:rPr>
        <w:t> </w:t>
      </w:r>
      <w:r>
        <w:rPr>
          <w:w w:val="105"/>
        </w:rPr>
        <w:t>In</w:t>
      </w:r>
      <w:r>
        <w:rPr>
          <w:spacing w:val="-1"/>
          <w:w w:val="105"/>
        </w:rPr>
        <w:t> </w:t>
      </w:r>
      <w:r>
        <w:rPr>
          <w:w w:val="105"/>
        </w:rPr>
        <w:t>line</w:t>
      </w:r>
    </w:p>
    <w:p>
      <w:pPr>
        <w:pStyle w:val="BodyText"/>
        <w:spacing w:before="203"/>
      </w:pPr>
      <w:r>
        <w:rPr>
          <w:rFonts w:ascii="Arial"/>
          <w:w w:val="105"/>
          <w:sz w:val="12"/>
        </w:rPr>
        <w:t>499 </w:t>
      </w:r>
      <w:r>
        <w:rPr>
          <w:w w:val="105"/>
        </w:rPr>
        <w:t>with previous literature (see Table 1 in Becker et al., 2015), this hypothesis was directly</w:t>
      </w:r>
    </w:p>
    <w:p>
      <w:pPr>
        <w:pStyle w:val="BodyText"/>
      </w:pPr>
      <w:r>
        <w:rPr>
          <w:rFonts w:ascii="Arial"/>
          <w:w w:val="105"/>
          <w:sz w:val="12"/>
        </w:rPr>
        <w:t>500 </w:t>
      </w:r>
      <w:r>
        <w:rPr>
          <w:w w:val="105"/>
        </w:rPr>
        <w:t>tested by examining whether baseline bias scores statistically deviated from zero using</w:t>
      </w:r>
    </w:p>
    <w:p>
      <w:pPr>
        <w:pStyle w:val="BodyText"/>
      </w:pPr>
      <w:r>
        <w:rPr>
          <w:rFonts w:ascii="Arial"/>
          <w:w w:val="110"/>
          <w:sz w:val="12"/>
        </w:rPr>
        <w:t>501 </w:t>
      </w:r>
      <w:r>
        <w:rPr>
          <w:w w:val="110"/>
        </w:rPr>
        <w:t>Bayesian one sample t-tests with the default prior settings for the two-sided alternative</w:t>
      </w:r>
    </w:p>
    <w:p>
      <w:pPr>
        <w:pStyle w:val="BodyText"/>
      </w:pPr>
      <w:r>
        <w:rPr>
          <w:rFonts w:ascii="Arial"/>
          <w:w w:val="105"/>
          <w:sz w:val="12"/>
        </w:rPr>
        <w:t>502 </w:t>
      </w:r>
      <w:r>
        <w:rPr>
          <w:w w:val="105"/>
        </w:rPr>
        <w:t>hypothesis that the population mean </w:t>
      </w:r>
      <w:r>
        <w:rPr>
          <w:spacing w:val="-3"/>
          <w:w w:val="105"/>
        </w:rPr>
        <w:t>was </w:t>
      </w:r>
      <w:r>
        <w:rPr>
          <w:w w:val="105"/>
        </w:rPr>
        <w:t>larger than the test </w:t>
      </w:r>
      <w:r>
        <w:rPr>
          <w:spacing w:val="-3"/>
          <w:w w:val="105"/>
        </w:rPr>
        <w:t>value.</w:t>
      </w:r>
      <w:r>
        <w:rPr>
          <w:spacing w:val="49"/>
          <w:w w:val="105"/>
        </w:rPr>
        <w:t> </w:t>
      </w:r>
      <w:r>
        <w:rPr>
          <w:spacing w:val="-3"/>
          <w:w w:val="105"/>
        </w:rPr>
        <w:t>Equivalent </w:t>
      </w:r>
      <w:r>
        <w:rPr>
          <w:w w:val="105"/>
        </w:rPr>
        <w:t>frequentist</w:t>
      </w:r>
    </w:p>
    <w:p>
      <w:pPr>
        <w:pStyle w:val="BodyText"/>
      </w:pPr>
      <w:r>
        <w:rPr>
          <w:rFonts w:ascii="Arial"/>
          <w:sz w:val="12"/>
        </w:rPr>
        <w:t>503 </w:t>
      </w:r>
      <w:r>
        <w:rPr/>
        <w:t>tests were also conducted.</w:t>
      </w:r>
      <w:r>
        <w:rPr>
          <w:spacing w:val="52"/>
        </w:rPr>
        <w:t> </w:t>
      </w:r>
      <w:r>
        <w:rPr/>
        <w:t>Overall, conclusive evidence for the absence of baseline</w:t>
      </w:r>
    </w:p>
    <w:p>
      <w:pPr>
        <w:pStyle w:val="BodyText"/>
        <w:spacing w:before="203"/>
      </w:pPr>
      <w:r>
        <w:rPr>
          <w:rFonts w:ascii="Arial"/>
          <w:w w:val="105"/>
          <w:sz w:val="12"/>
        </w:rPr>
        <w:t>504 </w:t>
      </w:r>
      <w:r>
        <w:rPr>
          <w:w w:val="105"/>
        </w:rPr>
        <w:t>approach/avoidance bias was obtained for any of the foods which were randomly assigned to</w:t>
      </w:r>
    </w:p>
    <w:p>
      <w:pPr>
        <w:pStyle w:val="BodyText"/>
      </w:pPr>
      <w:r>
        <w:rPr>
          <w:rFonts w:ascii="Arial"/>
          <w:w w:val="105"/>
          <w:sz w:val="12"/>
        </w:rPr>
        <w:t>505 </w:t>
      </w:r>
      <w:r>
        <w:rPr>
          <w:w w:val="105"/>
        </w:rPr>
        <w:t>training conditions (see Table </w:t>
      </w:r>
      <w:hyperlink w:history="true" w:anchor="_bookmark23">
        <w:r>
          <w:rPr>
            <w:w w:val="105"/>
          </w:rPr>
          <w:t>2).</w:t>
        </w:r>
      </w:hyperlink>
    </w:p>
    <w:p>
      <w:pPr>
        <w:pStyle w:val="BodyText"/>
        <w:spacing w:before="8"/>
        <w:ind w:left="0"/>
        <w:rPr>
          <w:sz w:val="25"/>
        </w:rPr>
      </w:pPr>
    </w:p>
    <w:p>
      <w:pPr>
        <w:pStyle w:val="BodyText"/>
        <w:tabs>
          <w:tab w:pos="1195" w:val="left" w:leader="none"/>
        </w:tabs>
        <w:spacing w:before="145"/>
      </w:pPr>
      <w:r>
        <w:rPr>
          <w:rFonts w:ascii="Arial" w:hAnsi="Arial"/>
          <w:w w:val="105"/>
          <w:sz w:val="12"/>
        </w:rPr>
        <w:t>506</w:t>
        <w:tab/>
      </w:r>
      <w:r>
        <w:rPr>
          <w:w w:val="105"/>
        </w:rPr>
        <w:t>As</w:t>
      </w:r>
      <w:r>
        <w:rPr>
          <w:spacing w:val="9"/>
          <w:w w:val="105"/>
        </w:rPr>
        <w:t> </w:t>
      </w:r>
      <w:r>
        <w:rPr>
          <w:w w:val="105"/>
        </w:rPr>
        <w:t>baseline</w:t>
      </w:r>
      <w:r>
        <w:rPr>
          <w:spacing w:val="11"/>
          <w:w w:val="105"/>
        </w:rPr>
        <w:t> </w:t>
      </w:r>
      <w:r>
        <w:rPr>
          <w:w w:val="105"/>
        </w:rPr>
        <w:t>bias</w:t>
      </w:r>
      <w:r>
        <w:rPr>
          <w:spacing w:val="10"/>
          <w:w w:val="105"/>
        </w:rPr>
        <w:t> </w:t>
      </w:r>
      <w:r>
        <w:rPr>
          <w:w w:val="105"/>
        </w:rPr>
        <w:t>scores</w:t>
      </w:r>
      <w:r>
        <w:rPr>
          <w:spacing w:val="11"/>
          <w:w w:val="105"/>
        </w:rPr>
        <w:t> </w:t>
      </w:r>
      <w:r>
        <w:rPr>
          <w:w w:val="105"/>
        </w:rPr>
        <w:t>calculated</w:t>
      </w:r>
      <w:r>
        <w:rPr>
          <w:spacing w:val="11"/>
          <w:w w:val="105"/>
        </w:rPr>
        <w:t> </w:t>
      </w:r>
      <w:r>
        <w:rPr>
          <w:w w:val="105"/>
        </w:rPr>
        <w:t>from</w:t>
      </w:r>
      <w:r>
        <w:rPr>
          <w:spacing w:val="11"/>
          <w:w w:val="105"/>
        </w:rPr>
        <w:t> </w:t>
      </w:r>
      <w:r>
        <w:rPr>
          <w:w w:val="105"/>
        </w:rPr>
        <w:t>completion</w:t>
      </w:r>
      <w:r>
        <w:rPr>
          <w:spacing w:val="11"/>
          <w:w w:val="105"/>
        </w:rPr>
        <w:t> </w:t>
      </w:r>
      <w:r>
        <w:rPr>
          <w:w w:val="105"/>
        </w:rPr>
        <w:t>times</w:t>
      </w:r>
      <w:r>
        <w:rPr>
          <w:spacing w:val="9"/>
          <w:w w:val="105"/>
        </w:rPr>
        <w:t> </w:t>
      </w:r>
      <w:r>
        <w:rPr>
          <w:spacing w:val="-3"/>
          <w:w w:val="105"/>
        </w:rPr>
        <w:t>may</w:t>
      </w:r>
      <w:r>
        <w:rPr>
          <w:spacing w:val="11"/>
          <w:w w:val="105"/>
        </w:rPr>
        <w:t> </w:t>
      </w:r>
      <w:r>
        <w:rPr>
          <w:spacing w:val="3"/>
          <w:w w:val="105"/>
        </w:rPr>
        <w:t>be</w:t>
      </w:r>
      <w:r>
        <w:rPr>
          <w:spacing w:val="11"/>
          <w:w w:val="105"/>
        </w:rPr>
        <w:t> </w:t>
      </w:r>
      <w:r>
        <w:rPr>
          <w:w w:val="105"/>
        </w:rPr>
        <w:t>“contaminated”</w:t>
      </w:r>
      <w:r>
        <w:rPr>
          <w:spacing w:val="10"/>
          <w:w w:val="105"/>
        </w:rPr>
        <w:t> </w:t>
      </w:r>
      <w:r>
        <w:rPr>
          <w:spacing w:val="-4"/>
          <w:w w:val="105"/>
        </w:rPr>
        <w:t>by</w:t>
      </w:r>
    </w:p>
    <w:p>
      <w:pPr>
        <w:pStyle w:val="BodyText"/>
        <w:spacing w:before="203"/>
      </w:pPr>
      <w:r>
        <w:rPr>
          <w:rFonts w:ascii="Arial"/>
          <w:w w:val="105"/>
          <w:sz w:val="12"/>
        </w:rPr>
        <w:t>507 </w:t>
      </w:r>
      <w:r>
        <w:rPr>
          <w:w w:val="105"/>
        </w:rPr>
        <w:t>motor demands in this version of the AAT that requires computer mouse movements and</w:t>
      </w:r>
    </w:p>
    <w:p>
      <w:pPr>
        <w:spacing w:after="0"/>
        <w:sectPr>
          <w:pgSz w:w="12240" w:h="15840"/>
          <w:pgMar w:header="649" w:footer="0" w:top="1320" w:bottom="280" w:left="820" w:right="1140"/>
        </w:sectPr>
      </w:pPr>
    </w:p>
    <w:p>
      <w:pPr>
        <w:pStyle w:val="BodyText"/>
        <w:spacing w:before="191"/>
      </w:pPr>
      <w:r>
        <w:rPr>
          <w:rFonts w:ascii="Arial"/>
          <w:w w:val="105"/>
          <w:sz w:val="12"/>
        </w:rPr>
        <w:t>508    </w:t>
      </w:r>
      <w:r>
        <w:rPr>
          <w:rFonts w:ascii="Arial"/>
          <w:spacing w:val="30"/>
          <w:w w:val="105"/>
          <w:sz w:val="12"/>
        </w:rPr>
        <w:t> </w:t>
      </w:r>
      <w:r>
        <w:rPr>
          <w:w w:val="105"/>
        </w:rPr>
        <w:t>arm</w:t>
      </w:r>
      <w:r>
        <w:rPr>
          <w:spacing w:val="17"/>
          <w:w w:val="105"/>
        </w:rPr>
        <w:t> </w:t>
      </w:r>
      <w:r>
        <w:rPr>
          <w:w w:val="105"/>
        </w:rPr>
        <w:t>flexion/extension,</w:t>
      </w:r>
      <w:r>
        <w:rPr>
          <w:spacing w:val="18"/>
          <w:w w:val="105"/>
        </w:rPr>
        <w:t> </w:t>
      </w:r>
      <w:r>
        <w:rPr>
          <w:w w:val="105"/>
        </w:rPr>
        <w:t>the</w:t>
      </w:r>
      <w:r>
        <w:rPr>
          <w:spacing w:val="16"/>
          <w:w w:val="105"/>
        </w:rPr>
        <w:t> </w:t>
      </w:r>
      <w:r>
        <w:rPr>
          <w:w w:val="105"/>
        </w:rPr>
        <w:t>possibility</w:t>
      </w:r>
      <w:r>
        <w:rPr>
          <w:spacing w:val="17"/>
          <w:w w:val="105"/>
        </w:rPr>
        <w:t> </w:t>
      </w:r>
      <w:r>
        <w:rPr>
          <w:w w:val="105"/>
        </w:rPr>
        <w:t>that</w:t>
      </w:r>
      <w:r>
        <w:rPr>
          <w:spacing w:val="18"/>
          <w:w w:val="105"/>
        </w:rPr>
        <w:t> </w:t>
      </w:r>
      <w:r>
        <w:rPr>
          <w:w w:val="105"/>
        </w:rPr>
        <w:t>motor</w:t>
      </w:r>
      <w:r>
        <w:rPr>
          <w:spacing w:val="17"/>
          <w:w w:val="105"/>
        </w:rPr>
        <w:t> </w:t>
      </w:r>
      <w:r>
        <w:rPr>
          <w:w w:val="105"/>
        </w:rPr>
        <w:t>initiation</w:t>
      </w:r>
      <w:r>
        <w:rPr>
          <w:spacing w:val="17"/>
          <w:w w:val="105"/>
        </w:rPr>
        <w:t> </w:t>
      </w:r>
      <w:r>
        <w:rPr>
          <w:w w:val="105"/>
        </w:rPr>
        <w:t>times</w:t>
      </w:r>
      <w:r>
        <w:rPr>
          <w:spacing w:val="17"/>
          <w:w w:val="105"/>
        </w:rPr>
        <w:t> </w:t>
      </w:r>
      <w:r>
        <w:rPr>
          <w:spacing w:val="-3"/>
          <w:w w:val="105"/>
        </w:rPr>
        <w:t>may</w:t>
      </w:r>
      <w:r>
        <w:rPr>
          <w:spacing w:val="17"/>
          <w:w w:val="105"/>
        </w:rPr>
        <w:t> </w:t>
      </w:r>
      <w:r>
        <w:rPr>
          <w:spacing w:val="3"/>
          <w:w w:val="105"/>
        </w:rPr>
        <w:t>be</w:t>
      </w:r>
      <w:r>
        <w:rPr>
          <w:spacing w:val="18"/>
          <w:w w:val="105"/>
        </w:rPr>
        <w:t> </w:t>
      </w:r>
      <w:r>
        <w:rPr>
          <w:w w:val="105"/>
        </w:rPr>
        <w:t>more</w:t>
      </w:r>
      <w:r>
        <w:rPr>
          <w:spacing w:val="17"/>
          <w:w w:val="105"/>
        </w:rPr>
        <w:t> </w:t>
      </w:r>
      <w:r>
        <w:rPr>
          <w:w w:val="105"/>
        </w:rPr>
        <w:t>sensitive</w:t>
      </w:r>
      <w:r>
        <w:rPr>
          <w:spacing w:val="18"/>
          <w:w w:val="105"/>
        </w:rPr>
        <w:t> </w:t>
      </w:r>
      <w:r>
        <w:rPr>
          <w:w w:val="105"/>
        </w:rPr>
        <w:t>to</w:t>
      </w:r>
    </w:p>
    <w:p>
      <w:pPr>
        <w:pStyle w:val="BodyText"/>
      </w:pPr>
      <w:r>
        <w:rPr>
          <w:rFonts w:ascii="Arial"/>
          <w:w w:val="105"/>
          <w:sz w:val="12"/>
        </w:rPr>
        <w:t>509      </w:t>
      </w:r>
      <w:r>
        <w:rPr>
          <w:w w:val="105"/>
        </w:rPr>
        <w:t>capturing automatic action tendencies </w:t>
      </w:r>
      <w:r>
        <w:rPr>
          <w:spacing w:val="-3"/>
          <w:w w:val="105"/>
        </w:rPr>
        <w:t>was </w:t>
      </w:r>
      <w:r>
        <w:rPr>
          <w:w w:val="105"/>
        </w:rPr>
        <w:t>considered.  </w:t>
      </w:r>
      <w:r>
        <w:rPr>
          <w:spacing w:val="-3"/>
          <w:w w:val="105"/>
        </w:rPr>
        <w:t>Movement </w:t>
      </w:r>
      <w:r>
        <w:rPr>
          <w:w w:val="105"/>
        </w:rPr>
        <w:t>initiation </w:t>
      </w:r>
      <w:r>
        <w:rPr>
          <w:spacing w:val="-3"/>
          <w:w w:val="105"/>
        </w:rPr>
        <w:t>was </w:t>
      </w:r>
      <w:r>
        <w:rPr>
          <w:spacing w:val="1"/>
          <w:w w:val="105"/>
        </w:rPr>
        <w:t> </w:t>
      </w:r>
      <w:r>
        <w:rPr>
          <w:w w:val="105"/>
        </w:rPr>
        <w:t>registered</w:t>
      </w:r>
    </w:p>
    <w:p>
      <w:pPr>
        <w:pStyle w:val="BodyText"/>
        <w:spacing w:before="203"/>
      </w:pPr>
      <w:r>
        <w:rPr>
          <w:rFonts w:ascii="Arial"/>
          <w:w w:val="110"/>
          <w:sz w:val="12"/>
        </w:rPr>
        <w:t>510 </w:t>
      </w:r>
      <w:r>
        <w:rPr>
          <w:w w:val="110"/>
        </w:rPr>
        <w:t>when participants had moved their mouse cursor since starting a trial (i.e., stimulus onset),</w:t>
      </w:r>
    </w:p>
    <w:p>
      <w:pPr>
        <w:spacing w:before="202"/>
        <w:ind w:left="230" w:right="0" w:firstLine="0"/>
        <w:jc w:val="left"/>
        <w:rPr>
          <w:i/>
          <w:sz w:val="24"/>
        </w:rPr>
      </w:pPr>
      <w:r>
        <w:rPr>
          <w:rFonts w:ascii="Arial"/>
          <w:w w:val="105"/>
          <w:sz w:val="12"/>
        </w:rPr>
        <w:t>511 </w:t>
      </w:r>
      <w:r>
        <w:rPr>
          <w:w w:val="105"/>
          <w:sz w:val="24"/>
        </w:rPr>
        <w:t>including the pixel tolerance for natural movements of the mouse (see </w:t>
      </w:r>
      <w:hyperlink w:history="true" w:anchor="_bookmark8">
        <w:r>
          <w:rPr>
            <w:i/>
            <w:w w:val="105"/>
            <w:sz w:val="24"/>
          </w:rPr>
          <w:t>Approach avoidance</w:t>
        </w:r>
      </w:hyperlink>
    </w:p>
    <w:p>
      <w:pPr>
        <w:pStyle w:val="BodyText"/>
      </w:pPr>
      <w:r>
        <w:rPr>
          <w:rFonts w:ascii="Arial"/>
          <w:w w:val="105"/>
          <w:sz w:val="12"/>
        </w:rPr>
        <w:t>512     </w:t>
      </w:r>
      <w:hyperlink w:history="true" w:anchor="_bookmark8">
        <w:r>
          <w:rPr>
            <w:i/>
            <w:w w:val="105"/>
          </w:rPr>
          <w:t>task</w:t>
        </w:r>
      </w:hyperlink>
      <w:r>
        <w:rPr>
          <w:w w:val="105"/>
        </w:rPr>
        <w:t>).  Therefore, tests were also conducted for baseline bias scores calculated using</w:t>
      </w:r>
      <w:r>
        <w:rPr>
          <w:spacing w:val="26"/>
          <w:w w:val="105"/>
        </w:rPr>
        <w:t> </w:t>
      </w:r>
      <w:r>
        <w:rPr>
          <w:w w:val="105"/>
        </w:rPr>
        <w:t>median</w:t>
      </w:r>
    </w:p>
    <w:p>
      <w:pPr>
        <w:pStyle w:val="BodyText"/>
      </w:pPr>
      <w:r>
        <w:rPr>
          <w:rFonts w:ascii="Arial"/>
          <w:w w:val="105"/>
          <w:sz w:val="12"/>
        </w:rPr>
        <w:t>513    </w:t>
      </w:r>
      <w:r>
        <w:rPr>
          <w:rFonts w:ascii="Arial"/>
          <w:spacing w:val="27"/>
          <w:w w:val="105"/>
          <w:sz w:val="12"/>
        </w:rPr>
        <w:t> </w:t>
      </w:r>
      <w:r>
        <w:rPr>
          <w:w w:val="105"/>
        </w:rPr>
        <w:t>initiation</w:t>
      </w:r>
      <w:r>
        <w:rPr>
          <w:spacing w:val="15"/>
          <w:w w:val="105"/>
        </w:rPr>
        <w:t> </w:t>
      </w:r>
      <w:r>
        <w:rPr>
          <w:w w:val="105"/>
        </w:rPr>
        <w:t>times,</w:t>
      </w:r>
      <w:r>
        <w:rPr>
          <w:spacing w:val="17"/>
          <w:w w:val="105"/>
        </w:rPr>
        <w:t> </w:t>
      </w:r>
      <w:r>
        <w:rPr>
          <w:w w:val="105"/>
        </w:rPr>
        <w:t>instead</w:t>
      </w:r>
      <w:r>
        <w:rPr>
          <w:spacing w:val="15"/>
          <w:w w:val="105"/>
        </w:rPr>
        <w:t> </w:t>
      </w:r>
      <w:r>
        <w:rPr>
          <w:w w:val="105"/>
        </w:rPr>
        <w:t>of</w:t>
      </w:r>
      <w:r>
        <w:rPr>
          <w:spacing w:val="15"/>
          <w:w w:val="105"/>
        </w:rPr>
        <w:t> </w:t>
      </w:r>
      <w:r>
        <w:rPr>
          <w:w w:val="105"/>
        </w:rPr>
        <w:t>median</w:t>
      </w:r>
      <w:r>
        <w:rPr>
          <w:spacing w:val="17"/>
          <w:w w:val="105"/>
        </w:rPr>
        <w:t> </w:t>
      </w:r>
      <w:r>
        <w:rPr>
          <w:w w:val="105"/>
        </w:rPr>
        <w:t>completion</w:t>
      </w:r>
      <w:r>
        <w:rPr>
          <w:spacing w:val="16"/>
          <w:w w:val="105"/>
        </w:rPr>
        <w:t> </w:t>
      </w:r>
      <w:r>
        <w:rPr>
          <w:w w:val="105"/>
        </w:rPr>
        <w:t>times.</w:t>
      </w:r>
      <w:r>
        <w:rPr>
          <w:spacing w:val="42"/>
          <w:w w:val="105"/>
        </w:rPr>
        <w:t> </w:t>
      </w:r>
      <w:r>
        <w:rPr>
          <w:w w:val="105"/>
        </w:rPr>
        <w:t>Consistent</w:t>
      </w:r>
      <w:r>
        <w:rPr>
          <w:spacing w:val="15"/>
          <w:w w:val="105"/>
        </w:rPr>
        <w:t> </w:t>
      </w:r>
      <w:r>
        <w:rPr>
          <w:w w:val="105"/>
        </w:rPr>
        <w:t>with</w:t>
      </w:r>
      <w:r>
        <w:rPr>
          <w:spacing w:val="16"/>
          <w:w w:val="105"/>
        </w:rPr>
        <w:t> </w:t>
      </w:r>
      <w:r>
        <w:rPr>
          <w:w w:val="105"/>
        </w:rPr>
        <w:t>the</w:t>
      </w:r>
      <w:r>
        <w:rPr>
          <w:spacing w:val="17"/>
          <w:w w:val="105"/>
        </w:rPr>
        <w:t> </w:t>
      </w:r>
      <w:r>
        <w:rPr>
          <w:w w:val="105"/>
        </w:rPr>
        <w:t>results</w:t>
      </w:r>
      <w:r>
        <w:rPr>
          <w:spacing w:val="15"/>
          <w:w w:val="105"/>
        </w:rPr>
        <w:t> </w:t>
      </w:r>
      <w:r>
        <w:rPr>
          <w:w w:val="105"/>
        </w:rPr>
        <w:t>presented</w:t>
      </w:r>
    </w:p>
    <w:p>
      <w:pPr>
        <w:pStyle w:val="BodyText"/>
      </w:pPr>
      <w:r>
        <w:rPr>
          <w:rFonts w:ascii="Arial"/>
          <w:sz w:val="12"/>
        </w:rPr>
        <w:t>514      </w:t>
      </w:r>
      <w:r>
        <w:rPr>
          <w:rFonts w:ascii="Arial"/>
          <w:spacing w:val="14"/>
          <w:sz w:val="12"/>
        </w:rPr>
        <w:t> </w:t>
      </w:r>
      <w:r>
        <w:rPr/>
        <w:t>above,</w:t>
      </w:r>
      <w:r>
        <w:rPr>
          <w:spacing w:val="37"/>
        </w:rPr>
        <w:t> </w:t>
      </w:r>
      <w:r>
        <w:rPr/>
        <w:t>there</w:t>
      </w:r>
      <w:r>
        <w:rPr>
          <w:spacing w:val="36"/>
        </w:rPr>
        <w:t> </w:t>
      </w:r>
      <w:r>
        <w:rPr>
          <w:spacing w:val="-3"/>
        </w:rPr>
        <w:t>was</w:t>
      </w:r>
      <w:r>
        <w:rPr>
          <w:spacing w:val="37"/>
        </w:rPr>
        <w:t> </w:t>
      </w:r>
      <w:r>
        <w:rPr/>
        <w:t>strong</w:t>
      </w:r>
      <w:r>
        <w:rPr>
          <w:spacing w:val="37"/>
        </w:rPr>
        <w:t> </w:t>
      </w:r>
      <w:r>
        <w:rPr/>
        <w:t>evidence</w:t>
      </w:r>
      <w:r>
        <w:rPr>
          <w:spacing w:val="37"/>
        </w:rPr>
        <w:t> </w:t>
      </w:r>
      <w:r>
        <w:rPr/>
        <w:t>that</w:t>
      </w:r>
      <w:r>
        <w:rPr>
          <w:spacing w:val="36"/>
        </w:rPr>
        <w:t> </w:t>
      </w:r>
      <w:r>
        <w:rPr/>
        <w:t>baseline</w:t>
      </w:r>
      <w:r>
        <w:rPr>
          <w:spacing w:val="37"/>
        </w:rPr>
        <w:t> </w:t>
      </w:r>
      <w:r>
        <w:rPr/>
        <w:t>bias</w:t>
      </w:r>
      <w:r>
        <w:rPr>
          <w:spacing w:val="36"/>
        </w:rPr>
        <w:t> </w:t>
      </w:r>
      <w:r>
        <w:rPr/>
        <w:t>scores</w:t>
      </w:r>
      <w:r>
        <w:rPr>
          <w:spacing w:val="37"/>
        </w:rPr>
        <w:t> </w:t>
      </w:r>
      <w:r>
        <w:rPr/>
        <w:t>did</w:t>
      </w:r>
      <w:r>
        <w:rPr>
          <w:spacing w:val="37"/>
        </w:rPr>
        <w:t> </w:t>
      </w:r>
      <w:r>
        <w:rPr/>
        <w:t>not</w:t>
      </w:r>
      <w:r>
        <w:rPr>
          <w:spacing w:val="36"/>
        </w:rPr>
        <w:t> </w:t>
      </w:r>
      <w:r>
        <w:rPr/>
        <w:t>deviate</w:t>
      </w:r>
      <w:r>
        <w:rPr>
          <w:spacing w:val="36"/>
        </w:rPr>
        <w:t> </w:t>
      </w:r>
      <w:r>
        <w:rPr/>
        <w:t>from</w:t>
      </w:r>
      <w:r>
        <w:rPr>
          <w:spacing w:val="37"/>
        </w:rPr>
        <w:t> </w:t>
      </w:r>
      <w:r>
        <w:rPr/>
        <w:t>zero</w:t>
      </w:r>
      <w:r>
        <w:rPr>
          <w:spacing w:val="37"/>
        </w:rPr>
        <w:t> </w:t>
      </w:r>
      <w:r>
        <w:rPr/>
        <w:t>across</w:t>
      </w:r>
    </w:p>
    <w:p>
      <w:pPr>
        <w:pStyle w:val="BodyText"/>
      </w:pPr>
      <w:r>
        <w:rPr>
          <w:rFonts w:ascii="Arial"/>
          <w:w w:val="105"/>
          <w:sz w:val="12"/>
        </w:rPr>
        <w:t>515 </w:t>
      </w:r>
      <w:r>
        <w:rPr>
          <w:w w:val="105"/>
        </w:rPr>
        <w:t>training conditions (see Table </w:t>
      </w:r>
      <w:hyperlink w:history="true" w:anchor="_bookmark23">
        <w:r>
          <w:rPr>
            <w:w w:val="105"/>
          </w:rPr>
          <w:t>2).</w:t>
        </w:r>
      </w:hyperlink>
    </w:p>
    <w:p>
      <w:pPr>
        <w:pStyle w:val="BodyText"/>
        <w:spacing w:before="4"/>
        <w:ind w:left="0"/>
        <w:rPr>
          <w:sz w:val="18"/>
        </w:rPr>
      </w:pPr>
    </w:p>
    <w:p>
      <w:pPr>
        <w:spacing w:before="139"/>
        <w:ind w:left="620" w:right="0" w:firstLine="0"/>
        <w:jc w:val="left"/>
        <w:rPr>
          <w:b/>
          <w:sz w:val="20"/>
        </w:rPr>
      </w:pPr>
      <w:bookmarkStart w:name="_bookmark23" w:id="51"/>
      <w:bookmarkEnd w:id="51"/>
      <w:r>
        <w:rPr/>
      </w:r>
      <w:r>
        <w:rPr>
          <w:b/>
          <w:w w:val="115"/>
          <w:sz w:val="20"/>
        </w:rPr>
        <w:t>Table 2</w:t>
      </w:r>
    </w:p>
    <w:p>
      <w:pPr>
        <w:spacing w:before="166"/>
        <w:ind w:left="620" w:right="0" w:firstLine="0"/>
        <w:jc w:val="left"/>
        <w:rPr>
          <w:i/>
          <w:sz w:val="20"/>
        </w:rPr>
      </w:pPr>
      <w:r>
        <w:rPr>
          <w:i/>
          <w:w w:val="105"/>
          <w:sz w:val="20"/>
        </w:rPr>
        <w:t>Results of Bayesian and frequentist one sample t-tests for baseline approach-avoidance bias scores</w:t>
      </w:r>
    </w:p>
    <w:p>
      <w:pPr>
        <w:pStyle w:val="BodyText"/>
        <w:spacing w:before="5"/>
        <w:ind w:left="0"/>
        <w:rPr>
          <w:i/>
          <w:sz w:val="20"/>
        </w:rPr>
      </w:pPr>
      <w:r>
        <w:rPr/>
        <w:pict>
          <v:line style="position:absolute;mso-position-horizontal-relative:page;mso-position-vertical-relative:paragraph;z-index:-736;mso-wrap-distance-left:0;mso-wrap-distance-right:0" from="72pt,14.202833pt" to="547.461pt,14.202833pt" stroked="true" strokeweight=".936pt" strokecolor="#000000">
            <v:stroke dashstyle="solid"/>
            <w10:wrap type="topAndBottom"/>
          </v:line>
        </w:pict>
      </w:r>
    </w:p>
    <w:p>
      <w:pPr>
        <w:pStyle w:val="BodyText"/>
        <w:spacing w:before="148"/>
        <w:ind w:left="0" w:right="365"/>
        <w:jc w:val="right"/>
        <w:rPr>
          <w:i/>
        </w:rPr>
      </w:pPr>
      <w:r>
        <w:rPr/>
        <w:t>95% CI for </w:t>
      </w:r>
      <w:r>
        <w:rPr>
          <w:i/>
        </w:rPr>
        <w:t>d</w:t>
      </w:r>
    </w:p>
    <w:p>
      <w:pPr>
        <w:pStyle w:val="BodyText"/>
        <w:spacing w:before="3"/>
        <w:ind w:left="0"/>
        <w:rPr>
          <w:i/>
          <w:sz w:val="8"/>
        </w:rPr>
      </w:pPr>
    </w:p>
    <w:tbl>
      <w:tblPr>
        <w:tblW w:w="0" w:type="auto"/>
        <w:jc w:val="left"/>
        <w:tblInd w:w="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5"/>
        <w:gridCol w:w="772"/>
        <w:gridCol w:w="867"/>
        <w:gridCol w:w="772"/>
        <w:gridCol w:w="732"/>
        <w:gridCol w:w="854"/>
        <w:gridCol w:w="757"/>
        <w:gridCol w:w="116"/>
      </w:tblGrid>
      <w:tr>
        <w:trPr>
          <w:trHeight w:val="508" w:hRule="atLeast"/>
        </w:trPr>
        <w:tc>
          <w:tcPr>
            <w:tcW w:w="4635" w:type="dxa"/>
            <w:tcBorders>
              <w:bottom w:val="single" w:sz="4" w:space="0" w:color="000000"/>
            </w:tcBorders>
          </w:tcPr>
          <w:p>
            <w:pPr>
              <w:pStyle w:val="TableParagraph"/>
              <w:rPr>
                <w:sz w:val="22"/>
              </w:rPr>
            </w:pPr>
          </w:p>
        </w:tc>
        <w:tc>
          <w:tcPr>
            <w:tcW w:w="772" w:type="dxa"/>
            <w:tcBorders>
              <w:bottom w:val="single" w:sz="4" w:space="0" w:color="000000"/>
            </w:tcBorders>
          </w:tcPr>
          <w:p>
            <w:pPr>
              <w:pStyle w:val="TableParagraph"/>
              <w:spacing w:before="101"/>
              <w:ind w:right="127"/>
              <w:jc w:val="right"/>
              <w:rPr>
                <w:sz w:val="24"/>
              </w:rPr>
            </w:pPr>
            <w:r>
              <w:rPr>
                <w:i/>
                <w:w w:val="105"/>
                <w:sz w:val="24"/>
              </w:rPr>
              <w:t>BF </w:t>
            </w:r>
            <w:r>
              <w:rPr>
                <w:w w:val="105"/>
                <w:sz w:val="24"/>
                <w:vertAlign w:val="subscript"/>
              </w:rPr>
              <w:t>01</w:t>
            </w:r>
          </w:p>
        </w:tc>
        <w:tc>
          <w:tcPr>
            <w:tcW w:w="867" w:type="dxa"/>
            <w:tcBorders>
              <w:bottom w:val="single" w:sz="4" w:space="0" w:color="000000"/>
            </w:tcBorders>
          </w:tcPr>
          <w:p>
            <w:pPr>
              <w:pStyle w:val="TableParagraph"/>
              <w:spacing w:before="101"/>
              <w:ind w:left="96" w:right="96"/>
              <w:jc w:val="center"/>
              <w:rPr>
                <w:sz w:val="24"/>
              </w:rPr>
            </w:pPr>
            <w:r>
              <w:rPr>
                <w:i/>
                <w:w w:val="105"/>
                <w:sz w:val="24"/>
              </w:rPr>
              <w:t>t</w:t>
            </w:r>
            <w:r>
              <w:rPr>
                <w:w w:val="105"/>
                <w:sz w:val="24"/>
              </w:rPr>
              <w:t>(162)</w:t>
            </w:r>
          </w:p>
        </w:tc>
        <w:tc>
          <w:tcPr>
            <w:tcW w:w="772" w:type="dxa"/>
            <w:tcBorders>
              <w:bottom w:val="single" w:sz="4" w:space="0" w:color="000000"/>
            </w:tcBorders>
          </w:tcPr>
          <w:p>
            <w:pPr>
              <w:pStyle w:val="TableParagraph"/>
              <w:spacing w:before="101"/>
              <w:ind w:right="124"/>
              <w:jc w:val="right"/>
              <w:rPr>
                <w:i/>
                <w:sz w:val="24"/>
              </w:rPr>
            </w:pPr>
            <w:r>
              <w:rPr>
                <w:i/>
                <w:w w:val="99"/>
                <w:sz w:val="24"/>
              </w:rPr>
              <w:t>p</w:t>
            </w:r>
          </w:p>
        </w:tc>
        <w:tc>
          <w:tcPr>
            <w:tcW w:w="732" w:type="dxa"/>
            <w:tcBorders>
              <w:bottom w:val="single" w:sz="4" w:space="0" w:color="000000"/>
            </w:tcBorders>
          </w:tcPr>
          <w:p>
            <w:pPr>
              <w:pStyle w:val="TableParagraph"/>
              <w:spacing w:before="101"/>
              <w:ind w:right="134"/>
              <w:jc w:val="right"/>
              <w:rPr>
                <w:i/>
                <w:sz w:val="24"/>
              </w:rPr>
            </w:pPr>
            <w:r>
              <w:rPr>
                <w:i/>
                <w:w w:val="99"/>
                <w:sz w:val="24"/>
              </w:rPr>
              <w:t>d</w:t>
            </w:r>
          </w:p>
        </w:tc>
        <w:tc>
          <w:tcPr>
            <w:tcW w:w="854" w:type="dxa"/>
            <w:tcBorders>
              <w:top w:val="single" w:sz="4" w:space="0" w:color="000000"/>
              <w:bottom w:val="single" w:sz="4" w:space="0" w:color="000000"/>
            </w:tcBorders>
          </w:tcPr>
          <w:p>
            <w:pPr>
              <w:pStyle w:val="TableParagraph"/>
              <w:spacing w:before="101"/>
              <w:ind w:left="94" w:right="92"/>
              <w:jc w:val="center"/>
              <w:rPr>
                <w:sz w:val="24"/>
              </w:rPr>
            </w:pPr>
            <w:r>
              <w:rPr>
                <w:sz w:val="24"/>
              </w:rPr>
              <w:t>Lower</w:t>
            </w:r>
          </w:p>
        </w:tc>
        <w:tc>
          <w:tcPr>
            <w:tcW w:w="757" w:type="dxa"/>
            <w:tcBorders>
              <w:top w:val="single" w:sz="4" w:space="0" w:color="000000"/>
              <w:bottom w:val="single" w:sz="4" w:space="0" w:color="000000"/>
            </w:tcBorders>
          </w:tcPr>
          <w:p>
            <w:pPr>
              <w:pStyle w:val="TableParagraph"/>
              <w:spacing w:before="101"/>
              <w:ind w:right="-15"/>
              <w:jc w:val="right"/>
              <w:rPr>
                <w:sz w:val="24"/>
              </w:rPr>
            </w:pPr>
            <w:r>
              <w:rPr>
                <w:w w:val="105"/>
                <w:sz w:val="24"/>
              </w:rPr>
              <w:t>Upper</w:t>
            </w:r>
          </w:p>
        </w:tc>
        <w:tc>
          <w:tcPr>
            <w:tcW w:w="116" w:type="dxa"/>
            <w:tcBorders>
              <w:top w:val="single" w:sz="4" w:space="0" w:color="000000"/>
            </w:tcBorders>
          </w:tcPr>
          <w:p>
            <w:pPr>
              <w:pStyle w:val="TableParagraph"/>
              <w:rPr>
                <w:sz w:val="22"/>
              </w:rPr>
            </w:pPr>
          </w:p>
        </w:tc>
      </w:tr>
      <w:tr>
        <w:trPr>
          <w:trHeight w:val="545" w:hRule="atLeast"/>
        </w:trPr>
        <w:tc>
          <w:tcPr>
            <w:tcW w:w="4635" w:type="dxa"/>
            <w:tcBorders>
              <w:top w:val="single" w:sz="4" w:space="0" w:color="000000"/>
            </w:tcBorders>
          </w:tcPr>
          <w:p>
            <w:pPr>
              <w:pStyle w:val="TableParagraph"/>
              <w:spacing w:before="176"/>
              <w:ind w:left="119"/>
              <w:rPr>
                <w:sz w:val="24"/>
              </w:rPr>
            </w:pPr>
            <w:r>
              <w:rPr>
                <w:w w:val="105"/>
                <w:sz w:val="24"/>
              </w:rPr>
              <w:t>Completion time: AAT</w:t>
            </w:r>
            <w:r>
              <w:rPr>
                <w:w w:val="105"/>
                <w:sz w:val="24"/>
                <w:vertAlign w:val="subscript"/>
              </w:rPr>
              <w:t>pre</w:t>
            </w:r>
            <w:r>
              <w:rPr>
                <w:w w:val="105"/>
                <w:sz w:val="24"/>
                <w:vertAlign w:val="baseline"/>
              </w:rPr>
              <w:t> for go foods</w:t>
            </w:r>
          </w:p>
        </w:tc>
        <w:tc>
          <w:tcPr>
            <w:tcW w:w="772" w:type="dxa"/>
            <w:tcBorders>
              <w:top w:val="single" w:sz="4" w:space="0" w:color="000000"/>
            </w:tcBorders>
          </w:tcPr>
          <w:p>
            <w:pPr>
              <w:pStyle w:val="TableParagraph"/>
              <w:spacing w:before="176"/>
              <w:ind w:right="117"/>
              <w:jc w:val="right"/>
              <w:rPr>
                <w:sz w:val="24"/>
              </w:rPr>
            </w:pPr>
            <w:r>
              <w:rPr>
                <w:w w:val="95"/>
                <w:sz w:val="24"/>
              </w:rPr>
              <w:t>10.08</w:t>
            </w:r>
          </w:p>
        </w:tc>
        <w:tc>
          <w:tcPr>
            <w:tcW w:w="867" w:type="dxa"/>
            <w:tcBorders>
              <w:top w:val="single" w:sz="4" w:space="0" w:color="000000"/>
            </w:tcBorders>
          </w:tcPr>
          <w:p>
            <w:pPr>
              <w:pStyle w:val="TableParagraph"/>
              <w:spacing w:before="176"/>
              <w:ind w:left="229" w:right="96"/>
              <w:jc w:val="center"/>
              <w:rPr>
                <w:sz w:val="24"/>
              </w:rPr>
            </w:pPr>
            <w:r>
              <w:rPr>
                <w:sz w:val="24"/>
              </w:rPr>
              <w:t>-0.51</w:t>
            </w:r>
          </w:p>
        </w:tc>
        <w:tc>
          <w:tcPr>
            <w:tcW w:w="772" w:type="dxa"/>
            <w:tcBorders>
              <w:top w:val="single" w:sz="4" w:space="0" w:color="000000"/>
            </w:tcBorders>
          </w:tcPr>
          <w:p>
            <w:pPr>
              <w:pStyle w:val="TableParagraph"/>
              <w:spacing w:before="176"/>
              <w:ind w:right="116"/>
              <w:jc w:val="right"/>
              <w:rPr>
                <w:sz w:val="24"/>
              </w:rPr>
            </w:pPr>
            <w:r>
              <w:rPr>
                <w:w w:val="95"/>
                <w:sz w:val="24"/>
              </w:rPr>
              <w:t>0.611</w:t>
            </w:r>
          </w:p>
        </w:tc>
        <w:tc>
          <w:tcPr>
            <w:tcW w:w="732" w:type="dxa"/>
            <w:tcBorders>
              <w:top w:val="single" w:sz="4" w:space="0" w:color="000000"/>
            </w:tcBorders>
          </w:tcPr>
          <w:p>
            <w:pPr>
              <w:pStyle w:val="TableParagraph"/>
              <w:spacing w:before="176"/>
              <w:ind w:right="114"/>
              <w:jc w:val="right"/>
              <w:rPr>
                <w:sz w:val="24"/>
              </w:rPr>
            </w:pPr>
            <w:r>
              <w:rPr>
                <w:w w:val="95"/>
                <w:sz w:val="24"/>
              </w:rPr>
              <w:t>-0.04</w:t>
            </w:r>
          </w:p>
        </w:tc>
        <w:tc>
          <w:tcPr>
            <w:tcW w:w="854" w:type="dxa"/>
            <w:tcBorders>
              <w:top w:val="single" w:sz="4" w:space="0" w:color="000000"/>
            </w:tcBorders>
          </w:tcPr>
          <w:p>
            <w:pPr>
              <w:pStyle w:val="TableParagraph"/>
              <w:spacing w:before="176"/>
              <w:ind w:left="218" w:right="92"/>
              <w:jc w:val="center"/>
              <w:rPr>
                <w:sz w:val="24"/>
              </w:rPr>
            </w:pPr>
            <w:r>
              <w:rPr>
                <w:sz w:val="24"/>
              </w:rPr>
              <w:t>-0.19</w:t>
            </w:r>
          </w:p>
        </w:tc>
        <w:tc>
          <w:tcPr>
            <w:tcW w:w="757" w:type="dxa"/>
            <w:tcBorders>
              <w:top w:val="single" w:sz="4" w:space="0" w:color="000000"/>
            </w:tcBorders>
          </w:tcPr>
          <w:p>
            <w:pPr>
              <w:pStyle w:val="TableParagraph"/>
              <w:spacing w:before="176"/>
              <w:ind w:right="-15"/>
              <w:jc w:val="right"/>
              <w:rPr>
                <w:sz w:val="24"/>
              </w:rPr>
            </w:pPr>
            <w:r>
              <w:rPr>
                <w:w w:val="95"/>
                <w:sz w:val="24"/>
              </w:rPr>
              <w:t>0.11</w:t>
            </w:r>
          </w:p>
        </w:tc>
        <w:tc>
          <w:tcPr>
            <w:tcW w:w="116" w:type="dxa"/>
          </w:tcPr>
          <w:p>
            <w:pPr>
              <w:pStyle w:val="TableParagraph"/>
              <w:rPr>
                <w:sz w:val="22"/>
              </w:rPr>
            </w:pPr>
          </w:p>
        </w:tc>
      </w:tr>
      <w:tr>
        <w:trPr>
          <w:trHeight w:val="478" w:hRule="atLeast"/>
        </w:trPr>
        <w:tc>
          <w:tcPr>
            <w:tcW w:w="4635" w:type="dxa"/>
          </w:tcPr>
          <w:p>
            <w:pPr>
              <w:pStyle w:val="TableParagraph"/>
              <w:spacing w:before="108"/>
              <w:ind w:left="119"/>
              <w:rPr>
                <w:sz w:val="24"/>
              </w:rPr>
            </w:pPr>
            <w:r>
              <w:rPr>
                <w:w w:val="105"/>
                <w:sz w:val="24"/>
              </w:rPr>
              <w:t>Completion time: AAT</w:t>
            </w:r>
            <w:r>
              <w:rPr>
                <w:w w:val="105"/>
                <w:sz w:val="24"/>
                <w:vertAlign w:val="subscript"/>
              </w:rPr>
              <w:t>pre</w:t>
            </w:r>
            <w:r>
              <w:rPr>
                <w:w w:val="105"/>
                <w:sz w:val="24"/>
                <w:vertAlign w:val="baseline"/>
              </w:rPr>
              <w:t> for no-go foods</w:t>
            </w:r>
          </w:p>
        </w:tc>
        <w:tc>
          <w:tcPr>
            <w:tcW w:w="772" w:type="dxa"/>
          </w:tcPr>
          <w:p>
            <w:pPr>
              <w:pStyle w:val="TableParagraph"/>
              <w:spacing w:before="108"/>
              <w:ind w:right="117"/>
              <w:jc w:val="right"/>
              <w:rPr>
                <w:sz w:val="24"/>
              </w:rPr>
            </w:pPr>
            <w:r>
              <w:rPr>
                <w:w w:val="95"/>
                <w:sz w:val="24"/>
              </w:rPr>
              <w:t>7.01</w:t>
            </w:r>
          </w:p>
        </w:tc>
        <w:tc>
          <w:tcPr>
            <w:tcW w:w="867" w:type="dxa"/>
          </w:tcPr>
          <w:p>
            <w:pPr>
              <w:pStyle w:val="TableParagraph"/>
              <w:spacing w:before="108"/>
              <w:ind w:left="229" w:right="96"/>
              <w:jc w:val="center"/>
              <w:rPr>
                <w:sz w:val="24"/>
              </w:rPr>
            </w:pPr>
            <w:r>
              <w:rPr>
                <w:sz w:val="24"/>
              </w:rPr>
              <w:t>-1.00</w:t>
            </w:r>
          </w:p>
        </w:tc>
        <w:tc>
          <w:tcPr>
            <w:tcW w:w="772" w:type="dxa"/>
          </w:tcPr>
          <w:p>
            <w:pPr>
              <w:pStyle w:val="TableParagraph"/>
              <w:spacing w:before="108"/>
              <w:ind w:right="117"/>
              <w:jc w:val="right"/>
              <w:rPr>
                <w:sz w:val="24"/>
              </w:rPr>
            </w:pPr>
            <w:r>
              <w:rPr>
                <w:w w:val="95"/>
                <w:sz w:val="24"/>
              </w:rPr>
              <w:t>0.318</w:t>
            </w:r>
          </w:p>
        </w:tc>
        <w:tc>
          <w:tcPr>
            <w:tcW w:w="732" w:type="dxa"/>
          </w:tcPr>
          <w:p>
            <w:pPr>
              <w:pStyle w:val="TableParagraph"/>
              <w:spacing w:before="108"/>
              <w:ind w:right="114"/>
              <w:jc w:val="right"/>
              <w:rPr>
                <w:sz w:val="24"/>
              </w:rPr>
            </w:pPr>
            <w:r>
              <w:rPr>
                <w:w w:val="95"/>
                <w:sz w:val="24"/>
              </w:rPr>
              <w:t>-0.08</w:t>
            </w:r>
          </w:p>
        </w:tc>
        <w:tc>
          <w:tcPr>
            <w:tcW w:w="854" w:type="dxa"/>
          </w:tcPr>
          <w:p>
            <w:pPr>
              <w:pStyle w:val="TableParagraph"/>
              <w:spacing w:before="108"/>
              <w:ind w:left="217" w:right="92"/>
              <w:jc w:val="center"/>
              <w:rPr>
                <w:sz w:val="24"/>
              </w:rPr>
            </w:pPr>
            <w:r>
              <w:rPr>
                <w:sz w:val="24"/>
              </w:rPr>
              <w:t>-0.23</w:t>
            </w:r>
          </w:p>
        </w:tc>
        <w:tc>
          <w:tcPr>
            <w:tcW w:w="757" w:type="dxa"/>
          </w:tcPr>
          <w:p>
            <w:pPr>
              <w:pStyle w:val="TableParagraph"/>
              <w:spacing w:before="108"/>
              <w:ind w:right="-15"/>
              <w:jc w:val="right"/>
              <w:rPr>
                <w:sz w:val="24"/>
              </w:rPr>
            </w:pPr>
            <w:r>
              <w:rPr>
                <w:w w:val="95"/>
                <w:sz w:val="24"/>
              </w:rPr>
              <w:t>0.08</w:t>
            </w:r>
          </w:p>
        </w:tc>
        <w:tc>
          <w:tcPr>
            <w:tcW w:w="116" w:type="dxa"/>
          </w:tcPr>
          <w:p>
            <w:pPr>
              <w:pStyle w:val="TableParagraph"/>
              <w:rPr>
                <w:sz w:val="22"/>
              </w:rPr>
            </w:pPr>
          </w:p>
        </w:tc>
      </w:tr>
      <w:tr>
        <w:trPr>
          <w:trHeight w:val="478" w:hRule="atLeast"/>
        </w:trPr>
        <w:tc>
          <w:tcPr>
            <w:tcW w:w="4635" w:type="dxa"/>
          </w:tcPr>
          <w:p>
            <w:pPr>
              <w:pStyle w:val="TableParagraph"/>
              <w:spacing w:before="108"/>
              <w:ind w:left="119"/>
              <w:rPr>
                <w:sz w:val="24"/>
              </w:rPr>
            </w:pPr>
            <w:r>
              <w:rPr>
                <w:w w:val="105"/>
                <w:sz w:val="24"/>
              </w:rPr>
              <w:t>Completion time: AAT</w:t>
            </w:r>
            <w:r>
              <w:rPr>
                <w:w w:val="105"/>
                <w:sz w:val="24"/>
                <w:vertAlign w:val="subscript"/>
              </w:rPr>
              <w:t>pre</w:t>
            </w:r>
            <w:r>
              <w:rPr>
                <w:w w:val="105"/>
                <w:sz w:val="24"/>
                <w:vertAlign w:val="baseline"/>
              </w:rPr>
              <w:t> for control foods</w:t>
            </w:r>
          </w:p>
        </w:tc>
        <w:tc>
          <w:tcPr>
            <w:tcW w:w="772" w:type="dxa"/>
          </w:tcPr>
          <w:p>
            <w:pPr>
              <w:pStyle w:val="TableParagraph"/>
              <w:spacing w:before="108"/>
              <w:ind w:right="117"/>
              <w:jc w:val="right"/>
              <w:rPr>
                <w:sz w:val="24"/>
              </w:rPr>
            </w:pPr>
            <w:r>
              <w:rPr>
                <w:w w:val="95"/>
                <w:sz w:val="24"/>
              </w:rPr>
              <w:t>7.02</w:t>
            </w:r>
          </w:p>
        </w:tc>
        <w:tc>
          <w:tcPr>
            <w:tcW w:w="867" w:type="dxa"/>
          </w:tcPr>
          <w:p>
            <w:pPr>
              <w:pStyle w:val="TableParagraph"/>
              <w:spacing w:before="108"/>
              <w:ind w:left="230" w:right="96"/>
              <w:jc w:val="center"/>
              <w:rPr>
                <w:sz w:val="24"/>
              </w:rPr>
            </w:pPr>
            <w:r>
              <w:rPr>
                <w:sz w:val="24"/>
              </w:rPr>
              <w:t>-1.00</w:t>
            </w:r>
          </w:p>
        </w:tc>
        <w:tc>
          <w:tcPr>
            <w:tcW w:w="772" w:type="dxa"/>
          </w:tcPr>
          <w:p>
            <w:pPr>
              <w:pStyle w:val="TableParagraph"/>
              <w:spacing w:before="108"/>
              <w:ind w:right="116"/>
              <w:jc w:val="right"/>
              <w:rPr>
                <w:sz w:val="24"/>
              </w:rPr>
            </w:pPr>
            <w:r>
              <w:rPr>
                <w:w w:val="95"/>
                <w:sz w:val="24"/>
              </w:rPr>
              <w:t>0.319</w:t>
            </w:r>
          </w:p>
        </w:tc>
        <w:tc>
          <w:tcPr>
            <w:tcW w:w="732" w:type="dxa"/>
          </w:tcPr>
          <w:p>
            <w:pPr>
              <w:pStyle w:val="TableParagraph"/>
              <w:spacing w:before="108"/>
              <w:ind w:right="114"/>
              <w:jc w:val="right"/>
              <w:rPr>
                <w:sz w:val="24"/>
              </w:rPr>
            </w:pPr>
            <w:r>
              <w:rPr>
                <w:w w:val="95"/>
                <w:sz w:val="24"/>
              </w:rPr>
              <w:t>-0.08</w:t>
            </w:r>
          </w:p>
        </w:tc>
        <w:tc>
          <w:tcPr>
            <w:tcW w:w="854" w:type="dxa"/>
          </w:tcPr>
          <w:p>
            <w:pPr>
              <w:pStyle w:val="TableParagraph"/>
              <w:spacing w:before="108"/>
              <w:ind w:left="218" w:right="92"/>
              <w:jc w:val="center"/>
              <w:rPr>
                <w:sz w:val="24"/>
              </w:rPr>
            </w:pPr>
            <w:r>
              <w:rPr>
                <w:sz w:val="24"/>
              </w:rPr>
              <w:t>-0.23</w:t>
            </w:r>
          </w:p>
        </w:tc>
        <w:tc>
          <w:tcPr>
            <w:tcW w:w="757" w:type="dxa"/>
          </w:tcPr>
          <w:p>
            <w:pPr>
              <w:pStyle w:val="TableParagraph"/>
              <w:spacing w:before="108"/>
              <w:ind w:right="-15"/>
              <w:jc w:val="right"/>
              <w:rPr>
                <w:sz w:val="24"/>
              </w:rPr>
            </w:pPr>
            <w:r>
              <w:rPr>
                <w:w w:val="95"/>
                <w:sz w:val="24"/>
              </w:rPr>
              <w:t>0.08</w:t>
            </w:r>
          </w:p>
        </w:tc>
        <w:tc>
          <w:tcPr>
            <w:tcW w:w="116" w:type="dxa"/>
          </w:tcPr>
          <w:p>
            <w:pPr>
              <w:pStyle w:val="TableParagraph"/>
              <w:rPr>
                <w:sz w:val="22"/>
              </w:rPr>
            </w:pPr>
          </w:p>
        </w:tc>
      </w:tr>
      <w:tr>
        <w:trPr>
          <w:trHeight w:val="478" w:hRule="atLeast"/>
        </w:trPr>
        <w:tc>
          <w:tcPr>
            <w:tcW w:w="4635" w:type="dxa"/>
          </w:tcPr>
          <w:p>
            <w:pPr>
              <w:pStyle w:val="TableParagraph"/>
              <w:spacing w:before="108"/>
              <w:ind w:left="119"/>
              <w:rPr>
                <w:sz w:val="24"/>
              </w:rPr>
            </w:pPr>
            <w:r>
              <w:rPr>
                <w:w w:val="105"/>
                <w:sz w:val="24"/>
              </w:rPr>
              <w:t>Initiation time: AAT</w:t>
            </w:r>
            <w:r>
              <w:rPr>
                <w:w w:val="105"/>
                <w:sz w:val="24"/>
                <w:vertAlign w:val="subscript"/>
              </w:rPr>
              <w:t>pre</w:t>
            </w:r>
            <w:r>
              <w:rPr>
                <w:w w:val="105"/>
                <w:sz w:val="24"/>
                <w:vertAlign w:val="baseline"/>
              </w:rPr>
              <w:t> for go foods</w:t>
            </w:r>
          </w:p>
        </w:tc>
        <w:tc>
          <w:tcPr>
            <w:tcW w:w="772" w:type="dxa"/>
          </w:tcPr>
          <w:p>
            <w:pPr>
              <w:pStyle w:val="TableParagraph"/>
              <w:spacing w:before="108"/>
              <w:ind w:right="117"/>
              <w:jc w:val="right"/>
              <w:rPr>
                <w:sz w:val="24"/>
              </w:rPr>
            </w:pPr>
            <w:r>
              <w:rPr>
                <w:w w:val="95"/>
                <w:sz w:val="24"/>
              </w:rPr>
              <w:t>10.73</w:t>
            </w:r>
          </w:p>
        </w:tc>
        <w:tc>
          <w:tcPr>
            <w:tcW w:w="867" w:type="dxa"/>
          </w:tcPr>
          <w:p>
            <w:pPr>
              <w:pStyle w:val="TableParagraph"/>
              <w:spacing w:before="108"/>
              <w:ind w:left="229" w:right="96"/>
              <w:jc w:val="center"/>
              <w:rPr>
                <w:sz w:val="24"/>
              </w:rPr>
            </w:pPr>
            <w:r>
              <w:rPr>
                <w:sz w:val="24"/>
              </w:rPr>
              <w:t>-0.36</w:t>
            </w:r>
          </w:p>
        </w:tc>
        <w:tc>
          <w:tcPr>
            <w:tcW w:w="772" w:type="dxa"/>
          </w:tcPr>
          <w:p>
            <w:pPr>
              <w:pStyle w:val="TableParagraph"/>
              <w:spacing w:before="108"/>
              <w:ind w:right="116"/>
              <w:jc w:val="right"/>
              <w:rPr>
                <w:sz w:val="24"/>
              </w:rPr>
            </w:pPr>
            <w:r>
              <w:rPr>
                <w:w w:val="95"/>
                <w:sz w:val="24"/>
              </w:rPr>
              <w:t>0.718</w:t>
            </w:r>
          </w:p>
        </w:tc>
        <w:tc>
          <w:tcPr>
            <w:tcW w:w="732" w:type="dxa"/>
          </w:tcPr>
          <w:p>
            <w:pPr>
              <w:pStyle w:val="TableParagraph"/>
              <w:spacing w:before="108"/>
              <w:ind w:right="114"/>
              <w:jc w:val="right"/>
              <w:rPr>
                <w:sz w:val="24"/>
              </w:rPr>
            </w:pPr>
            <w:r>
              <w:rPr>
                <w:w w:val="95"/>
                <w:sz w:val="24"/>
              </w:rPr>
              <w:t>-0.03</w:t>
            </w:r>
          </w:p>
        </w:tc>
        <w:tc>
          <w:tcPr>
            <w:tcW w:w="854" w:type="dxa"/>
          </w:tcPr>
          <w:p>
            <w:pPr>
              <w:pStyle w:val="TableParagraph"/>
              <w:spacing w:before="108"/>
              <w:ind w:left="218" w:right="92"/>
              <w:jc w:val="center"/>
              <w:rPr>
                <w:sz w:val="24"/>
              </w:rPr>
            </w:pPr>
            <w:r>
              <w:rPr>
                <w:sz w:val="24"/>
              </w:rPr>
              <w:t>-0.18</w:t>
            </w:r>
          </w:p>
        </w:tc>
        <w:tc>
          <w:tcPr>
            <w:tcW w:w="757" w:type="dxa"/>
          </w:tcPr>
          <w:p>
            <w:pPr>
              <w:pStyle w:val="TableParagraph"/>
              <w:spacing w:before="108"/>
              <w:ind w:right="-15"/>
              <w:jc w:val="right"/>
              <w:rPr>
                <w:sz w:val="24"/>
              </w:rPr>
            </w:pPr>
            <w:r>
              <w:rPr>
                <w:w w:val="95"/>
                <w:sz w:val="24"/>
              </w:rPr>
              <w:t>0.13</w:t>
            </w:r>
          </w:p>
        </w:tc>
        <w:tc>
          <w:tcPr>
            <w:tcW w:w="116" w:type="dxa"/>
          </w:tcPr>
          <w:p>
            <w:pPr>
              <w:pStyle w:val="TableParagraph"/>
              <w:rPr>
                <w:sz w:val="22"/>
              </w:rPr>
            </w:pPr>
          </w:p>
        </w:tc>
      </w:tr>
      <w:tr>
        <w:trPr>
          <w:trHeight w:val="478" w:hRule="atLeast"/>
        </w:trPr>
        <w:tc>
          <w:tcPr>
            <w:tcW w:w="4635" w:type="dxa"/>
          </w:tcPr>
          <w:p>
            <w:pPr>
              <w:pStyle w:val="TableParagraph"/>
              <w:spacing w:before="108"/>
              <w:ind w:left="119"/>
              <w:rPr>
                <w:sz w:val="24"/>
              </w:rPr>
            </w:pPr>
            <w:r>
              <w:rPr>
                <w:w w:val="105"/>
                <w:sz w:val="24"/>
              </w:rPr>
              <w:t>Initiation time: AAT</w:t>
            </w:r>
            <w:r>
              <w:rPr>
                <w:w w:val="105"/>
                <w:sz w:val="24"/>
                <w:vertAlign w:val="subscript"/>
              </w:rPr>
              <w:t>pre</w:t>
            </w:r>
            <w:r>
              <w:rPr>
                <w:w w:val="105"/>
                <w:sz w:val="24"/>
                <w:vertAlign w:val="baseline"/>
              </w:rPr>
              <w:t> for no-go foods</w:t>
            </w:r>
          </w:p>
        </w:tc>
        <w:tc>
          <w:tcPr>
            <w:tcW w:w="772" w:type="dxa"/>
          </w:tcPr>
          <w:p>
            <w:pPr>
              <w:pStyle w:val="TableParagraph"/>
              <w:spacing w:before="108"/>
              <w:ind w:right="116"/>
              <w:jc w:val="right"/>
              <w:rPr>
                <w:sz w:val="24"/>
              </w:rPr>
            </w:pPr>
            <w:r>
              <w:rPr>
                <w:w w:val="95"/>
                <w:sz w:val="24"/>
              </w:rPr>
              <w:t>10.18</w:t>
            </w:r>
          </w:p>
        </w:tc>
        <w:tc>
          <w:tcPr>
            <w:tcW w:w="867" w:type="dxa"/>
          </w:tcPr>
          <w:p>
            <w:pPr>
              <w:pStyle w:val="TableParagraph"/>
              <w:spacing w:before="108"/>
              <w:ind w:left="230" w:right="96"/>
              <w:jc w:val="center"/>
              <w:rPr>
                <w:sz w:val="24"/>
              </w:rPr>
            </w:pPr>
            <w:r>
              <w:rPr>
                <w:sz w:val="24"/>
              </w:rPr>
              <w:t>-0.49</w:t>
            </w:r>
          </w:p>
        </w:tc>
        <w:tc>
          <w:tcPr>
            <w:tcW w:w="772" w:type="dxa"/>
          </w:tcPr>
          <w:p>
            <w:pPr>
              <w:pStyle w:val="TableParagraph"/>
              <w:spacing w:before="108"/>
              <w:ind w:right="116"/>
              <w:jc w:val="right"/>
              <w:rPr>
                <w:sz w:val="24"/>
              </w:rPr>
            </w:pPr>
            <w:r>
              <w:rPr>
                <w:w w:val="95"/>
                <w:sz w:val="24"/>
              </w:rPr>
              <w:t>0.626</w:t>
            </w:r>
          </w:p>
        </w:tc>
        <w:tc>
          <w:tcPr>
            <w:tcW w:w="732" w:type="dxa"/>
          </w:tcPr>
          <w:p>
            <w:pPr>
              <w:pStyle w:val="TableParagraph"/>
              <w:spacing w:before="108"/>
              <w:ind w:right="114"/>
              <w:jc w:val="right"/>
              <w:rPr>
                <w:sz w:val="24"/>
              </w:rPr>
            </w:pPr>
            <w:r>
              <w:rPr>
                <w:w w:val="95"/>
                <w:sz w:val="24"/>
              </w:rPr>
              <w:t>-0.04</w:t>
            </w:r>
          </w:p>
        </w:tc>
        <w:tc>
          <w:tcPr>
            <w:tcW w:w="854" w:type="dxa"/>
          </w:tcPr>
          <w:p>
            <w:pPr>
              <w:pStyle w:val="TableParagraph"/>
              <w:spacing w:before="108"/>
              <w:ind w:left="218" w:right="92"/>
              <w:jc w:val="center"/>
              <w:rPr>
                <w:sz w:val="24"/>
              </w:rPr>
            </w:pPr>
            <w:r>
              <w:rPr>
                <w:sz w:val="24"/>
              </w:rPr>
              <w:t>-0.19</w:t>
            </w:r>
          </w:p>
        </w:tc>
        <w:tc>
          <w:tcPr>
            <w:tcW w:w="757" w:type="dxa"/>
          </w:tcPr>
          <w:p>
            <w:pPr>
              <w:pStyle w:val="TableParagraph"/>
              <w:spacing w:before="108"/>
              <w:ind w:right="-15"/>
              <w:jc w:val="right"/>
              <w:rPr>
                <w:sz w:val="24"/>
              </w:rPr>
            </w:pPr>
            <w:r>
              <w:rPr>
                <w:w w:val="95"/>
                <w:sz w:val="24"/>
              </w:rPr>
              <w:t>0.12</w:t>
            </w:r>
          </w:p>
        </w:tc>
        <w:tc>
          <w:tcPr>
            <w:tcW w:w="116" w:type="dxa"/>
          </w:tcPr>
          <w:p>
            <w:pPr>
              <w:pStyle w:val="TableParagraph"/>
              <w:rPr>
                <w:sz w:val="22"/>
              </w:rPr>
            </w:pPr>
          </w:p>
        </w:tc>
      </w:tr>
      <w:tr>
        <w:trPr>
          <w:trHeight w:val="516" w:hRule="atLeast"/>
        </w:trPr>
        <w:tc>
          <w:tcPr>
            <w:tcW w:w="4635" w:type="dxa"/>
            <w:tcBorders>
              <w:bottom w:val="single" w:sz="8" w:space="0" w:color="000000"/>
            </w:tcBorders>
          </w:tcPr>
          <w:p>
            <w:pPr>
              <w:pStyle w:val="TableParagraph"/>
              <w:spacing w:before="108"/>
              <w:ind w:left="119"/>
              <w:rPr>
                <w:sz w:val="24"/>
              </w:rPr>
            </w:pPr>
            <w:r>
              <w:rPr>
                <w:w w:val="105"/>
                <w:sz w:val="24"/>
              </w:rPr>
              <w:t>Initiation time: AAT</w:t>
            </w:r>
            <w:r>
              <w:rPr>
                <w:w w:val="105"/>
                <w:sz w:val="24"/>
                <w:vertAlign w:val="subscript"/>
              </w:rPr>
              <w:t>pre</w:t>
            </w:r>
            <w:r>
              <w:rPr>
                <w:w w:val="105"/>
                <w:sz w:val="24"/>
                <w:vertAlign w:val="baseline"/>
              </w:rPr>
              <w:t> for control foods</w:t>
            </w:r>
          </w:p>
        </w:tc>
        <w:tc>
          <w:tcPr>
            <w:tcW w:w="772" w:type="dxa"/>
            <w:tcBorders>
              <w:bottom w:val="single" w:sz="8" w:space="0" w:color="000000"/>
            </w:tcBorders>
          </w:tcPr>
          <w:p>
            <w:pPr>
              <w:pStyle w:val="TableParagraph"/>
              <w:spacing w:before="108"/>
              <w:ind w:right="117"/>
              <w:jc w:val="right"/>
              <w:rPr>
                <w:sz w:val="24"/>
              </w:rPr>
            </w:pPr>
            <w:r>
              <w:rPr>
                <w:w w:val="95"/>
                <w:sz w:val="24"/>
              </w:rPr>
              <w:t>10.46</w:t>
            </w:r>
          </w:p>
        </w:tc>
        <w:tc>
          <w:tcPr>
            <w:tcW w:w="867" w:type="dxa"/>
            <w:tcBorders>
              <w:bottom w:val="single" w:sz="8" w:space="0" w:color="000000"/>
            </w:tcBorders>
          </w:tcPr>
          <w:p>
            <w:pPr>
              <w:pStyle w:val="TableParagraph"/>
              <w:spacing w:before="108"/>
              <w:ind w:left="230" w:right="96"/>
              <w:jc w:val="center"/>
              <w:rPr>
                <w:sz w:val="24"/>
              </w:rPr>
            </w:pPr>
            <w:r>
              <w:rPr>
                <w:sz w:val="24"/>
              </w:rPr>
              <w:t>-0.43</w:t>
            </w:r>
          </w:p>
        </w:tc>
        <w:tc>
          <w:tcPr>
            <w:tcW w:w="772" w:type="dxa"/>
            <w:tcBorders>
              <w:bottom w:val="single" w:sz="8" w:space="0" w:color="000000"/>
            </w:tcBorders>
          </w:tcPr>
          <w:p>
            <w:pPr>
              <w:pStyle w:val="TableParagraph"/>
              <w:spacing w:before="108"/>
              <w:ind w:right="116"/>
              <w:jc w:val="right"/>
              <w:rPr>
                <w:sz w:val="24"/>
              </w:rPr>
            </w:pPr>
            <w:r>
              <w:rPr>
                <w:w w:val="95"/>
                <w:sz w:val="24"/>
              </w:rPr>
              <w:t>0.669</w:t>
            </w:r>
          </w:p>
        </w:tc>
        <w:tc>
          <w:tcPr>
            <w:tcW w:w="732" w:type="dxa"/>
            <w:tcBorders>
              <w:bottom w:val="single" w:sz="8" w:space="0" w:color="000000"/>
            </w:tcBorders>
          </w:tcPr>
          <w:p>
            <w:pPr>
              <w:pStyle w:val="TableParagraph"/>
              <w:spacing w:before="108"/>
              <w:ind w:right="114"/>
              <w:jc w:val="right"/>
              <w:rPr>
                <w:sz w:val="24"/>
              </w:rPr>
            </w:pPr>
            <w:r>
              <w:rPr>
                <w:w w:val="95"/>
                <w:sz w:val="24"/>
              </w:rPr>
              <w:t>-0.03</w:t>
            </w:r>
          </w:p>
        </w:tc>
        <w:tc>
          <w:tcPr>
            <w:tcW w:w="854" w:type="dxa"/>
            <w:tcBorders>
              <w:bottom w:val="single" w:sz="8" w:space="0" w:color="000000"/>
            </w:tcBorders>
          </w:tcPr>
          <w:p>
            <w:pPr>
              <w:pStyle w:val="TableParagraph"/>
              <w:spacing w:before="108"/>
              <w:ind w:left="218" w:right="92"/>
              <w:jc w:val="center"/>
              <w:rPr>
                <w:sz w:val="24"/>
              </w:rPr>
            </w:pPr>
            <w:r>
              <w:rPr>
                <w:sz w:val="24"/>
              </w:rPr>
              <w:t>-0.19</w:t>
            </w:r>
          </w:p>
        </w:tc>
        <w:tc>
          <w:tcPr>
            <w:tcW w:w="757" w:type="dxa"/>
            <w:tcBorders>
              <w:bottom w:val="single" w:sz="8" w:space="0" w:color="000000"/>
            </w:tcBorders>
          </w:tcPr>
          <w:p>
            <w:pPr>
              <w:pStyle w:val="TableParagraph"/>
              <w:spacing w:before="108"/>
              <w:ind w:right="-15"/>
              <w:jc w:val="right"/>
              <w:rPr>
                <w:sz w:val="24"/>
              </w:rPr>
            </w:pPr>
            <w:r>
              <w:rPr>
                <w:w w:val="95"/>
                <w:sz w:val="24"/>
              </w:rPr>
              <w:t>0.12</w:t>
            </w:r>
          </w:p>
        </w:tc>
        <w:tc>
          <w:tcPr>
            <w:tcW w:w="116" w:type="dxa"/>
            <w:tcBorders>
              <w:bottom w:val="single" w:sz="8" w:space="0" w:color="000000"/>
            </w:tcBorders>
          </w:tcPr>
          <w:p>
            <w:pPr>
              <w:pStyle w:val="TableParagraph"/>
              <w:rPr>
                <w:sz w:val="22"/>
              </w:rPr>
            </w:pPr>
          </w:p>
        </w:tc>
      </w:tr>
    </w:tbl>
    <w:p>
      <w:pPr>
        <w:spacing w:before="28"/>
        <w:ind w:left="608" w:right="0" w:firstLine="0"/>
        <w:jc w:val="left"/>
        <w:rPr>
          <w:sz w:val="20"/>
        </w:rPr>
      </w:pPr>
      <w:r>
        <w:rPr>
          <w:i/>
          <w:w w:val="110"/>
          <w:sz w:val="20"/>
        </w:rPr>
        <w:t>Note. </w:t>
      </w:r>
      <w:r>
        <w:rPr>
          <w:w w:val="110"/>
          <w:sz w:val="20"/>
        </w:rPr>
        <w:t>AAT</w:t>
      </w:r>
      <w:r>
        <w:rPr>
          <w:w w:val="110"/>
          <w:sz w:val="20"/>
          <w:vertAlign w:val="subscript"/>
        </w:rPr>
        <w:t>pre</w:t>
      </w:r>
      <w:r>
        <w:rPr>
          <w:w w:val="110"/>
          <w:sz w:val="20"/>
          <w:vertAlign w:val="baseline"/>
        </w:rPr>
        <w:t>: Pre-training approach avoidance task bias scores</w:t>
      </w:r>
    </w:p>
    <w:p>
      <w:pPr>
        <w:pStyle w:val="BodyText"/>
        <w:spacing w:before="0"/>
        <w:ind w:left="0"/>
        <w:rPr>
          <w:sz w:val="20"/>
        </w:rPr>
      </w:pPr>
    </w:p>
    <w:p>
      <w:pPr>
        <w:pStyle w:val="BodyText"/>
        <w:spacing w:before="7"/>
        <w:ind w:left="0"/>
        <w:rPr>
          <w:sz w:val="21"/>
        </w:rPr>
      </w:pPr>
    </w:p>
    <w:p>
      <w:pPr>
        <w:tabs>
          <w:tab w:pos="1195" w:val="left" w:leader="none"/>
          <w:tab w:pos="3724" w:val="left" w:leader="none"/>
        </w:tabs>
        <w:spacing w:before="148"/>
        <w:ind w:left="230" w:right="0" w:firstLine="0"/>
        <w:jc w:val="left"/>
        <w:rPr>
          <w:sz w:val="24"/>
        </w:rPr>
      </w:pPr>
      <w:r>
        <w:rPr>
          <w:rFonts w:ascii="Arial"/>
          <w:w w:val="110"/>
          <w:sz w:val="12"/>
        </w:rPr>
        <w:t>516</w:t>
        <w:tab/>
      </w:r>
      <w:bookmarkStart w:name="Sub-group analysis" w:id="52"/>
      <w:bookmarkEnd w:id="52"/>
      <w:r>
        <w:rPr>
          <w:rFonts w:ascii="Arial"/>
          <w:w w:val="110"/>
          <w:sz w:val="12"/>
        </w:rPr>
      </w:r>
      <w:bookmarkStart w:name="_bookmark24" w:id="53"/>
      <w:bookmarkEnd w:id="53"/>
      <w:r>
        <w:rPr>
          <w:rFonts w:ascii="Arial"/>
          <w:w w:val="110"/>
          <w:sz w:val="12"/>
        </w:rPr>
      </w:r>
      <w:r>
        <w:rPr>
          <w:b/>
          <w:w w:val="110"/>
          <w:sz w:val="24"/>
        </w:rPr>
        <w:t>Sub-group</w:t>
      </w:r>
      <w:r>
        <w:rPr>
          <w:b/>
          <w:spacing w:val="36"/>
          <w:w w:val="110"/>
          <w:sz w:val="24"/>
        </w:rPr>
        <w:t> </w:t>
      </w:r>
      <w:r>
        <w:rPr>
          <w:b/>
          <w:w w:val="110"/>
          <w:sz w:val="24"/>
        </w:rPr>
        <w:t>analysis.</w:t>
        <w:tab/>
      </w:r>
      <w:r>
        <w:rPr>
          <w:w w:val="110"/>
          <w:sz w:val="24"/>
        </w:rPr>
        <w:t>In an effort to show that training did not </w:t>
      </w:r>
      <w:r>
        <w:rPr>
          <w:spacing w:val="-4"/>
          <w:w w:val="110"/>
          <w:sz w:val="24"/>
        </w:rPr>
        <w:t>have </w:t>
      </w:r>
      <w:r>
        <w:rPr>
          <w:w w:val="110"/>
          <w:sz w:val="24"/>
        </w:rPr>
        <w:t>an effect</w:t>
      </w:r>
      <w:r>
        <w:rPr>
          <w:spacing w:val="7"/>
          <w:w w:val="110"/>
          <w:sz w:val="24"/>
        </w:rPr>
        <w:t> </w:t>
      </w:r>
      <w:r>
        <w:rPr>
          <w:w w:val="110"/>
          <w:sz w:val="24"/>
        </w:rPr>
        <w:t>on</w:t>
      </w:r>
    </w:p>
    <w:p>
      <w:pPr>
        <w:pStyle w:val="BodyText"/>
      </w:pPr>
      <w:r>
        <w:rPr>
          <w:rFonts w:ascii="Arial"/>
          <w:w w:val="105"/>
          <w:sz w:val="12"/>
        </w:rPr>
        <w:t>517 </w:t>
      </w:r>
      <w:r>
        <w:rPr>
          <w:w w:val="105"/>
        </w:rPr>
        <w:t>AAT outcomes was not due to the absence of baseline approach bias for unhealthy foods, a</w:t>
      </w:r>
    </w:p>
    <w:p>
      <w:pPr>
        <w:pStyle w:val="BodyText"/>
      </w:pPr>
      <w:r>
        <w:rPr>
          <w:rFonts w:ascii="Arial"/>
          <w:w w:val="105"/>
          <w:sz w:val="12"/>
        </w:rPr>
        <w:t>518 </w:t>
      </w:r>
      <w:r>
        <w:rPr>
          <w:w w:val="105"/>
        </w:rPr>
        <w:t>sub-group analysis for participants with positive baseline bias scores (N=72) was conducted.</w:t>
      </w:r>
    </w:p>
    <w:p>
      <w:pPr>
        <w:pStyle w:val="BodyText"/>
      </w:pPr>
      <w:r>
        <w:rPr>
          <w:rFonts w:ascii="Arial"/>
          <w:sz w:val="12"/>
        </w:rPr>
        <w:t>519 </w:t>
      </w:r>
      <w:r>
        <w:rPr/>
        <w:t>There was </w:t>
      </w:r>
      <w:r>
        <w:rPr>
          <w:i/>
        </w:rPr>
        <w:t>very strong </w:t>
      </w:r>
      <w:r>
        <w:rPr/>
        <w:t>evidence for the absence of a main effect of go/no-go training</w:t>
      </w:r>
    </w:p>
    <w:p>
      <w:pPr>
        <w:pStyle w:val="BodyText"/>
        <w:spacing w:before="201"/>
      </w:pPr>
      <w:r>
        <w:rPr>
          <w:rFonts w:ascii="Arial"/>
          <w:w w:val="105"/>
          <w:sz w:val="12"/>
        </w:rPr>
        <w:t>520 </w:t>
      </w:r>
      <w:r>
        <w:rPr>
          <w:w w:val="105"/>
        </w:rPr>
        <w:t>condition on the change in approach-avoidance bias scores [</w:t>
      </w:r>
      <w:r>
        <w:rPr>
          <w:i/>
          <w:w w:val="105"/>
        </w:rPr>
        <w:t>BF </w:t>
      </w:r>
      <w:r>
        <w:rPr>
          <w:rFonts w:ascii="Arial"/>
          <w:w w:val="105"/>
          <w:vertAlign w:val="subscript"/>
        </w:rPr>
        <w:t>01</w:t>
      </w:r>
      <w:r>
        <w:rPr>
          <w:rFonts w:ascii="Arial"/>
          <w:w w:val="105"/>
          <w:vertAlign w:val="baseline"/>
        </w:rPr>
        <w:t> </w:t>
      </w:r>
      <w:r>
        <w:rPr>
          <w:w w:val="105"/>
          <w:vertAlign w:val="baseline"/>
        </w:rPr>
        <w:t>= 43.99; </w:t>
      </w:r>
      <w:r>
        <w:rPr>
          <w:i/>
          <w:w w:val="105"/>
          <w:vertAlign w:val="baseline"/>
        </w:rPr>
        <w:t>F </w:t>
      </w:r>
      <w:r>
        <w:rPr>
          <w:w w:val="105"/>
          <w:vertAlign w:val="baseline"/>
        </w:rPr>
        <w:t>(2, 142) = 0.01,</w:t>
      </w:r>
    </w:p>
    <w:p>
      <w:pPr>
        <w:pStyle w:val="BodyText"/>
      </w:pPr>
      <w:r>
        <w:rPr>
          <w:rFonts w:ascii="Arial"/>
          <w:w w:val="105"/>
          <w:sz w:val="12"/>
        </w:rPr>
        <w:t>521 </w:t>
      </w:r>
      <w:r>
        <w:rPr>
          <w:i/>
          <w:w w:val="105"/>
        </w:rPr>
        <w:t>p </w:t>
      </w:r>
      <w:r>
        <w:rPr>
          <w:w w:val="105"/>
        </w:rPr>
        <w:t>= 0.987]. For this sub-group food-choice outcomes were consistent with the confirmatory</w:t>
      </w:r>
    </w:p>
    <w:p>
      <w:pPr>
        <w:spacing w:before="203"/>
        <w:ind w:left="230" w:right="0" w:firstLine="0"/>
        <w:jc w:val="left"/>
        <w:rPr>
          <w:sz w:val="24"/>
        </w:rPr>
      </w:pPr>
      <w:r>
        <w:rPr>
          <w:rFonts w:ascii="Arial"/>
          <w:w w:val="105"/>
          <w:sz w:val="12"/>
        </w:rPr>
        <w:t>522 </w:t>
      </w:r>
      <w:r>
        <w:rPr>
          <w:w w:val="105"/>
          <w:sz w:val="24"/>
        </w:rPr>
        <w:t>findings reported in </w:t>
      </w:r>
      <w:hyperlink w:history="true" w:anchor="_bookmark17">
        <w:r>
          <w:rPr>
            <w:i/>
            <w:w w:val="105"/>
            <w:sz w:val="24"/>
          </w:rPr>
          <w:t>Training outcomes</w:t>
        </w:r>
      </w:hyperlink>
      <w:r>
        <w:rPr>
          <w:w w:val="105"/>
          <w:sz w:val="24"/>
        </w:rPr>
        <w:t>. There was </w:t>
      </w:r>
      <w:r>
        <w:rPr>
          <w:i/>
          <w:w w:val="105"/>
          <w:sz w:val="24"/>
        </w:rPr>
        <w:t>strong </w:t>
      </w:r>
      <w:r>
        <w:rPr>
          <w:w w:val="105"/>
          <w:sz w:val="24"/>
        </w:rPr>
        <w:t>evidence that the probability of</w:t>
      </w:r>
    </w:p>
    <w:p>
      <w:pPr>
        <w:spacing w:after="0"/>
        <w:jc w:val="left"/>
        <w:rPr>
          <w:sz w:val="24"/>
        </w:rPr>
        <w:sectPr>
          <w:pgSz w:w="12240" w:h="15840"/>
          <w:pgMar w:header="649" w:footer="0" w:top="1320" w:bottom="280" w:left="820" w:right="1140"/>
        </w:sectPr>
      </w:pPr>
    </w:p>
    <w:p>
      <w:pPr>
        <w:pStyle w:val="BodyText"/>
        <w:spacing w:before="191"/>
      </w:pPr>
      <w:r>
        <w:rPr>
          <w:rFonts w:ascii="Arial"/>
          <w:w w:val="105"/>
          <w:sz w:val="12"/>
        </w:rPr>
        <w:t>523 </w:t>
      </w:r>
      <w:r>
        <w:rPr>
          <w:w w:val="105"/>
        </w:rPr>
        <w:t>choosing a no-go food (</w:t>
      </w:r>
      <w:r>
        <w:rPr>
          <w:i/>
          <w:w w:val="105"/>
        </w:rPr>
        <w:t>M </w:t>
      </w:r>
      <w:r>
        <w:rPr>
          <w:w w:val="105"/>
        </w:rPr>
        <w:t>= 0.20, </w:t>
      </w:r>
      <w:r>
        <w:rPr>
          <w:i/>
          <w:w w:val="105"/>
        </w:rPr>
        <w:t>SD </w:t>
      </w:r>
      <w:r>
        <w:rPr>
          <w:w w:val="105"/>
        </w:rPr>
        <w:t>= 0.27) was reduced relative to the probability of</w:t>
      </w:r>
    </w:p>
    <w:p>
      <w:pPr>
        <w:pStyle w:val="BodyText"/>
        <w:spacing w:before="201"/>
        <w:rPr>
          <w:rFonts w:ascii="Arial"/>
          <w:i/>
        </w:rPr>
      </w:pPr>
      <w:r>
        <w:rPr>
          <w:rFonts w:ascii="Arial"/>
          <w:w w:val="105"/>
          <w:sz w:val="12"/>
        </w:rPr>
        <w:t>524 </w:t>
      </w:r>
      <w:r>
        <w:rPr>
          <w:w w:val="105"/>
        </w:rPr>
        <w:t>choosing a control food (</w:t>
      </w:r>
      <w:r>
        <w:rPr>
          <w:i/>
          <w:w w:val="105"/>
        </w:rPr>
        <w:t>M </w:t>
      </w:r>
      <w:r>
        <w:rPr>
          <w:w w:val="105"/>
        </w:rPr>
        <w:t>= 0.37, </w:t>
      </w:r>
      <w:r>
        <w:rPr>
          <w:i/>
          <w:w w:val="105"/>
        </w:rPr>
        <w:t>SD </w:t>
      </w:r>
      <w:r>
        <w:rPr>
          <w:w w:val="105"/>
        </w:rPr>
        <w:t>= 0.33) [</w:t>
      </w:r>
      <w:r>
        <w:rPr>
          <w:i/>
          <w:w w:val="105"/>
        </w:rPr>
        <w:t>BF </w:t>
      </w:r>
      <w:r>
        <w:rPr>
          <w:w w:val="105"/>
          <w:vertAlign w:val="subscript"/>
        </w:rPr>
        <w:t>10</w:t>
      </w:r>
      <w:r>
        <w:rPr>
          <w:w w:val="105"/>
          <w:vertAlign w:val="baseline"/>
        </w:rPr>
        <w:t> = 13.97; </w:t>
      </w:r>
      <w:r>
        <w:rPr>
          <w:i/>
          <w:w w:val="105"/>
          <w:vertAlign w:val="baseline"/>
        </w:rPr>
        <w:t>t</w:t>
      </w:r>
      <w:r>
        <w:rPr>
          <w:w w:val="105"/>
          <w:vertAlign w:val="baseline"/>
        </w:rPr>
        <w:t>(70)] = -2.96, </w:t>
      </w:r>
      <w:r>
        <w:rPr>
          <w:i/>
          <w:w w:val="105"/>
          <w:vertAlign w:val="baseline"/>
        </w:rPr>
        <w:t>p </w:t>
      </w:r>
      <w:r>
        <w:rPr>
          <w:w w:val="105"/>
          <w:vertAlign w:val="baseline"/>
        </w:rPr>
        <w:t>= 0.004, </w:t>
      </w:r>
      <w:r>
        <w:rPr>
          <w:rFonts w:ascii="Arial"/>
          <w:i/>
          <w:w w:val="105"/>
          <w:vertAlign w:val="subscript"/>
        </w:rPr>
        <w:t>W</w:t>
      </w:r>
    </w:p>
    <w:p>
      <w:pPr>
        <w:pStyle w:val="BodyText"/>
        <w:spacing w:before="203"/>
      </w:pPr>
      <w:r>
        <w:rPr>
          <w:rFonts w:ascii="Arial"/>
          <w:w w:val="105"/>
          <w:sz w:val="12"/>
        </w:rPr>
        <w:t>525 </w:t>
      </w:r>
      <w:r>
        <w:rPr>
          <w:w w:val="105"/>
        </w:rPr>
        <w:t>= 0.004, </w:t>
      </w:r>
      <w:r>
        <w:rPr>
          <w:i/>
          <w:w w:val="105"/>
        </w:rPr>
        <w:t>d </w:t>
      </w:r>
      <w:r>
        <w:rPr>
          <w:w w:val="105"/>
        </w:rPr>
        <w:t>= -0.35, 95% CI for </w:t>
      </w:r>
      <w:r>
        <w:rPr>
          <w:i/>
          <w:w w:val="105"/>
        </w:rPr>
        <w:t>d </w:t>
      </w:r>
      <w:r>
        <w:rPr>
          <w:w w:val="105"/>
        </w:rPr>
        <w:t>= -0.59, -0.11]. There was </w:t>
      </w:r>
      <w:r>
        <w:rPr>
          <w:i/>
          <w:w w:val="105"/>
        </w:rPr>
        <w:t>moderate </w:t>
      </w:r>
      <w:r>
        <w:rPr>
          <w:w w:val="105"/>
        </w:rPr>
        <w:t>evidence for the</w:t>
      </w:r>
    </w:p>
    <w:p>
      <w:pPr>
        <w:pStyle w:val="BodyText"/>
      </w:pPr>
      <w:r>
        <w:rPr>
          <w:rFonts w:ascii="Arial"/>
          <w:w w:val="105"/>
          <w:sz w:val="12"/>
        </w:rPr>
        <w:t>526 </w:t>
      </w:r>
      <w:r>
        <w:rPr>
          <w:w w:val="105"/>
        </w:rPr>
        <w:t>absence of a general effect of training condition on the change in liking scores from pre-to</w:t>
      </w:r>
    </w:p>
    <w:p>
      <w:pPr>
        <w:pStyle w:val="BodyText"/>
      </w:pPr>
      <w:r>
        <w:rPr>
          <w:rFonts w:ascii="Arial"/>
          <w:w w:val="110"/>
          <w:sz w:val="12"/>
        </w:rPr>
        <w:t>527 </w:t>
      </w:r>
      <w:r>
        <w:rPr>
          <w:w w:val="110"/>
        </w:rPr>
        <w:t>post-training [</w:t>
      </w:r>
      <w:r>
        <w:rPr>
          <w:i/>
          <w:w w:val="110"/>
        </w:rPr>
        <w:t>BF </w:t>
      </w:r>
      <w:r>
        <w:rPr>
          <w:w w:val="110"/>
          <w:vertAlign w:val="subscript"/>
        </w:rPr>
        <w:t>01</w:t>
      </w:r>
      <w:r>
        <w:rPr>
          <w:w w:val="110"/>
          <w:vertAlign w:val="baseline"/>
        </w:rPr>
        <w:t> = 8.91; </w:t>
      </w:r>
      <w:r>
        <w:rPr>
          <w:i/>
          <w:w w:val="110"/>
          <w:vertAlign w:val="baseline"/>
        </w:rPr>
        <w:t>F </w:t>
      </w:r>
      <w:r>
        <w:rPr>
          <w:w w:val="110"/>
          <w:vertAlign w:val="baseline"/>
        </w:rPr>
        <w:t>(2, 142) = 0.94, </w:t>
      </w:r>
      <w:r>
        <w:rPr>
          <w:i/>
          <w:w w:val="110"/>
          <w:vertAlign w:val="baseline"/>
        </w:rPr>
        <w:t>p </w:t>
      </w:r>
      <w:r>
        <w:rPr>
          <w:w w:val="110"/>
          <w:vertAlign w:val="baseline"/>
        </w:rPr>
        <w:t>= 0.392]. With regards to the contingency</w:t>
      </w:r>
    </w:p>
    <w:p>
      <w:pPr>
        <w:pStyle w:val="BodyText"/>
      </w:pPr>
      <w:r>
        <w:rPr>
          <w:rFonts w:ascii="Arial"/>
          <w:w w:val="105"/>
          <w:sz w:val="12"/>
        </w:rPr>
        <w:t>528 </w:t>
      </w:r>
      <w:r>
        <w:rPr>
          <w:w w:val="105"/>
        </w:rPr>
        <w:t>learning manipulation </w:t>
      </w:r>
      <w:r>
        <w:rPr>
          <w:spacing w:val="-3"/>
          <w:w w:val="105"/>
        </w:rPr>
        <w:t>check, </w:t>
      </w:r>
      <w:r>
        <w:rPr>
          <w:w w:val="105"/>
        </w:rPr>
        <w:t>there was</w:t>
      </w:r>
      <w:r>
        <w:rPr>
          <w:i/>
          <w:w w:val="105"/>
        </w:rPr>
        <w:t>very strong </w:t>
      </w:r>
      <w:r>
        <w:rPr>
          <w:w w:val="105"/>
        </w:rPr>
        <w:t>evidence for a greater proportion</w:t>
      </w:r>
      <w:r>
        <w:rPr>
          <w:spacing w:val="54"/>
          <w:w w:val="105"/>
        </w:rPr>
        <w:t> </w:t>
      </w:r>
      <w:r>
        <w:rPr>
          <w:w w:val="105"/>
        </w:rPr>
        <w:t>of</w:t>
      </w:r>
    </w:p>
    <w:p>
      <w:pPr>
        <w:pStyle w:val="BodyText"/>
      </w:pPr>
      <w:r>
        <w:rPr>
          <w:rFonts w:ascii="Arial"/>
          <w:w w:val="105"/>
          <w:sz w:val="12"/>
        </w:rPr>
        <w:t>529     </w:t>
      </w:r>
      <w:r>
        <w:rPr>
          <w:w w:val="105"/>
        </w:rPr>
        <w:t>correct responses in signal trials with no-go </w:t>
      </w:r>
      <w:r>
        <w:rPr>
          <w:spacing w:val="2"/>
          <w:w w:val="105"/>
        </w:rPr>
        <w:t>foods </w:t>
      </w:r>
      <w:r>
        <w:rPr>
          <w:w w:val="105"/>
        </w:rPr>
        <w:t>compared to control </w:t>
      </w:r>
      <w:r>
        <w:rPr>
          <w:spacing w:val="2"/>
          <w:w w:val="105"/>
        </w:rPr>
        <w:t>foods </w:t>
      </w:r>
      <w:r>
        <w:rPr>
          <w:w w:val="105"/>
        </w:rPr>
        <w:t>[</w:t>
      </w:r>
      <w:r>
        <w:rPr>
          <w:i/>
          <w:w w:val="105"/>
        </w:rPr>
        <w:t>BF </w:t>
      </w:r>
      <w:r>
        <w:rPr>
          <w:w w:val="105"/>
          <w:vertAlign w:val="subscript"/>
        </w:rPr>
        <w:t>10</w:t>
      </w:r>
      <w:r>
        <w:rPr>
          <w:w w:val="105"/>
          <w:vertAlign w:val="baseline"/>
        </w:rPr>
        <w:t> =</w:t>
      </w:r>
      <w:r>
        <w:rPr>
          <w:spacing w:val="6"/>
          <w:w w:val="105"/>
          <w:vertAlign w:val="baseline"/>
        </w:rPr>
        <w:t> </w:t>
      </w:r>
      <w:r>
        <w:rPr>
          <w:w w:val="105"/>
          <w:vertAlign w:val="baseline"/>
        </w:rPr>
        <w:t>37.80;</w:t>
      </w:r>
    </w:p>
    <w:p>
      <w:pPr>
        <w:pStyle w:val="BodyText"/>
        <w:spacing w:before="201"/>
      </w:pPr>
      <w:r>
        <w:rPr>
          <w:rFonts w:ascii="Arial"/>
          <w:w w:val="105"/>
          <w:sz w:val="12"/>
        </w:rPr>
        <w:t>530     </w:t>
      </w:r>
      <w:r>
        <w:rPr>
          <w:i/>
          <w:spacing w:val="2"/>
          <w:w w:val="105"/>
        </w:rPr>
        <w:t>t</w:t>
      </w:r>
      <w:r>
        <w:rPr>
          <w:spacing w:val="2"/>
          <w:w w:val="105"/>
        </w:rPr>
        <w:t>(71) </w:t>
      </w:r>
      <w:r>
        <w:rPr>
          <w:w w:val="105"/>
        </w:rPr>
        <w:t>= 3.33, </w:t>
      </w:r>
      <w:r>
        <w:rPr>
          <w:i/>
          <w:w w:val="105"/>
        </w:rPr>
        <w:t>p </w:t>
      </w:r>
      <w:r>
        <w:rPr>
          <w:w w:val="105"/>
        </w:rPr>
        <w:t>= 0.001,</w:t>
      </w:r>
      <w:r>
        <w:rPr>
          <w:rFonts w:ascii="Arial"/>
          <w:i/>
          <w:w w:val="105"/>
          <w:vertAlign w:val="subscript"/>
        </w:rPr>
        <w:t>W</w:t>
      </w:r>
      <w:r>
        <w:rPr>
          <w:rFonts w:ascii="Arial"/>
          <w:i/>
          <w:w w:val="105"/>
          <w:vertAlign w:val="baseline"/>
        </w:rPr>
        <w:t> </w:t>
      </w:r>
      <w:r>
        <w:rPr>
          <w:w w:val="105"/>
          <w:vertAlign w:val="baseline"/>
        </w:rPr>
        <w:t>&lt; .001, </w:t>
      </w:r>
      <w:r>
        <w:rPr>
          <w:i/>
          <w:w w:val="105"/>
          <w:vertAlign w:val="baseline"/>
        </w:rPr>
        <w:t>d  </w:t>
      </w:r>
      <w:r>
        <w:rPr>
          <w:w w:val="105"/>
          <w:vertAlign w:val="baseline"/>
        </w:rPr>
        <w:t>= 0.39, 95% CI for </w:t>
      </w:r>
      <w:r>
        <w:rPr>
          <w:i/>
          <w:w w:val="105"/>
          <w:vertAlign w:val="baseline"/>
        </w:rPr>
        <w:t>d  </w:t>
      </w:r>
      <w:r>
        <w:rPr>
          <w:w w:val="105"/>
          <w:vertAlign w:val="baseline"/>
        </w:rPr>
        <w:t>= 0.15, 0.63].  </w:t>
      </w:r>
      <w:r>
        <w:rPr>
          <w:spacing w:val="-3"/>
          <w:w w:val="105"/>
          <w:vertAlign w:val="baseline"/>
        </w:rPr>
        <w:t>However, </w:t>
      </w:r>
      <w:r>
        <w:rPr>
          <w:w w:val="105"/>
          <w:vertAlign w:val="baseline"/>
        </w:rPr>
        <w:t>there</w:t>
      </w:r>
      <w:r>
        <w:rPr>
          <w:spacing w:val="25"/>
          <w:w w:val="105"/>
          <w:vertAlign w:val="baseline"/>
        </w:rPr>
        <w:t> </w:t>
      </w:r>
      <w:r>
        <w:rPr>
          <w:spacing w:val="-3"/>
          <w:w w:val="105"/>
          <w:vertAlign w:val="baseline"/>
        </w:rPr>
        <w:t>was</w:t>
      </w:r>
    </w:p>
    <w:p>
      <w:pPr>
        <w:pStyle w:val="BodyText"/>
        <w:spacing w:before="203"/>
      </w:pPr>
      <w:r>
        <w:rPr>
          <w:rFonts w:ascii="Arial"/>
          <w:sz w:val="12"/>
        </w:rPr>
        <w:t>531 </w:t>
      </w:r>
      <w:r>
        <w:rPr/>
        <w:t>only </w:t>
      </w:r>
      <w:r>
        <w:rPr>
          <w:i/>
          <w:spacing w:val="-3"/>
        </w:rPr>
        <w:t>anecdotal</w:t>
      </w:r>
      <w:r>
        <w:rPr>
          <w:i/>
          <w:spacing w:val="48"/>
        </w:rPr>
        <w:t> </w:t>
      </w:r>
      <w:r>
        <w:rPr/>
        <w:t>evidence that </w:t>
      </w:r>
      <w:r>
        <w:rPr>
          <w:spacing w:val="-8"/>
        </w:rPr>
        <w:t>GoRTs </w:t>
      </w:r>
      <w:r>
        <w:rPr/>
        <w:t>were faster for go </w:t>
      </w:r>
      <w:r>
        <w:rPr>
          <w:spacing w:val="2"/>
        </w:rPr>
        <w:t>foods </w:t>
      </w:r>
      <w:r>
        <w:rPr/>
        <w:t>compared to control </w:t>
      </w:r>
      <w:r>
        <w:rPr>
          <w:spacing w:val="2"/>
        </w:rPr>
        <w:t>foods</w:t>
      </w:r>
    </w:p>
    <w:p>
      <w:pPr>
        <w:pStyle w:val="BodyText"/>
      </w:pPr>
      <w:r>
        <w:rPr>
          <w:rFonts w:ascii="Arial"/>
          <w:w w:val="105"/>
          <w:sz w:val="12"/>
        </w:rPr>
        <w:t>532 </w:t>
      </w:r>
      <w:r>
        <w:rPr>
          <w:w w:val="105"/>
        </w:rPr>
        <w:t>[</w:t>
      </w:r>
      <w:r>
        <w:rPr>
          <w:i/>
          <w:w w:val="105"/>
        </w:rPr>
        <w:t>BF </w:t>
      </w:r>
      <w:r>
        <w:rPr>
          <w:w w:val="105"/>
          <w:vertAlign w:val="subscript"/>
        </w:rPr>
        <w:t>10</w:t>
      </w:r>
      <w:r>
        <w:rPr>
          <w:w w:val="105"/>
          <w:vertAlign w:val="baseline"/>
        </w:rPr>
        <w:t> = 3.52; </w:t>
      </w:r>
      <w:r>
        <w:rPr>
          <w:i/>
          <w:w w:val="105"/>
          <w:vertAlign w:val="baseline"/>
        </w:rPr>
        <w:t>t</w:t>
      </w:r>
      <w:r>
        <w:rPr>
          <w:w w:val="105"/>
          <w:vertAlign w:val="baseline"/>
        </w:rPr>
        <w:t>(71)) = -2.38, </w:t>
      </w:r>
      <w:r>
        <w:rPr>
          <w:i/>
          <w:w w:val="105"/>
          <w:vertAlign w:val="baseline"/>
        </w:rPr>
        <w:t>p </w:t>
      </w:r>
      <w:r>
        <w:rPr>
          <w:w w:val="105"/>
          <w:vertAlign w:val="baseline"/>
        </w:rPr>
        <w:t>= 0.020, </w:t>
      </w:r>
      <w:r>
        <w:rPr>
          <w:i/>
          <w:w w:val="105"/>
          <w:vertAlign w:val="baseline"/>
        </w:rPr>
        <w:t>d </w:t>
      </w:r>
      <w:r>
        <w:rPr>
          <w:w w:val="105"/>
          <w:vertAlign w:val="baseline"/>
        </w:rPr>
        <w:t>= -0.28, 95% CI for </w:t>
      </w:r>
      <w:r>
        <w:rPr>
          <w:i/>
          <w:w w:val="105"/>
          <w:vertAlign w:val="baseline"/>
        </w:rPr>
        <w:t>d </w:t>
      </w:r>
      <w:r>
        <w:rPr>
          <w:w w:val="105"/>
          <w:vertAlign w:val="baseline"/>
        </w:rPr>
        <w:t>= -0.52, -0.04].</w:t>
      </w:r>
    </w:p>
    <w:p>
      <w:pPr>
        <w:pStyle w:val="BodyText"/>
        <w:spacing w:before="9"/>
        <w:ind w:left="0"/>
        <w:rPr>
          <w:sz w:val="29"/>
        </w:rPr>
      </w:pPr>
    </w:p>
    <w:p>
      <w:pPr>
        <w:tabs>
          <w:tab w:pos="1195" w:val="left" w:leader="none"/>
          <w:tab w:pos="6328" w:val="left" w:leader="none"/>
        </w:tabs>
        <w:spacing w:before="148"/>
        <w:ind w:left="230" w:right="0" w:firstLine="0"/>
        <w:jc w:val="left"/>
        <w:rPr>
          <w:sz w:val="24"/>
        </w:rPr>
      </w:pPr>
      <w:r>
        <w:rPr>
          <w:rFonts w:ascii="Arial"/>
          <w:w w:val="110"/>
          <w:sz w:val="12"/>
        </w:rPr>
        <w:t>533</w:t>
        <w:tab/>
      </w:r>
      <w:bookmarkStart w:name="Accuracy in the approach-avoidance task" w:id="54"/>
      <w:bookmarkEnd w:id="54"/>
      <w:r>
        <w:rPr>
          <w:rFonts w:ascii="Arial"/>
          <w:w w:val="110"/>
          <w:sz w:val="12"/>
        </w:rPr>
      </w:r>
      <w:r>
        <w:rPr>
          <w:b/>
          <w:w w:val="110"/>
          <w:sz w:val="24"/>
        </w:rPr>
        <w:t>Accuracy  in  the</w:t>
      </w:r>
      <w:r>
        <w:rPr>
          <w:b/>
          <w:spacing w:val="-34"/>
          <w:w w:val="110"/>
          <w:sz w:val="24"/>
        </w:rPr>
        <w:t> </w:t>
      </w:r>
      <w:r>
        <w:rPr>
          <w:b/>
          <w:w w:val="110"/>
          <w:sz w:val="24"/>
        </w:rPr>
        <w:t>approach-avoidance</w:t>
      </w:r>
      <w:r>
        <w:rPr>
          <w:b/>
          <w:spacing w:val="33"/>
          <w:w w:val="110"/>
          <w:sz w:val="24"/>
        </w:rPr>
        <w:t> </w:t>
      </w:r>
      <w:r>
        <w:rPr>
          <w:b/>
          <w:w w:val="110"/>
          <w:sz w:val="24"/>
        </w:rPr>
        <w:t>task.</w:t>
        <w:tab/>
      </w:r>
      <w:r>
        <w:rPr>
          <w:w w:val="110"/>
          <w:sz w:val="24"/>
        </w:rPr>
        <w:t>Although reaction times are</w:t>
      </w:r>
      <w:r>
        <w:rPr>
          <w:spacing w:val="9"/>
          <w:w w:val="110"/>
          <w:sz w:val="24"/>
        </w:rPr>
        <w:t> </w:t>
      </w:r>
      <w:r>
        <w:rPr>
          <w:w w:val="110"/>
          <w:sz w:val="24"/>
        </w:rPr>
        <w:t>the</w:t>
      </w:r>
    </w:p>
    <w:p>
      <w:pPr>
        <w:pStyle w:val="BodyText"/>
      </w:pPr>
      <w:r>
        <w:rPr>
          <w:rFonts w:ascii="Arial"/>
          <w:w w:val="105"/>
          <w:sz w:val="12"/>
        </w:rPr>
        <w:t>534 </w:t>
      </w:r>
      <w:r>
        <w:rPr>
          <w:w w:val="105"/>
        </w:rPr>
        <w:t>primary measure of interest for studies that utilise the AAT so that bias scores can be</w:t>
      </w:r>
    </w:p>
    <w:p>
      <w:pPr>
        <w:pStyle w:val="BodyText"/>
        <w:spacing w:before="203"/>
      </w:pPr>
      <w:r>
        <w:rPr>
          <w:rFonts w:ascii="Arial"/>
          <w:w w:val="105"/>
          <w:sz w:val="12"/>
        </w:rPr>
        <w:t>535 </w:t>
      </w:r>
      <w:r>
        <w:rPr>
          <w:w w:val="105"/>
        </w:rPr>
        <w:t>calculated, an exploratory examination of error rates is also reported. At baseline, average</w:t>
      </w:r>
    </w:p>
    <w:p>
      <w:pPr>
        <w:pStyle w:val="BodyText"/>
      </w:pPr>
      <w:r>
        <w:rPr>
          <w:rFonts w:ascii="Arial"/>
          <w:w w:val="105"/>
          <w:sz w:val="12"/>
        </w:rPr>
        <w:t>536 </w:t>
      </w:r>
      <w:r>
        <w:rPr>
          <w:w w:val="105"/>
        </w:rPr>
        <w:t>error rates were not increased for trials where participants were required to avoid an</w:t>
      </w:r>
    </w:p>
    <w:p>
      <w:pPr>
        <w:pStyle w:val="BodyText"/>
      </w:pPr>
      <w:r>
        <w:rPr>
          <w:rFonts w:ascii="Arial"/>
          <w:w w:val="105"/>
          <w:sz w:val="12"/>
        </w:rPr>
        <w:t>537     </w:t>
      </w:r>
      <w:r>
        <w:rPr>
          <w:w w:val="105"/>
        </w:rPr>
        <w:t>appetitive </w:t>
      </w:r>
      <w:r>
        <w:rPr>
          <w:spacing w:val="3"/>
          <w:w w:val="105"/>
        </w:rPr>
        <w:t>food </w:t>
      </w:r>
      <w:r>
        <w:rPr>
          <w:w w:val="105"/>
        </w:rPr>
        <w:t>and complete a push action (</w:t>
      </w:r>
      <w:r>
        <w:rPr>
          <w:i/>
          <w:w w:val="105"/>
        </w:rPr>
        <w:t>M  </w:t>
      </w:r>
      <w:r>
        <w:rPr>
          <w:w w:val="105"/>
        </w:rPr>
        <w:t>= 0.136; </w:t>
      </w:r>
      <w:r>
        <w:rPr>
          <w:i/>
          <w:w w:val="105"/>
        </w:rPr>
        <w:t>SD </w:t>
      </w:r>
      <w:r>
        <w:rPr>
          <w:w w:val="105"/>
        </w:rPr>
        <w:t>= 0.070) relative to trials</w:t>
      </w:r>
      <w:r>
        <w:rPr>
          <w:spacing w:val="47"/>
          <w:w w:val="105"/>
        </w:rPr>
        <w:t> </w:t>
      </w:r>
      <w:r>
        <w:rPr>
          <w:w w:val="105"/>
        </w:rPr>
        <w:t>where</w:t>
      </w:r>
    </w:p>
    <w:p>
      <w:pPr>
        <w:pStyle w:val="BodyText"/>
      </w:pPr>
      <w:r>
        <w:rPr>
          <w:rFonts w:ascii="Arial"/>
          <w:w w:val="110"/>
          <w:sz w:val="12"/>
        </w:rPr>
        <w:t>538  </w:t>
      </w:r>
      <w:r>
        <w:rPr>
          <w:rFonts w:ascii="Arial"/>
          <w:spacing w:val="27"/>
          <w:w w:val="110"/>
          <w:sz w:val="12"/>
        </w:rPr>
        <w:t> </w:t>
      </w:r>
      <w:r>
        <w:rPr>
          <w:w w:val="110"/>
        </w:rPr>
        <w:t>an</w:t>
      </w:r>
      <w:r>
        <w:rPr>
          <w:spacing w:val="-13"/>
          <w:w w:val="110"/>
        </w:rPr>
        <w:t> </w:t>
      </w:r>
      <w:r>
        <w:rPr>
          <w:w w:val="110"/>
        </w:rPr>
        <w:t>approach</w:t>
      </w:r>
      <w:r>
        <w:rPr>
          <w:spacing w:val="-13"/>
          <w:w w:val="110"/>
        </w:rPr>
        <w:t> </w:t>
      </w:r>
      <w:r>
        <w:rPr>
          <w:w w:val="110"/>
        </w:rPr>
        <w:t>(pull)</w:t>
      </w:r>
      <w:r>
        <w:rPr>
          <w:spacing w:val="-13"/>
          <w:w w:val="110"/>
        </w:rPr>
        <w:t> </w:t>
      </w:r>
      <w:r>
        <w:rPr>
          <w:w w:val="110"/>
        </w:rPr>
        <w:t>action</w:t>
      </w:r>
      <w:r>
        <w:rPr>
          <w:spacing w:val="-13"/>
          <w:w w:val="110"/>
        </w:rPr>
        <w:t> </w:t>
      </w:r>
      <w:r>
        <w:rPr>
          <w:spacing w:val="-3"/>
          <w:w w:val="110"/>
        </w:rPr>
        <w:t>was</w:t>
      </w:r>
      <w:r>
        <w:rPr>
          <w:spacing w:val="-13"/>
          <w:w w:val="110"/>
        </w:rPr>
        <w:t> </w:t>
      </w:r>
      <w:r>
        <w:rPr>
          <w:w w:val="110"/>
        </w:rPr>
        <w:t>completed</w:t>
      </w:r>
      <w:r>
        <w:rPr>
          <w:spacing w:val="-12"/>
          <w:w w:val="110"/>
        </w:rPr>
        <w:t> </w:t>
      </w:r>
      <w:r>
        <w:rPr>
          <w:w w:val="110"/>
        </w:rPr>
        <w:t>(</w:t>
      </w:r>
      <w:r>
        <w:rPr>
          <w:i/>
          <w:w w:val="110"/>
        </w:rPr>
        <w:t>M</w:t>
      </w:r>
      <w:r>
        <w:rPr>
          <w:i/>
          <w:spacing w:val="8"/>
          <w:w w:val="110"/>
        </w:rPr>
        <w:t> </w:t>
      </w:r>
      <w:r>
        <w:rPr>
          <w:w w:val="110"/>
        </w:rPr>
        <w:t>=</w:t>
      </w:r>
      <w:r>
        <w:rPr>
          <w:spacing w:val="-13"/>
          <w:w w:val="110"/>
        </w:rPr>
        <w:t> </w:t>
      </w:r>
      <w:r>
        <w:rPr>
          <w:w w:val="110"/>
        </w:rPr>
        <w:t>0.143;</w:t>
      </w:r>
      <w:r>
        <w:rPr>
          <w:spacing w:val="-12"/>
          <w:w w:val="110"/>
        </w:rPr>
        <w:t> </w:t>
      </w:r>
      <w:r>
        <w:rPr>
          <w:i/>
          <w:w w:val="110"/>
        </w:rPr>
        <w:t>SD</w:t>
      </w:r>
      <w:r>
        <w:rPr>
          <w:i/>
          <w:spacing w:val="-4"/>
          <w:w w:val="110"/>
        </w:rPr>
        <w:t> </w:t>
      </w:r>
      <w:r>
        <w:rPr>
          <w:w w:val="110"/>
        </w:rPr>
        <w:t>=</w:t>
      </w:r>
      <w:r>
        <w:rPr>
          <w:spacing w:val="-13"/>
          <w:w w:val="110"/>
        </w:rPr>
        <w:t> </w:t>
      </w:r>
      <w:r>
        <w:rPr>
          <w:w w:val="110"/>
        </w:rPr>
        <w:t>0.066)</w:t>
      </w:r>
      <w:r>
        <w:rPr>
          <w:spacing w:val="-13"/>
          <w:w w:val="110"/>
        </w:rPr>
        <w:t> </w:t>
      </w:r>
      <w:r>
        <w:rPr>
          <w:w w:val="110"/>
        </w:rPr>
        <w:t>[</w:t>
      </w:r>
      <w:r>
        <w:rPr>
          <w:i/>
          <w:w w:val="110"/>
        </w:rPr>
        <w:t>BF</w:t>
      </w:r>
      <w:r>
        <w:rPr>
          <w:i/>
          <w:spacing w:val="-49"/>
          <w:w w:val="110"/>
        </w:rPr>
        <w:t> </w:t>
      </w:r>
      <w:r>
        <w:rPr>
          <w:w w:val="110"/>
          <w:vertAlign w:val="subscript"/>
        </w:rPr>
        <w:t>01</w:t>
      </w:r>
      <w:r>
        <w:rPr>
          <w:spacing w:val="-6"/>
          <w:w w:val="110"/>
          <w:vertAlign w:val="baseline"/>
        </w:rPr>
        <w:t> </w:t>
      </w:r>
      <w:r>
        <w:rPr>
          <w:w w:val="110"/>
          <w:vertAlign w:val="baseline"/>
        </w:rPr>
        <w:t>=</w:t>
      </w:r>
      <w:r>
        <w:rPr>
          <w:spacing w:val="-13"/>
          <w:w w:val="110"/>
          <w:vertAlign w:val="baseline"/>
        </w:rPr>
        <w:t> </w:t>
      </w:r>
      <w:r>
        <w:rPr>
          <w:w w:val="110"/>
          <w:vertAlign w:val="baseline"/>
        </w:rPr>
        <w:t>26.49;</w:t>
      </w:r>
      <w:r>
        <w:rPr>
          <w:spacing w:val="-12"/>
          <w:w w:val="110"/>
          <w:vertAlign w:val="baseline"/>
        </w:rPr>
        <w:t> </w:t>
      </w:r>
      <w:r>
        <w:rPr>
          <w:i/>
          <w:spacing w:val="2"/>
          <w:w w:val="110"/>
          <w:vertAlign w:val="baseline"/>
        </w:rPr>
        <w:t>t</w:t>
      </w:r>
      <w:r>
        <w:rPr>
          <w:spacing w:val="2"/>
          <w:w w:val="110"/>
          <w:vertAlign w:val="baseline"/>
        </w:rPr>
        <w:t>(162)</w:t>
      </w:r>
      <w:r>
        <w:rPr>
          <w:spacing w:val="-13"/>
          <w:w w:val="110"/>
          <w:vertAlign w:val="baseline"/>
        </w:rPr>
        <w:t> </w:t>
      </w:r>
      <w:r>
        <w:rPr>
          <w:w w:val="110"/>
          <w:vertAlign w:val="baseline"/>
        </w:rPr>
        <w:t>=</w:t>
      </w:r>
    </w:p>
    <w:p>
      <w:pPr>
        <w:pStyle w:val="BodyText"/>
      </w:pPr>
      <w:r>
        <w:rPr>
          <w:rFonts w:ascii="Arial"/>
          <w:w w:val="105"/>
          <w:sz w:val="12"/>
        </w:rPr>
        <w:t>539 </w:t>
      </w:r>
      <w:r>
        <w:rPr>
          <w:w w:val="105"/>
        </w:rPr>
        <w:t>1.42, </w:t>
      </w:r>
      <w:r>
        <w:rPr>
          <w:i/>
          <w:w w:val="105"/>
        </w:rPr>
        <w:t>p</w:t>
      </w:r>
      <w:r>
        <w:rPr>
          <w:w w:val="105"/>
        </w:rPr>
        <w:t>= 0.159, </w:t>
      </w:r>
      <w:r>
        <w:rPr>
          <w:i/>
          <w:w w:val="105"/>
        </w:rPr>
        <w:t>d </w:t>
      </w:r>
      <w:r>
        <w:rPr>
          <w:w w:val="105"/>
        </w:rPr>
        <w:t>= 0.11, 95% CI for </w:t>
      </w:r>
      <w:r>
        <w:rPr>
          <w:i/>
          <w:w w:val="105"/>
        </w:rPr>
        <w:t>d </w:t>
      </w:r>
      <w:r>
        <w:rPr>
          <w:w w:val="105"/>
        </w:rPr>
        <w:t>= -0.04, 0.26]. However, after training participants</w:t>
      </w:r>
    </w:p>
    <w:p>
      <w:pPr>
        <w:pStyle w:val="BodyText"/>
        <w:spacing w:before="203"/>
      </w:pPr>
      <w:r>
        <w:rPr>
          <w:rFonts w:ascii="Arial"/>
          <w:w w:val="105"/>
          <w:sz w:val="12"/>
        </w:rPr>
        <w:t>540 </w:t>
      </w:r>
      <w:r>
        <w:rPr>
          <w:w w:val="105"/>
        </w:rPr>
        <w:t>had on average more errors in approach trials (</w:t>
      </w:r>
      <w:r>
        <w:rPr>
          <w:i/>
          <w:w w:val="105"/>
        </w:rPr>
        <w:t>M </w:t>
      </w:r>
      <w:r>
        <w:rPr>
          <w:w w:val="105"/>
        </w:rPr>
        <w:t>= .124, </w:t>
      </w:r>
      <w:r>
        <w:rPr>
          <w:i/>
          <w:w w:val="105"/>
        </w:rPr>
        <w:t>SD </w:t>
      </w:r>
      <w:r>
        <w:rPr>
          <w:w w:val="105"/>
        </w:rPr>
        <w:t>= .074) compared to avoid</w:t>
      </w:r>
    </w:p>
    <w:p>
      <w:pPr>
        <w:spacing w:before="201"/>
        <w:ind w:left="230" w:right="0" w:firstLine="0"/>
        <w:jc w:val="left"/>
        <w:rPr>
          <w:sz w:val="24"/>
        </w:rPr>
      </w:pPr>
      <w:r>
        <w:rPr>
          <w:rFonts w:ascii="Arial"/>
          <w:w w:val="110"/>
          <w:sz w:val="12"/>
        </w:rPr>
        <w:t>541   </w:t>
      </w:r>
      <w:r>
        <w:rPr>
          <w:rFonts w:ascii="Arial"/>
          <w:spacing w:val="1"/>
          <w:w w:val="110"/>
          <w:sz w:val="12"/>
        </w:rPr>
        <w:t> </w:t>
      </w:r>
      <w:r>
        <w:rPr>
          <w:w w:val="110"/>
          <w:sz w:val="24"/>
        </w:rPr>
        <w:t>trials</w:t>
      </w:r>
      <w:r>
        <w:rPr>
          <w:spacing w:val="-10"/>
          <w:w w:val="110"/>
          <w:sz w:val="24"/>
        </w:rPr>
        <w:t> </w:t>
      </w:r>
      <w:r>
        <w:rPr>
          <w:w w:val="110"/>
          <w:sz w:val="24"/>
        </w:rPr>
        <w:t>(</w:t>
      </w:r>
      <w:r>
        <w:rPr>
          <w:i/>
          <w:w w:val="110"/>
          <w:sz w:val="24"/>
        </w:rPr>
        <w:t>M</w:t>
      </w:r>
      <w:r>
        <w:rPr>
          <w:i/>
          <w:spacing w:val="12"/>
          <w:w w:val="110"/>
          <w:sz w:val="24"/>
        </w:rPr>
        <w:t> </w:t>
      </w:r>
      <w:r>
        <w:rPr>
          <w:w w:val="110"/>
          <w:sz w:val="24"/>
        </w:rPr>
        <w:t>=</w:t>
      </w:r>
      <w:r>
        <w:rPr>
          <w:spacing w:val="-11"/>
          <w:w w:val="110"/>
          <w:sz w:val="24"/>
        </w:rPr>
        <w:t> </w:t>
      </w:r>
      <w:r>
        <w:rPr>
          <w:w w:val="110"/>
          <w:sz w:val="24"/>
        </w:rPr>
        <w:t>0.105,</w:t>
      </w:r>
      <w:r>
        <w:rPr>
          <w:spacing w:val="-10"/>
          <w:w w:val="110"/>
          <w:sz w:val="24"/>
        </w:rPr>
        <w:t> </w:t>
      </w:r>
      <w:r>
        <w:rPr>
          <w:i/>
          <w:w w:val="110"/>
          <w:sz w:val="24"/>
        </w:rPr>
        <w:t>SD</w:t>
      </w:r>
      <w:r>
        <w:rPr>
          <w:i/>
          <w:spacing w:val="-1"/>
          <w:w w:val="110"/>
          <w:sz w:val="24"/>
        </w:rPr>
        <w:t> </w:t>
      </w:r>
      <w:r>
        <w:rPr>
          <w:w w:val="110"/>
          <w:sz w:val="24"/>
        </w:rPr>
        <w:t>=</w:t>
      </w:r>
      <w:r>
        <w:rPr>
          <w:spacing w:val="-11"/>
          <w:w w:val="110"/>
          <w:sz w:val="24"/>
        </w:rPr>
        <w:t> </w:t>
      </w:r>
      <w:r>
        <w:rPr>
          <w:w w:val="110"/>
          <w:sz w:val="24"/>
        </w:rPr>
        <w:t>0.062)</w:t>
      </w:r>
      <w:r>
        <w:rPr>
          <w:spacing w:val="-11"/>
          <w:w w:val="110"/>
          <w:sz w:val="24"/>
        </w:rPr>
        <w:t> </w:t>
      </w:r>
      <w:r>
        <w:rPr>
          <w:w w:val="110"/>
          <w:sz w:val="24"/>
        </w:rPr>
        <w:t>[</w:t>
      </w:r>
      <w:r>
        <w:rPr>
          <w:i/>
          <w:w w:val="110"/>
          <w:sz w:val="24"/>
        </w:rPr>
        <w:t>BF</w:t>
      </w:r>
      <w:r>
        <w:rPr>
          <w:i/>
          <w:spacing w:val="-47"/>
          <w:w w:val="110"/>
          <w:sz w:val="24"/>
        </w:rPr>
        <w:t> </w:t>
      </w:r>
      <w:r>
        <w:rPr>
          <w:w w:val="110"/>
          <w:sz w:val="24"/>
          <w:vertAlign w:val="subscript"/>
        </w:rPr>
        <w:t>10</w:t>
      </w:r>
      <w:r>
        <w:rPr>
          <w:spacing w:val="-3"/>
          <w:w w:val="110"/>
          <w:sz w:val="24"/>
          <w:vertAlign w:val="baseline"/>
        </w:rPr>
        <w:t> </w:t>
      </w:r>
      <w:r>
        <w:rPr>
          <w:w w:val="110"/>
          <w:sz w:val="24"/>
          <w:vertAlign w:val="baseline"/>
        </w:rPr>
        <w:t>=</w:t>
      </w:r>
      <w:r>
        <w:rPr>
          <w:spacing w:val="-11"/>
          <w:w w:val="110"/>
          <w:sz w:val="24"/>
          <w:vertAlign w:val="baseline"/>
        </w:rPr>
        <w:t> </w:t>
      </w:r>
      <w:r>
        <w:rPr>
          <w:w w:val="110"/>
          <w:sz w:val="24"/>
          <w:vertAlign w:val="baseline"/>
        </w:rPr>
        <w:t>90.98,</w:t>
      </w:r>
      <w:r>
        <w:rPr>
          <w:spacing w:val="-10"/>
          <w:w w:val="110"/>
          <w:sz w:val="24"/>
          <w:vertAlign w:val="baseline"/>
        </w:rPr>
        <w:t> </w:t>
      </w:r>
      <w:r>
        <w:rPr>
          <w:i/>
          <w:spacing w:val="2"/>
          <w:w w:val="110"/>
          <w:sz w:val="24"/>
          <w:vertAlign w:val="baseline"/>
        </w:rPr>
        <w:t>t</w:t>
      </w:r>
      <w:r>
        <w:rPr>
          <w:spacing w:val="2"/>
          <w:w w:val="110"/>
          <w:sz w:val="24"/>
          <w:vertAlign w:val="baseline"/>
        </w:rPr>
        <w:t>(162)</w:t>
      </w:r>
      <w:r>
        <w:rPr>
          <w:spacing w:val="-11"/>
          <w:w w:val="110"/>
          <w:sz w:val="24"/>
          <w:vertAlign w:val="baseline"/>
        </w:rPr>
        <w:t> </w:t>
      </w:r>
      <w:r>
        <w:rPr>
          <w:w w:val="110"/>
          <w:sz w:val="24"/>
          <w:vertAlign w:val="baseline"/>
        </w:rPr>
        <w:t>=</w:t>
      </w:r>
      <w:r>
        <w:rPr>
          <w:spacing w:val="-11"/>
          <w:w w:val="110"/>
          <w:sz w:val="24"/>
          <w:vertAlign w:val="baseline"/>
        </w:rPr>
        <w:t> </w:t>
      </w:r>
      <w:r>
        <w:rPr>
          <w:w w:val="110"/>
          <w:sz w:val="24"/>
          <w:vertAlign w:val="baseline"/>
        </w:rPr>
        <w:t>3.64,</w:t>
      </w:r>
      <w:r>
        <w:rPr>
          <w:spacing w:val="-10"/>
          <w:w w:val="110"/>
          <w:sz w:val="24"/>
          <w:vertAlign w:val="baseline"/>
        </w:rPr>
        <w:t> </w:t>
      </w:r>
      <w:r>
        <w:rPr>
          <w:i/>
          <w:w w:val="110"/>
          <w:sz w:val="24"/>
          <w:vertAlign w:val="baseline"/>
        </w:rPr>
        <w:t>p</w:t>
      </w:r>
      <w:r>
        <w:rPr>
          <w:i/>
          <w:spacing w:val="-5"/>
          <w:w w:val="110"/>
          <w:sz w:val="24"/>
          <w:vertAlign w:val="baseline"/>
        </w:rPr>
        <w:t> </w:t>
      </w:r>
      <w:r>
        <w:rPr>
          <w:w w:val="110"/>
          <w:sz w:val="24"/>
          <w:vertAlign w:val="baseline"/>
        </w:rPr>
        <w:t>&lt;</w:t>
      </w:r>
      <w:r>
        <w:rPr>
          <w:spacing w:val="-11"/>
          <w:w w:val="110"/>
          <w:sz w:val="24"/>
          <w:vertAlign w:val="baseline"/>
        </w:rPr>
        <w:t> </w:t>
      </w:r>
      <w:r>
        <w:rPr>
          <w:w w:val="110"/>
          <w:sz w:val="24"/>
          <w:vertAlign w:val="baseline"/>
        </w:rPr>
        <w:t>.001,</w:t>
      </w:r>
      <w:r>
        <w:rPr>
          <w:spacing w:val="-10"/>
          <w:w w:val="110"/>
          <w:sz w:val="24"/>
          <w:vertAlign w:val="baseline"/>
        </w:rPr>
        <w:t> </w:t>
      </w:r>
      <w:r>
        <w:rPr>
          <w:i/>
          <w:w w:val="110"/>
          <w:sz w:val="24"/>
          <w:vertAlign w:val="baseline"/>
        </w:rPr>
        <w:t>p</w:t>
      </w:r>
      <w:r>
        <w:rPr>
          <w:rFonts w:ascii="Arial"/>
          <w:i/>
          <w:w w:val="110"/>
          <w:sz w:val="24"/>
          <w:vertAlign w:val="subscript"/>
        </w:rPr>
        <w:t>W</w:t>
      </w:r>
      <w:r>
        <w:rPr>
          <w:rFonts w:ascii="Arial"/>
          <w:i/>
          <w:spacing w:val="-11"/>
          <w:w w:val="110"/>
          <w:sz w:val="24"/>
          <w:vertAlign w:val="baseline"/>
        </w:rPr>
        <w:t> </w:t>
      </w:r>
      <w:r>
        <w:rPr>
          <w:w w:val="110"/>
          <w:sz w:val="24"/>
          <w:vertAlign w:val="baseline"/>
        </w:rPr>
        <w:t>&lt;</w:t>
      </w:r>
      <w:r>
        <w:rPr>
          <w:spacing w:val="-11"/>
          <w:w w:val="110"/>
          <w:sz w:val="24"/>
          <w:vertAlign w:val="baseline"/>
        </w:rPr>
        <w:t> </w:t>
      </w:r>
      <w:r>
        <w:rPr>
          <w:w w:val="110"/>
          <w:sz w:val="24"/>
          <w:vertAlign w:val="baseline"/>
        </w:rPr>
        <w:t>.001,</w:t>
      </w:r>
      <w:r>
        <w:rPr>
          <w:spacing w:val="-10"/>
          <w:w w:val="110"/>
          <w:sz w:val="24"/>
          <w:vertAlign w:val="baseline"/>
        </w:rPr>
        <w:t> </w:t>
      </w:r>
      <w:r>
        <w:rPr>
          <w:i/>
          <w:w w:val="110"/>
          <w:sz w:val="24"/>
          <w:vertAlign w:val="baseline"/>
        </w:rPr>
        <w:t>d</w:t>
      </w:r>
      <w:r>
        <w:rPr>
          <w:i/>
          <w:spacing w:val="4"/>
          <w:w w:val="110"/>
          <w:sz w:val="24"/>
          <w:vertAlign w:val="baseline"/>
        </w:rPr>
        <w:t> </w:t>
      </w:r>
      <w:r>
        <w:rPr>
          <w:w w:val="110"/>
          <w:sz w:val="24"/>
          <w:vertAlign w:val="baseline"/>
        </w:rPr>
        <w:t>=</w:t>
      </w:r>
      <w:r>
        <w:rPr>
          <w:spacing w:val="-11"/>
          <w:w w:val="110"/>
          <w:sz w:val="24"/>
          <w:vertAlign w:val="baseline"/>
        </w:rPr>
        <w:t> </w:t>
      </w:r>
      <w:r>
        <w:rPr>
          <w:w w:val="110"/>
          <w:sz w:val="24"/>
          <w:vertAlign w:val="baseline"/>
        </w:rPr>
        <w:t>0.29,</w:t>
      </w:r>
    </w:p>
    <w:p>
      <w:pPr>
        <w:pStyle w:val="BodyText"/>
      </w:pPr>
      <w:r>
        <w:rPr>
          <w:rFonts w:ascii="Arial" w:hAnsi="Arial"/>
          <w:w w:val="105"/>
          <w:sz w:val="12"/>
        </w:rPr>
        <w:t>542     </w:t>
      </w:r>
      <w:r>
        <w:rPr>
          <w:w w:val="105"/>
        </w:rPr>
        <w:t>95% CI for </w:t>
      </w:r>
      <w:r>
        <w:rPr>
          <w:i/>
          <w:w w:val="105"/>
        </w:rPr>
        <w:t>d </w:t>
      </w:r>
      <w:r>
        <w:rPr>
          <w:w w:val="105"/>
        </w:rPr>
        <w:t>= 0.13, 0.44].  It is possible that training had a “hidden” effect on </w:t>
      </w:r>
      <w:r>
        <w:rPr>
          <w:spacing w:val="-3"/>
          <w:w w:val="105"/>
        </w:rPr>
        <w:t>accuracy,</w:t>
      </w:r>
      <w:r>
        <w:rPr>
          <w:spacing w:val="11"/>
          <w:w w:val="105"/>
        </w:rPr>
        <w:t> </w:t>
      </w:r>
      <w:r>
        <w:rPr>
          <w:w w:val="105"/>
        </w:rPr>
        <w:t>for</w:t>
      </w:r>
    </w:p>
    <w:p>
      <w:pPr>
        <w:pStyle w:val="BodyText"/>
      </w:pPr>
      <w:r>
        <w:rPr>
          <w:rFonts w:ascii="Arial"/>
          <w:w w:val="105"/>
          <w:sz w:val="12"/>
        </w:rPr>
        <w:t>543    </w:t>
      </w:r>
      <w:r>
        <w:rPr>
          <w:rFonts w:ascii="Arial"/>
          <w:spacing w:val="4"/>
          <w:w w:val="105"/>
          <w:sz w:val="12"/>
        </w:rPr>
        <w:t> </w:t>
      </w:r>
      <w:r>
        <w:rPr>
          <w:w w:val="105"/>
        </w:rPr>
        <w:t>example</w:t>
      </w:r>
      <w:r>
        <w:rPr>
          <w:spacing w:val="7"/>
          <w:w w:val="105"/>
        </w:rPr>
        <w:t> </w:t>
      </w:r>
      <w:r>
        <w:rPr>
          <w:w w:val="105"/>
        </w:rPr>
        <w:t>it</w:t>
      </w:r>
      <w:r>
        <w:rPr>
          <w:spacing w:val="7"/>
          <w:w w:val="105"/>
        </w:rPr>
        <w:t> </w:t>
      </w:r>
      <w:r>
        <w:rPr>
          <w:spacing w:val="-3"/>
          <w:w w:val="105"/>
        </w:rPr>
        <w:t>was</w:t>
      </w:r>
      <w:r>
        <w:rPr>
          <w:spacing w:val="7"/>
          <w:w w:val="105"/>
        </w:rPr>
        <w:t> </w:t>
      </w:r>
      <w:r>
        <w:rPr>
          <w:w w:val="105"/>
        </w:rPr>
        <w:t>more</w:t>
      </w:r>
      <w:r>
        <w:rPr>
          <w:spacing w:val="8"/>
          <w:w w:val="105"/>
        </w:rPr>
        <w:t> </w:t>
      </w:r>
      <w:r>
        <w:rPr>
          <w:w w:val="105"/>
        </w:rPr>
        <w:t>difficult</w:t>
      </w:r>
      <w:r>
        <w:rPr>
          <w:spacing w:val="6"/>
          <w:w w:val="105"/>
        </w:rPr>
        <w:t> </w:t>
      </w:r>
      <w:r>
        <w:rPr>
          <w:w w:val="105"/>
        </w:rPr>
        <w:t>to</w:t>
      </w:r>
      <w:r>
        <w:rPr>
          <w:spacing w:val="8"/>
          <w:w w:val="105"/>
        </w:rPr>
        <w:t> </w:t>
      </w:r>
      <w:r>
        <w:rPr>
          <w:w w:val="105"/>
        </w:rPr>
        <w:t>approach</w:t>
      </w:r>
      <w:r>
        <w:rPr>
          <w:spacing w:val="7"/>
          <w:w w:val="105"/>
        </w:rPr>
        <w:t> </w:t>
      </w:r>
      <w:r>
        <w:rPr>
          <w:w w:val="105"/>
        </w:rPr>
        <w:t>no-go</w:t>
      </w:r>
      <w:r>
        <w:rPr>
          <w:spacing w:val="7"/>
          <w:w w:val="105"/>
        </w:rPr>
        <w:t> </w:t>
      </w:r>
      <w:r>
        <w:rPr>
          <w:spacing w:val="2"/>
          <w:w w:val="105"/>
        </w:rPr>
        <w:t>foods</w:t>
      </w:r>
      <w:r>
        <w:rPr>
          <w:spacing w:val="6"/>
          <w:w w:val="105"/>
        </w:rPr>
        <w:t> </w:t>
      </w:r>
      <w:r>
        <w:rPr>
          <w:w w:val="105"/>
        </w:rPr>
        <w:t>compared</w:t>
      </w:r>
      <w:r>
        <w:rPr>
          <w:spacing w:val="8"/>
          <w:w w:val="105"/>
        </w:rPr>
        <w:t> </w:t>
      </w:r>
      <w:r>
        <w:rPr>
          <w:w w:val="105"/>
        </w:rPr>
        <w:t>to</w:t>
      </w:r>
      <w:r>
        <w:rPr>
          <w:spacing w:val="6"/>
          <w:w w:val="105"/>
        </w:rPr>
        <w:t> </w:t>
      </w:r>
      <w:r>
        <w:rPr>
          <w:w w:val="105"/>
        </w:rPr>
        <w:t>go</w:t>
      </w:r>
      <w:r>
        <w:rPr>
          <w:spacing w:val="8"/>
          <w:w w:val="105"/>
        </w:rPr>
        <w:t> </w:t>
      </w:r>
      <w:r>
        <w:rPr>
          <w:w w:val="105"/>
        </w:rPr>
        <w:t>and/or</w:t>
      </w:r>
      <w:r>
        <w:rPr>
          <w:spacing w:val="7"/>
          <w:w w:val="105"/>
        </w:rPr>
        <w:t> </w:t>
      </w:r>
      <w:r>
        <w:rPr>
          <w:w w:val="105"/>
        </w:rPr>
        <w:t>control</w:t>
      </w:r>
      <w:r>
        <w:rPr>
          <w:spacing w:val="7"/>
          <w:w w:val="105"/>
        </w:rPr>
        <w:t> </w:t>
      </w:r>
      <w:r>
        <w:rPr>
          <w:spacing w:val="2"/>
          <w:w w:val="105"/>
        </w:rPr>
        <w:t>foods</w:t>
      </w:r>
    </w:p>
    <w:p>
      <w:pPr>
        <w:pStyle w:val="BodyText"/>
      </w:pPr>
      <w:r>
        <w:rPr>
          <w:rFonts w:ascii="Arial"/>
          <w:w w:val="105"/>
          <w:sz w:val="12"/>
        </w:rPr>
        <w:t>544 </w:t>
      </w:r>
      <w:r>
        <w:rPr>
          <w:w w:val="105"/>
        </w:rPr>
        <w:t>due to a learned association between response inhibition and these </w:t>
      </w:r>
      <w:r>
        <w:rPr>
          <w:spacing w:val="3"/>
          <w:w w:val="105"/>
        </w:rPr>
        <w:t>food </w:t>
      </w:r>
      <w:r>
        <w:rPr>
          <w:w w:val="105"/>
        </w:rPr>
        <w:t>stimuli.</w:t>
      </w:r>
      <w:r>
        <w:rPr>
          <w:spacing w:val="62"/>
          <w:w w:val="105"/>
        </w:rPr>
        <w:t> </w:t>
      </w:r>
      <w:r>
        <w:rPr>
          <w:w w:val="105"/>
        </w:rPr>
        <w:t>Difference</w:t>
      </w:r>
    </w:p>
    <w:p>
      <w:pPr>
        <w:pStyle w:val="BodyText"/>
      </w:pPr>
      <w:r>
        <w:rPr>
          <w:rFonts w:ascii="Arial"/>
          <w:w w:val="105"/>
          <w:sz w:val="12"/>
        </w:rPr>
        <w:t>545 </w:t>
      </w:r>
      <w:r>
        <w:rPr>
          <w:w w:val="105"/>
        </w:rPr>
        <w:t>scores were calculated from the mean error rates post-training (pull - push) to </w:t>
      </w:r>
      <w:r>
        <w:rPr>
          <w:spacing w:val="-3"/>
          <w:w w:val="105"/>
        </w:rPr>
        <w:t>check</w:t>
      </w:r>
      <w:r>
        <w:rPr>
          <w:spacing w:val="55"/>
          <w:w w:val="105"/>
        </w:rPr>
        <w:t> </w:t>
      </w:r>
      <w:r>
        <w:rPr>
          <w:w w:val="105"/>
        </w:rPr>
        <w:t>whether</w:t>
      </w:r>
    </w:p>
    <w:p>
      <w:pPr>
        <w:pStyle w:val="BodyText"/>
        <w:spacing w:before="203"/>
      </w:pPr>
      <w:r>
        <w:rPr>
          <w:rFonts w:ascii="Arial"/>
          <w:w w:val="105"/>
          <w:sz w:val="12"/>
        </w:rPr>
        <w:t>546 </w:t>
      </w:r>
      <w:r>
        <w:rPr>
          <w:w w:val="105"/>
        </w:rPr>
        <w:t>this increase in error rates was general or specific to training conditions. There was very</w:t>
      </w:r>
    </w:p>
    <w:p>
      <w:pPr>
        <w:pStyle w:val="BodyText"/>
      </w:pPr>
      <w:r>
        <w:rPr>
          <w:rFonts w:ascii="Arial"/>
          <w:sz w:val="12"/>
        </w:rPr>
        <w:t>547 </w:t>
      </w:r>
      <w:r>
        <w:rPr/>
        <w:t>strong evidence for the absence of a general effect of training condition on differences in</w:t>
      </w:r>
    </w:p>
    <w:p>
      <w:pPr>
        <w:pStyle w:val="BodyText"/>
        <w:rPr>
          <w:i/>
        </w:rPr>
      </w:pPr>
      <w:r>
        <w:rPr>
          <w:rFonts w:ascii="Arial"/>
          <w:w w:val="105"/>
          <w:sz w:val="12"/>
        </w:rPr>
        <w:t>548 </w:t>
      </w:r>
      <w:r>
        <w:rPr>
          <w:w w:val="105"/>
        </w:rPr>
        <w:t>mean error rates between approach and avoid trials [H3; </w:t>
      </w:r>
      <w:r>
        <w:rPr>
          <w:i/>
          <w:w w:val="105"/>
        </w:rPr>
        <w:t>BF </w:t>
      </w:r>
      <w:r>
        <w:rPr>
          <w:w w:val="105"/>
          <w:vertAlign w:val="subscript"/>
        </w:rPr>
        <w:t>01</w:t>
      </w:r>
      <w:r>
        <w:rPr>
          <w:w w:val="105"/>
          <w:vertAlign w:val="baseline"/>
        </w:rPr>
        <w:t> = 37.16; </w:t>
      </w:r>
      <w:r>
        <w:rPr>
          <w:i/>
          <w:w w:val="105"/>
          <w:vertAlign w:val="baseline"/>
        </w:rPr>
        <w:t>F </w:t>
      </w:r>
      <w:r>
        <w:rPr>
          <w:w w:val="105"/>
          <w:vertAlign w:val="baseline"/>
        </w:rPr>
        <w:t>(2, 324) = 0.17, </w:t>
      </w:r>
      <w:r>
        <w:rPr>
          <w:i/>
          <w:w w:val="105"/>
          <w:vertAlign w:val="baseline"/>
        </w:rPr>
        <w:t>p</w:t>
      </w:r>
    </w:p>
    <w:p>
      <w:pPr>
        <w:pStyle w:val="BodyText"/>
      </w:pPr>
      <w:r>
        <w:rPr>
          <w:rFonts w:ascii="Arial"/>
          <w:w w:val="105"/>
          <w:sz w:val="12"/>
        </w:rPr>
        <w:t>549 </w:t>
      </w:r>
      <w:r>
        <w:rPr>
          <w:w w:val="105"/>
        </w:rPr>
        <w:t>= 0.844]. RT differences between approach and avoid trials were inspected and there was</w:t>
      </w:r>
    </w:p>
    <w:p>
      <w:pPr>
        <w:spacing w:after="0"/>
        <w:sectPr>
          <w:pgSz w:w="12240" w:h="15840"/>
          <w:pgMar w:header="649" w:footer="0" w:top="1320" w:bottom="280" w:left="820" w:right="1140"/>
        </w:sectPr>
      </w:pPr>
    </w:p>
    <w:p>
      <w:pPr>
        <w:pStyle w:val="BodyText"/>
        <w:spacing w:before="191"/>
      </w:pPr>
      <w:r>
        <w:rPr>
          <w:rFonts w:ascii="Arial"/>
          <w:w w:val="105"/>
          <w:sz w:val="12"/>
        </w:rPr>
        <w:t>550 </w:t>
      </w:r>
      <w:r>
        <w:rPr>
          <w:i/>
          <w:w w:val="105"/>
        </w:rPr>
        <w:t>strong </w:t>
      </w:r>
      <w:r>
        <w:rPr>
          <w:w w:val="105"/>
        </w:rPr>
        <w:t>evidence for slower RTs on pull compared to push actions after training [</w:t>
      </w:r>
      <w:r>
        <w:rPr>
          <w:i/>
          <w:w w:val="105"/>
        </w:rPr>
        <w:t>BF </w:t>
      </w:r>
      <w:r>
        <w:rPr>
          <w:w w:val="105"/>
          <w:vertAlign w:val="subscript"/>
        </w:rPr>
        <w:t>10</w:t>
      </w:r>
      <w:r>
        <w:rPr>
          <w:w w:val="105"/>
          <w:vertAlign w:val="baseline"/>
        </w:rPr>
        <w:t> =</w:t>
      </w:r>
    </w:p>
    <w:p>
      <w:pPr>
        <w:pStyle w:val="BodyText"/>
        <w:spacing w:before="201"/>
      </w:pPr>
      <w:r>
        <w:rPr>
          <w:rFonts w:ascii="Arial"/>
          <w:w w:val="105"/>
          <w:sz w:val="12"/>
        </w:rPr>
        <w:t>551 </w:t>
      </w:r>
      <w:r>
        <w:rPr>
          <w:w w:val="105"/>
        </w:rPr>
        <w:t>11.32; </w:t>
      </w:r>
      <w:r>
        <w:rPr>
          <w:i/>
          <w:w w:val="105"/>
        </w:rPr>
        <w:t>t</w:t>
      </w:r>
      <w:r>
        <w:rPr>
          <w:w w:val="105"/>
        </w:rPr>
        <w:t>(162) = 2.95, </w:t>
      </w:r>
      <w:r>
        <w:rPr>
          <w:i/>
          <w:w w:val="105"/>
        </w:rPr>
        <w:t>p </w:t>
      </w:r>
      <w:r>
        <w:rPr>
          <w:w w:val="105"/>
        </w:rPr>
        <w:t>= 0.004, </w:t>
      </w:r>
      <w:r>
        <w:rPr>
          <w:i/>
          <w:w w:val="105"/>
        </w:rPr>
        <w:t>p</w:t>
      </w:r>
      <w:r>
        <w:rPr>
          <w:rFonts w:ascii="Arial"/>
          <w:i/>
          <w:w w:val="105"/>
          <w:vertAlign w:val="subscript"/>
        </w:rPr>
        <w:t>W</w:t>
      </w:r>
      <w:r>
        <w:rPr>
          <w:rFonts w:ascii="Arial"/>
          <w:i/>
          <w:w w:val="105"/>
          <w:vertAlign w:val="baseline"/>
        </w:rPr>
        <w:t> </w:t>
      </w:r>
      <w:r>
        <w:rPr>
          <w:w w:val="105"/>
          <w:vertAlign w:val="baseline"/>
        </w:rPr>
        <w:t>= 0.002, </w:t>
      </w:r>
      <w:r>
        <w:rPr>
          <w:i/>
          <w:w w:val="105"/>
          <w:vertAlign w:val="baseline"/>
        </w:rPr>
        <w:t>d </w:t>
      </w:r>
      <w:r>
        <w:rPr>
          <w:w w:val="105"/>
          <w:vertAlign w:val="baseline"/>
        </w:rPr>
        <w:t>= 0.23, 95% CI for </w:t>
      </w:r>
      <w:r>
        <w:rPr>
          <w:i/>
          <w:w w:val="105"/>
          <w:vertAlign w:val="baseline"/>
        </w:rPr>
        <w:t>d </w:t>
      </w:r>
      <w:r>
        <w:rPr>
          <w:w w:val="105"/>
          <w:vertAlign w:val="baseline"/>
        </w:rPr>
        <w:t>= 0.08, 0.39]. Together</w:t>
      </w:r>
    </w:p>
    <w:p>
      <w:pPr>
        <w:pStyle w:val="BodyText"/>
        <w:spacing w:before="203"/>
      </w:pPr>
      <w:r>
        <w:rPr>
          <w:rFonts w:ascii="Arial"/>
          <w:w w:val="105"/>
          <w:sz w:val="12"/>
        </w:rPr>
        <w:t>552 </w:t>
      </w:r>
      <w:r>
        <w:rPr>
          <w:w w:val="105"/>
        </w:rPr>
        <w:t>these results may indicate fatigue effects associated with bio-mechanical costs (e.g., arm</w:t>
      </w:r>
    </w:p>
    <w:p>
      <w:pPr>
        <w:pStyle w:val="BodyText"/>
      </w:pPr>
      <w:r>
        <w:rPr>
          <w:rFonts w:ascii="Arial"/>
          <w:sz w:val="12"/>
        </w:rPr>
        <w:t>553 </w:t>
      </w:r>
      <w:r>
        <w:rPr/>
        <w:t>flexion muscle group</w:t>
      </w:r>
      <w:r>
        <w:rPr>
          <w:spacing w:val="57"/>
        </w:rPr>
        <w:t> </w:t>
      </w:r>
      <w:r>
        <w:rPr>
          <w:spacing w:val="-3"/>
        </w:rPr>
        <w:t>activation).</w:t>
      </w:r>
    </w:p>
    <w:p>
      <w:pPr>
        <w:pStyle w:val="BodyText"/>
        <w:spacing w:before="0"/>
        <w:ind w:left="0"/>
        <w:rPr>
          <w:sz w:val="20"/>
        </w:rPr>
      </w:pPr>
    </w:p>
    <w:p>
      <w:pPr>
        <w:pStyle w:val="BodyText"/>
        <w:spacing w:before="0"/>
        <w:ind w:left="0"/>
        <w:rPr>
          <w:sz w:val="20"/>
        </w:rPr>
      </w:pPr>
    </w:p>
    <w:p>
      <w:pPr>
        <w:pStyle w:val="BodyText"/>
        <w:spacing w:before="10"/>
        <w:ind w:left="0"/>
        <w:rPr>
          <w:sz w:val="15"/>
        </w:rPr>
      </w:pPr>
    </w:p>
    <w:p>
      <w:pPr>
        <w:tabs>
          <w:tab w:pos="1195" w:val="left" w:leader="none"/>
          <w:tab w:pos="5632" w:val="left" w:leader="none"/>
        </w:tabs>
        <w:spacing w:before="148"/>
        <w:ind w:left="230" w:right="0" w:firstLine="0"/>
        <w:jc w:val="left"/>
        <w:rPr>
          <w:sz w:val="24"/>
        </w:rPr>
      </w:pPr>
      <w:r>
        <w:rPr>
          <w:rFonts w:ascii="Arial"/>
          <w:w w:val="105"/>
          <w:sz w:val="12"/>
        </w:rPr>
        <w:t>554</w:t>
        <w:tab/>
      </w:r>
      <w:bookmarkStart w:name="Reliability of calculated bias scores" w:id="55"/>
      <w:bookmarkEnd w:id="55"/>
      <w:r>
        <w:rPr>
          <w:rFonts w:ascii="Arial"/>
          <w:w w:val="105"/>
          <w:sz w:val="12"/>
        </w:rPr>
      </w:r>
      <w:bookmarkStart w:name="_bookmark25" w:id="56"/>
      <w:bookmarkEnd w:id="56"/>
      <w:r>
        <w:rPr>
          <w:rFonts w:ascii="Arial"/>
          <w:w w:val="105"/>
          <w:sz w:val="12"/>
        </w:rPr>
      </w:r>
      <w:r>
        <w:rPr>
          <w:b/>
          <w:w w:val="105"/>
          <w:sz w:val="24"/>
        </w:rPr>
        <w:t>Reliability  of  calculated </w:t>
      </w:r>
      <w:r>
        <w:rPr>
          <w:b/>
          <w:spacing w:val="30"/>
          <w:w w:val="105"/>
          <w:sz w:val="24"/>
        </w:rPr>
        <w:t> </w:t>
      </w:r>
      <w:r>
        <w:rPr>
          <w:b/>
          <w:w w:val="105"/>
          <w:sz w:val="24"/>
        </w:rPr>
        <w:t>bias </w:t>
      </w:r>
      <w:r>
        <w:rPr>
          <w:b/>
          <w:spacing w:val="10"/>
          <w:w w:val="105"/>
          <w:sz w:val="24"/>
        </w:rPr>
        <w:t> </w:t>
      </w:r>
      <w:r>
        <w:rPr>
          <w:b/>
          <w:w w:val="105"/>
          <w:sz w:val="24"/>
        </w:rPr>
        <w:t>scores.</w:t>
        <w:tab/>
      </w:r>
      <w:r>
        <w:rPr>
          <w:w w:val="105"/>
          <w:sz w:val="24"/>
        </w:rPr>
        <w:t>Given the absence of evidence for</w:t>
      </w:r>
      <w:r>
        <w:rPr>
          <w:spacing w:val="-19"/>
          <w:w w:val="105"/>
          <w:sz w:val="24"/>
        </w:rPr>
        <w:t> </w:t>
      </w:r>
      <w:r>
        <w:rPr>
          <w:w w:val="105"/>
          <w:sz w:val="24"/>
        </w:rPr>
        <w:t>baseline</w:t>
      </w:r>
    </w:p>
    <w:p>
      <w:pPr>
        <w:pStyle w:val="BodyText"/>
      </w:pPr>
      <w:r>
        <w:rPr>
          <w:rFonts w:ascii="Arial"/>
          <w:w w:val="105"/>
          <w:sz w:val="12"/>
        </w:rPr>
        <w:t>555    </w:t>
      </w:r>
      <w:r>
        <w:rPr>
          <w:rFonts w:ascii="Arial"/>
          <w:spacing w:val="6"/>
          <w:w w:val="105"/>
          <w:sz w:val="12"/>
        </w:rPr>
        <w:t> </w:t>
      </w:r>
      <w:r>
        <w:rPr>
          <w:w w:val="105"/>
        </w:rPr>
        <w:t>approach-avoidance</w:t>
      </w:r>
      <w:r>
        <w:rPr>
          <w:spacing w:val="7"/>
          <w:w w:val="105"/>
        </w:rPr>
        <w:t> </w:t>
      </w:r>
      <w:r>
        <w:rPr>
          <w:w w:val="105"/>
        </w:rPr>
        <w:t>bias</w:t>
      </w:r>
      <w:r>
        <w:rPr>
          <w:spacing w:val="7"/>
          <w:w w:val="105"/>
        </w:rPr>
        <w:t> </w:t>
      </w:r>
      <w:r>
        <w:rPr>
          <w:w w:val="105"/>
        </w:rPr>
        <w:t>scores</w:t>
      </w:r>
      <w:r>
        <w:rPr>
          <w:spacing w:val="8"/>
          <w:w w:val="105"/>
        </w:rPr>
        <w:t> </w:t>
      </w:r>
      <w:r>
        <w:rPr>
          <w:w w:val="105"/>
        </w:rPr>
        <w:t>deviating</w:t>
      </w:r>
      <w:r>
        <w:rPr>
          <w:spacing w:val="7"/>
          <w:w w:val="105"/>
        </w:rPr>
        <w:t> </w:t>
      </w:r>
      <w:r>
        <w:rPr>
          <w:w w:val="105"/>
        </w:rPr>
        <w:t>from</w:t>
      </w:r>
      <w:r>
        <w:rPr>
          <w:spacing w:val="7"/>
          <w:w w:val="105"/>
        </w:rPr>
        <w:t> </w:t>
      </w:r>
      <w:r>
        <w:rPr>
          <w:w w:val="105"/>
        </w:rPr>
        <w:t>zero</w:t>
      </w:r>
      <w:r>
        <w:rPr>
          <w:spacing w:val="7"/>
          <w:w w:val="105"/>
        </w:rPr>
        <w:t> </w:t>
      </w:r>
      <w:r>
        <w:rPr>
          <w:w w:val="105"/>
        </w:rPr>
        <w:t>and</w:t>
      </w:r>
      <w:r>
        <w:rPr>
          <w:spacing w:val="7"/>
          <w:w w:val="105"/>
        </w:rPr>
        <w:t> </w:t>
      </w:r>
      <w:r>
        <w:rPr>
          <w:w w:val="105"/>
        </w:rPr>
        <w:t>the</w:t>
      </w:r>
      <w:r>
        <w:rPr>
          <w:spacing w:val="8"/>
          <w:w w:val="105"/>
        </w:rPr>
        <w:t> </w:t>
      </w:r>
      <w:r>
        <w:rPr>
          <w:spacing w:val="-3"/>
          <w:w w:val="105"/>
        </w:rPr>
        <w:t>variability</w:t>
      </w:r>
      <w:r>
        <w:rPr>
          <w:spacing w:val="7"/>
          <w:w w:val="105"/>
        </w:rPr>
        <w:t> </w:t>
      </w:r>
      <w:r>
        <w:rPr>
          <w:w w:val="105"/>
        </w:rPr>
        <w:t>in</w:t>
      </w:r>
      <w:r>
        <w:rPr>
          <w:spacing w:val="7"/>
          <w:w w:val="105"/>
        </w:rPr>
        <w:t> </w:t>
      </w:r>
      <w:r>
        <w:rPr>
          <w:w w:val="105"/>
        </w:rPr>
        <w:t>the</w:t>
      </w:r>
      <w:r>
        <w:rPr>
          <w:spacing w:val="7"/>
          <w:w w:val="105"/>
        </w:rPr>
        <w:t> </w:t>
      </w:r>
      <w:r>
        <w:rPr>
          <w:w w:val="105"/>
        </w:rPr>
        <w:t>distribution</w:t>
      </w:r>
      <w:r>
        <w:rPr>
          <w:spacing w:val="8"/>
          <w:w w:val="105"/>
        </w:rPr>
        <w:t> </w:t>
      </w:r>
      <w:r>
        <w:rPr>
          <w:w w:val="105"/>
        </w:rPr>
        <w:t>of</w:t>
      </w:r>
    </w:p>
    <w:p>
      <w:pPr>
        <w:pStyle w:val="BodyText"/>
      </w:pPr>
      <w:r>
        <w:rPr>
          <w:rFonts w:ascii="Arial"/>
          <w:w w:val="105"/>
          <w:sz w:val="12"/>
        </w:rPr>
        <w:t>556 </w:t>
      </w:r>
      <w:r>
        <w:rPr>
          <w:w w:val="105"/>
        </w:rPr>
        <w:t>score from negative to positive bias (see Figure 2), the test-retest reliability of the task</w:t>
      </w:r>
    </w:p>
    <w:p>
      <w:pPr>
        <w:pStyle w:val="BodyText"/>
      </w:pPr>
      <w:r>
        <w:rPr>
          <w:rFonts w:ascii="Arial"/>
          <w:w w:val="105"/>
          <w:sz w:val="12"/>
        </w:rPr>
        <w:t>557 </w:t>
      </w:r>
      <w:r>
        <w:rPr>
          <w:w w:val="105"/>
        </w:rPr>
        <w:t>measures was assessed. Considering that the the interval between pre- and post-training</w:t>
      </w:r>
    </w:p>
    <w:p>
      <w:pPr>
        <w:pStyle w:val="BodyText"/>
      </w:pPr>
      <w:r>
        <w:rPr>
          <w:rFonts w:ascii="Arial"/>
          <w:w w:val="105"/>
          <w:sz w:val="12"/>
        </w:rPr>
        <w:t>558 </w:t>
      </w:r>
      <w:r>
        <w:rPr>
          <w:w w:val="105"/>
        </w:rPr>
        <w:t>AAT blocks was very short and there could be added variability (i.e. noise) due to the GNG</w:t>
      </w:r>
    </w:p>
    <w:p>
      <w:pPr>
        <w:pStyle w:val="BodyText"/>
        <w:spacing w:before="203"/>
      </w:pPr>
      <w:r>
        <w:rPr>
          <w:rFonts w:ascii="Arial"/>
          <w:w w:val="105"/>
          <w:sz w:val="12"/>
        </w:rPr>
        <w:t>559 </w:t>
      </w:r>
      <w:r>
        <w:rPr>
          <w:w w:val="105"/>
        </w:rPr>
        <w:t>intervention, a test-retest reliability (or stability) coefficient </w:t>
      </w:r>
      <w:r>
        <w:rPr>
          <w:i/>
          <w:w w:val="105"/>
        </w:rPr>
        <w:t>r </w:t>
      </w:r>
      <w:r>
        <w:rPr>
          <w:w w:val="105"/>
        </w:rPr>
        <w:t>within the range of 0.6-0.7</w:t>
      </w:r>
    </w:p>
    <w:p>
      <w:pPr>
        <w:pStyle w:val="BodyText"/>
      </w:pPr>
      <w:r>
        <w:rPr>
          <w:rFonts w:ascii="Arial"/>
          <w:w w:val="105"/>
          <w:sz w:val="12"/>
        </w:rPr>
        <w:t>560 </w:t>
      </w:r>
      <w:r>
        <w:rPr>
          <w:w w:val="105"/>
        </w:rPr>
        <w:t>would be considered adequate in this context. Test-retest reliability was assessed via</w:t>
      </w:r>
    </w:p>
    <w:p>
      <w:pPr>
        <w:pStyle w:val="BodyText"/>
      </w:pPr>
      <w:r>
        <w:rPr>
          <w:rFonts w:ascii="Arial"/>
          <w:w w:val="105"/>
          <w:sz w:val="12"/>
        </w:rPr>
        <w:t>561 </w:t>
      </w:r>
      <w:r>
        <w:rPr>
          <w:w w:val="105"/>
        </w:rPr>
        <w:t>correlation pairs for AAT bias scores at baseline (AAT</w:t>
      </w:r>
      <w:r>
        <w:rPr>
          <w:w w:val="105"/>
          <w:vertAlign w:val="subscript"/>
        </w:rPr>
        <w:t>pre</w:t>
      </w:r>
      <w:r>
        <w:rPr>
          <w:w w:val="105"/>
          <w:vertAlign w:val="baseline"/>
        </w:rPr>
        <w:t>) and after training (AAT</w:t>
      </w:r>
      <w:r>
        <w:rPr>
          <w:w w:val="105"/>
          <w:vertAlign w:val="subscript"/>
        </w:rPr>
        <w:t>post</w:t>
      </w:r>
      <w:r>
        <w:rPr>
          <w:w w:val="105"/>
          <w:vertAlign w:val="baseline"/>
        </w:rPr>
        <w:t>), as</w:t>
      </w:r>
    </w:p>
    <w:p>
      <w:pPr>
        <w:pStyle w:val="BodyText"/>
      </w:pPr>
      <w:r>
        <w:rPr>
          <w:rFonts w:ascii="Arial"/>
          <w:w w:val="105"/>
          <w:sz w:val="12"/>
        </w:rPr>
        <w:t>562    </w:t>
      </w:r>
      <w:r>
        <w:rPr>
          <w:rFonts w:ascii="Arial"/>
          <w:spacing w:val="8"/>
          <w:w w:val="105"/>
          <w:sz w:val="12"/>
        </w:rPr>
        <w:t> </w:t>
      </w:r>
      <w:r>
        <w:rPr>
          <w:w w:val="105"/>
        </w:rPr>
        <w:t>shown</w:t>
      </w:r>
      <w:r>
        <w:rPr>
          <w:spacing w:val="9"/>
          <w:w w:val="105"/>
        </w:rPr>
        <w:t> </w:t>
      </w:r>
      <w:r>
        <w:rPr>
          <w:w w:val="105"/>
        </w:rPr>
        <w:t>in</w:t>
      </w:r>
      <w:r>
        <w:rPr>
          <w:spacing w:val="9"/>
          <w:w w:val="105"/>
        </w:rPr>
        <w:t> </w:t>
      </w:r>
      <w:r>
        <w:rPr>
          <w:w w:val="105"/>
        </w:rPr>
        <w:t>Figure</w:t>
      </w:r>
      <w:r>
        <w:rPr>
          <w:spacing w:val="7"/>
          <w:w w:val="105"/>
        </w:rPr>
        <w:t> </w:t>
      </w:r>
      <w:r>
        <w:rPr>
          <w:b/>
          <w:w w:val="105"/>
        </w:rPr>
        <w:t>??</w:t>
      </w:r>
      <w:r>
        <w:rPr>
          <w:b/>
          <w:spacing w:val="9"/>
          <w:w w:val="105"/>
        </w:rPr>
        <w:t> </w:t>
      </w:r>
      <w:r>
        <w:rPr>
          <w:w w:val="105"/>
        </w:rPr>
        <w:t>(panel</w:t>
      </w:r>
      <w:r>
        <w:rPr>
          <w:spacing w:val="8"/>
          <w:w w:val="105"/>
        </w:rPr>
        <w:t> </w:t>
      </w:r>
      <w:r>
        <w:rPr>
          <w:w w:val="105"/>
        </w:rPr>
        <w:t>C).</w:t>
      </w:r>
      <w:r>
        <w:rPr>
          <w:spacing w:val="9"/>
          <w:w w:val="105"/>
        </w:rPr>
        <w:t> </w:t>
      </w:r>
      <w:r>
        <w:rPr>
          <w:w w:val="105"/>
        </w:rPr>
        <w:t>Consistent</w:t>
      </w:r>
      <w:r>
        <w:rPr>
          <w:spacing w:val="9"/>
          <w:w w:val="105"/>
        </w:rPr>
        <w:t> </w:t>
      </w:r>
      <w:r>
        <w:rPr>
          <w:w w:val="105"/>
        </w:rPr>
        <w:t>with</w:t>
      </w:r>
      <w:r>
        <w:rPr>
          <w:spacing w:val="9"/>
          <w:w w:val="105"/>
        </w:rPr>
        <w:t> </w:t>
      </w:r>
      <w:r>
        <w:rPr>
          <w:w w:val="105"/>
        </w:rPr>
        <w:t>the</w:t>
      </w:r>
      <w:r>
        <w:rPr>
          <w:spacing w:val="8"/>
          <w:w w:val="105"/>
        </w:rPr>
        <w:t> </w:t>
      </w:r>
      <w:r>
        <w:rPr>
          <w:w w:val="105"/>
        </w:rPr>
        <w:t>previous</w:t>
      </w:r>
      <w:r>
        <w:rPr>
          <w:spacing w:val="9"/>
          <w:w w:val="105"/>
        </w:rPr>
        <w:t> </w:t>
      </w:r>
      <w:r>
        <w:rPr>
          <w:w w:val="105"/>
        </w:rPr>
        <w:t>analyses</w:t>
      </w:r>
      <w:r>
        <w:rPr>
          <w:spacing w:val="8"/>
          <w:w w:val="105"/>
        </w:rPr>
        <w:t> </w:t>
      </w:r>
      <w:r>
        <w:rPr>
          <w:w w:val="105"/>
        </w:rPr>
        <w:t>of</w:t>
      </w:r>
      <w:r>
        <w:rPr>
          <w:spacing w:val="7"/>
          <w:w w:val="105"/>
        </w:rPr>
        <w:t> </w:t>
      </w:r>
      <w:r>
        <w:rPr>
          <w:w w:val="105"/>
        </w:rPr>
        <w:t>baseline</w:t>
      </w:r>
      <w:r>
        <w:rPr>
          <w:spacing w:val="9"/>
          <w:w w:val="105"/>
        </w:rPr>
        <w:t> </w:t>
      </w:r>
      <w:r>
        <w:rPr>
          <w:w w:val="105"/>
        </w:rPr>
        <w:t>bias</w:t>
      </w:r>
      <w:r>
        <w:rPr>
          <w:spacing w:val="8"/>
          <w:w w:val="105"/>
        </w:rPr>
        <w:t> </w:t>
      </w:r>
      <w:r>
        <w:rPr>
          <w:w w:val="105"/>
        </w:rPr>
        <w:t>scores</w:t>
      </w:r>
    </w:p>
    <w:p>
      <w:pPr>
        <w:spacing w:before="202"/>
        <w:ind w:left="230" w:right="0" w:firstLine="0"/>
        <w:jc w:val="left"/>
        <w:rPr>
          <w:sz w:val="24"/>
        </w:rPr>
      </w:pPr>
      <w:r>
        <w:rPr>
          <w:rFonts w:ascii="Arial"/>
          <w:w w:val="105"/>
          <w:sz w:val="12"/>
        </w:rPr>
        <w:t>563     </w:t>
      </w:r>
      <w:r>
        <w:rPr>
          <w:w w:val="105"/>
          <w:sz w:val="24"/>
        </w:rPr>
        <w:t>(see </w:t>
      </w:r>
      <w:hyperlink w:history="true" w:anchor="_bookmark22">
        <w:r>
          <w:rPr>
            <w:i/>
            <w:w w:val="105"/>
            <w:sz w:val="24"/>
          </w:rPr>
          <w:t>Baseline </w:t>
        </w:r>
        <w:r>
          <w:rPr>
            <w:i/>
            <w:spacing w:val="-3"/>
            <w:w w:val="105"/>
            <w:sz w:val="24"/>
          </w:rPr>
          <w:t>approach </w:t>
        </w:r>
        <w:r>
          <w:rPr>
            <w:i/>
            <w:w w:val="105"/>
            <w:sz w:val="24"/>
          </w:rPr>
          <w:t>bias </w:t>
        </w:r>
        <w:r>
          <w:rPr>
            <w:i/>
            <w:spacing w:val="-4"/>
            <w:w w:val="105"/>
            <w:sz w:val="24"/>
          </w:rPr>
          <w:t>scores</w:t>
        </w:r>
      </w:hyperlink>
      <w:r>
        <w:rPr>
          <w:spacing w:val="-4"/>
          <w:w w:val="105"/>
          <w:sz w:val="24"/>
        </w:rPr>
        <w:t>), </w:t>
      </w:r>
      <w:r>
        <w:rPr>
          <w:w w:val="105"/>
          <w:sz w:val="24"/>
        </w:rPr>
        <w:t>test-retest reliability </w:t>
      </w:r>
      <w:r>
        <w:rPr>
          <w:spacing w:val="-3"/>
          <w:w w:val="105"/>
          <w:sz w:val="24"/>
        </w:rPr>
        <w:t>was </w:t>
      </w:r>
      <w:r>
        <w:rPr>
          <w:w w:val="105"/>
          <w:sz w:val="24"/>
        </w:rPr>
        <w:t>examined for both</w:t>
      </w:r>
      <w:r>
        <w:rPr>
          <w:spacing w:val="57"/>
          <w:w w:val="105"/>
          <w:sz w:val="24"/>
        </w:rPr>
        <w:t> </w:t>
      </w:r>
      <w:r>
        <w:rPr>
          <w:w w:val="105"/>
          <w:sz w:val="24"/>
        </w:rPr>
        <w:t>completion</w:t>
      </w:r>
    </w:p>
    <w:p>
      <w:pPr>
        <w:pStyle w:val="BodyText"/>
      </w:pPr>
      <w:r>
        <w:rPr>
          <w:rFonts w:ascii="Arial"/>
          <w:w w:val="105"/>
          <w:sz w:val="12"/>
        </w:rPr>
        <w:t>564    </w:t>
      </w:r>
      <w:r>
        <w:rPr>
          <w:rFonts w:ascii="Arial"/>
          <w:spacing w:val="27"/>
          <w:w w:val="105"/>
          <w:sz w:val="12"/>
        </w:rPr>
        <w:t> </w:t>
      </w:r>
      <w:r>
        <w:rPr>
          <w:w w:val="105"/>
        </w:rPr>
        <w:t>time</w:t>
      </w:r>
      <w:r>
        <w:rPr>
          <w:spacing w:val="16"/>
          <w:w w:val="105"/>
        </w:rPr>
        <w:t> </w:t>
      </w:r>
      <w:r>
        <w:rPr>
          <w:w w:val="105"/>
        </w:rPr>
        <w:t>and</w:t>
      </w:r>
      <w:r>
        <w:rPr>
          <w:spacing w:val="16"/>
          <w:w w:val="105"/>
        </w:rPr>
        <w:t> </w:t>
      </w:r>
      <w:r>
        <w:rPr>
          <w:w w:val="105"/>
        </w:rPr>
        <w:t>initiation</w:t>
      </w:r>
      <w:r>
        <w:rPr>
          <w:spacing w:val="16"/>
          <w:w w:val="105"/>
        </w:rPr>
        <w:t> </w:t>
      </w:r>
      <w:r>
        <w:rPr>
          <w:w w:val="105"/>
        </w:rPr>
        <w:t>time</w:t>
      </w:r>
      <w:r>
        <w:rPr>
          <w:spacing w:val="15"/>
          <w:w w:val="105"/>
        </w:rPr>
        <w:t> </w:t>
      </w:r>
      <w:r>
        <w:rPr>
          <w:spacing w:val="-7"/>
          <w:w w:val="105"/>
        </w:rPr>
        <w:t>AAT</w:t>
      </w:r>
      <w:r>
        <w:rPr>
          <w:spacing w:val="17"/>
          <w:w w:val="105"/>
        </w:rPr>
        <w:t> </w:t>
      </w:r>
      <w:r>
        <w:rPr>
          <w:w w:val="105"/>
        </w:rPr>
        <w:t>bias</w:t>
      </w:r>
      <w:r>
        <w:rPr>
          <w:spacing w:val="15"/>
          <w:w w:val="105"/>
        </w:rPr>
        <w:t> </w:t>
      </w:r>
      <w:r>
        <w:rPr>
          <w:w w:val="105"/>
        </w:rPr>
        <w:t>scores.</w:t>
      </w:r>
      <w:r>
        <w:rPr>
          <w:spacing w:val="43"/>
          <w:w w:val="105"/>
        </w:rPr>
        <w:t> </w:t>
      </w:r>
      <w:r>
        <w:rPr>
          <w:w w:val="105"/>
        </w:rPr>
        <w:t>Bayesian</w:t>
      </w:r>
      <w:r>
        <w:rPr>
          <w:spacing w:val="17"/>
          <w:w w:val="105"/>
        </w:rPr>
        <w:t> </w:t>
      </w:r>
      <w:r>
        <w:rPr>
          <w:w w:val="105"/>
        </w:rPr>
        <w:t>correlation</w:t>
      </w:r>
      <w:r>
        <w:rPr>
          <w:spacing w:val="16"/>
          <w:w w:val="105"/>
        </w:rPr>
        <w:t> </w:t>
      </w:r>
      <w:r>
        <w:rPr>
          <w:w w:val="105"/>
        </w:rPr>
        <w:t>pairs</w:t>
      </w:r>
      <w:r>
        <w:rPr>
          <w:spacing w:val="15"/>
          <w:w w:val="105"/>
        </w:rPr>
        <w:t> </w:t>
      </w:r>
      <w:r>
        <w:rPr>
          <w:w w:val="105"/>
        </w:rPr>
        <w:t>with</w:t>
      </w:r>
      <w:r>
        <w:rPr>
          <w:spacing w:val="17"/>
          <w:w w:val="105"/>
        </w:rPr>
        <w:t> </w:t>
      </w:r>
      <w:r>
        <w:rPr>
          <w:w w:val="105"/>
        </w:rPr>
        <w:t>the</w:t>
      </w:r>
      <w:r>
        <w:rPr>
          <w:spacing w:val="16"/>
          <w:w w:val="105"/>
        </w:rPr>
        <w:t> </w:t>
      </w:r>
      <w:r>
        <w:rPr>
          <w:w w:val="105"/>
        </w:rPr>
        <w:t>default</w:t>
      </w:r>
      <w:r>
        <w:rPr>
          <w:spacing w:val="16"/>
          <w:w w:val="105"/>
        </w:rPr>
        <w:t> </w:t>
      </w:r>
      <w:r>
        <w:rPr>
          <w:w w:val="105"/>
        </w:rPr>
        <w:t>prior</w:t>
      </w:r>
    </w:p>
    <w:p>
      <w:pPr>
        <w:pStyle w:val="BodyText"/>
        <w:spacing w:before="203"/>
      </w:pPr>
      <w:r>
        <w:rPr>
          <w:rFonts w:ascii="Arial" w:hAnsi="Arial"/>
          <w:w w:val="105"/>
          <w:sz w:val="12"/>
        </w:rPr>
        <w:t>565 </w:t>
      </w:r>
      <w:r>
        <w:rPr>
          <w:w w:val="105"/>
        </w:rPr>
        <w:t>(stretched beta with </w:t>
      </w:r>
      <w:r>
        <w:rPr>
          <w:i/>
          <w:w w:val="105"/>
        </w:rPr>
        <w:t>γ</w:t>
      </w:r>
      <w:r>
        <w:rPr>
          <w:w w:val="105"/>
        </w:rPr>
        <w:t>=1; Wagenmakers, Verhagen, and Ly (2016)) were used for these</w:t>
      </w:r>
    </w:p>
    <w:p>
      <w:pPr>
        <w:pStyle w:val="BodyText"/>
      </w:pPr>
      <w:r>
        <w:rPr>
          <w:rFonts w:ascii="Arial"/>
          <w:w w:val="105"/>
          <w:sz w:val="12"/>
        </w:rPr>
        <w:t>566     </w:t>
      </w:r>
      <w:r>
        <w:rPr>
          <w:w w:val="105"/>
        </w:rPr>
        <w:t>analyses.  As expected, there </w:t>
      </w:r>
      <w:r>
        <w:rPr>
          <w:spacing w:val="-3"/>
          <w:w w:val="105"/>
        </w:rPr>
        <w:t>was </w:t>
      </w:r>
      <w:r>
        <w:rPr>
          <w:i/>
          <w:w w:val="105"/>
        </w:rPr>
        <w:t>extreme </w:t>
      </w:r>
      <w:r>
        <w:rPr>
          <w:w w:val="105"/>
        </w:rPr>
        <w:t>evidence for a positive linear relationship</w:t>
      </w:r>
      <w:r>
        <w:rPr>
          <w:spacing w:val="-34"/>
          <w:w w:val="105"/>
        </w:rPr>
        <w:t> </w:t>
      </w:r>
      <w:r>
        <w:rPr>
          <w:w w:val="105"/>
        </w:rPr>
        <w:t>between</w:t>
      </w:r>
    </w:p>
    <w:p>
      <w:pPr>
        <w:pStyle w:val="BodyText"/>
      </w:pPr>
      <w:r>
        <w:rPr>
          <w:rFonts w:ascii="Arial"/>
          <w:w w:val="105"/>
          <w:sz w:val="12"/>
        </w:rPr>
        <w:t>567     </w:t>
      </w:r>
      <w:r>
        <w:rPr>
          <w:w w:val="105"/>
        </w:rPr>
        <w:t>completion time bias scores for pre- and post- training blocks, but the correlation</w:t>
      </w:r>
      <w:r>
        <w:rPr>
          <w:spacing w:val="33"/>
          <w:w w:val="105"/>
        </w:rPr>
        <w:t> </w:t>
      </w:r>
      <w:r>
        <w:rPr>
          <w:w w:val="105"/>
        </w:rPr>
        <w:t>coefficient</w:t>
      </w:r>
    </w:p>
    <w:p>
      <w:pPr>
        <w:pStyle w:val="BodyText"/>
      </w:pPr>
      <w:r>
        <w:rPr>
          <w:rFonts w:ascii="Arial" w:hAnsi="Arial"/>
          <w:w w:val="105"/>
          <w:sz w:val="12"/>
        </w:rPr>
        <w:t>568   </w:t>
      </w:r>
      <w:r>
        <w:rPr>
          <w:rFonts w:ascii="Arial" w:hAnsi="Arial"/>
          <w:spacing w:val="17"/>
          <w:w w:val="105"/>
          <w:sz w:val="12"/>
        </w:rPr>
        <w:t> </w:t>
      </w:r>
      <w:r>
        <w:rPr>
          <w:w w:val="105"/>
        </w:rPr>
        <w:t>(Pearson’s</w:t>
      </w:r>
      <w:r>
        <w:rPr>
          <w:spacing w:val="7"/>
          <w:w w:val="105"/>
        </w:rPr>
        <w:t> </w:t>
      </w:r>
      <w:r>
        <w:rPr>
          <w:w w:val="105"/>
        </w:rPr>
        <w:t>rho)</w:t>
      </w:r>
      <w:r>
        <w:rPr>
          <w:spacing w:val="8"/>
          <w:w w:val="105"/>
        </w:rPr>
        <w:t> </w:t>
      </w:r>
      <w:r>
        <w:rPr>
          <w:spacing w:val="-3"/>
          <w:w w:val="105"/>
        </w:rPr>
        <w:t>was</w:t>
      </w:r>
      <w:r>
        <w:rPr>
          <w:spacing w:val="7"/>
          <w:w w:val="105"/>
        </w:rPr>
        <w:t> </w:t>
      </w:r>
      <w:r>
        <w:rPr>
          <w:w w:val="105"/>
        </w:rPr>
        <w:t>only</w:t>
      </w:r>
      <w:r>
        <w:rPr>
          <w:spacing w:val="8"/>
          <w:w w:val="105"/>
        </w:rPr>
        <w:t> </w:t>
      </w:r>
      <w:r>
        <w:rPr>
          <w:w w:val="105"/>
        </w:rPr>
        <w:t>0.41,</w:t>
      </w:r>
      <w:r>
        <w:rPr>
          <w:spacing w:val="7"/>
          <w:w w:val="105"/>
        </w:rPr>
        <w:t> </w:t>
      </w:r>
      <w:r>
        <w:rPr>
          <w:w w:val="105"/>
        </w:rPr>
        <w:t>indicating</w:t>
      </w:r>
      <w:r>
        <w:rPr>
          <w:spacing w:val="8"/>
          <w:w w:val="105"/>
        </w:rPr>
        <w:t> </w:t>
      </w:r>
      <w:r>
        <w:rPr>
          <w:w w:val="105"/>
        </w:rPr>
        <w:t>that</w:t>
      </w:r>
      <w:r>
        <w:rPr>
          <w:spacing w:val="7"/>
          <w:w w:val="105"/>
        </w:rPr>
        <w:t> </w:t>
      </w:r>
      <w:r>
        <w:rPr>
          <w:w w:val="105"/>
        </w:rPr>
        <w:t>there</w:t>
      </w:r>
      <w:r>
        <w:rPr>
          <w:spacing w:val="8"/>
          <w:w w:val="105"/>
        </w:rPr>
        <w:t> </w:t>
      </w:r>
      <w:r>
        <w:rPr>
          <w:w w:val="105"/>
        </w:rPr>
        <w:t>test-retest</w:t>
      </w:r>
      <w:r>
        <w:rPr>
          <w:spacing w:val="7"/>
          <w:w w:val="105"/>
        </w:rPr>
        <w:t> </w:t>
      </w:r>
      <w:r>
        <w:rPr>
          <w:w w:val="105"/>
        </w:rPr>
        <w:t>reliability</w:t>
      </w:r>
      <w:r>
        <w:rPr>
          <w:spacing w:val="8"/>
          <w:w w:val="105"/>
        </w:rPr>
        <w:t> </w:t>
      </w:r>
      <w:r>
        <w:rPr>
          <w:w w:val="105"/>
        </w:rPr>
        <w:t>of</w:t>
      </w:r>
      <w:r>
        <w:rPr>
          <w:spacing w:val="7"/>
          <w:w w:val="105"/>
        </w:rPr>
        <w:t> </w:t>
      </w:r>
      <w:r>
        <w:rPr>
          <w:spacing w:val="-7"/>
          <w:w w:val="105"/>
        </w:rPr>
        <w:t>AAT</w:t>
      </w:r>
      <w:r>
        <w:rPr>
          <w:spacing w:val="8"/>
          <w:w w:val="105"/>
        </w:rPr>
        <w:t> </w:t>
      </w:r>
      <w:r>
        <w:rPr>
          <w:w w:val="105"/>
        </w:rPr>
        <w:t>bias</w:t>
      </w:r>
      <w:r>
        <w:rPr>
          <w:spacing w:val="7"/>
          <w:w w:val="105"/>
        </w:rPr>
        <w:t> </w:t>
      </w:r>
      <w:r>
        <w:rPr>
          <w:w w:val="105"/>
        </w:rPr>
        <w:t>scores</w:t>
      </w:r>
    </w:p>
    <w:p>
      <w:pPr>
        <w:pStyle w:val="BodyText"/>
      </w:pPr>
      <w:r>
        <w:rPr>
          <w:rFonts w:ascii="Arial"/>
          <w:w w:val="105"/>
          <w:sz w:val="12"/>
        </w:rPr>
        <w:t>569     </w:t>
      </w:r>
      <w:r>
        <w:rPr>
          <w:w w:val="105"/>
        </w:rPr>
        <w:t>based on completion times </w:t>
      </w:r>
      <w:r>
        <w:rPr>
          <w:spacing w:val="-3"/>
          <w:w w:val="105"/>
        </w:rPr>
        <w:t>was </w:t>
      </w:r>
      <w:r>
        <w:rPr>
          <w:spacing w:val="2"/>
          <w:w w:val="105"/>
        </w:rPr>
        <w:t>poor </w:t>
      </w:r>
      <w:r>
        <w:rPr>
          <w:w w:val="105"/>
        </w:rPr>
        <w:t>[log(</w:t>
      </w:r>
      <w:r>
        <w:rPr>
          <w:i/>
          <w:w w:val="105"/>
        </w:rPr>
        <w:t>BF </w:t>
      </w:r>
      <w:r>
        <w:rPr>
          <w:spacing w:val="3"/>
          <w:w w:val="105"/>
          <w:vertAlign w:val="subscript"/>
        </w:rPr>
        <w:t>10</w:t>
      </w:r>
      <w:r>
        <w:rPr>
          <w:spacing w:val="3"/>
          <w:w w:val="105"/>
          <w:vertAlign w:val="baseline"/>
        </w:rPr>
        <w:t>) </w:t>
      </w:r>
      <w:r>
        <w:rPr>
          <w:w w:val="105"/>
          <w:vertAlign w:val="baseline"/>
        </w:rPr>
        <w:t>= 12.95, </w:t>
      </w:r>
      <w:r>
        <w:rPr>
          <w:i/>
          <w:w w:val="105"/>
          <w:vertAlign w:val="baseline"/>
        </w:rPr>
        <w:t>p </w:t>
      </w:r>
      <w:r>
        <w:rPr>
          <w:i/>
          <w:spacing w:val="20"/>
          <w:w w:val="105"/>
          <w:vertAlign w:val="baseline"/>
        </w:rPr>
        <w:t> </w:t>
      </w:r>
      <w:r>
        <w:rPr>
          <w:w w:val="105"/>
          <w:vertAlign w:val="baseline"/>
        </w:rPr>
        <w:t>&lt; .001, 95% CI for </w:t>
      </w:r>
      <w:r>
        <w:rPr>
          <w:i/>
          <w:w w:val="105"/>
          <w:vertAlign w:val="baseline"/>
        </w:rPr>
        <w:t>r  </w:t>
      </w:r>
      <w:r>
        <w:rPr>
          <w:w w:val="105"/>
          <w:vertAlign w:val="baseline"/>
        </w:rPr>
        <w:t>= 0.30, 1].</w:t>
      </w:r>
    </w:p>
    <w:p>
      <w:pPr>
        <w:pStyle w:val="BodyText"/>
        <w:spacing w:before="203"/>
      </w:pPr>
      <w:r>
        <w:rPr>
          <w:rFonts w:ascii="Arial"/>
          <w:sz w:val="12"/>
        </w:rPr>
        <w:t>570      </w:t>
      </w:r>
      <w:r>
        <w:rPr/>
        <w:t>As</w:t>
      </w:r>
      <w:r>
        <w:rPr>
          <w:spacing w:val="19"/>
        </w:rPr>
        <w:t> </w:t>
      </w:r>
      <w:r>
        <w:rPr/>
        <w:t>discussed</w:t>
      </w:r>
      <w:r>
        <w:rPr>
          <w:spacing w:val="20"/>
        </w:rPr>
        <w:t> </w:t>
      </w:r>
      <w:r>
        <w:rPr/>
        <w:t>earlier,</w:t>
      </w:r>
      <w:r>
        <w:rPr>
          <w:spacing w:val="20"/>
        </w:rPr>
        <w:t> </w:t>
      </w:r>
      <w:r>
        <w:rPr/>
        <w:t>bias</w:t>
      </w:r>
      <w:r>
        <w:rPr>
          <w:spacing w:val="20"/>
        </w:rPr>
        <w:t> </w:t>
      </w:r>
      <w:r>
        <w:rPr/>
        <w:t>scores</w:t>
      </w:r>
      <w:r>
        <w:rPr>
          <w:spacing w:val="19"/>
        </w:rPr>
        <w:t> </w:t>
      </w:r>
      <w:r>
        <w:rPr/>
        <w:t>based</w:t>
      </w:r>
      <w:r>
        <w:rPr>
          <w:spacing w:val="19"/>
        </w:rPr>
        <w:t> </w:t>
      </w:r>
      <w:r>
        <w:rPr/>
        <w:t>on</w:t>
      </w:r>
      <w:r>
        <w:rPr>
          <w:spacing w:val="20"/>
        </w:rPr>
        <w:t> </w:t>
      </w:r>
      <w:r>
        <w:rPr/>
        <w:t>median</w:t>
      </w:r>
      <w:r>
        <w:rPr>
          <w:spacing w:val="19"/>
        </w:rPr>
        <w:t> </w:t>
      </w:r>
      <w:r>
        <w:rPr/>
        <w:t>completion</w:t>
      </w:r>
      <w:r>
        <w:rPr>
          <w:spacing w:val="19"/>
        </w:rPr>
        <w:t> </w:t>
      </w:r>
      <w:r>
        <w:rPr/>
        <w:t>times</w:t>
      </w:r>
      <w:r>
        <w:rPr>
          <w:spacing w:val="19"/>
        </w:rPr>
        <w:t> </w:t>
      </w:r>
      <w:r>
        <w:rPr/>
        <w:t>could</w:t>
      </w:r>
      <w:r>
        <w:rPr>
          <w:spacing w:val="20"/>
        </w:rPr>
        <w:t> </w:t>
      </w:r>
      <w:r>
        <w:rPr>
          <w:spacing w:val="3"/>
        </w:rPr>
        <w:t>be</w:t>
      </w:r>
      <w:r>
        <w:rPr>
          <w:spacing w:val="20"/>
        </w:rPr>
        <w:t> </w:t>
      </w:r>
      <w:r>
        <w:rPr/>
        <w:t>affected</w:t>
      </w:r>
      <w:r>
        <w:rPr>
          <w:spacing w:val="20"/>
        </w:rPr>
        <w:t> </w:t>
      </w:r>
      <w:r>
        <w:rPr>
          <w:spacing w:val="-4"/>
        </w:rPr>
        <w:t>by</w:t>
      </w:r>
      <w:r>
        <w:rPr>
          <w:spacing w:val="19"/>
        </w:rPr>
        <w:t> </w:t>
      </w:r>
      <w:r>
        <w:rPr/>
        <w:t>noise</w:t>
      </w:r>
    </w:p>
    <w:p>
      <w:pPr>
        <w:pStyle w:val="BodyText"/>
      </w:pPr>
      <w:r>
        <w:rPr>
          <w:rFonts w:ascii="Arial"/>
          <w:w w:val="105"/>
          <w:sz w:val="12"/>
        </w:rPr>
        <w:t>571    </w:t>
      </w:r>
      <w:r>
        <w:rPr>
          <w:rFonts w:ascii="Arial"/>
          <w:spacing w:val="19"/>
          <w:w w:val="105"/>
          <w:sz w:val="12"/>
        </w:rPr>
        <w:t> </w:t>
      </w:r>
      <w:r>
        <w:rPr>
          <w:w w:val="105"/>
        </w:rPr>
        <w:t>in</w:t>
      </w:r>
      <w:r>
        <w:rPr>
          <w:spacing w:val="12"/>
          <w:w w:val="105"/>
        </w:rPr>
        <w:t> </w:t>
      </w:r>
      <w:r>
        <w:rPr>
          <w:w w:val="105"/>
        </w:rPr>
        <w:t>motor</w:t>
      </w:r>
      <w:r>
        <w:rPr>
          <w:spacing w:val="13"/>
          <w:w w:val="105"/>
        </w:rPr>
        <w:t> </w:t>
      </w:r>
      <w:r>
        <w:rPr>
          <w:w w:val="105"/>
        </w:rPr>
        <w:t>times</w:t>
      </w:r>
      <w:r>
        <w:rPr>
          <w:spacing w:val="12"/>
          <w:w w:val="105"/>
        </w:rPr>
        <w:t> </w:t>
      </w:r>
      <w:r>
        <w:rPr>
          <w:w w:val="105"/>
        </w:rPr>
        <w:t>and</w:t>
      </w:r>
      <w:r>
        <w:rPr>
          <w:spacing w:val="13"/>
          <w:w w:val="105"/>
        </w:rPr>
        <w:t> </w:t>
      </w:r>
      <w:r>
        <w:rPr>
          <w:w w:val="105"/>
        </w:rPr>
        <w:t>scores</w:t>
      </w:r>
      <w:r>
        <w:rPr>
          <w:spacing w:val="13"/>
          <w:w w:val="105"/>
        </w:rPr>
        <w:t> </w:t>
      </w:r>
      <w:r>
        <w:rPr>
          <w:w w:val="105"/>
        </w:rPr>
        <w:t>based</w:t>
      </w:r>
      <w:r>
        <w:rPr>
          <w:spacing w:val="12"/>
          <w:w w:val="105"/>
        </w:rPr>
        <w:t> </w:t>
      </w:r>
      <w:r>
        <w:rPr>
          <w:w w:val="105"/>
        </w:rPr>
        <w:t>on</w:t>
      </w:r>
      <w:r>
        <w:rPr>
          <w:spacing w:val="12"/>
          <w:w w:val="105"/>
        </w:rPr>
        <w:t> </w:t>
      </w:r>
      <w:r>
        <w:rPr>
          <w:w w:val="105"/>
        </w:rPr>
        <w:t>median</w:t>
      </w:r>
      <w:r>
        <w:rPr>
          <w:spacing w:val="13"/>
          <w:w w:val="105"/>
        </w:rPr>
        <w:t> </w:t>
      </w:r>
      <w:r>
        <w:rPr>
          <w:w w:val="105"/>
        </w:rPr>
        <w:t>initiation</w:t>
      </w:r>
      <w:r>
        <w:rPr>
          <w:spacing w:val="13"/>
          <w:w w:val="105"/>
        </w:rPr>
        <w:t> </w:t>
      </w:r>
      <w:r>
        <w:rPr>
          <w:w w:val="105"/>
        </w:rPr>
        <w:t>times</w:t>
      </w:r>
      <w:r>
        <w:rPr>
          <w:spacing w:val="12"/>
          <w:w w:val="105"/>
        </w:rPr>
        <w:t> </w:t>
      </w:r>
      <w:r>
        <w:rPr>
          <w:w w:val="105"/>
        </w:rPr>
        <w:t>would</w:t>
      </w:r>
      <w:r>
        <w:rPr>
          <w:spacing w:val="12"/>
          <w:w w:val="105"/>
        </w:rPr>
        <w:t> </w:t>
      </w:r>
      <w:r>
        <w:rPr>
          <w:w w:val="105"/>
        </w:rPr>
        <w:t>better</w:t>
      </w:r>
      <w:r>
        <w:rPr>
          <w:spacing w:val="13"/>
          <w:w w:val="105"/>
        </w:rPr>
        <w:t> </w:t>
      </w:r>
      <w:r>
        <w:rPr>
          <w:w w:val="105"/>
        </w:rPr>
        <w:t>reflect</w:t>
      </w:r>
      <w:r>
        <w:rPr>
          <w:spacing w:val="12"/>
          <w:w w:val="105"/>
        </w:rPr>
        <w:t> </w:t>
      </w:r>
      <w:r>
        <w:rPr>
          <w:w w:val="105"/>
        </w:rPr>
        <w:t>underlying</w:t>
      </w:r>
    </w:p>
    <w:p>
      <w:pPr>
        <w:pStyle w:val="BodyText"/>
      </w:pPr>
      <w:r>
        <w:rPr>
          <w:rFonts w:ascii="Arial"/>
          <w:w w:val="105"/>
          <w:sz w:val="12"/>
        </w:rPr>
        <w:t>572     </w:t>
      </w:r>
      <w:r>
        <w:rPr>
          <w:w w:val="105"/>
        </w:rPr>
        <w:t>cognitive processes, such as </w:t>
      </w:r>
      <w:r>
        <w:rPr>
          <w:i/>
          <w:w w:val="105"/>
        </w:rPr>
        <w:t>automatic </w:t>
      </w:r>
      <w:r>
        <w:rPr>
          <w:w w:val="105"/>
        </w:rPr>
        <w:t>action tendencies.  The test-retest reliability for </w:t>
      </w:r>
      <w:r>
        <w:rPr>
          <w:spacing w:val="16"/>
          <w:w w:val="105"/>
        </w:rPr>
        <w:t> </w:t>
      </w:r>
      <w:r>
        <w:rPr>
          <w:w w:val="105"/>
        </w:rPr>
        <w:t>bias</w:t>
      </w:r>
    </w:p>
    <w:p>
      <w:pPr>
        <w:pStyle w:val="BodyText"/>
      </w:pPr>
      <w:r>
        <w:rPr>
          <w:rFonts w:ascii="Arial"/>
          <w:w w:val="105"/>
          <w:sz w:val="12"/>
        </w:rPr>
        <w:t>573 </w:t>
      </w:r>
      <w:r>
        <w:rPr>
          <w:w w:val="105"/>
        </w:rPr>
        <w:t>scores based on initiation times however was only slightly better compared to completion</w:t>
      </w:r>
    </w:p>
    <w:p>
      <w:pPr>
        <w:pStyle w:val="BodyText"/>
        <w:rPr>
          <w:i/>
        </w:rPr>
      </w:pPr>
      <w:r>
        <w:rPr>
          <w:rFonts w:ascii="Arial"/>
          <w:w w:val="105"/>
          <w:sz w:val="12"/>
        </w:rPr>
        <w:t>574 </w:t>
      </w:r>
      <w:r>
        <w:rPr>
          <w:w w:val="105"/>
        </w:rPr>
        <w:t>time bias scores with a stability coefficient of 0.53 [log(</w:t>
      </w:r>
      <w:r>
        <w:rPr>
          <w:i/>
          <w:w w:val="105"/>
        </w:rPr>
        <w:t>BF </w:t>
      </w:r>
      <w:r>
        <w:rPr>
          <w:w w:val="105"/>
          <w:vertAlign w:val="subscript"/>
        </w:rPr>
        <w:t>10</w:t>
      </w:r>
      <w:r>
        <w:rPr>
          <w:w w:val="105"/>
          <w:vertAlign w:val="baseline"/>
        </w:rPr>
        <w:t>) = 24.34, </w:t>
      </w:r>
      <w:r>
        <w:rPr>
          <w:i/>
          <w:w w:val="105"/>
          <w:vertAlign w:val="baseline"/>
        </w:rPr>
        <w:t>p </w:t>
      </w:r>
      <w:r>
        <w:rPr>
          <w:w w:val="105"/>
          <w:vertAlign w:val="baseline"/>
        </w:rPr>
        <w:t>&lt; .001, 95% CI for </w:t>
      </w:r>
      <w:r>
        <w:rPr>
          <w:i/>
          <w:w w:val="105"/>
          <w:vertAlign w:val="baseline"/>
        </w:rPr>
        <w:t>r</w:t>
      </w:r>
    </w:p>
    <w:p>
      <w:pPr>
        <w:spacing w:before="202"/>
        <w:ind w:left="230" w:right="0" w:firstLine="0"/>
        <w:jc w:val="left"/>
        <w:rPr>
          <w:sz w:val="24"/>
        </w:rPr>
      </w:pPr>
      <w:r>
        <w:rPr>
          <w:rFonts w:ascii="Arial"/>
          <w:w w:val="105"/>
          <w:sz w:val="12"/>
        </w:rPr>
        <w:t>575 </w:t>
      </w:r>
      <w:r>
        <w:rPr>
          <w:w w:val="105"/>
          <w:sz w:val="24"/>
        </w:rPr>
        <w:t>= 0.43, 1].</w:t>
      </w:r>
    </w:p>
    <w:p>
      <w:pPr>
        <w:spacing w:after="0"/>
        <w:jc w:val="left"/>
        <w:rPr>
          <w:sz w:val="24"/>
        </w:rPr>
        <w:sectPr>
          <w:pgSz w:w="12240" w:h="15840"/>
          <w:pgMar w:header="649" w:footer="0" w:top="1320" w:bottom="280" w:left="820" w:right="1140"/>
        </w:sectPr>
      </w:pPr>
    </w:p>
    <w:p>
      <w:pPr>
        <w:tabs>
          <w:tab w:pos="1195" w:val="left" w:leader="none"/>
          <w:tab w:pos="6842" w:val="left" w:leader="none"/>
        </w:tabs>
        <w:spacing w:before="191"/>
        <w:ind w:left="230" w:right="0" w:firstLine="0"/>
        <w:jc w:val="left"/>
        <w:rPr>
          <w:sz w:val="24"/>
        </w:rPr>
      </w:pPr>
      <w:r>
        <w:rPr>
          <w:rFonts w:ascii="Arial"/>
          <w:w w:val="105"/>
          <w:sz w:val="12"/>
        </w:rPr>
        <w:t>576</w:t>
        <w:tab/>
      </w:r>
      <w:bookmarkStart w:name="Devaluation trends across training condi" w:id="57"/>
      <w:bookmarkEnd w:id="57"/>
      <w:r>
        <w:rPr>
          <w:rFonts w:ascii="Arial"/>
          <w:w w:val="105"/>
          <w:sz w:val="12"/>
        </w:rPr>
      </w:r>
      <w:bookmarkStart w:name="_bookmark26" w:id="58"/>
      <w:bookmarkEnd w:id="58"/>
      <w:r>
        <w:rPr>
          <w:rFonts w:ascii="Arial"/>
          <w:w w:val="105"/>
          <w:sz w:val="12"/>
        </w:rPr>
      </w:r>
      <w:r>
        <w:rPr>
          <w:b/>
          <w:w w:val="105"/>
          <w:sz w:val="24"/>
        </w:rPr>
        <w:t>Devaluation   trends   across</w:t>
      </w:r>
      <w:r>
        <w:rPr>
          <w:b/>
          <w:spacing w:val="6"/>
          <w:w w:val="105"/>
          <w:sz w:val="24"/>
        </w:rPr>
        <w:t> </w:t>
      </w:r>
      <w:r>
        <w:rPr>
          <w:b/>
          <w:w w:val="105"/>
          <w:sz w:val="24"/>
        </w:rPr>
        <w:t>training </w:t>
      </w:r>
      <w:r>
        <w:rPr>
          <w:b/>
          <w:spacing w:val="24"/>
          <w:w w:val="105"/>
          <w:sz w:val="24"/>
        </w:rPr>
        <w:t> </w:t>
      </w:r>
      <w:r>
        <w:rPr>
          <w:b/>
          <w:w w:val="105"/>
          <w:sz w:val="24"/>
        </w:rPr>
        <w:t>conditions.</w:t>
        <w:tab/>
      </w:r>
      <w:r>
        <w:rPr>
          <w:w w:val="105"/>
          <w:sz w:val="24"/>
        </w:rPr>
        <w:t>As explained in Figure </w:t>
      </w:r>
      <w:hyperlink w:history="true" w:anchor="_bookmark21">
        <w:r>
          <w:rPr>
            <w:w w:val="105"/>
            <w:sz w:val="24"/>
          </w:rPr>
          <w:t>3,</w:t>
        </w:r>
        <w:r>
          <w:rPr>
            <w:spacing w:val="37"/>
            <w:w w:val="105"/>
            <w:sz w:val="24"/>
          </w:rPr>
          <w:t> </w:t>
        </w:r>
      </w:hyperlink>
      <w:r>
        <w:rPr>
          <w:w w:val="105"/>
          <w:sz w:val="24"/>
        </w:rPr>
        <w:t>there</w:t>
      </w:r>
    </w:p>
    <w:p>
      <w:pPr>
        <w:pStyle w:val="BodyText"/>
      </w:pPr>
      <w:r>
        <w:rPr>
          <w:rFonts w:ascii="Arial"/>
          <w:w w:val="105"/>
          <w:sz w:val="12"/>
        </w:rPr>
        <w:t>577 </w:t>
      </w:r>
      <w:r>
        <w:rPr>
          <w:w w:val="105"/>
        </w:rPr>
        <w:t>was a general trend of devaluation in the data for all training conditions from pre- to</w:t>
      </w:r>
    </w:p>
    <w:p>
      <w:pPr>
        <w:pStyle w:val="BodyText"/>
        <w:spacing w:before="203"/>
      </w:pPr>
      <w:r>
        <w:rPr>
          <w:rFonts w:ascii="Arial"/>
          <w:w w:val="105"/>
          <w:sz w:val="12"/>
        </w:rPr>
        <w:t>578 </w:t>
      </w:r>
      <w:r>
        <w:rPr>
          <w:w w:val="105"/>
        </w:rPr>
        <w:t>post-training. These observed differencesw were tested directly and there was conclusive</w:t>
      </w:r>
    </w:p>
    <w:p>
      <w:pPr>
        <w:pStyle w:val="BodyText"/>
      </w:pPr>
      <w:r>
        <w:rPr>
          <w:rFonts w:ascii="Arial"/>
          <w:w w:val="105"/>
          <w:sz w:val="12"/>
        </w:rPr>
        <w:t>579 </w:t>
      </w:r>
      <w:r>
        <w:rPr>
          <w:w w:val="105"/>
        </w:rPr>
        <w:t>evidence that within each training condition cell, there is a negative change in mean liking</w:t>
      </w:r>
    </w:p>
    <w:p>
      <w:pPr>
        <w:pStyle w:val="BodyText"/>
      </w:pPr>
      <w:r>
        <w:rPr>
          <w:rFonts w:ascii="Arial"/>
          <w:w w:val="105"/>
          <w:sz w:val="12"/>
        </w:rPr>
        <w:t>580 </w:t>
      </w:r>
      <w:r>
        <w:rPr>
          <w:w w:val="105"/>
        </w:rPr>
        <w:t>ratings from pre- to post-training, as observed in Figure </w:t>
      </w:r>
      <w:hyperlink w:history="true" w:anchor="_bookmark21">
        <w:r>
          <w:rPr>
            <w:w w:val="105"/>
          </w:rPr>
          <w:t>3.</w:t>
        </w:r>
      </w:hyperlink>
      <w:r>
        <w:rPr>
          <w:w w:val="105"/>
        </w:rPr>
        <w:t> The control (filler) foods should</w:t>
      </w:r>
    </w:p>
    <w:p>
      <w:pPr>
        <w:pStyle w:val="BodyText"/>
      </w:pPr>
      <w:r>
        <w:rPr>
          <w:rFonts w:ascii="Arial"/>
          <w:w w:val="105"/>
          <w:sz w:val="12"/>
        </w:rPr>
        <w:t>581 </w:t>
      </w:r>
      <w:r>
        <w:rPr>
          <w:w w:val="105"/>
        </w:rPr>
        <w:t>be unaffected in terms of affective evaluation changes, but participants rated filler foods</w:t>
      </w:r>
    </w:p>
    <w:p>
      <w:pPr>
        <w:pStyle w:val="BodyText"/>
        <w:rPr>
          <w:i/>
        </w:rPr>
      </w:pPr>
      <w:r>
        <w:rPr>
          <w:rFonts w:ascii="Arial"/>
          <w:w w:val="110"/>
          <w:sz w:val="12"/>
        </w:rPr>
        <w:t>582 </w:t>
      </w:r>
      <w:r>
        <w:rPr>
          <w:w w:val="110"/>
        </w:rPr>
        <w:t>more negatively after training (</w:t>
      </w:r>
      <w:r>
        <w:rPr>
          <w:i/>
          <w:w w:val="110"/>
        </w:rPr>
        <w:t>M </w:t>
      </w:r>
      <w:r>
        <w:rPr>
          <w:w w:val="110"/>
        </w:rPr>
        <w:t>= 68.55, </w:t>
      </w:r>
      <w:r>
        <w:rPr>
          <w:i/>
          <w:w w:val="110"/>
        </w:rPr>
        <w:t>SD </w:t>
      </w:r>
      <w:r>
        <w:rPr>
          <w:w w:val="110"/>
        </w:rPr>
        <w:t>= 15.81) relative to baseline (</w:t>
      </w:r>
      <w:r>
        <w:rPr>
          <w:i/>
          <w:w w:val="110"/>
        </w:rPr>
        <w:t>M </w:t>
      </w:r>
      <w:r>
        <w:rPr>
          <w:w w:val="110"/>
        </w:rPr>
        <w:t>= 71.16, </w:t>
      </w:r>
      <w:r>
        <w:rPr>
          <w:i/>
          <w:w w:val="110"/>
        </w:rPr>
        <w:t>SD</w:t>
      </w:r>
    </w:p>
    <w:p>
      <w:pPr>
        <w:pStyle w:val="BodyText"/>
        <w:spacing w:before="201"/>
      </w:pPr>
      <w:r>
        <w:rPr>
          <w:rFonts w:ascii="Arial"/>
          <w:w w:val="110"/>
          <w:sz w:val="12"/>
        </w:rPr>
        <w:t>583 </w:t>
      </w:r>
      <w:r>
        <w:rPr>
          <w:w w:val="110"/>
        </w:rPr>
        <w:t>= 14.80) [</w:t>
      </w:r>
      <w:r>
        <w:rPr>
          <w:i/>
          <w:w w:val="110"/>
        </w:rPr>
        <w:t>BF </w:t>
      </w:r>
      <w:r>
        <w:rPr>
          <w:w w:val="110"/>
          <w:vertAlign w:val="subscript"/>
        </w:rPr>
        <w:t>10</w:t>
      </w:r>
      <w:r>
        <w:rPr>
          <w:w w:val="110"/>
          <w:vertAlign w:val="baseline"/>
        </w:rPr>
        <w:t> = 156.54, </w:t>
      </w:r>
      <w:r>
        <w:rPr>
          <w:i/>
          <w:w w:val="110"/>
          <w:vertAlign w:val="baseline"/>
        </w:rPr>
        <w:t>t</w:t>
      </w:r>
      <w:r>
        <w:rPr>
          <w:w w:val="110"/>
          <w:vertAlign w:val="baseline"/>
        </w:rPr>
        <w:t>(162) = 3.80, </w:t>
      </w:r>
      <w:r>
        <w:rPr>
          <w:i/>
          <w:w w:val="110"/>
          <w:vertAlign w:val="baseline"/>
        </w:rPr>
        <w:t>p </w:t>
      </w:r>
      <w:r>
        <w:rPr>
          <w:w w:val="110"/>
          <w:vertAlign w:val="baseline"/>
        </w:rPr>
        <w:t>&lt; .001, </w:t>
      </w:r>
      <w:r>
        <w:rPr>
          <w:i/>
          <w:w w:val="110"/>
          <w:vertAlign w:val="baseline"/>
        </w:rPr>
        <w:t>p</w:t>
      </w:r>
      <w:r>
        <w:rPr>
          <w:rFonts w:ascii="Arial"/>
          <w:i/>
          <w:w w:val="110"/>
          <w:vertAlign w:val="subscript"/>
        </w:rPr>
        <w:t>W</w:t>
      </w:r>
      <w:r>
        <w:rPr>
          <w:rFonts w:ascii="Arial"/>
          <w:i/>
          <w:w w:val="110"/>
          <w:vertAlign w:val="baseline"/>
        </w:rPr>
        <w:t> </w:t>
      </w:r>
      <w:r>
        <w:rPr>
          <w:w w:val="110"/>
          <w:vertAlign w:val="baseline"/>
        </w:rPr>
        <w:t>= 0.001, </w:t>
      </w:r>
      <w:r>
        <w:rPr>
          <w:i/>
          <w:w w:val="110"/>
          <w:vertAlign w:val="baseline"/>
        </w:rPr>
        <w:t>d </w:t>
      </w:r>
      <w:r>
        <w:rPr>
          <w:w w:val="110"/>
          <w:vertAlign w:val="baseline"/>
        </w:rPr>
        <w:t>= 0.30, 95% CI for </w:t>
      </w:r>
      <w:r>
        <w:rPr>
          <w:i/>
          <w:w w:val="110"/>
          <w:vertAlign w:val="baseline"/>
        </w:rPr>
        <w:t>d </w:t>
      </w:r>
      <w:r>
        <w:rPr>
          <w:w w:val="110"/>
          <w:vertAlign w:val="baseline"/>
        </w:rPr>
        <w:t>=</w:t>
      </w:r>
    </w:p>
    <w:p>
      <w:pPr>
        <w:pStyle w:val="BodyText"/>
        <w:spacing w:before="203"/>
      </w:pPr>
      <w:r>
        <w:rPr>
          <w:rFonts w:ascii="Arial"/>
          <w:w w:val="105"/>
          <w:sz w:val="12"/>
        </w:rPr>
        <w:t>584 </w:t>
      </w:r>
      <w:r>
        <w:rPr>
          <w:w w:val="105"/>
        </w:rPr>
        <w:t>0.14, 0.45]. Contrary to predictions about the increase in positive evaluations for go foods</w:t>
      </w:r>
    </w:p>
    <w:p>
      <w:pPr>
        <w:pStyle w:val="BodyText"/>
      </w:pPr>
      <w:r>
        <w:rPr>
          <w:rFonts w:ascii="Arial"/>
          <w:w w:val="105"/>
          <w:sz w:val="12"/>
        </w:rPr>
        <w:t>585     </w:t>
      </w:r>
      <w:r>
        <w:rPr>
          <w:w w:val="105"/>
        </w:rPr>
        <w:t>(relative to control), within that condition cell the evaluations of go </w:t>
      </w:r>
      <w:r>
        <w:rPr>
          <w:spacing w:val="2"/>
          <w:w w:val="105"/>
        </w:rPr>
        <w:t>foods </w:t>
      </w:r>
      <w:r>
        <w:rPr>
          <w:w w:val="105"/>
        </w:rPr>
        <w:t>were less</w:t>
      </w:r>
      <w:r>
        <w:rPr>
          <w:spacing w:val="51"/>
          <w:w w:val="105"/>
        </w:rPr>
        <w:t> </w:t>
      </w:r>
      <w:r>
        <w:rPr>
          <w:w w:val="105"/>
        </w:rPr>
        <w:t>positive</w:t>
      </w:r>
    </w:p>
    <w:p>
      <w:pPr>
        <w:spacing w:before="202"/>
        <w:ind w:left="230" w:right="0" w:firstLine="0"/>
        <w:jc w:val="left"/>
        <w:rPr>
          <w:sz w:val="24"/>
        </w:rPr>
      </w:pPr>
      <w:r>
        <w:rPr>
          <w:rFonts w:ascii="Arial"/>
          <w:w w:val="110"/>
          <w:sz w:val="12"/>
        </w:rPr>
        <w:t>586  </w:t>
      </w:r>
      <w:r>
        <w:rPr>
          <w:rFonts w:ascii="Arial"/>
          <w:spacing w:val="27"/>
          <w:w w:val="110"/>
          <w:sz w:val="12"/>
        </w:rPr>
        <w:t> </w:t>
      </w:r>
      <w:r>
        <w:rPr>
          <w:w w:val="110"/>
          <w:sz w:val="24"/>
        </w:rPr>
        <w:t>after</w:t>
      </w:r>
      <w:r>
        <w:rPr>
          <w:spacing w:val="-13"/>
          <w:w w:val="110"/>
          <w:sz w:val="24"/>
        </w:rPr>
        <w:t> </w:t>
      </w:r>
      <w:r>
        <w:rPr>
          <w:w w:val="110"/>
          <w:sz w:val="24"/>
        </w:rPr>
        <w:t>training</w:t>
      </w:r>
      <w:r>
        <w:rPr>
          <w:spacing w:val="-13"/>
          <w:w w:val="110"/>
          <w:sz w:val="24"/>
        </w:rPr>
        <w:t> </w:t>
      </w:r>
      <w:r>
        <w:rPr>
          <w:w w:val="110"/>
          <w:sz w:val="24"/>
        </w:rPr>
        <w:t>(</w:t>
      </w:r>
      <w:r>
        <w:rPr>
          <w:i/>
          <w:w w:val="110"/>
          <w:sz w:val="24"/>
        </w:rPr>
        <w:t>M</w:t>
      </w:r>
      <w:r>
        <w:rPr>
          <w:i/>
          <w:spacing w:val="8"/>
          <w:w w:val="110"/>
          <w:sz w:val="24"/>
        </w:rPr>
        <w:t> </w:t>
      </w:r>
      <w:r>
        <w:rPr>
          <w:w w:val="110"/>
          <w:sz w:val="24"/>
        </w:rPr>
        <w:t>=</w:t>
      </w:r>
      <w:r>
        <w:rPr>
          <w:spacing w:val="-13"/>
          <w:w w:val="110"/>
          <w:sz w:val="24"/>
        </w:rPr>
        <w:t> </w:t>
      </w:r>
      <w:r>
        <w:rPr>
          <w:w w:val="110"/>
          <w:sz w:val="24"/>
        </w:rPr>
        <w:t>67.42,</w:t>
      </w:r>
      <w:r>
        <w:rPr>
          <w:spacing w:val="-12"/>
          <w:w w:val="110"/>
          <w:sz w:val="24"/>
        </w:rPr>
        <w:t> </w:t>
      </w:r>
      <w:r>
        <w:rPr>
          <w:i/>
          <w:w w:val="110"/>
          <w:sz w:val="24"/>
        </w:rPr>
        <w:t>SD</w:t>
      </w:r>
      <w:r>
        <w:rPr>
          <w:i/>
          <w:spacing w:val="-5"/>
          <w:w w:val="110"/>
          <w:sz w:val="24"/>
        </w:rPr>
        <w:t> </w:t>
      </w:r>
      <w:r>
        <w:rPr>
          <w:w w:val="110"/>
          <w:sz w:val="24"/>
        </w:rPr>
        <w:t>=</w:t>
      </w:r>
      <w:r>
        <w:rPr>
          <w:spacing w:val="-13"/>
          <w:w w:val="110"/>
          <w:sz w:val="24"/>
        </w:rPr>
        <w:t> </w:t>
      </w:r>
      <w:r>
        <w:rPr>
          <w:w w:val="110"/>
          <w:sz w:val="24"/>
        </w:rPr>
        <w:t>16.85)</w:t>
      </w:r>
      <w:r>
        <w:rPr>
          <w:spacing w:val="-13"/>
          <w:w w:val="110"/>
          <w:sz w:val="24"/>
        </w:rPr>
        <w:t> </w:t>
      </w:r>
      <w:r>
        <w:rPr>
          <w:w w:val="110"/>
          <w:sz w:val="24"/>
        </w:rPr>
        <w:t>compared</w:t>
      </w:r>
      <w:r>
        <w:rPr>
          <w:spacing w:val="-12"/>
          <w:w w:val="110"/>
          <w:sz w:val="24"/>
        </w:rPr>
        <w:t> </w:t>
      </w:r>
      <w:r>
        <w:rPr>
          <w:w w:val="110"/>
          <w:sz w:val="24"/>
        </w:rPr>
        <w:t>to</w:t>
      </w:r>
      <w:r>
        <w:rPr>
          <w:spacing w:val="-13"/>
          <w:w w:val="110"/>
          <w:sz w:val="24"/>
        </w:rPr>
        <w:t> </w:t>
      </w:r>
      <w:r>
        <w:rPr>
          <w:w w:val="110"/>
          <w:sz w:val="24"/>
        </w:rPr>
        <w:t>before</w:t>
      </w:r>
      <w:r>
        <w:rPr>
          <w:spacing w:val="-13"/>
          <w:w w:val="110"/>
          <w:sz w:val="24"/>
        </w:rPr>
        <w:t> </w:t>
      </w:r>
      <w:r>
        <w:rPr>
          <w:w w:val="110"/>
          <w:sz w:val="24"/>
        </w:rPr>
        <w:t>(</w:t>
      </w:r>
      <w:r>
        <w:rPr>
          <w:i/>
          <w:w w:val="110"/>
          <w:sz w:val="24"/>
        </w:rPr>
        <w:t>M</w:t>
      </w:r>
      <w:r>
        <w:rPr>
          <w:i/>
          <w:spacing w:val="9"/>
          <w:w w:val="110"/>
          <w:sz w:val="24"/>
        </w:rPr>
        <w:t> </w:t>
      </w:r>
      <w:r>
        <w:rPr>
          <w:w w:val="110"/>
          <w:sz w:val="24"/>
        </w:rPr>
        <w:t>=</w:t>
      </w:r>
      <w:r>
        <w:rPr>
          <w:spacing w:val="-13"/>
          <w:w w:val="110"/>
          <w:sz w:val="24"/>
        </w:rPr>
        <w:t> </w:t>
      </w:r>
      <w:r>
        <w:rPr>
          <w:w w:val="110"/>
          <w:sz w:val="24"/>
        </w:rPr>
        <w:t>70.29,</w:t>
      </w:r>
      <w:r>
        <w:rPr>
          <w:spacing w:val="-13"/>
          <w:w w:val="110"/>
          <w:sz w:val="24"/>
        </w:rPr>
        <w:t> </w:t>
      </w:r>
      <w:r>
        <w:rPr>
          <w:i/>
          <w:w w:val="110"/>
          <w:sz w:val="24"/>
        </w:rPr>
        <w:t>SD</w:t>
      </w:r>
      <w:r>
        <w:rPr>
          <w:i/>
          <w:spacing w:val="-4"/>
          <w:w w:val="110"/>
          <w:sz w:val="24"/>
        </w:rPr>
        <w:t> </w:t>
      </w:r>
      <w:r>
        <w:rPr>
          <w:w w:val="110"/>
          <w:sz w:val="24"/>
        </w:rPr>
        <w:t>=</w:t>
      </w:r>
      <w:r>
        <w:rPr>
          <w:spacing w:val="-13"/>
          <w:w w:val="110"/>
          <w:sz w:val="24"/>
        </w:rPr>
        <w:t> </w:t>
      </w:r>
      <w:r>
        <w:rPr>
          <w:w w:val="110"/>
          <w:sz w:val="24"/>
        </w:rPr>
        <w:t>16.80)</w:t>
      </w:r>
      <w:r>
        <w:rPr>
          <w:spacing w:val="-13"/>
          <w:w w:val="110"/>
          <w:sz w:val="24"/>
        </w:rPr>
        <w:t> </w:t>
      </w:r>
      <w:r>
        <w:rPr>
          <w:w w:val="110"/>
          <w:sz w:val="24"/>
        </w:rPr>
        <w:t>[</w:t>
      </w:r>
      <w:r>
        <w:rPr>
          <w:i/>
          <w:w w:val="110"/>
          <w:sz w:val="24"/>
        </w:rPr>
        <w:t>BF</w:t>
      </w:r>
      <w:r>
        <w:rPr>
          <w:i/>
          <w:spacing w:val="-49"/>
          <w:w w:val="110"/>
          <w:sz w:val="24"/>
        </w:rPr>
        <w:t> </w:t>
      </w:r>
      <w:r>
        <w:rPr>
          <w:w w:val="110"/>
          <w:sz w:val="24"/>
          <w:vertAlign w:val="subscript"/>
        </w:rPr>
        <w:t>10</w:t>
      </w:r>
    </w:p>
    <w:p>
      <w:pPr>
        <w:pStyle w:val="BodyText"/>
        <w:spacing w:before="201"/>
      </w:pPr>
      <w:r>
        <w:rPr>
          <w:rFonts w:ascii="Arial"/>
          <w:w w:val="110"/>
          <w:sz w:val="12"/>
        </w:rPr>
        <w:t>587 </w:t>
      </w:r>
      <w:r>
        <w:rPr>
          <w:w w:val="110"/>
        </w:rPr>
        <w:t>= 84.52, </w:t>
      </w:r>
      <w:r>
        <w:rPr>
          <w:i/>
          <w:w w:val="110"/>
        </w:rPr>
        <w:t>t</w:t>
      </w:r>
      <w:r>
        <w:rPr>
          <w:w w:val="110"/>
        </w:rPr>
        <w:t>(162) = 3.62, </w:t>
      </w:r>
      <w:r>
        <w:rPr>
          <w:i/>
          <w:w w:val="110"/>
        </w:rPr>
        <w:t>p </w:t>
      </w:r>
      <w:r>
        <w:rPr>
          <w:w w:val="110"/>
        </w:rPr>
        <w:t>&lt; .001, </w:t>
      </w:r>
      <w:r>
        <w:rPr>
          <w:i/>
          <w:w w:val="110"/>
        </w:rPr>
        <w:t>p</w:t>
      </w:r>
      <w:r>
        <w:rPr>
          <w:rFonts w:ascii="Arial"/>
          <w:i/>
          <w:w w:val="110"/>
          <w:vertAlign w:val="subscript"/>
        </w:rPr>
        <w:t>W</w:t>
      </w:r>
      <w:r>
        <w:rPr>
          <w:rFonts w:ascii="Arial"/>
          <w:i/>
          <w:w w:val="110"/>
          <w:vertAlign w:val="baseline"/>
        </w:rPr>
        <w:t> </w:t>
      </w:r>
      <w:r>
        <w:rPr>
          <w:w w:val="110"/>
          <w:vertAlign w:val="baseline"/>
        </w:rPr>
        <w:t>&lt; .001, </w:t>
      </w:r>
      <w:r>
        <w:rPr>
          <w:i/>
          <w:w w:val="110"/>
          <w:vertAlign w:val="baseline"/>
        </w:rPr>
        <w:t>d </w:t>
      </w:r>
      <w:r>
        <w:rPr>
          <w:w w:val="110"/>
          <w:vertAlign w:val="baseline"/>
        </w:rPr>
        <w:t>= 0.28, 95% CI for </w:t>
      </w:r>
      <w:r>
        <w:rPr>
          <w:i/>
          <w:w w:val="110"/>
          <w:vertAlign w:val="baseline"/>
        </w:rPr>
        <w:t>d </w:t>
      </w:r>
      <w:r>
        <w:rPr>
          <w:w w:val="110"/>
          <w:vertAlign w:val="baseline"/>
        </w:rPr>
        <w:t>= 0.13, 0.44]. The</w:t>
      </w:r>
    </w:p>
    <w:p>
      <w:pPr>
        <w:pStyle w:val="BodyText"/>
      </w:pPr>
      <w:r>
        <w:rPr>
          <w:rFonts w:ascii="Arial"/>
          <w:w w:val="105"/>
          <w:sz w:val="12"/>
        </w:rPr>
        <w:t>588 </w:t>
      </w:r>
      <w:r>
        <w:rPr>
          <w:w w:val="105"/>
        </w:rPr>
        <w:t>effect was greater for no-go foods, but this is the only data trend that was theoretically</w:t>
      </w:r>
    </w:p>
    <w:p>
      <w:pPr>
        <w:pStyle w:val="BodyText"/>
      </w:pPr>
      <w:r>
        <w:rPr>
          <w:rFonts w:ascii="Arial"/>
          <w:w w:val="105"/>
          <w:sz w:val="12"/>
        </w:rPr>
        <w:t>589     </w:t>
      </w:r>
      <w:r>
        <w:rPr>
          <w:w w:val="105"/>
        </w:rPr>
        <w:t>consistent with effects of training. Participants provided less positive ratings for no-go</w:t>
      </w:r>
      <w:r>
        <w:rPr>
          <w:spacing w:val="-15"/>
          <w:w w:val="105"/>
        </w:rPr>
        <w:t> </w:t>
      </w:r>
      <w:r>
        <w:rPr>
          <w:spacing w:val="2"/>
          <w:w w:val="105"/>
        </w:rPr>
        <w:t>foods</w:t>
      </w:r>
    </w:p>
    <w:p>
      <w:pPr>
        <w:spacing w:before="203"/>
        <w:ind w:left="230" w:right="0" w:firstLine="0"/>
        <w:jc w:val="left"/>
        <w:rPr>
          <w:sz w:val="24"/>
        </w:rPr>
      </w:pPr>
      <w:r>
        <w:rPr>
          <w:rFonts w:ascii="Arial"/>
          <w:w w:val="110"/>
          <w:sz w:val="12"/>
        </w:rPr>
        <w:t>590  </w:t>
      </w:r>
      <w:r>
        <w:rPr>
          <w:rFonts w:ascii="Arial"/>
          <w:spacing w:val="27"/>
          <w:w w:val="110"/>
          <w:sz w:val="12"/>
        </w:rPr>
        <w:t> </w:t>
      </w:r>
      <w:r>
        <w:rPr>
          <w:w w:val="110"/>
          <w:sz w:val="24"/>
        </w:rPr>
        <w:t>after</w:t>
      </w:r>
      <w:r>
        <w:rPr>
          <w:spacing w:val="-13"/>
          <w:w w:val="110"/>
          <w:sz w:val="24"/>
        </w:rPr>
        <w:t> </w:t>
      </w:r>
      <w:r>
        <w:rPr>
          <w:w w:val="110"/>
          <w:sz w:val="24"/>
        </w:rPr>
        <w:t>training</w:t>
      </w:r>
      <w:r>
        <w:rPr>
          <w:spacing w:val="-13"/>
          <w:w w:val="110"/>
          <w:sz w:val="24"/>
        </w:rPr>
        <w:t> </w:t>
      </w:r>
      <w:r>
        <w:rPr>
          <w:w w:val="110"/>
          <w:sz w:val="24"/>
        </w:rPr>
        <w:t>(</w:t>
      </w:r>
      <w:r>
        <w:rPr>
          <w:i/>
          <w:w w:val="110"/>
          <w:sz w:val="24"/>
        </w:rPr>
        <w:t>M</w:t>
      </w:r>
      <w:r>
        <w:rPr>
          <w:i/>
          <w:spacing w:val="8"/>
          <w:w w:val="110"/>
          <w:sz w:val="24"/>
        </w:rPr>
        <w:t> </w:t>
      </w:r>
      <w:r>
        <w:rPr>
          <w:w w:val="110"/>
          <w:sz w:val="24"/>
        </w:rPr>
        <w:t>=</w:t>
      </w:r>
      <w:r>
        <w:rPr>
          <w:spacing w:val="-13"/>
          <w:w w:val="110"/>
          <w:sz w:val="24"/>
        </w:rPr>
        <w:t> </w:t>
      </w:r>
      <w:r>
        <w:rPr>
          <w:w w:val="110"/>
          <w:sz w:val="24"/>
        </w:rPr>
        <w:t>68.83,</w:t>
      </w:r>
      <w:r>
        <w:rPr>
          <w:spacing w:val="-12"/>
          <w:w w:val="110"/>
          <w:sz w:val="24"/>
        </w:rPr>
        <w:t> </w:t>
      </w:r>
      <w:r>
        <w:rPr>
          <w:i/>
          <w:w w:val="110"/>
          <w:sz w:val="24"/>
        </w:rPr>
        <w:t>SD</w:t>
      </w:r>
      <w:r>
        <w:rPr>
          <w:i/>
          <w:spacing w:val="-5"/>
          <w:w w:val="110"/>
          <w:sz w:val="24"/>
        </w:rPr>
        <w:t> </w:t>
      </w:r>
      <w:r>
        <w:rPr>
          <w:w w:val="110"/>
          <w:sz w:val="24"/>
        </w:rPr>
        <w:t>=</w:t>
      </w:r>
      <w:r>
        <w:rPr>
          <w:spacing w:val="-13"/>
          <w:w w:val="110"/>
          <w:sz w:val="24"/>
        </w:rPr>
        <w:t> </w:t>
      </w:r>
      <w:r>
        <w:rPr>
          <w:w w:val="110"/>
          <w:sz w:val="24"/>
        </w:rPr>
        <w:t>16.81)</w:t>
      </w:r>
      <w:r>
        <w:rPr>
          <w:spacing w:val="-13"/>
          <w:w w:val="110"/>
          <w:sz w:val="24"/>
        </w:rPr>
        <w:t> </w:t>
      </w:r>
      <w:r>
        <w:rPr>
          <w:w w:val="110"/>
          <w:sz w:val="24"/>
        </w:rPr>
        <w:t>compared</w:t>
      </w:r>
      <w:r>
        <w:rPr>
          <w:spacing w:val="-12"/>
          <w:w w:val="110"/>
          <w:sz w:val="24"/>
        </w:rPr>
        <w:t> </w:t>
      </w:r>
      <w:r>
        <w:rPr>
          <w:w w:val="110"/>
          <w:sz w:val="24"/>
        </w:rPr>
        <w:t>to</w:t>
      </w:r>
      <w:r>
        <w:rPr>
          <w:spacing w:val="-13"/>
          <w:w w:val="110"/>
          <w:sz w:val="24"/>
        </w:rPr>
        <w:t> </w:t>
      </w:r>
      <w:r>
        <w:rPr>
          <w:w w:val="110"/>
          <w:sz w:val="24"/>
        </w:rPr>
        <w:t>before</w:t>
      </w:r>
      <w:r>
        <w:rPr>
          <w:spacing w:val="-13"/>
          <w:w w:val="110"/>
          <w:sz w:val="24"/>
        </w:rPr>
        <w:t> </w:t>
      </w:r>
      <w:r>
        <w:rPr>
          <w:w w:val="110"/>
          <w:sz w:val="24"/>
        </w:rPr>
        <w:t>(</w:t>
      </w:r>
      <w:r>
        <w:rPr>
          <w:i/>
          <w:w w:val="110"/>
          <w:sz w:val="24"/>
        </w:rPr>
        <w:t>M</w:t>
      </w:r>
      <w:r>
        <w:rPr>
          <w:i/>
          <w:spacing w:val="9"/>
          <w:w w:val="110"/>
          <w:sz w:val="24"/>
        </w:rPr>
        <w:t> </w:t>
      </w:r>
      <w:r>
        <w:rPr>
          <w:w w:val="110"/>
          <w:sz w:val="24"/>
        </w:rPr>
        <w:t>=</w:t>
      </w:r>
      <w:r>
        <w:rPr>
          <w:spacing w:val="-13"/>
          <w:w w:val="110"/>
          <w:sz w:val="24"/>
        </w:rPr>
        <w:t> </w:t>
      </w:r>
      <w:r>
        <w:rPr>
          <w:w w:val="110"/>
          <w:sz w:val="24"/>
        </w:rPr>
        <w:t>72.99,</w:t>
      </w:r>
      <w:r>
        <w:rPr>
          <w:spacing w:val="-13"/>
          <w:w w:val="110"/>
          <w:sz w:val="24"/>
        </w:rPr>
        <w:t> </w:t>
      </w:r>
      <w:r>
        <w:rPr>
          <w:i/>
          <w:w w:val="110"/>
          <w:sz w:val="24"/>
        </w:rPr>
        <w:t>SD</w:t>
      </w:r>
      <w:r>
        <w:rPr>
          <w:i/>
          <w:spacing w:val="-4"/>
          <w:w w:val="110"/>
          <w:sz w:val="24"/>
        </w:rPr>
        <w:t> </w:t>
      </w:r>
      <w:r>
        <w:rPr>
          <w:w w:val="110"/>
          <w:sz w:val="24"/>
        </w:rPr>
        <w:t>=</w:t>
      </w:r>
      <w:r>
        <w:rPr>
          <w:spacing w:val="-13"/>
          <w:w w:val="110"/>
          <w:sz w:val="24"/>
        </w:rPr>
        <w:t> </w:t>
      </w:r>
      <w:r>
        <w:rPr>
          <w:w w:val="110"/>
          <w:sz w:val="24"/>
        </w:rPr>
        <w:t>15.38)</w:t>
      </w:r>
      <w:r>
        <w:rPr>
          <w:spacing w:val="-13"/>
          <w:w w:val="110"/>
          <w:sz w:val="24"/>
        </w:rPr>
        <w:t> </w:t>
      </w:r>
      <w:r>
        <w:rPr>
          <w:w w:val="110"/>
          <w:sz w:val="24"/>
        </w:rPr>
        <w:t>[</w:t>
      </w:r>
      <w:r>
        <w:rPr>
          <w:i/>
          <w:w w:val="110"/>
          <w:sz w:val="24"/>
        </w:rPr>
        <w:t>BF</w:t>
      </w:r>
      <w:r>
        <w:rPr>
          <w:i/>
          <w:spacing w:val="-49"/>
          <w:w w:val="110"/>
          <w:sz w:val="24"/>
        </w:rPr>
        <w:t> </w:t>
      </w:r>
      <w:r>
        <w:rPr>
          <w:w w:val="110"/>
          <w:sz w:val="24"/>
          <w:vertAlign w:val="subscript"/>
        </w:rPr>
        <w:t>10</w:t>
      </w:r>
    </w:p>
    <w:p>
      <w:pPr>
        <w:pStyle w:val="BodyText"/>
        <w:spacing w:before="201"/>
      </w:pPr>
      <w:r>
        <w:rPr>
          <w:rFonts w:ascii="Arial"/>
          <w:w w:val="110"/>
          <w:sz w:val="12"/>
        </w:rPr>
        <w:t>591 </w:t>
      </w:r>
      <w:r>
        <w:rPr>
          <w:w w:val="110"/>
        </w:rPr>
        <w:t>= 211398.68, </w:t>
      </w:r>
      <w:r>
        <w:rPr>
          <w:i/>
          <w:w w:val="110"/>
        </w:rPr>
        <w:t>t</w:t>
      </w:r>
      <w:r>
        <w:rPr>
          <w:w w:val="110"/>
        </w:rPr>
        <w:t>(162) = 5.58, </w:t>
      </w:r>
      <w:r>
        <w:rPr>
          <w:i/>
          <w:w w:val="110"/>
        </w:rPr>
        <w:t>p </w:t>
      </w:r>
      <w:r>
        <w:rPr>
          <w:w w:val="110"/>
        </w:rPr>
        <w:t>&lt; .001, </w:t>
      </w:r>
      <w:r>
        <w:rPr>
          <w:i/>
          <w:w w:val="110"/>
        </w:rPr>
        <w:t>p</w:t>
      </w:r>
      <w:r>
        <w:rPr>
          <w:rFonts w:ascii="Arial"/>
          <w:i/>
          <w:w w:val="110"/>
          <w:vertAlign w:val="subscript"/>
        </w:rPr>
        <w:t>W</w:t>
      </w:r>
      <w:r>
        <w:rPr>
          <w:rFonts w:ascii="Arial"/>
          <w:i/>
          <w:w w:val="110"/>
          <w:vertAlign w:val="baseline"/>
        </w:rPr>
        <w:t> </w:t>
      </w:r>
      <w:r>
        <w:rPr>
          <w:w w:val="110"/>
          <w:vertAlign w:val="baseline"/>
        </w:rPr>
        <w:t>&lt; .001, </w:t>
      </w:r>
      <w:r>
        <w:rPr>
          <w:i/>
          <w:w w:val="110"/>
          <w:vertAlign w:val="baseline"/>
        </w:rPr>
        <w:t>d </w:t>
      </w:r>
      <w:r>
        <w:rPr>
          <w:w w:val="110"/>
          <w:vertAlign w:val="baseline"/>
        </w:rPr>
        <w:t>= 0.44, 95% CI for </w:t>
      </w:r>
      <w:r>
        <w:rPr>
          <w:i/>
          <w:w w:val="110"/>
          <w:vertAlign w:val="baseline"/>
        </w:rPr>
        <w:t>d </w:t>
      </w:r>
      <w:r>
        <w:rPr>
          <w:w w:val="110"/>
          <w:vertAlign w:val="baseline"/>
        </w:rPr>
        <w:t>= 0.28, 0.60].</w:t>
      </w:r>
    </w:p>
    <w:p>
      <w:pPr>
        <w:pStyle w:val="BodyText"/>
        <w:spacing w:before="9"/>
        <w:ind w:left="0"/>
        <w:rPr>
          <w:sz w:val="29"/>
        </w:rPr>
      </w:pPr>
    </w:p>
    <w:p>
      <w:pPr>
        <w:tabs>
          <w:tab w:pos="1195" w:val="left" w:leader="none"/>
          <w:tab w:pos="6300" w:val="left" w:leader="none"/>
        </w:tabs>
        <w:spacing w:before="148"/>
        <w:ind w:left="230" w:right="0" w:firstLine="0"/>
        <w:jc w:val="left"/>
        <w:rPr>
          <w:sz w:val="24"/>
        </w:rPr>
      </w:pPr>
      <w:r>
        <w:rPr>
          <w:rFonts w:ascii="Arial"/>
          <w:w w:val="110"/>
          <w:sz w:val="12"/>
        </w:rPr>
        <w:t>592</w:t>
        <w:tab/>
      </w:r>
      <w:bookmarkStart w:name="General linear model of food choice data" w:id="59"/>
      <w:bookmarkEnd w:id="59"/>
      <w:r>
        <w:rPr>
          <w:rFonts w:ascii="Arial"/>
          <w:w w:val="110"/>
          <w:sz w:val="12"/>
        </w:rPr>
      </w:r>
      <w:bookmarkStart w:name="_bookmark27" w:id="60"/>
      <w:bookmarkEnd w:id="60"/>
      <w:r>
        <w:rPr>
          <w:rFonts w:ascii="Arial"/>
          <w:w w:val="110"/>
          <w:sz w:val="12"/>
        </w:rPr>
      </w:r>
      <w:r>
        <w:rPr>
          <w:b/>
          <w:w w:val="110"/>
          <w:sz w:val="24"/>
        </w:rPr>
        <w:t>General</w:t>
      </w:r>
      <w:r>
        <w:rPr>
          <w:b/>
          <w:spacing w:val="31"/>
          <w:w w:val="110"/>
          <w:sz w:val="24"/>
        </w:rPr>
        <w:t> </w:t>
      </w:r>
      <w:r>
        <w:rPr>
          <w:b/>
          <w:w w:val="110"/>
          <w:sz w:val="24"/>
        </w:rPr>
        <w:t>linear</w:t>
      </w:r>
      <w:r>
        <w:rPr>
          <w:b/>
          <w:spacing w:val="32"/>
          <w:w w:val="110"/>
          <w:sz w:val="24"/>
        </w:rPr>
        <w:t> </w:t>
      </w:r>
      <w:r>
        <w:rPr>
          <w:b/>
          <w:w w:val="110"/>
          <w:sz w:val="24"/>
        </w:rPr>
        <w:t>model</w:t>
      </w:r>
      <w:r>
        <w:rPr>
          <w:b/>
          <w:spacing w:val="32"/>
          <w:w w:val="110"/>
          <w:sz w:val="24"/>
        </w:rPr>
        <w:t> </w:t>
      </w:r>
      <w:r>
        <w:rPr>
          <w:b/>
          <w:w w:val="110"/>
          <w:sz w:val="24"/>
        </w:rPr>
        <w:t>of</w:t>
      </w:r>
      <w:r>
        <w:rPr>
          <w:b/>
          <w:spacing w:val="32"/>
          <w:w w:val="110"/>
          <w:sz w:val="24"/>
        </w:rPr>
        <w:t> </w:t>
      </w:r>
      <w:r>
        <w:rPr>
          <w:b/>
          <w:spacing w:val="3"/>
          <w:w w:val="110"/>
          <w:sz w:val="24"/>
        </w:rPr>
        <w:t>food</w:t>
      </w:r>
      <w:r>
        <w:rPr>
          <w:b/>
          <w:spacing w:val="32"/>
          <w:w w:val="110"/>
          <w:sz w:val="24"/>
        </w:rPr>
        <w:t> </w:t>
      </w:r>
      <w:r>
        <w:rPr>
          <w:b/>
          <w:w w:val="110"/>
          <w:sz w:val="24"/>
        </w:rPr>
        <w:t>choice</w:t>
      </w:r>
      <w:r>
        <w:rPr>
          <w:b/>
          <w:spacing w:val="32"/>
          <w:w w:val="110"/>
          <w:sz w:val="24"/>
        </w:rPr>
        <w:t> </w:t>
      </w:r>
      <w:r>
        <w:rPr>
          <w:b/>
          <w:w w:val="110"/>
          <w:sz w:val="24"/>
        </w:rPr>
        <w:t>data.</w:t>
        <w:tab/>
      </w:r>
      <w:r>
        <w:rPr>
          <w:w w:val="110"/>
          <w:sz w:val="24"/>
        </w:rPr>
        <w:t>As shown in Figure 4 and</w:t>
      </w:r>
      <w:r>
        <w:rPr>
          <w:spacing w:val="20"/>
          <w:w w:val="110"/>
          <w:sz w:val="24"/>
        </w:rPr>
        <w:t> </w:t>
      </w:r>
      <w:r>
        <w:rPr>
          <w:w w:val="110"/>
          <w:sz w:val="24"/>
        </w:rPr>
        <w:t>as</w:t>
      </w:r>
    </w:p>
    <w:p>
      <w:pPr>
        <w:pStyle w:val="BodyText"/>
      </w:pPr>
      <w:r>
        <w:rPr>
          <w:rFonts w:ascii="Arial"/>
          <w:w w:val="105"/>
          <w:sz w:val="12"/>
        </w:rPr>
        <w:t>593 </w:t>
      </w:r>
      <w:r>
        <w:rPr>
          <w:w w:val="105"/>
        </w:rPr>
        <w:t>expected for counts data, food choice probabilities were not normally distributed and the</w:t>
      </w:r>
    </w:p>
    <w:p>
      <w:pPr>
        <w:pStyle w:val="BodyText"/>
        <w:spacing w:before="203"/>
      </w:pPr>
      <w:r>
        <w:rPr>
          <w:rFonts w:ascii="Arial"/>
          <w:w w:val="105"/>
          <w:sz w:val="12"/>
        </w:rPr>
        <w:t>594 </w:t>
      </w:r>
      <w:r>
        <w:rPr>
          <w:w w:val="105"/>
        </w:rPr>
        <w:t>inferences based on paired t-tests would need to be validated further. Choice count data</w:t>
      </w:r>
    </w:p>
    <w:p>
      <w:pPr>
        <w:pStyle w:val="BodyText"/>
      </w:pPr>
      <w:r>
        <w:rPr>
          <w:rFonts w:ascii="Arial"/>
          <w:sz w:val="12"/>
        </w:rPr>
        <w:t>595     </w:t>
      </w:r>
      <w:r>
        <w:rPr>
          <w:rFonts w:ascii="Arial"/>
          <w:spacing w:val="15"/>
          <w:sz w:val="12"/>
        </w:rPr>
        <w:t> </w:t>
      </w:r>
      <w:r>
        <w:rPr/>
        <w:t>from</w:t>
      </w:r>
      <w:r>
        <w:rPr>
          <w:spacing w:val="25"/>
        </w:rPr>
        <w:t> </w:t>
      </w:r>
      <w:r>
        <w:rPr/>
        <w:t>the</w:t>
      </w:r>
      <w:r>
        <w:rPr>
          <w:spacing w:val="23"/>
        </w:rPr>
        <w:t> </w:t>
      </w:r>
      <w:r>
        <w:rPr/>
        <w:t>impulsive</w:t>
      </w:r>
      <w:r>
        <w:rPr>
          <w:spacing w:val="23"/>
        </w:rPr>
        <w:t> </w:t>
      </w:r>
      <w:r>
        <w:rPr>
          <w:spacing w:val="3"/>
        </w:rPr>
        <w:t>food</w:t>
      </w:r>
      <w:r>
        <w:rPr>
          <w:spacing w:val="25"/>
        </w:rPr>
        <w:t> </w:t>
      </w:r>
      <w:r>
        <w:rPr/>
        <w:t>choice</w:t>
      </w:r>
      <w:r>
        <w:rPr>
          <w:spacing w:val="24"/>
        </w:rPr>
        <w:t> </w:t>
      </w:r>
      <w:r>
        <w:rPr/>
        <w:t>task</w:t>
      </w:r>
      <w:r>
        <w:rPr>
          <w:spacing w:val="25"/>
        </w:rPr>
        <w:t> </w:t>
      </w:r>
      <w:r>
        <w:rPr/>
        <w:t>were</w:t>
      </w:r>
      <w:r>
        <w:rPr>
          <w:spacing w:val="24"/>
        </w:rPr>
        <w:t> </w:t>
      </w:r>
      <w:r>
        <w:rPr/>
        <w:t>modelled</w:t>
      </w:r>
      <w:r>
        <w:rPr>
          <w:spacing w:val="25"/>
        </w:rPr>
        <w:t> </w:t>
      </w:r>
      <w:r>
        <w:rPr/>
        <w:t>using</w:t>
      </w:r>
      <w:r>
        <w:rPr>
          <w:spacing w:val="24"/>
        </w:rPr>
        <w:t> </w:t>
      </w:r>
      <w:r>
        <w:rPr/>
        <w:t>a</w:t>
      </w:r>
      <w:r>
        <w:rPr>
          <w:spacing w:val="24"/>
        </w:rPr>
        <w:t> </w:t>
      </w:r>
      <w:r>
        <w:rPr/>
        <w:t>general</w:t>
      </w:r>
      <w:r>
        <w:rPr>
          <w:spacing w:val="24"/>
        </w:rPr>
        <w:t> </w:t>
      </w:r>
      <w:r>
        <w:rPr/>
        <w:t>linear</w:t>
      </w:r>
      <w:r>
        <w:rPr>
          <w:spacing w:val="24"/>
        </w:rPr>
        <w:t> </w:t>
      </w:r>
      <w:r>
        <w:rPr/>
        <w:t>model</w:t>
      </w:r>
      <w:r>
        <w:rPr>
          <w:spacing w:val="24"/>
        </w:rPr>
        <w:t> </w:t>
      </w:r>
      <w:r>
        <w:rPr/>
        <w:t>(GLM)</w:t>
      </w:r>
      <w:r>
        <w:rPr>
          <w:spacing w:val="24"/>
        </w:rPr>
        <w:t> </w:t>
      </w:r>
      <w:r>
        <w:rPr/>
        <w:t>in</w:t>
      </w:r>
      <w:r>
        <w:rPr>
          <w:spacing w:val="24"/>
        </w:rPr>
        <w:t> </w:t>
      </w:r>
      <w:r>
        <w:rPr/>
        <w:t>R</w:t>
      </w:r>
    </w:p>
    <w:p>
      <w:pPr>
        <w:pStyle w:val="BodyText"/>
      </w:pPr>
      <w:r>
        <w:rPr>
          <w:rFonts w:ascii="Arial"/>
          <w:w w:val="105"/>
          <w:sz w:val="12"/>
        </w:rPr>
        <w:t>596     </w:t>
      </w:r>
      <w:r>
        <w:rPr>
          <w:w w:val="105"/>
        </w:rPr>
        <w:t>(R Core </w:t>
      </w:r>
      <w:r>
        <w:rPr>
          <w:spacing w:val="-5"/>
          <w:w w:val="105"/>
        </w:rPr>
        <w:t>Team, </w:t>
      </w:r>
      <w:r>
        <w:rPr>
          <w:w w:val="105"/>
        </w:rPr>
        <w:t>2017).  The error term of the model </w:t>
      </w:r>
      <w:r>
        <w:rPr>
          <w:spacing w:val="-3"/>
          <w:w w:val="105"/>
        </w:rPr>
        <w:t>was </w:t>
      </w:r>
      <w:r>
        <w:rPr>
          <w:w w:val="105"/>
        </w:rPr>
        <w:t>specified with a Poisson</w:t>
      </w:r>
      <w:r>
        <w:rPr>
          <w:spacing w:val="35"/>
          <w:w w:val="105"/>
        </w:rPr>
        <w:t> </w:t>
      </w:r>
      <w:r>
        <w:rPr>
          <w:w w:val="105"/>
        </w:rPr>
        <w:t>distribution</w:t>
      </w:r>
    </w:p>
    <w:p>
      <w:pPr>
        <w:pStyle w:val="BodyText"/>
      </w:pPr>
      <w:r>
        <w:rPr>
          <w:rFonts w:ascii="Arial"/>
          <w:w w:val="105"/>
          <w:sz w:val="12"/>
        </w:rPr>
        <w:t>597    </w:t>
      </w:r>
      <w:r>
        <w:rPr>
          <w:rFonts w:ascii="Arial"/>
          <w:spacing w:val="16"/>
          <w:w w:val="105"/>
          <w:sz w:val="12"/>
        </w:rPr>
        <w:t> </w:t>
      </w:r>
      <w:r>
        <w:rPr>
          <w:w w:val="105"/>
        </w:rPr>
        <w:t>and</w:t>
      </w:r>
      <w:r>
        <w:rPr>
          <w:spacing w:val="13"/>
          <w:w w:val="105"/>
        </w:rPr>
        <w:t> </w:t>
      </w:r>
      <w:r>
        <w:rPr>
          <w:w w:val="105"/>
        </w:rPr>
        <w:t>the</w:t>
      </w:r>
      <w:r>
        <w:rPr>
          <w:spacing w:val="11"/>
          <w:w w:val="105"/>
        </w:rPr>
        <w:t> </w:t>
      </w:r>
      <w:r>
        <w:rPr>
          <w:w w:val="105"/>
        </w:rPr>
        <w:t>link</w:t>
      </w:r>
      <w:r>
        <w:rPr>
          <w:spacing w:val="12"/>
          <w:w w:val="105"/>
        </w:rPr>
        <w:t> </w:t>
      </w:r>
      <w:r>
        <w:rPr>
          <w:w w:val="105"/>
        </w:rPr>
        <w:t>function</w:t>
      </w:r>
      <w:r>
        <w:rPr>
          <w:spacing w:val="11"/>
          <w:w w:val="105"/>
        </w:rPr>
        <w:t> </w:t>
      </w:r>
      <w:r>
        <w:rPr>
          <w:w w:val="105"/>
        </w:rPr>
        <w:t>log-transformed</w:t>
      </w:r>
      <w:r>
        <w:rPr>
          <w:spacing w:val="12"/>
          <w:w w:val="105"/>
        </w:rPr>
        <w:t> </w:t>
      </w:r>
      <w:r>
        <w:rPr>
          <w:w w:val="105"/>
        </w:rPr>
        <w:t>the</w:t>
      </w:r>
      <w:r>
        <w:rPr>
          <w:spacing w:val="12"/>
          <w:w w:val="105"/>
        </w:rPr>
        <w:t> </w:t>
      </w:r>
      <w:r>
        <w:rPr>
          <w:w w:val="105"/>
        </w:rPr>
        <w:t>linear</w:t>
      </w:r>
      <w:r>
        <w:rPr>
          <w:spacing w:val="12"/>
          <w:w w:val="105"/>
        </w:rPr>
        <w:t> </w:t>
      </w:r>
      <w:r>
        <w:rPr>
          <w:w w:val="105"/>
        </w:rPr>
        <w:t>predictor</w:t>
      </w:r>
      <w:r>
        <w:rPr>
          <w:spacing w:val="11"/>
          <w:w w:val="105"/>
        </w:rPr>
        <w:t> </w:t>
      </w:r>
      <w:r>
        <w:rPr>
          <w:w w:val="105"/>
        </w:rPr>
        <w:t>within</w:t>
      </w:r>
      <w:r>
        <w:rPr>
          <w:spacing w:val="12"/>
          <w:w w:val="105"/>
        </w:rPr>
        <w:t> </w:t>
      </w:r>
      <w:r>
        <w:rPr>
          <w:w w:val="105"/>
        </w:rPr>
        <w:t>the</w:t>
      </w:r>
      <w:r>
        <w:rPr>
          <w:spacing w:val="11"/>
          <w:w w:val="105"/>
        </w:rPr>
        <w:t> </w:t>
      </w:r>
      <w:r>
        <w:rPr>
          <w:w w:val="105"/>
        </w:rPr>
        <w:t>model</w:t>
      </w:r>
      <w:r>
        <w:rPr>
          <w:spacing w:val="12"/>
          <w:w w:val="105"/>
        </w:rPr>
        <w:t> </w:t>
      </w:r>
      <w:r>
        <w:rPr>
          <w:w w:val="105"/>
        </w:rPr>
        <w:t>(i.e.,</w:t>
      </w:r>
      <w:r>
        <w:rPr>
          <w:spacing w:val="12"/>
          <w:w w:val="105"/>
        </w:rPr>
        <w:t> </w:t>
      </w:r>
      <w:r>
        <w:rPr>
          <w:w w:val="105"/>
        </w:rPr>
        <w:t>logarithms</w:t>
      </w:r>
    </w:p>
    <w:p>
      <w:pPr>
        <w:pStyle w:val="BodyText"/>
      </w:pPr>
      <w:r>
        <w:rPr>
          <w:rFonts w:ascii="Arial"/>
          <w:sz w:val="12"/>
        </w:rPr>
        <w:t>598     </w:t>
      </w:r>
      <w:r>
        <w:rPr>
          <w:rFonts w:ascii="Arial"/>
          <w:spacing w:val="27"/>
          <w:sz w:val="12"/>
        </w:rPr>
        <w:t> </w:t>
      </w:r>
      <w:r>
        <w:rPr/>
        <w:t>of</w:t>
      </w:r>
      <w:r>
        <w:rPr>
          <w:spacing w:val="27"/>
        </w:rPr>
        <w:t> </w:t>
      </w:r>
      <w:r>
        <w:rPr/>
        <w:t>fitted</w:t>
      </w:r>
      <w:r>
        <w:rPr>
          <w:spacing w:val="27"/>
        </w:rPr>
        <w:t> </w:t>
      </w:r>
      <w:r>
        <w:rPr/>
        <w:t>means).</w:t>
      </w:r>
      <w:r>
        <w:rPr>
          <w:spacing w:val="58"/>
        </w:rPr>
        <w:t> </w:t>
      </w:r>
      <w:r>
        <w:rPr/>
        <w:t>The</w:t>
      </w:r>
      <w:r>
        <w:rPr>
          <w:spacing w:val="26"/>
        </w:rPr>
        <w:t> </w:t>
      </w:r>
      <w:r>
        <w:rPr/>
        <w:t>only</w:t>
      </w:r>
      <w:r>
        <w:rPr>
          <w:spacing w:val="27"/>
        </w:rPr>
        <w:t> </w:t>
      </w:r>
      <w:r>
        <w:rPr/>
        <w:t>predictor</w:t>
      </w:r>
      <w:r>
        <w:rPr>
          <w:spacing w:val="27"/>
        </w:rPr>
        <w:t> </w:t>
      </w:r>
      <w:r>
        <w:rPr/>
        <w:t>in</w:t>
      </w:r>
      <w:r>
        <w:rPr>
          <w:spacing w:val="27"/>
        </w:rPr>
        <w:t> </w:t>
      </w:r>
      <w:r>
        <w:rPr/>
        <w:t>this</w:t>
      </w:r>
      <w:r>
        <w:rPr>
          <w:spacing w:val="27"/>
        </w:rPr>
        <w:t> </w:t>
      </w:r>
      <w:r>
        <w:rPr/>
        <w:t>model</w:t>
      </w:r>
      <w:r>
        <w:rPr>
          <w:spacing w:val="27"/>
        </w:rPr>
        <w:t> </w:t>
      </w:r>
      <w:r>
        <w:rPr>
          <w:spacing w:val="-3"/>
        </w:rPr>
        <w:t>was</w:t>
      </w:r>
      <w:r>
        <w:rPr>
          <w:spacing w:val="27"/>
        </w:rPr>
        <w:t> </w:t>
      </w:r>
      <w:r>
        <w:rPr/>
        <w:t>the</w:t>
      </w:r>
      <w:r>
        <w:rPr>
          <w:spacing w:val="27"/>
        </w:rPr>
        <w:t> </w:t>
      </w:r>
      <w:r>
        <w:rPr/>
        <w:t>training</w:t>
      </w:r>
      <w:r>
        <w:rPr>
          <w:spacing w:val="27"/>
        </w:rPr>
        <w:t> </w:t>
      </w:r>
      <w:r>
        <w:rPr/>
        <w:t>condition</w:t>
      </w:r>
      <w:r>
        <w:rPr>
          <w:spacing w:val="26"/>
        </w:rPr>
        <w:t> </w:t>
      </w:r>
      <w:r>
        <w:rPr/>
        <w:t>(i.e..,</w:t>
      </w:r>
      <w:r>
        <w:rPr>
          <w:spacing w:val="28"/>
        </w:rPr>
        <w:t> </w:t>
      </w:r>
      <w:r>
        <w:rPr/>
        <w:t>go,</w:t>
      </w:r>
      <w:r>
        <w:rPr>
          <w:spacing w:val="29"/>
        </w:rPr>
        <w:t> </w:t>
      </w:r>
      <w:r>
        <w:rPr/>
        <w:t>no-go,</w:t>
      </w:r>
    </w:p>
    <w:p>
      <w:pPr>
        <w:pStyle w:val="BodyText"/>
        <w:spacing w:before="203"/>
      </w:pPr>
      <w:r>
        <w:rPr>
          <w:rFonts w:ascii="Arial"/>
          <w:w w:val="105"/>
          <w:sz w:val="12"/>
        </w:rPr>
        <w:t>599 </w:t>
      </w:r>
      <w:r>
        <w:rPr>
          <w:w w:val="105"/>
        </w:rPr>
        <w:t>or filler foods), with filler, or control, foods set as the reference point (i.e., intercept).</w:t>
      </w:r>
    </w:p>
    <w:p>
      <w:pPr>
        <w:pStyle w:val="BodyText"/>
      </w:pPr>
      <w:r>
        <w:rPr>
          <w:rFonts w:ascii="Arial"/>
          <w:w w:val="105"/>
          <w:sz w:val="12"/>
        </w:rPr>
        <w:t>600 </w:t>
      </w:r>
      <w:r>
        <w:rPr>
          <w:w w:val="105"/>
        </w:rPr>
        <w:t>Diagnostic plots showed mild violations of the assumptions of homoskedasticity and</w:t>
      </w:r>
    </w:p>
    <w:p>
      <w:pPr>
        <w:pStyle w:val="BodyText"/>
      </w:pPr>
      <w:r>
        <w:rPr>
          <w:rFonts w:ascii="Arial"/>
          <w:w w:val="105"/>
          <w:sz w:val="12"/>
        </w:rPr>
        <w:t>601 </w:t>
      </w:r>
      <w:r>
        <w:rPr>
          <w:w w:val="105"/>
        </w:rPr>
        <w:t>normality of residuals and thus robust standard errors for the parameter estimates were</w:t>
      </w:r>
    </w:p>
    <w:p>
      <w:pPr>
        <w:pStyle w:val="BodyText"/>
      </w:pPr>
      <w:r>
        <w:rPr>
          <w:rFonts w:ascii="Arial"/>
          <w:w w:val="105"/>
          <w:sz w:val="12"/>
        </w:rPr>
        <w:t>602 </w:t>
      </w:r>
      <w:r>
        <w:rPr>
          <w:w w:val="105"/>
        </w:rPr>
        <w:t>computed (Cameron &amp; Trivedi, 2009). An overdispersion test (Cameron &amp; Trivedi, 2005;</w:t>
      </w:r>
    </w:p>
    <w:p>
      <w:pPr>
        <w:spacing w:after="0"/>
        <w:sectPr>
          <w:pgSz w:w="12240" w:h="15840"/>
          <w:pgMar w:header="649" w:footer="0" w:top="1320" w:bottom="280" w:left="820" w:right="1140"/>
        </w:sectPr>
      </w:pPr>
    </w:p>
    <w:p>
      <w:pPr>
        <w:pStyle w:val="BodyText"/>
        <w:spacing w:before="191"/>
      </w:pPr>
      <w:r>
        <w:rPr>
          <w:rFonts w:ascii="Arial"/>
          <w:w w:val="105"/>
          <w:sz w:val="12"/>
        </w:rPr>
        <w:t>603 </w:t>
      </w:r>
      <w:r>
        <w:rPr>
          <w:w w:val="105"/>
        </w:rPr>
        <w:t>Kleiber &amp; Zeileis, 2008) showed that true dispersion was not greater than 1 and the</w:t>
      </w:r>
    </w:p>
    <w:p>
      <w:pPr>
        <w:pStyle w:val="BodyText"/>
        <w:spacing w:line="415" w:lineRule="auto"/>
        <w:ind w:right="472"/>
      </w:pPr>
      <w:r>
        <w:rPr>
          <w:rFonts w:ascii="Arial"/>
          <w:w w:val="110"/>
          <w:sz w:val="12"/>
        </w:rPr>
        <w:t>604</w:t>
      </w:r>
      <w:r>
        <w:rPr>
          <w:rFonts w:ascii="Arial"/>
          <w:spacing w:val="7"/>
          <w:w w:val="110"/>
          <w:sz w:val="12"/>
        </w:rPr>
        <w:t> </w:t>
      </w:r>
      <w:r>
        <w:rPr>
          <w:w w:val="110"/>
        </w:rPr>
        <w:t>goodness-of-fit</w:t>
      </w:r>
      <w:r>
        <w:rPr>
          <w:spacing w:val="-19"/>
          <w:w w:val="110"/>
        </w:rPr>
        <w:t> </w:t>
      </w:r>
      <w:r>
        <w:rPr>
          <w:w w:val="110"/>
        </w:rPr>
        <w:t>chi-squared</w:t>
      </w:r>
      <w:r>
        <w:rPr>
          <w:spacing w:val="-20"/>
          <w:w w:val="110"/>
        </w:rPr>
        <w:t> </w:t>
      </w:r>
      <w:r>
        <w:rPr>
          <w:w w:val="110"/>
        </w:rPr>
        <w:t>test</w:t>
      </w:r>
      <w:r>
        <w:rPr>
          <w:spacing w:val="-21"/>
          <w:w w:val="110"/>
        </w:rPr>
        <w:t> </w:t>
      </w:r>
      <w:r>
        <w:rPr>
          <w:spacing w:val="-3"/>
          <w:w w:val="110"/>
        </w:rPr>
        <w:t>was</w:t>
      </w:r>
      <w:r>
        <w:rPr>
          <w:spacing w:val="-20"/>
          <w:w w:val="110"/>
        </w:rPr>
        <w:t> </w:t>
      </w:r>
      <w:r>
        <w:rPr>
          <w:w w:val="110"/>
        </w:rPr>
        <w:t>not</w:t>
      </w:r>
      <w:r>
        <w:rPr>
          <w:spacing w:val="-20"/>
          <w:w w:val="110"/>
        </w:rPr>
        <w:t> </w:t>
      </w:r>
      <w:r>
        <w:rPr>
          <w:w w:val="110"/>
        </w:rPr>
        <w:t>statistically</w:t>
      </w:r>
      <w:r>
        <w:rPr>
          <w:spacing w:val="-20"/>
          <w:w w:val="110"/>
        </w:rPr>
        <w:t> </w:t>
      </w:r>
      <w:r>
        <w:rPr>
          <w:w w:val="110"/>
        </w:rPr>
        <w:t>significant,</w:t>
      </w:r>
      <w:r>
        <w:rPr>
          <w:spacing w:val="-20"/>
          <w:w w:val="110"/>
        </w:rPr>
        <w:t> </w:t>
      </w:r>
      <w:r>
        <w:rPr>
          <w:w w:val="110"/>
        </w:rPr>
        <w:t>indicating</w:t>
      </w:r>
      <w:r>
        <w:rPr>
          <w:spacing w:val="-20"/>
          <w:w w:val="110"/>
        </w:rPr>
        <w:t> </w:t>
      </w:r>
      <w:r>
        <w:rPr>
          <w:w w:val="110"/>
        </w:rPr>
        <w:t>that</w:t>
      </w:r>
      <w:r>
        <w:rPr>
          <w:spacing w:val="-21"/>
          <w:w w:val="110"/>
        </w:rPr>
        <w:t> </w:t>
      </w:r>
      <w:r>
        <w:rPr>
          <w:w w:val="110"/>
        </w:rPr>
        <w:t>the</w:t>
      </w:r>
      <w:r>
        <w:rPr>
          <w:spacing w:val="-20"/>
          <w:w w:val="110"/>
        </w:rPr>
        <w:t> </w:t>
      </w:r>
      <w:r>
        <w:rPr>
          <w:w w:val="110"/>
        </w:rPr>
        <w:t>model </w:t>
      </w:r>
      <w:r>
        <w:rPr>
          <w:rFonts w:ascii="Arial"/>
          <w:w w:val="110"/>
          <w:sz w:val="12"/>
        </w:rPr>
        <w:t>605 </w:t>
      </w:r>
      <w:r>
        <w:rPr>
          <w:w w:val="110"/>
        </w:rPr>
        <w:t>had a </w:t>
      </w:r>
      <w:r>
        <w:rPr>
          <w:spacing w:val="2"/>
          <w:w w:val="110"/>
        </w:rPr>
        <w:t>good </w:t>
      </w:r>
      <w:r>
        <w:rPr>
          <w:w w:val="110"/>
        </w:rPr>
        <w:t>fit (Residual </w:t>
      </w:r>
      <w:r>
        <w:rPr>
          <w:spacing w:val="-3"/>
          <w:w w:val="110"/>
        </w:rPr>
        <w:t>variance </w:t>
      </w:r>
      <w:r>
        <w:rPr>
          <w:w w:val="110"/>
        </w:rPr>
        <w:t>= 436.15, df = 486, </w:t>
      </w:r>
      <w:r>
        <w:rPr>
          <w:i/>
          <w:w w:val="110"/>
        </w:rPr>
        <w:t>p </w:t>
      </w:r>
      <w:r>
        <w:rPr>
          <w:w w:val="110"/>
        </w:rPr>
        <w:t>= 0.949). The GLM results are </w:t>
      </w:r>
      <w:r>
        <w:rPr>
          <w:rFonts w:ascii="Arial"/>
          <w:w w:val="110"/>
          <w:sz w:val="12"/>
        </w:rPr>
        <w:t>606</w:t>
      </w:r>
      <w:r>
        <w:rPr>
          <w:rFonts w:ascii="Arial"/>
          <w:spacing w:val="29"/>
          <w:w w:val="110"/>
          <w:sz w:val="12"/>
        </w:rPr>
        <w:t> </w:t>
      </w:r>
      <w:r>
        <w:rPr>
          <w:w w:val="110"/>
        </w:rPr>
        <w:t>consistent</w:t>
      </w:r>
      <w:r>
        <w:rPr>
          <w:spacing w:val="-11"/>
          <w:w w:val="110"/>
        </w:rPr>
        <w:t> </w:t>
      </w:r>
      <w:r>
        <w:rPr>
          <w:w w:val="110"/>
        </w:rPr>
        <w:t>with</w:t>
      </w:r>
      <w:r>
        <w:rPr>
          <w:spacing w:val="-12"/>
          <w:w w:val="110"/>
        </w:rPr>
        <w:t> </w:t>
      </w:r>
      <w:r>
        <w:rPr>
          <w:w w:val="110"/>
        </w:rPr>
        <w:t>the</w:t>
      </w:r>
      <w:r>
        <w:rPr>
          <w:spacing w:val="-11"/>
          <w:w w:val="110"/>
        </w:rPr>
        <w:t> </w:t>
      </w:r>
      <w:r>
        <w:rPr>
          <w:w w:val="110"/>
        </w:rPr>
        <w:t>pre-registered</w:t>
      </w:r>
      <w:r>
        <w:rPr>
          <w:spacing w:val="-11"/>
          <w:w w:val="110"/>
        </w:rPr>
        <w:t> </w:t>
      </w:r>
      <w:r>
        <w:rPr>
          <w:w w:val="110"/>
        </w:rPr>
        <w:t>statistical</w:t>
      </w:r>
      <w:r>
        <w:rPr>
          <w:spacing w:val="-11"/>
          <w:w w:val="110"/>
        </w:rPr>
        <w:t> </w:t>
      </w:r>
      <w:r>
        <w:rPr>
          <w:w w:val="110"/>
        </w:rPr>
        <w:t>test</w:t>
      </w:r>
      <w:r>
        <w:rPr>
          <w:spacing w:val="-12"/>
          <w:w w:val="110"/>
        </w:rPr>
        <w:t> </w:t>
      </w:r>
      <w:r>
        <w:rPr>
          <w:w w:val="110"/>
        </w:rPr>
        <w:t>results</w:t>
      </w:r>
      <w:r>
        <w:rPr>
          <w:spacing w:val="-11"/>
          <w:w w:val="110"/>
        </w:rPr>
        <w:t> </w:t>
      </w:r>
      <w:r>
        <w:rPr>
          <w:w w:val="110"/>
        </w:rPr>
        <w:t>(see</w:t>
      </w:r>
      <w:r>
        <w:rPr>
          <w:spacing w:val="-12"/>
          <w:w w:val="110"/>
        </w:rPr>
        <w:t> </w:t>
      </w:r>
      <w:r>
        <w:rPr>
          <w:spacing w:val="-5"/>
          <w:w w:val="110"/>
        </w:rPr>
        <w:t>Table</w:t>
      </w:r>
      <w:r>
        <w:rPr>
          <w:spacing w:val="-11"/>
          <w:w w:val="110"/>
        </w:rPr>
        <w:t> </w:t>
      </w:r>
      <w:hyperlink w:history="true" w:anchor="_bookmark20">
        <w:r>
          <w:rPr>
            <w:w w:val="110"/>
          </w:rPr>
          <w:t>1).</w:t>
        </w:r>
      </w:hyperlink>
      <w:r>
        <w:rPr>
          <w:spacing w:val="6"/>
          <w:w w:val="110"/>
        </w:rPr>
        <w:t> </w:t>
      </w:r>
      <w:r>
        <w:rPr>
          <w:w w:val="110"/>
        </w:rPr>
        <w:t>The</w:t>
      </w:r>
      <w:r>
        <w:rPr>
          <w:spacing w:val="-11"/>
          <w:w w:val="110"/>
        </w:rPr>
        <w:t> </w:t>
      </w:r>
      <w:r>
        <w:rPr>
          <w:w w:val="110"/>
        </w:rPr>
        <w:t>model</w:t>
      </w:r>
      <w:r>
        <w:rPr>
          <w:spacing w:val="-11"/>
          <w:w w:val="110"/>
        </w:rPr>
        <w:t> </w:t>
      </w:r>
      <w:r>
        <w:rPr>
          <w:spacing w:val="-3"/>
          <w:w w:val="110"/>
        </w:rPr>
        <w:t>showed </w:t>
      </w:r>
      <w:r>
        <w:rPr>
          <w:rFonts w:ascii="Arial"/>
          <w:w w:val="110"/>
          <w:sz w:val="12"/>
        </w:rPr>
        <w:t>607</w:t>
      </w:r>
      <w:r>
        <w:rPr>
          <w:rFonts w:ascii="Arial"/>
          <w:spacing w:val="31"/>
          <w:w w:val="110"/>
          <w:sz w:val="12"/>
        </w:rPr>
        <w:t> </w:t>
      </w:r>
      <w:r>
        <w:rPr>
          <w:w w:val="110"/>
        </w:rPr>
        <w:t>that</w:t>
      </w:r>
      <w:r>
        <w:rPr>
          <w:spacing w:val="-25"/>
          <w:w w:val="110"/>
        </w:rPr>
        <w:t> </w:t>
      </w:r>
      <w:r>
        <w:rPr>
          <w:w w:val="110"/>
        </w:rPr>
        <w:t>impulsive</w:t>
      </w:r>
      <w:r>
        <w:rPr>
          <w:spacing w:val="-25"/>
          <w:w w:val="110"/>
        </w:rPr>
        <w:t> </w:t>
      </w:r>
      <w:r>
        <w:rPr>
          <w:w w:val="110"/>
        </w:rPr>
        <w:t>choice</w:t>
      </w:r>
      <w:r>
        <w:rPr>
          <w:spacing w:val="-25"/>
          <w:w w:val="110"/>
        </w:rPr>
        <w:t> </w:t>
      </w:r>
      <w:r>
        <w:rPr>
          <w:w w:val="110"/>
        </w:rPr>
        <w:t>probability</w:t>
      </w:r>
      <w:r>
        <w:rPr>
          <w:spacing w:val="-24"/>
          <w:w w:val="110"/>
        </w:rPr>
        <w:t> </w:t>
      </w:r>
      <w:r>
        <w:rPr>
          <w:w w:val="110"/>
        </w:rPr>
        <w:t>for</w:t>
      </w:r>
      <w:r>
        <w:rPr>
          <w:spacing w:val="-25"/>
          <w:w w:val="110"/>
        </w:rPr>
        <w:t> </w:t>
      </w:r>
      <w:r>
        <w:rPr>
          <w:w w:val="110"/>
        </w:rPr>
        <w:t>no-go</w:t>
      </w:r>
      <w:r>
        <w:rPr>
          <w:spacing w:val="-26"/>
          <w:w w:val="110"/>
        </w:rPr>
        <w:t> </w:t>
      </w:r>
      <w:r>
        <w:rPr>
          <w:spacing w:val="2"/>
          <w:w w:val="110"/>
        </w:rPr>
        <w:t>foods</w:t>
      </w:r>
      <w:r>
        <w:rPr>
          <w:spacing w:val="-25"/>
          <w:w w:val="110"/>
        </w:rPr>
        <w:t> </w:t>
      </w:r>
      <w:r>
        <w:rPr>
          <w:spacing w:val="-3"/>
          <w:w w:val="110"/>
        </w:rPr>
        <w:t>was</w:t>
      </w:r>
      <w:r>
        <w:rPr>
          <w:spacing w:val="-25"/>
          <w:w w:val="110"/>
        </w:rPr>
        <w:t> </w:t>
      </w:r>
      <w:r>
        <w:rPr>
          <w:w w:val="110"/>
        </w:rPr>
        <w:t>0.53</w:t>
      </w:r>
      <w:r>
        <w:rPr>
          <w:spacing w:val="-26"/>
          <w:w w:val="110"/>
        </w:rPr>
        <w:t> </w:t>
      </w:r>
      <w:r>
        <w:rPr>
          <w:w w:val="110"/>
        </w:rPr>
        <w:t>times</w:t>
      </w:r>
      <w:r>
        <w:rPr>
          <w:spacing w:val="-24"/>
          <w:w w:val="110"/>
        </w:rPr>
        <w:t> </w:t>
      </w:r>
      <w:r>
        <w:rPr>
          <w:w w:val="110"/>
        </w:rPr>
        <w:t>the</w:t>
      </w:r>
      <w:r>
        <w:rPr>
          <w:spacing w:val="-26"/>
          <w:w w:val="110"/>
        </w:rPr>
        <w:t> </w:t>
      </w:r>
      <w:r>
        <w:rPr>
          <w:w w:val="110"/>
        </w:rPr>
        <w:t>choice</w:t>
      </w:r>
      <w:r>
        <w:rPr>
          <w:spacing w:val="-25"/>
          <w:w w:val="110"/>
        </w:rPr>
        <w:t> </w:t>
      </w:r>
      <w:r>
        <w:rPr>
          <w:w w:val="110"/>
        </w:rPr>
        <w:t>probability</w:t>
      </w:r>
      <w:r>
        <w:rPr>
          <w:spacing w:val="-25"/>
          <w:w w:val="110"/>
        </w:rPr>
        <w:t> </w:t>
      </w:r>
      <w:r>
        <w:rPr>
          <w:w w:val="110"/>
        </w:rPr>
        <w:t>for </w:t>
      </w:r>
      <w:r>
        <w:rPr>
          <w:rFonts w:ascii="Arial"/>
          <w:w w:val="110"/>
          <w:sz w:val="12"/>
        </w:rPr>
        <w:t>608</w:t>
      </w:r>
      <w:r>
        <w:rPr>
          <w:rFonts w:ascii="Arial"/>
          <w:spacing w:val="2"/>
          <w:w w:val="110"/>
          <w:sz w:val="12"/>
        </w:rPr>
        <w:t> </w:t>
      </w:r>
      <w:r>
        <w:rPr>
          <w:w w:val="110"/>
        </w:rPr>
        <w:t>control</w:t>
      </w:r>
      <w:r>
        <w:rPr>
          <w:spacing w:val="-9"/>
          <w:w w:val="110"/>
        </w:rPr>
        <w:t> </w:t>
      </w:r>
      <w:r>
        <w:rPr>
          <w:spacing w:val="2"/>
          <w:w w:val="110"/>
        </w:rPr>
        <w:t>foods</w:t>
      </w:r>
      <w:r>
        <w:rPr>
          <w:spacing w:val="-8"/>
          <w:w w:val="110"/>
        </w:rPr>
        <w:t> </w:t>
      </w:r>
      <w:r>
        <w:rPr>
          <w:w w:val="110"/>
        </w:rPr>
        <w:t>[Estimate</w:t>
      </w:r>
      <w:r>
        <w:rPr>
          <w:spacing w:val="-8"/>
          <w:w w:val="110"/>
        </w:rPr>
        <w:t> </w:t>
      </w:r>
      <w:r>
        <w:rPr>
          <w:w w:val="110"/>
        </w:rPr>
        <w:t>(log)</w:t>
      </w:r>
      <w:r>
        <w:rPr>
          <w:spacing w:val="-9"/>
          <w:w w:val="110"/>
        </w:rPr>
        <w:t> </w:t>
      </w:r>
      <w:r>
        <w:rPr>
          <w:w w:val="110"/>
        </w:rPr>
        <w:t>=</w:t>
      </w:r>
      <w:r>
        <w:rPr>
          <w:spacing w:val="-7"/>
          <w:w w:val="110"/>
        </w:rPr>
        <w:t> </w:t>
      </w:r>
      <w:r>
        <w:rPr>
          <w:w w:val="110"/>
        </w:rPr>
        <w:t>-0.617,</w:t>
      </w:r>
      <w:r>
        <w:rPr>
          <w:spacing w:val="-8"/>
          <w:w w:val="110"/>
        </w:rPr>
        <w:t> </w:t>
      </w:r>
      <w:r>
        <w:rPr>
          <w:w w:val="110"/>
        </w:rPr>
        <w:t>Robust</w:t>
      </w:r>
      <w:r>
        <w:rPr>
          <w:spacing w:val="-9"/>
          <w:w w:val="110"/>
        </w:rPr>
        <w:t> </w:t>
      </w:r>
      <w:r>
        <w:rPr>
          <w:w w:val="110"/>
        </w:rPr>
        <w:t>SE</w:t>
      </w:r>
      <w:r>
        <w:rPr>
          <w:spacing w:val="-7"/>
          <w:w w:val="110"/>
        </w:rPr>
        <w:t> </w:t>
      </w:r>
      <w:r>
        <w:rPr>
          <w:w w:val="110"/>
        </w:rPr>
        <w:t>=</w:t>
      </w:r>
      <w:r>
        <w:rPr>
          <w:spacing w:val="-9"/>
          <w:w w:val="110"/>
        </w:rPr>
        <w:t> </w:t>
      </w:r>
      <w:r>
        <w:rPr>
          <w:w w:val="110"/>
        </w:rPr>
        <w:t>0.119,</w:t>
      </w:r>
      <w:r>
        <w:rPr>
          <w:spacing w:val="-8"/>
          <w:w w:val="110"/>
        </w:rPr>
        <w:t> </w:t>
      </w:r>
      <w:r>
        <w:rPr>
          <w:i/>
          <w:w w:val="110"/>
        </w:rPr>
        <w:t>p</w:t>
      </w:r>
      <w:r>
        <w:rPr>
          <w:i/>
          <w:spacing w:val="-3"/>
          <w:w w:val="110"/>
        </w:rPr>
        <w:t> </w:t>
      </w:r>
      <w:r>
        <w:rPr>
          <w:w w:val="110"/>
        </w:rPr>
        <w:t>&lt;</w:t>
      </w:r>
      <w:r>
        <w:rPr>
          <w:spacing w:val="-9"/>
          <w:w w:val="110"/>
        </w:rPr>
        <w:t> </w:t>
      </w:r>
      <w:r>
        <w:rPr>
          <w:w w:val="110"/>
        </w:rPr>
        <w:t>.001,</w:t>
      </w:r>
      <w:r>
        <w:rPr>
          <w:spacing w:val="-8"/>
          <w:w w:val="110"/>
        </w:rPr>
        <w:t> </w:t>
      </w:r>
      <w:r>
        <w:rPr>
          <w:w w:val="110"/>
        </w:rPr>
        <w:t>95%</w:t>
      </w:r>
      <w:r>
        <w:rPr>
          <w:spacing w:val="-8"/>
          <w:w w:val="110"/>
        </w:rPr>
        <w:t> </w:t>
      </w:r>
      <w:r>
        <w:rPr>
          <w:w w:val="110"/>
        </w:rPr>
        <w:t>CI</w:t>
      </w:r>
      <w:r>
        <w:rPr>
          <w:spacing w:val="-8"/>
          <w:w w:val="110"/>
        </w:rPr>
        <w:t> </w:t>
      </w:r>
      <w:r>
        <w:rPr>
          <w:w w:val="110"/>
        </w:rPr>
        <w:t>=</w:t>
      </w:r>
      <w:r>
        <w:rPr>
          <w:spacing w:val="-8"/>
          <w:w w:val="110"/>
        </w:rPr>
        <w:t> </w:t>
      </w:r>
      <w:r>
        <w:rPr>
          <w:w w:val="110"/>
        </w:rPr>
        <w:t>-0.851,</w:t>
      </w:r>
    </w:p>
    <w:p>
      <w:pPr>
        <w:pStyle w:val="BodyText"/>
        <w:spacing w:line="415" w:lineRule="auto" w:before="4"/>
        <w:ind w:right="293"/>
        <w:jc w:val="both"/>
      </w:pPr>
      <w:r>
        <w:rPr>
          <w:rFonts w:ascii="Arial"/>
          <w:w w:val="105"/>
          <w:sz w:val="12"/>
        </w:rPr>
        <w:t>609 </w:t>
      </w:r>
      <w:r>
        <w:rPr>
          <w:w w:val="105"/>
        </w:rPr>
        <w:t>-0.383)]. The probability of choosing a go </w:t>
      </w:r>
      <w:r>
        <w:rPr>
          <w:spacing w:val="3"/>
          <w:w w:val="105"/>
        </w:rPr>
        <w:t>food </w:t>
      </w:r>
      <w:r>
        <w:rPr>
          <w:w w:val="105"/>
        </w:rPr>
        <w:t>after training </w:t>
      </w:r>
      <w:r>
        <w:rPr>
          <w:spacing w:val="-3"/>
          <w:w w:val="105"/>
        </w:rPr>
        <w:t>was </w:t>
      </w:r>
      <w:r>
        <w:rPr>
          <w:w w:val="105"/>
        </w:rPr>
        <w:t>1.22 times the probability  </w:t>
      </w:r>
      <w:r>
        <w:rPr>
          <w:rFonts w:ascii="Arial"/>
          <w:w w:val="105"/>
          <w:sz w:val="12"/>
        </w:rPr>
        <w:t>610 </w:t>
      </w:r>
      <w:r>
        <w:rPr>
          <w:w w:val="105"/>
        </w:rPr>
        <w:t>of choosing a control </w:t>
      </w:r>
      <w:r>
        <w:rPr>
          <w:spacing w:val="3"/>
          <w:w w:val="105"/>
        </w:rPr>
        <w:t>food </w:t>
      </w:r>
      <w:r>
        <w:rPr>
          <w:w w:val="105"/>
        </w:rPr>
        <w:t>[Esimate (log) = 0.197, Robust SE = 0.091, </w:t>
      </w:r>
      <w:r>
        <w:rPr>
          <w:i/>
          <w:w w:val="105"/>
        </w:rPr>
        <w:t>p </w:t>
      </w:r>
      <w:r>
        <w:rPr>
          <w:w w:val="105"/>
        </w:rPr>
        <w:t>= 0.030, 95% CI =</w:t>
      </w:r>
      <w:r>
        <w:rPr>
          <w:spacing w:val="63"/>
          <w:w w:val="105"/>
        </w:rPr>
        <w:t> </w:t>
      </w:r>
      <w:r>
        <w:rPr>
          <w:rFonts w:ascii="Arial"/>
          <w:w w:val="105"/>
          <w:sz w:val="12"/>
        </w:rPr>
        <w:t>611 </w:t>
      </w:r>
      <w:r>
        <w:rPr>
          <w:w w:val="105"/>
        </w:rPr>
        <w:t>0.019,</w:t>
      </w:r>
      <w:r>
        <w:rPr>
          <w:spacing w:val="-1"/>
          <w:w w:val="105"/>
        </w:rPr>
        <w:t> </w:t>
      </w:r>
      <w:r>
        <w:rPr>
          <w:w w:val="105"/>
        </w:rPr>
        <w:t>0.374].</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2"/>
        <w:ind w:left="0"/>
        <w:rPr>
          <w:sz w:val="17"/>
        </w:rPr>
      </w:pPr>
    </w:p>
    <w:p>
      <w:pPr>
        <w:tabs>
          <w:tab w:pos="1195" w:val="left" w:leader="none"/>
          <w:tab w:pos="3471" w:val="left" w:leader="none"/>
        </w:tabs>
        <w:spacing w:before="148"/>
        <w:ind w:left="230" w:right="0" w:firstLine="0"/>
        <w:jc w:val="left"/>
        <w:rPr>
          <w:sz w:val="24"/>
        </w:rPr>
      </w:pPr>
      <w:r>
        <w:rPr>
          <w:rFonts w:ascii="Arial"/>
          <w:w w:val="105"/>
          <w:sz w:val="12"/>
        </w:rPr>
        <w:t>612</w:t>
        <w:tab/>
      </w:r>
      <w:bookmarkStart w:name="Robust statistics" w:id="61"/>
      <w:bookmarkEnd w:id="61"/>
      <w:r>
        <w:rPr>
          <w:rFonts w:ascii="Arial"/>
          <w:w w:val="105"/>
          <w:sz w:val="12"/>
        </w:rPr>
      </w:r>
      <w:bookmarkStart w:name="_bookmark28" w:id="62"/>
      <w:bookmarkEnd w:id="62"/>
      <w:r>
        <w:rPr>
          <w:rFonts w:ascii="Arial"/>
          <w:w w:val="105"/>
          <w:sz w:val="12"/>
        </w:rPr>
      </w:r>
      <w:r>
        <w:rPr>
          <w:b/>
          <w:w w:val="105"/>
          <w:sz w:val="24"/>
        </w:rPr>
        <w:t>Robust </w:t>
      </w:r>
      <w:r>
        <w:rPr>
          <w:b/>
          <w:spacing w:val="35"/>
          <w:w w:val="105"/>
          <w:sz w:val="24"/>
        </w:rPr>
        <w:t> </w:t>
      </w:r>
      <w:r>
        <w:rPr>
          <w:b/>
          <w:w w:val="105"/>
          <w:sz w:val="24"/>
        </w:rPr>
        <w:t>statistics.</w:t>
        <w:tab/>
      </w:r>
      <w:r>
        <w:rPr>
          <w:spacing w:val="-7"/>
          <w:w w:val="105"/>
          <w:sz w:val="24"/>
        </w:rPr>
        <w:t>For </w:t>
      </w:r>
      <w:r>
        <w:rPr>
          <w:w w:val="105"/>
          <w:sz w:val="24"/>
        </w:rPr>
        <w:t>certain pre-registered paired comparisons, where</w:t>
      </w:r>
      <w:r>
        <w:rPr>
          <w:spacing w:val="41"/>
          <w:w w:val="105"/>
          <w:sz w:val="24"/>
        </w:rPr>
        <w:t> </w:t>
      </w:r>
      <w:r>
        <w:rPr>
          <w:w w:val="105"/>
          <w:sz w:val="24"/>
        </w:rPr>
        <w:t>the</w:t>
      </w:r>
    </w:p>
    <w:p>
      <w:pPr>
        <w:pStyle w:val="BodyText"/>
        <w:spacing w:line="415" w:lineRule="auto"/>
        <w:ind w:right="525"/>
      </w:pPr>
      <w:r>
        <w:rPr>
          <w:rFonts w:ascii="Arial"/>
          <w:w w:val="105"/>
          <w:sz w:val="12"/>
        </w:rPr>
        <w:t>613 </w:t>
      </w:r>
      <w:r>
        <w:rPr>
          <w:w w:val="105"/>
        </w:rPr>
        <w:t>difference scores were found to violate the normality assumption (Shapiro-Wilk test with </w:t>
      </w:r>
      <w:r>
        <w:rPr>
          <w:i/>
          <w:w w:val="105"/>
        </w:rPr>
        <w:t>p</w:t>
      </w:r>
      <w:r>
        <w:rPr>
          <w:i/>
          <w:spacing w:val="63"/>
          <w:w w:val="105"/>
        </w:rPr>
        <w:t> </w:t>
      </w:r>
      <w:r>
        <w:rPr>
          <w:rFonts w:ascii="Arial"/>
          <w:w w:val="105"/>
          <w:sz w:val="12"/>
        </w:rPr>
        <w:t>614</w:t>
      </w:r>
      <w:r>
        <w:rPr>
          <w:rFonts w:ascii="Arial"/>
          <w:spacing w:val="35"/>
          <w:w w:val="105"/>
          <w:sz w:val="12"/>
        </w:rPr>
        <w:t> </w:t>
      </w:r>
      <w:r>
        <w:rPr>
          <w:i/>
          <w:w w:val="105"/>
        </w:rPr>
        <w:t>leq </w:t>
      </w:r>
      <w:r>
        <w:rPr>
          <w:w w:val="105"/>
        </w:rPr>
        <w:t>.005), the possibility of biased effect size esimates </w:t>
      </w:r>
      <w:r>
        <w:rPr>
          <w:spacing w:val="-3"/>
          <w:w w:val="105"/>
        </w:rPr>
        <w:t>was </w:t>
      </w:r>
      <w:r>
        <w:rPr>
          <w:w w:val="105"/>
        </w:rPr>
        <w:t>considered and therefore robust  </w:t>
      </w:r>
      <w:r>
        <w:rPr>
          <w:rFonts w:ascii="Arial"/>
          <w:w w:val="105"/>
          <w:sz w:val="12"/>
        </w:rPr>
        <w:t>615 </w:t>
      </w:r>
      <w:r>
        <w:rPr>
          <w:w w:val="105"/>
        </w:rPr>
        <w:t>statistics are also reported (Lakens, 2015). H2a and H2b </w:t>
      </w:r>
      <w:r>
        <w:rPr>
          <w:spacing w:val="-4"/>
          <w:w w:val="105"/>
        </w:rPr>
        <w:t>have </w:t>
      </w:r>
      <w:r>
        <w:rPr>
          <w:w w:val="105"/>
        </w:rPr>
        <w:t>been ommitted as</w:t>
      </w:r>
      <w:r>
        <w:rPr>
          <w:spacing w:val="17"/>
          <w:w w:val="105"/>
        </w:rPr>
        <w:t> </w:t>
      </w:r>
      <w:r>
        <w:rPr>
          <w:w w:val="105"/>
        </w:rPr>
        <w:t>robust</w:t>
      </w:r>
    </w:p>
    <w:p>
      <w:pPr>
        <w:pStyle w:val="BodyText"/>
        <w:spacing w:line="415" w:lineRule="auto" w:before="2"/>
        <w:ind w:right="326"/>
      </w:pPr>
      <w:r>
        <w:rPr>
          <w:rFonts w:ascii="Arial" w:hAnsi="Arial"/>
          <w:w w:val="105"/>
          <w:sz w:val="12"/>
        </w:rPr>
        <w:t>616</w:t>
      </w:r>
      <w:r>
        <w:rPr>
          <w:rFonts w:ascii="Arial" w:hAnsi="Arial"/>
          <w:spacing w:val="32"/>
          <w:w w:val="105"/>
          <w:sz w:val="12"/>
        </w:rPr>
        <w:t> </w:t>
      </w:r>
      <w:r>
        <w:rPr>
          <w:w w:val="105"/>
        </w:rPr>
        <w:t>analyses</w:t>
      </w:r>
      <w:r>
        <w:rPr>
          <w:spacing w:val="-11"/>
          <w:w w:val="105"/>
        </w:rPr>
        <w:t> </w:t>
      </w:r>
      <w:r>
        <w:rPr>
          <w:spacing w:val="-4"/>
          <w:w w:val="105"/>
        </w:rPr>
        <w:t>have</w:t>
      </w:r>
      <w:r>
        <w:rPr>
          <w:spacing w:val="-12"/>
          <w:w w:val="105"/>
        </w:rPr>
        <w:t> </w:t>
      </w:r>
      <w:r>
        <w:rPr>
          <w:w w:val="105"/>
        </w:rPr>
        <w:t>already</w:t>
      </w:r>
      <w:r>
        <w:rPr>
          <w:spacing w:val="-12"/>
          <w:w w:val="105"/>
        </w:rPr>
        <w:t> </w:t>
      </w:r>
      <w:r>
        <w:rPr>
          <w:w w:val="105"/>
        </w:rPr>
        <w:t>been</w:t>
      </w:r>
      <w:r>
        <w:rPr>
          <w:spacing w:val="-11"/>
          <w:w w:val="105"/>
        </w:rPr>
        <w:t> </w:t>
      </w:r>
      <w:r>
        <w:rPr>
          <w:w w:val="105"/>
        </w:rPr>
        <w:t>implemented</w:t>
      </w:r>
      <w:r>
        <w:rPr>
          <w:spacing w:val="-12"/>
          <w:w w:val="105"/>
        </w:rPr>
        <w:t> </w:t>
      </w:r>
      <w:r>
        <w:rPr>
          <w:w w:val="105"/>
        </w:rPr>
        <w:t>above</w:t>
      </w:r>
      <w:r>
        <w:rPr>
          <w:spacing w:val="-12"/>
          <w:w w:val="105"/>
        </w:rPr>
        <w:t> </w:t>
      </w:r>
      <w:r>
        <w:rPr>
          <w:w w:val="105"/>
        </w:rPr>
        <w:t>(see</w:t>
      </w:r>
      <w:r>
        <w:rPr>
          <w:spacing w:val="-11"/>
          <w:w w:val="105"/>
        </w:rPr>
        <w:t> </w:t>
      </w:r>
      <w:hyperlink w:history="true" w:anchor="_bookmark27">
        <w:r>
          <w:rPr>
            <w:i/>
            <w:spacing w:val="-3"/>
            <w:w w:val="105"/>
          </w:rPr>
          <w:t>General</w:t>
        </w:r>
        <w:r>
          <w:rPr>
            <w:i/>
            <w:spacing w:val="-7"/>
            <w:w w:val="105"/>
          </w:rPr>
          <w:t> </w:t>
        </w:r>
        <w:r>
          <w:rPr>
            <w:i/>
            <w:w w:val="105"/>
          </w:rPr>
          <w:t>linear</w:t>
        </w:r>
        <w:r>
          <w:rPr>
            <w:i/>
            <w:spacing w:val="-8"/>
            <w:w w:val="105"/>
          </w:rPr>
          <w:t> </w:t>
        </w:r>
        <w:r>
          <w:rPr>
            <w:i/>
            <w:spacing w:val="-3"/>
            <w:w w:val="105"/>
          </w:rPr>
          <w:t>model</w:t>
        </w:r>
        <w:r>
          <w:rPr>
            <w:i/>
            <w:spacing w:val="-7"/>
            <w:w w:val="105"/>
          </w:rPr>
          <w:t> </w:t>
        </w:r>
        <w:r>
          <w:rPr>
            <w:i/>
            <w:w w:val="105"/>
          </w:rPr>
          <w:t>of</w:t>
        </w:r>
        <w:r>
          <w:rPr>
            <w:i/>
            <w:spacing w:val="-8"/>
            <w:w w:val="105"/>
          </w:rPr>
          <w:t> </w:t>
        </w:r>
        <w:r>
          <w:rPr>
            <w:i/>
            <w:spacing w:val="-6"/>
            <w:w w:val="105"/>
          </w:rPr>
          <w:t>food</w:t>
        </w:r>
        <w:r>
          <w:rPr>
            <w:i/>
            <w:spacing w:val="-7"/>
            <w:w w:val="105"/>
          </w:rPr>
          <w:t> </w:t>
        </w:r>
        <w:r>
          <w:rPr>
            <w:i/>
            <w:w w:val="105"/>
          </w:rPr>
          <w:t>choice</w:t>
        </w:r>
        <w:r>
          <w:rPr>
            <w:i/>
            <w:spacing w:val="-8"/>
            <w:w w:val="105"/>
          </w:rPr>
          <w:t> </w:t>
        </w:r>
        <w:r>
          <w:rPr>
            <w:i/>
            <w:w w:val="105"/>
          </w:rPr>
          <w:t>data</w:t>
        </w:r>
      </w:hyperlink>
      <w:r>
        <w:rPr>
          <w:w w:val="105"/>
        </w:rPr>
        <w:t>). </w:t>
      </w:r>
      <w:r>
        <w:rPr>
          <w:rFonts w:ascii="Arial" w:hAnsi="Arial"/>
          <w:w w:val="105"/>
          <w:sz w:val="12"/>
        </w:rPr>
        <w:t>617 </w:t>
      </w:r>
      <w:r>
        <w:rPr>
          <w:rFonts w:ascii="Arial" w:hAnsi="Arial"/>
          <w:spacing w:val="35"/>
          <w:w w:val="105"/>
          <w:sz w:val="12"/>
        </w:rPr>
        <w:t> </w:t>
      </w:r>
      <w:r>
        <w:rPr>
          <w:spacing w:val="-4"/>
          <w:w w:val="105"/>
        </w:rPr>
        <w:t>Yuen’s </w:t>
      </w:r>
      <w:r>
        <w:rPr>
          <w:w w:val="105"/>
        </w:rPr>
        <w:t>method of comparing trimmed means </w:t>
      </w:r>
      <w:r>
        <w:rPr>
          <w:spacing w:val="-3"/>
          <w:w w:val="105"/>
        </w:rPr>
        <w:t>was </w:t>
      </w:r>
      <w:r>
        <w:rPr>
          <w:w w:val="105"/>
        </w:rPr>
        <w:t>applied via the WRS2 package, with the   </w:t>
      </w:r>
      <w:r>
        <w:rPr>
          <w:rFonts w:ascii="Arial" w:hAnsi="Arial"/>
          <w:w w:val="105"/>
          <w:sz w:val="12"/>
        </w:rPr>
        <w:t>618</w:t>
      </w:r>
      <w:r>
        <w:rPr>
          <w:rFonts w:ascii="Arial" w:hAnsi="Arial"/>
          <w:spacing w:val="15"/>
          <w:w w:val="105"/>
          <w:sz w:val="12"/>
        </w:rPr>
        <w:t> </w:t>
      </w:r>
      <w:r>
        <w:rPr>
          <w:w w:val="105"/>
        </w:rPr>
        <w:t>recommended</w:t>
      </w:r>
      <w:r>
        <w:rPr>
          <w:spacing w:val="11"/>
          <w:w w:val="105"/>
        </w:rPr>
        <w:t> </w:t>
      </w:r>
      <w:r>
        <w:rPr>
          <w:w w:val="105"/>
        </w:rPr>
        <w:t>percentage</w:t>
      </w:r>
      <w:r>
        <w:rPr>
          <w:spacing w:val="10"/>
          <w:w w:val="105"/>
        </w:rPr>
        <w:t> </w:t>
      </w:r>
      <w:r>
        <w:rPr>
          <w:w w:val="105"/>
        </w:rPr>
        <w:t>of</w:t>
      </w:r>
      <w:r>
        <w:rPr>
          <w:spacing w:val="12"/>
          <w:w w:val="105"/>
        </w:rPr>
        <w:t> </w:t>
      </w:r>
      <w:r>
        <w:rPr>
          <w:w w:val="105"/>
        </w:rPr>
        <w:t>20%</w:t>
      </w:r>
      <w:r>
        <w:rPr>
          <w:spacing w:val="11"/>
          <w:w w:val="105"/>
        </w:rPr>
        <w:t> </w:t>
      </w:r>
      <w:r>
        <w:rPr>
          <w:w w:val="105"/>
        </w:rPr>
        <w:t>trimming</w:t>
      </w:r>
      <w:r>
        <w:rPr>
          <w:spacing w:val="10"/>
          <w:w w:val="105"/>
        </w:rPr>
        <w:t> </w:t>
      </w:r>
      <w:r>
        <w:rPr>
          <w:w w:val="105"/>
        </w:rPr>
        <w:t>from</w:t>
      </w:r>
      <w:r>
        <w:rPr>
          <w:spacing w:val="12"/>
          <w:w w:val="105"/>
        </w:rPr>
        <w:t> </w:t>
      </w:r>
      <w:r>
        <w:rPr>
          <w:w w:val="105"/>
        </w:rPr>
        <w:t>both</w:t>
      </w:r>
      <w:r>
        <w:rPr>
          <w:spacing w:val="11"/>
          <w:w w:val="105"/>
        </w:rPr>
        <w:t> </w:t>
      </w:r>
      <w:r>
        <w:rPr>
          <w:w w:val="105"/>
        </w:rPr>
        <w:t>tails</w:t>
      </w:r>
      <w:r>
        <w:rPr>
          <w:spacing w:val="11"/>
          <w:w w:val="105"/>
        </w:rPr>
        <w:t> </w:t>
      </w:r>
      <w:r>
        <w:rPr>
          <w:w w:val="105"/>
        </w:rPr>
        <w:t>of</w:t>
      </w:r>
      <w:r>
        <w:rPr>
          <w:spacing w:val="11"/>
          <w:w w:val="105"/>
        </w:rPr>
        <w:t> </w:t>
      </w:r>
      <w:r>
        <w:rPr>
          <w:w w:val="105"/>
        </w:rPr>
        <w:t>the</w:t>
      </w:r>
      <w:r>
        <w:rPr>
          <w:spacing w:val="11"/>
          <w:w w:val="105"/>
        </w:rPr>
        <w:t> </w:t>
      </w:r>
      <w:r>
        <w:rPr>
          <w:w w:val="105"/>
        </w:rPr>
        <w:t>distribution</w:t>
      </w:r>
      <w:r>
        <w:rPr>
          <w:spacing w:val="11"/>
          <w:w w:val="105"/>
        </w:rPr>
        <w:t> </w:t>
      </w:r>
      <w:r>
        <w:rPr>
          <w:w w:val="105"/>
        </w:rPr>
        <w:t>(Mair</w:t>
      </w:r>
      <w:r>
        <w:rPr>
          <w:spacing w:val="11"/>
          <w:w w:val="105"/>
        </w:rPr>
        <w:t> </w:t>
      </w:r>
      <w:r>
        <w:rPr>
          <w:w w:val="105"/>
        </w:rPr>
        <w:t>&amp;</w:t>
      </w:r>
    </w:p>
    <w:p>
      <w:pPr>
        <w:pStyle w:val="BodyText"/>
        <w:spacing w:line="415" w:lineRule="auto" w:before="3"/>
        <w:ind w:right="525"/>
      </w:pPr>
      <w:r>
        <w:rPr>
          <w:rFonts w:ascii="Arial" w:hAnsi="Arial"/>
          <w:w w:val="105"/>
          <w:sz w:val="12"/>
        </w:rPr>
        <w:t>619 </w:t>
      </w:r>
      <w:r>
        <w:rPr>
          <w:w w:val="105"/>
        </w:rPr>
        <w:t>Wilcox, 2019; Wilcox &amp; Tian, 2011; </w:t>
      </w:r>
      <w:r>
        <w:rPr>
          <w:spacing w:val="-4"/>
          <w:w w:val="105"/>
        </w:rPr>
        <w:t>Yuen, </w:t>
      </w:r>
      <w:r>
        <w:rPr>
          <w:w w:val="105"/>
        </w:rPr>
        <w:t>1974).</w:t>
      </w:r>
      <w:r>
        <w:rPr>
          <w:spacing w:val="63"/>
          <w:w w:val="105"/>
        </w:rPr>
        <w:t> </w:t>
      </w:r>
      <w:r>
        <w:rPr>
          <w:w w:val="105"/>
        </w:rPr>
        <w:t>The exploratory measure of effect size, </w:t>
      </w:r>
      <w:r>
        <w:rPr>
          <w:rFonts w:ascii="Arial" w:hAnsi="Arial"/>
          <w:w w:val="105"/>
          <w:sz w:val="12"/>
        </w:rPr>
        <w:t>620     </w:t>
      </w:r>
      <w:r>
        <w:rPr>
          <w:w w:val="105"/>
        </w:rPr>
        <w:t>represented </w:t>
      </w:r>
      <w:r>
        <w:rPr>
          <w:spacing w:val="-4"/>
          <w:w w:val="105"/>
        </w:rPr>
        <w:t>by </w:t>
      </w:r>
      <w:r>
        <w:rPr>
          <w:i/>
          <w:w w:val="105"/>
        </w:rPr>
        <w:t>ξ  </w:t>
      </w:r>
      <w:r>
        <w:rPr>
          <w:w w:val="105"/>
        </w:rPr>
        <w:t>is provided and can </w:t>
      </w:r>
      <w:r>
        <w:rPr>
          <w:spacing w:val="3"/>
          <w:w w:val="105"/>
        </w:rPr>
        <w:t>be </w:t>
      </w:r>
      <w:r>
        <w:rPr>
          <w:w w:val="105"/>
        </w:rPr>
        <w:t>conventionally interpreted as small, median and  </w:t>
      </w:r>
      <w:r>
        <w:rPr>
          <w:rFonts w:ascii="Arial" w:hAnsi="Arial"/>
          <w:w w:val="105"/>
          <w:sz w:val="12"/>
        </w:rPr>
        <w:t>621 </w:t>
      </w:r>
      <w:r>
        <w:rPr>
          <w:w w:val="105"/>
        </w:rPr>
        <w:t>large at 0.15, 0.35 and 0.50 (Mair &amp; Wilcox, 2019). The null hypothesis in </w:t>
      </w:r>
      <w:r>
        <w:rPr>
          <w:spacing w:val="-4"/>
          <w:w w:val="105"/>
        </w:rPr>
        <w:t>Yuen’s </w:t>
      </w:r>
      <w:r>
        <w:rPr>
          <w:w w:val="105"/>
        </w:rPr>
        <w:t>test</w:t>
      </w:r>
      <w:r>
        <w:rPr>
          <w:spacing w:val="53"/>
          <w:w w:val="105"/>
        </w:rPr>
        <w:t> </w:t>
      </w:r>
      <w:r>
        <w:rPr>
          <w:w w:val="105"/>
        </w:rPr>
        <w:t>for</w:t>
      </w:r>
    </w:p>
    <w:p>
      <w:pPr>
        <w:pStyle w:val="BodyText"/>
        <w:spacing w:line="415" w:lineRule="auto" w:before="1"/>
        <w:ind w:right="265"/>
      </w:pPr>
      <w:r>
        <w:rPr>
          <w:rFonts w:ascii="Arial" w:hAnsi="Arial"/>
          <w:w w:val="110"/>
          <w:sz w:val="12"/>
        </w:rPr>
        <w:t>622</w:t>
      </w:r>
      <w:r>
        <w:rPr>
          <w:rFonts w:ascii="Arial" w:hAnsi="Arial"/>
          <w:spacing w:val="22"/>
          <w:w w:val="110"/>
          <w:sz w:val="12"/>
        </w:rPr>
        <w:t> </w:t>
      </w:r>
      <w:r>
        <w:rPr>
          <w:w w:val="110"/>
        </w:rPr>
        <w:t>paired</w:t>
      </w:r>
      <w:r>
        <w:rPr>
          <w:spacing w:val="-14"/>
          <w:w w:val="110"/>
        </w:rPr>
        <w:t> </w:t>
      </w:r>
      <w:r>
        <w:rPr>
          <w:w w:val="110"/>
        </w:rPr>
        <w:t>sample</w:t>
      </w:r>
      <w:r>
        <w:rPr>
          <w:spacing w:val="-14"/>
          <w:w w:val="110"/>
        </w:rPr>
        <w:t> </w:t>
      </w:r>
      <w:r>
        <w:rPr>
          <w:w w:val="110"/>
        </w:rPr>
        <w:t>comparisons</w:t>
      </w:r>
      <w:r>
        <w:rPr>
          <w:spacing w:val="-15"/>
          <w:w w:val="110"/>
        </w:rPr>
        <w:t> </w:t>
      </w:r>
      <w:r>
        <w:rPr>
          <w:w w:val="110"/>
        </w:rPr>
        <w:t>is</w:t>
      </w:r>
      <w:r>
        <w:rPr>
          <w:spacing w:val="-14"/>
          <w:w w:val="110"/>
        </w:rPr>
        <w:t> </w:t>
      </w:r>
      <w:r>
        <w:rPr>
          <w:w w:val="110"/>
        </w:rPr>
        <w:t>that</w:t>
      </w:r>
      <w:r>
        <w:rPr>
          <w:spacing w:val="-15"/>
          <w:w w:val="110"/>
        </w:rPr>
        <w:t> </w:t>
      </w:r>
      <w:r>
        <w:rPr>
          <w:w w:val="110"/>
        </w:rPr>
        <w:t>there</w:t>
      </w:r>
      <w:r>
        <w:rPr>
          <w:spacing w:val="-14"/>
          <w:w w:val="110"/>
        </w:rPr>
        <w:t> </w:t>
      </w:r>
      <w:r>
        <w:rPr>
          <w:w w:val="110"/>
        </w:rPr>
        <w:t>is</w:t>
      </w:r>
      <w:r>
        <w:rPr>
          <w:spacing w:val="-15"/>
          <w:w w:val="110"/>
        </w:rPr>
        <w:t> </w:t>
      </w:r>
      <w:r>
        <w:rPr>
          <w:w w:val="110"/>
        </w:rPr>
        <w:t>no</w:t>
      </w:r>
      <w:r>
        <w:rPr>
          <w:spacing w:val="-14"/>
          <w:w w:val="110"/>
        </w:rPr>
        <w:t> </w:t>
      </w:r>
      <w:r>
        <w:rPr>
          <w:w w:val="110"/>
        </w:rPr>
        <w:t>difference</w:t>
      </w:r>
      <w:r>
        <w:rPr>
          <w:spacing w:val="-15"/>
          <w:w w:val="110"/>
        </w:rPr>
        <w:t> </w:t>
      </w:r>
      <w:r>
        <w:rPr>
          <w:w w:val="110"/>
        </w:rPr>
        <w:t>between</w:t>
      </w:r>
      <w:r>
        <w:rPr>
          <w:spacing w:val="-14"/>
          <w:w w:val="110"/>
        </w:rPr>
        <w:t> </w:t>
      </w:r>
      <w:r>
        <w:rPr>
          <w:w w:val="110"/>
        </w:rPr>
        <w:t>the</w:t>
      </w:r>
      <w:r>
        <w:rPr>
          <w:spacing w:val="-14"/>
          <w:w w:val="110"/>
        </w:rPr>
        <w:t> </w:t>
      </w:r>
      <w:r>
        <w:rPr>
          <w:w w:val="110"/>
        </w:rPr>
        <w:t>trimmed</w:t>
      </w:r>
      <w:r>
        <w:rPr>
          <w:spacing w:val="-15"/>
          <w:w w:val="110"/>
        </w:rPr>
        <w:t> </w:t>
      </w:r>
      <w:r>
        <w:rPr>
          <w:w w:val="110"/>
        </w:rPr>
        <w:t>means</w:t>
      </w:r>
      <w:r>
        <w:rPr>
          <w:spacing w:val="-15"/>
          <w:w w:val="110"/>
        </w:rPr>
        <w:t> </w:t>
      </w:r>
      <w:r>
        <w:rPr>
          <w:w w:val="110"/>
        </w:rPr>
        <w:t>(</w:t>
      </w:r>
      <w:r>
        <w:rPr>
          <w:i/>
          <w:w w:val="110"/>
        </w:rPr>
        <w:t>µ</w:t>
      </w:r>
      <w:r>
        <w:rPr>
          <w:rFonts w:ascii="Arial" w:hAnsi="Arial"/>
          <w:i/>
          <w:w w:val="110"/>
          <w:vertAlign w:val="subscript"/>
        </w:rPr>
        <w:t>t</w:t>
      </w:r>
      <w:r>
        <w:rPr>
          <w:w w:val="110"/>
          <w:vertAlign w:val="subscript"/>
        </w:rPr>
        <w:t>1</w:t>
      </w:r>
      <w:r>
        <w:rPr>
          <w:spacing w:val="-8"/>
          <w:w w:val="110"/>
          <w:vertAlign w:val="baseline"/>
        </w:rPr>
        <w:t> </w:t>
      </w:r>
      <w:r>
        <w:rPr>
          <w:w w:val="110"/>
          <w:vertAlign w:val="baseline"/>
        </w:rPr>
        <w:t>= </w:t>
      </w:r>
      <w:r>
        <w:rPr>
          <w:rFonts w:ascii="Arial" w:hAnsi="Arial"/>
          <w:w w:val="110"/>
          <w:sz w:val="12"/>
          <w:vertAlign w:val="baseline"/>
        </w:rPr>
        <w:t>623 </w:t>
      </w:r>
      <w:r>
        <w:rPr>
          <w:i/>
          <w:spacing w:val="3"/>
          <w:w w:val="110"/>
          <w:vertAlign w:val="baseline"/>
        </w:rPr>
        <w:t>µ</w:t>
      </w:r>
      <w:r>
        <w:rPr>
          <w:rFonts w:ascii="Arial" w:hAnsi="Arial"/>
          <w:i/>
          <w:spacing w:val="3"/>
          <w:w w:val="110"/>
          <w:vertAlign w:val="subscript"/>
        </w:rPr>
        <w:t>t</w:t>
      </w:r>
      <w:r>
        <w:rPr>
          <w:spacing w:val="3"/>
          <w:w w:val="110"/>
          <w:vertAlign w:val="subscript"/>
        </w:rPr>
        <w:t>2</w:t>
      </w:r>
      <w:r>
        <w:rPr>
          <w:spacing w:val="3"/>
          <w:w w:val="110"/>
          <w:vertAlign w:val="baseline"/>
        </w:rPr>
        <w:t>). </w:t>
      </w:r>
      <w:r>
        <w:rPr>
          <w:w w:val="110"/>
          <w:vertAlign w:val="baseline"/>
        </w:rPr>
        <w:t>The test results are shown in </w:t>
      </w:r>
      <w:r>
        <w:rPr>
          <w:spacing w:val="-5"/>
          <w:w w:val="110"/>
          <w:vertAlign w:val="baseline"/>
        </w:rPr>
        <w:t>Table </w:t>
      </w:r>
      <w:hyperlink w:history="true" w:anchor="_bookmark29">
        <w:r>
          <w:rPr>
            <w:w w:val="110"/>
            <w:vertAlign w:val="baseline"/>
          </w:rPr>
          <w:t>3 </w:t>
        </w:r>
      </w:hyperlink>
      <w:r>
        <w:rPr>
          <w:w w:val="110"/>
          <w:vertAlign w:val="baseline"/>
        </w:rPr>
        <w:t>and are consistent withpre-registered findings. </w:t>
      </w:r>
      <w:r>
        <w:rPr>
          <w:rFonts w:ascii="Arial" w:hAnsi="Arial"/>
          <w:w w:val="110"/>
          <w:sz w:val="12"/>
          <w:vertAlign w:val="baseline"/>
        </w:rPr>
        <w:t>624 </w:t>
      </w:r>
      <w:r>
        <w:rPr>
          <w:w w:val="110"/>
          <w:vertAlign w:val="baseline"/>
        </w:rPr>
        <w:t>The explanatory effect sizes do not deviated in their interpretation from Cohen’s </w:t>
      </w:r>
      <w:r>
        <w:rPr>
          <w:i/>
          <w:w w:val="110"/>
          <w:vertAlign w:val="baseline"/>
        </w:rPr>
        <w:t>d </w:t>
      </w:r>
      <w:r>
        <w:rPr>
          <w:spacing w:val="-3"/>
          <w:w w:val="110"/>
          <w:vertAlign w:val="baseline"/>
        </w:rPr>
        <w:t>values </w:t>
      </w:r>
      <w:r>
        <w:rPr>
          <w:rFonts w:ascii="Arial" w:hAnsi="Arial"/>
          <w:w w:val="110"/>
          <w:sz w:val="12"/>
          <w:vertAlign w:val="baseline"/>
        </w:rPr>
        <w:t>625</w:t>
      </w:r>
      <w:r>
        <w:rPr>
          <w:rFonts w:ascii="Arial" w:hAnsi="Arial"/>
          <w:spacing w:val="17"/>
          <w:w w:val="110"/>
          <w:sz w:val="12"/>
          <w:vertAlign w:val="baseline"/>
        </w:rPr>
        <w:t> </w:t>
      </w:r>
      <w:r>
        <w:rPr>
          <w:w w:val="110"/>
          <w:vertAlign w:val="baseline"/>
        </w:rPr>
        <w:t>presented</w:t>
      </w:r>
      <w:r>
        <w:rPr>
          <w:spacing w:val="-32"/>
          <w:w w:val="110"/>
          <w:vertAlign w:val="baseline"/>
        </w:rPr>
        <w:t> </w:t>
      </w:r>
      <w:r>
        <w:rPr>
          <w:w w:val="110"/>
          <w:vertAlign w:val="baseline"/>
        </w:rPr>
        <w:t>in</w:t>
      </w:r>
      <w:r>
        <w:rPr>
          <w:spacing w:val="-32"/>
          <w:w w:val="110"/>
          <w:vertAlign w:val="baseline"/>
        </w:rPr>
        <w:t> </w:t>
      </w:r>
      <w:r>
        <w:rPr>
          <w:spacing w:val="-5"/>
          <w:w w:val="110"/>
          <w:vertAlign w:val="baseline"/>
        </w:rPr>
        <w:t>Table</w:t>
      </w:r>
      <w:r>
        <w:rPr>
          <w:spacing w:val="-32"/>
          <w:w w:val="110"/>
          <w:vertAlign w:val="baseline"/>
        </w:rPr>
        <w:t> </w:t>
      </w:r>
      <w:r>
        <w:rPr>
          <w:b/>
          <w:w w:val="110"/>
          <w:vertAlign w:val="baseline"/>
        </w:rPr>
        <w:t>??</w:t>
      </w:r>
      <w:r>
        <w:rPr>
          <w:b/>
          <w:spacing w:val="-32"/>
          <w:w w:val="110"/>
          <w:vertAlign w:val="baseline"/>
        </w:rPr>
        <w:t> </w:t>
      </w:r>
      <w:r>
        <w:rPr>
          <w:w w:val="110"/>
          <w:vertAlign w:val="baseline"/>
        </w:rPr>
        <w:t>for</w:t>
      </w:r>
      <w:r>
        <w:rPr>
          <w:spacing w:val="-32"/>
          <w:w w:val="110"/>
          <w:vertAlign w:val="baseline"/>
        </w:rPr>
        <w:t> </w:t>
      </w:r>
      <w:r>
        <w:rPr>
          <w:w w:val="110"/>
          <w:vertAlign w:val="baseline"/>
        </w:rPr>
        <w:t>frequentists</w:t>
      </w:r>
      <w:r>
        <w:rPr>
          <w:spacing w:val="-32"/>
          <w:w w:val="110"/>
          <w:vertAlign w:val="baseline"/>
        </w:rPr>
        <w:t> </w:t>
      </w:r>
      <w:r>
        <w:rPr>
          <w:w w:val="110"/>
          <w:vertAlign w:val="baseline"/>
        </w:rPr>
        <w:t>paired-samples</w:t>
      </w:r>
      <w:r>
        <w:rPr>
          <w:spacing w:val="-32"/>
          <w:w w:val="110"/>
          <w:vertAlign w:val="baseline"/>
        </w:rPr>
        <w:t> </w:t>
      </w:r>
      <w:r>
        <w:rPr>
          <w:w w:val="110"/>
          <w:vertAlign w:val="baseline"/>
        </w:rPr>
        <w:t>t-tests,</w:t>
      </w:r>
      <w:r>
        <w:rPr>
          <w:spacing w:val="-32"/>
          <w:w w:val="110"/>
          <w:vertAlign w:val="baseline"/>
        </w:rPr>
        <w:t> </w:t>
      </w:r>
      <w:r>
        <w:rPr>
          <w:w w:val="110"/>
          <w:vertAlign w:val="baseline"/>
        </w:rPr>
        <w:t>as</w:t>
      </w:r>
      <w:r>
        <w:rPr>
          <w:spacing w:val="-32"/>
          <w:w w:val="110"/>
          <w:vertAlign w:val="baseline"/>
        </w:rPr>
        <w:t> </w:t>
      </w:r>
      <w:r>
        <w:rPr>
          <w:w w:val="110"/>
          <w:vertAlign w:val="baseline"/>
        </w:rPr>
        <w:t>the</w:t>
      </w:r>
      <w:r>
        <w:rPr>
          <w:spacing w:val="-32"/>
          <w:w w:val="110"/>
          <w:vertAlign w:val="baseline"/>
        </w:rPr>
        <w:t> </w:t>
      </w:r>
      <w:r>
        <w:rPr>
          <w:w w:val="110"/>
          <w:vertAlign w:val="baseline"/>
        </w:rPr>
        <w:t>observed</w:t>
      </w:r>
      <w:r>
        <w:rPr>
          <w:spacing w:val="-32"/>
          <w:w w:val="110"/>
          <w:vertAlign w:val="baseline"/>
        </w:rPr>
        <w:t> </w:t>
      </w:r>
      <w:r>
        <w:rPr>
          <w:w w:val="110"/>
          <w:vertAlign w:val="baseline"/>
        </w:rPr>
        <w:t>effects</w:t>
      </w:r>
      <w:r>
        <w:rPr>
          <w:spacing w:val="-32"/>
          <w:w w:val="110"/>
          <w:vertAlign w:val="baseline"/>
        </w:rPr>
        <w:t> </w:t>
      </w:r>
      <w:r>
        <w:rPr>
          <w:w w:val="110"/>
          <w:vertAlign w:val="baseline"/>
        </w:rPr>
        <w:t>are</w:t>
      </w:r>
      <w:r>
        <w:rPr>
          <w:spacing w:val="-32"/>
          <w:w w:val="110"/>
          <w:vertAlign w:val="baseline"/>
        </w:rPr>
        <w:t> </w:t>
      </w:r>
      <w:r>
        <w:rPr>
          <w:w w:val="110"/>
          <w:vertAlign w:val="baseline"/>
        </w:rPr>
        <w:t>small </w:t>
      </w:r>
      <w:r>
        <w:rPr>
          <w:rFonts w:ascii="Arial" w:hAnsi="Arial"/>
          <w:w w:val="110"/>
          <w:sz w:val="12"/>
          <w:vertAlign w:val="baseline"/>
        </w:rPr>
        <w:t>626 </w:t>
      </w:r>
      <w:r>
        <w:rPr>
          <w:w w:val="110"/>
          <w:vertAlign w:val="baseline"/>
        </w:rPr>
        <w:t>for both H3a and</w:t>
      </w:r>
      <w:r>
        <w:rPr>
          <w:spacing w:val="17"/>
          <w:w w:val="110"/>
          <w:vertAlign w:val="baseline"/>
        </w:rPr>
        <w:t> </w:t>
      </w:r>
      <w:r>
        <w:rPr>
          <w:w w:val="110"/>
          <w:vertAlign w:val="baseline"/>
        </w:rPr>
        <w:t>H4a.</w:t>
      </w:r>
    </w:p>
    <w:p>
      <w:pPr>
        <w:spacing w:after="0" w:line="415" w:lineRule="auto"/>
        <w:sectPr>
          <w:pgSz w:w="12240" w:h="15840"/>
          <w:pgMar w:header="649" w:footer="0" w:top="1320" w:bottom="280" w:left="820" w:right="1140"/>
        </w:sectPr>
      </w:pPr>
    </w:p>
    <w:p>
      <w:pPr>
        <w:spacing w:before="129"/>
        <w:ind w:left="620" w:right="0" w:firstLine="0"/>
        <w:jc w:val="left"/>
        <w:rPr>
          <w:b/>
          <w:sz w:val="20"/>
        </w:rPr>
      </w:pPr>
      <w:bookmarkStart w:name="_bookmark29" w:id="63"/>
      <w:bookmarkEnd w:id="63"/>
      <w:r>
        <w:rPr/>
      </w:r>
      <w:r>
        <w:rPr>
          <w:b/>
          <w:w w:val="115"/>
          <w:sz w:val="20"/>
        </w:rPr>
        <w:t>Table 3</w:t>
      </w:r>
    </w:p>
    <w:p>
      <w:pPr>
        <w:spacing w:before="165"/>
        <w:ind w:left="620" w:right="0" w:firstLine="0"/>
        <w:jc w:val="left"/>
        <w:rPr>
          <w:i/>
          <w:sz w:val="20"/>
        </w:rPr>
      </w:pPr>
      <w:r>
        <w:rPr>
          <w:i/>
          <w:w w:val="105"/>
          <w:sz w:val="20"/>
        </w:rPr>
        <w:t>Yuen’s tests of trimmed mean differences for paired comparisons that violated the normality assumption</w:t>
      </w:r>
    </w:p>
    <w:p>
      <w:pPr>
        <w:pStyle w:val="BodyText"/>
        <w:spacing w:before="5"/>
        <w:ind w:left="0"/>
        <w:rPr>
          <w:i/>
          <w:sz w:val="20"/>
        </w:rPr>
      </w:pPr>
      <w:r>
        <w:rPr/>
        <w:pict>
          <v:line style="position:absolute;mso-position-horizontal-relative:page;mso-position-vertical-relative:paragraph;z-index:-712;mso-wrap-distance-left:0;mso-wrap-distance-right:0" from="72pt,14.242579pt" to="513.911000pt,14.242579pt" stroked="true" strokeweight=".936pt" strokecolor="#000000">
            <v:stroke dashstyle="solid"/>
            <w10:wrap type="topAndBottom"/>
          </v:line>
        </w:pict>
      </w:r>
    </w:p>
    <w:p>
      <w:pPr>
        <w:pStyle w:val="BodyText"/>
        <w:tabs>
          <w:tab w:pos="6177" w:val="left" w:leader="none"/>
          <w:tab w:pos="8300" w:val="left" w:leader="none"/>
        </w:tabs>
        <w:spacing w:before="148"/>
        <w:ind w:left="3904"/>
      </w:pPr>
      <w:r>
        <w:rPr>
          <w:w w:val="105"/>
        </w:rPr>
        <w:t>95%</w:t>
      </w:r>
      <w:r>
        <w:rPr>
          <w:spacing w:val="2"/>
          <w:w w:val="105"/>
        </w:rPr>
        <w:t> </w:t>
      </w:r>
      <w:r>
        <w:rPr>
          <w:w w:val="105"/>
        </w:rPr>
        <w:t>CI</w:t>
        <w:tab/>
        <w:t>Comparison</w:t>
      </w:r>
      <w:r>
        <w:rPr>
          <w:spacing w:val="16"/>
          <w:w w:val="105"/>
        </w:rPr>
        <w:t> </w:t>
      </w:r>
      <w:r>
        <w:rPr>
          <w:w w:val="105"/>
        </w:rPr>
        <w:t>to</w:t>
        <w:tab/>
        <w:t>Effect</w:t>
      </w:r>
      <w:r>
        <w:rPr>
          <w:spacing w:val="11"/>
          <w:w w:val="105"/>
        </w:rPr>
        <w:t> </w:t>
      </w:r>
      <w:r>
        <w:rPr>
          <w:w w:val="105"/>
        </w:rPr>
        <w:t>size</w:t>
      </w:r>
    </w:p>
    <w:p>
      <w:pPr>
        <w:pStyle w:val="BodyText"/>
        <w:spacing w:before="3"/>
        <w:ind w:left="0"/>
        <w:rPr>
          <w:sz w:val="8"/>
        </w:rPr>
      </w:pPr>
    </w:p>
    <w:tbl>
      <w:tblPr>
        <w:tblW w:w="0" w:type="auto"/>
        <w:jc w:val="left"/>
        <w:tblInd w:w="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2"/>
        <w:gridCol w:w="750"/>
        <w:gridCol w:w="655"/>
        <w:gridCol w:w="732"/>
        <w:gridCol w:w="854"/>
        <w:gridCol w:w="874"/>
        <w:gridCol w:w="655"/>
        <w:gridCol w:w="2002"/>
        <w:gridCol w:w="1531"/>
        <w:gridCol w:w="116"/>
      </w:tblGrid>
      <w:tr>
        <w:trPr>
          <w:trHeight w:val="508" w:hRule="atLeast"/>
        </w:trPr>
        <w:tc>
          <w:tcPr>
            <w:tcW w:w="662" w:type="dxa"/>
            <w:tcBorders>
              <w:bottom w:val="single" w:sz="4" w:space="0" w:color="000000"/>
            </w:tcBorders>
          </w:tcPr>
          <w:p>
            <w:pPr>
              <w:pStyle w:val="TableParagraph"/>
              <w:rPr>
                <w:sz w:val="22"/>
              </w:rPr>
            </w:pPr>
          </w:p>
        </w:tc>
        <w:tc>
          <w:tcPr>
            <w:tcW w:w="750" w:type="dxa"/>
            <w:tcBorders>
              <w:bottom w:val="single" w:sz="4" w:space="0" w:color="000000"/>
            </w:tcBorders>
          </w:tcPr>
          <w:p>
            <w:pPr>
              <w:pStyle w:val="TableParagraph"/>
              <w:spacing w:before="101"/>
              <w:ind w:left="96" w:right="97"/>
              <w:jc w:val="center"/>
              <w:rPr>
                <w:sz w:val="24"/>
              </w:rPr>
            </w:pPr>
            <w:r>
              <w:rPr>
                <w:i/>
                <w:w w:val="105"/>
                <w:sz w:val="24"/>
              </w:rPr>
              <w:t>t</w:t>
            </w:r>
            <w:r>
              <w:rPr>
                <w:w w:val="105"/>
                <w:sz w:val="24"/>
              </w:rPr>
              <w:t>(98)</w:t>
            </w:r>
          </w:p>
        </w:tc>
        <w:tc>
          <w:tcPr>
            <w:tcW w:w="655" w:type="dxa"/>
            <w:tcBorders>
              <w:bottom w:val="single" w:sz="4" w:space="0" w:color="000000"/>
            </w:tcBorders>
          </w:tcPr>
          <w:p>
            <w:pPr>
              <w:pStyle w:val="TableParagraph"/>
              <w:spacing w:before="101"/>
              <w:ind w:right="124"/>
              <w:jc w:val="right"/>
              <w:rPr>
                <w:i/>
                <w:sz w:val="24"/>
              </w:rPr>
            </w:pPr>
            <w:r>
              <w:rPr>
                <w:i/>
                <w:w w:val="99"/>
                <w:sz w:val="24"/>
              </w:rPr>
              <w:t>p</w:t>
            </w:r>
          </w:p>
        </w:tc>
        <w:tc>
          <w:tcPr>
            <w:tcW w:w="732" w:type="dxa"/>
            <w:tcBorders>
              <w:bottom w:val="single" w:sz="4" w:space="0" w:color="000000"/>
            </w:tcBorders>
          </w:tcPr>
          <w:p>
            <w:pPr>
              <w:pStyle w:val="TableParagraph"/>
              <w:spacing w:before="100"/>
              <w:ind w:left="160"/>
              <w:rPr>
                <w:rFonts w:ascii="Arial"/>
                <w:i/>
                <w:sz w:val="24"/>
              </w:rPr>
            </w:pPr>
            <w:r>
              <w:rPr>
                <w:i/>
                <w:w w:val="110"/>
                <w:sz w:val="24"/>
              </w:rPr>
              <w:t>MD</w:t>
            </w:r>
            <w:r>
              <w:rPr>
                <w:rFonts w:ascii="Arial"/>
                <w:i/>
                <w:w w:val="110"/>
                <w:sz w:val="24"/>
                <w:vertAlign w:val="subscript"/>
              </w:rPr>
              <w:t>t</w:t>
            </w:r>
          </w:p>
        </w:tc>
        <w:tc>
          <w:tcPr>
            <w:tcW w:w="854" w:type="dxa"/>
            <w:tcBorders>
              <w:top w:val="single" w:sz="4" w:space="0" w:color="000000"/>
              <w:bottom w:val="single" w:sz="4" w:space="0" w:color="000000"/>
            </w:tcBorders>
          </w:tcPr>
          <w:p>
            <w:pPr>
              <w:pStyle w:val="TableParagraph"/>
              <w:spacing w:before="101"/>
              <w:ind w:right="116"/>
              <w:jc w:val="right"/>
              <w:rPr>
                <w:sz w:val="24"/>
              </w:rPr>
            </w:pPr>
            <w:r>
              <w:rPr>
                <w:sz w:val="24"/>
              </w:rPr>
              <w:t>Lower</w:t>
            </w:r>
          </w:p>
        </w:tc>
        <w:tc>
          <w:tcPr>
            <w:tcW w:w="874" w:type="dxa"/>
            <w:tcBorders>
              <w:top w:val="single" w:sz="4" w:space="0" w:color="000000"/>
              <w:bottom w:val="single" w:sz="4" w:space="0" w:color="000000"/>
            </w:tcBorders>
          </w:tcPr>
          <w:p>
            <w:pPr>
              <w:pStyle w:val="TableParagraph"/>
              <w:spacing w:before="101"/>
              <w:ind w:right="114"/>
              <w:jc w:val="right"/>
              <w:rPr>
                <w:sz w:val="24"/>
              </w:rPr>
            </w:pPr>
            <w:r>
              <w:rPr>
                <w:w w:val="105"/>
                <w:sz w:val="24"/>
              </w:rPr>
              <w:t>Upper</w:t>
            </w:r>
          </w:p>
        </w:tc>
        <w:tc>
          <w:tcPr>
            <w:tcW w:w="655" w:type="dxa"/>
            <w:tcBorders>
              <w:bottom w:val="single" w:sz="4" w:space="0" w:color="000000"/>
            </w:tcBorders>
          </w:tcPr>
          <w:p>
            <w:pPr>
              <w:pStyle w:val="TableParagraph"/>
              <w:spacing w:before="101"/>
              <w:ind w:right="125"/>
              <w:jc w:val="right"/>
              <w:rPr>
                <w:i/>
                <w:sz w:val="24"/>
              </w:rPr>
            </w:pPr>
            <w:r>
              <w:rPr>
                <w:i/>
                <w:w w:val="99"/>
                <w:sz w:val="24"/>
              </w:rPr>
              <w:t>ξ</w:t>
            </w:r>
          </w:p>
        </w:tc>
        <w:tc>
          <w:tcPr>
            <w:tcW w:w="2002" w:type="dxa"/>
            <w:tcBorders>
              <w:bottom w:val="single" w:sz="4" w:space="0" w:color="000000"/>
            </w:tcBorders>
          </w:tcPr>
          <w:p>
            <w:pPr>
              <w:pStyle w:val="TableParagraph"/>
              <w:spacing w:before="101"/>
              <w:ind w:right="112"/>
              <w:jc w:val="right"/>
              <w:rPr>
                <w:sz w:val="24"/>
              </w:rPr>
            </w:pPr>
            <w:r>
              <w:rPr>
                <w:w w:val="105"/>
                <w:sz w:val="24"/>
              </w:rPr>
              <w:t>confirmatory test</w:t>
            </w:r>
          </w:p>
        </w:tc>
        <w:tc>
          <w:tcPr>
            <w:tcW w:w="1531" w:type="dxa"/>
            <w:tcBorders>
              <w:bottom w:val="single" w:sz="4" w:space="0" w:color="000000"/>
            </w:tcBorders>
          </w:tcPr>
          <w:p>
            <w:pPr>
              <w:pStyle w:val="TableParagraph"/>
              <w:spacing w:before="101"/>
              <w:ind w:right="-15"/>
              <w:jc w:val="right"/>
              <w:rPr>
                <w:sz w:val="24"/>
              </w:rPr>
            </w:pPr>
            <w:r>
              <w:rPr>
                <w:w w:val="110"/>
                <w:sz w:val="24"/>
              </w:rPr>
              <w:t>interpretation</w:t>
            </w:r>
          </w:p>
        </w:tc>
        <w:tc>
          <w:tcPr>
            <w:tcW w:w="116" w:type="dxa"/>
          </w:tcPr>
          <w:p>
            <w:pPr>
              <w:pStyle w:val="TableParagraph"/>
              <w:rPr>
                <w:sz w:val="22"/>
              </w:rPr>
            </w:pPr>
          </w:p>
        </w:tc>
      </w:tr>
      <w:tr>
        <w:trPr>
          <w:trHeight w:val="537" w:hRule="atLeast"/>
        </w:trPr>
        <w:tc>
          <w:tcPr>
            <w:tcW w:w="662" w:type="dxa"/>
            <w:tcBorders>
              <w:top w:val="single" w:sz="4" w:space="0" w:color="000000"/>
            </w:tcBorders>
          </w:tcPr>
          <w:p>
            <w:pPr>
              <w:pStyle w:val="TableParagraph"/>
              <w:spacing w:before="176"/>
              <w:ind w:left="93" w:right="104"/>
              <w:jc w:val="center"/>
              <w:rPr>
                <w:sz w:val="24"/>
              </w:rPr>
            </w:pPr>
            <w:r>
              <w:rPr>
                <w:sz w:val="24"/>
              </w:rPr>
              <w:t>H1a</w:t>
            </w:r>
          </w:p>
        </w:tc>
        <w:tc>
          <w:tcPr>
            <w:tcW w:w="750" w:type="dxa"/>
            <w:tcBorders>
              <w:top w:val="single" w:sz="4" w:space="0" w:color="000000"/>
            </w:tcBorders>
          </w:tcPr>
          <w:p>
            <w:pPr>
              <w:pStyle w:val="TableParagraph"/>
              <w:spacing w:before="176"/>
              <w:ind w:left="109" w:right="94"/>
              <w:jc w:val="center"/>
              <w:rPr>
                <w:sz w:val="24"/>
              </w:rPr>
            </w:pPr>
            <w:r>
              <w:rPr>
                <w:sz w:val="24"/>
              </w:rPr>
              <w:t>-0.90</w:t>
            </w:r>
          </w:p>
        </w:tc>
        <w:tc>
          <w:tcPr>
            <w:tcW w:w="655" w:type="dxa"/>
            <w:tcBorders>
              <w:top w:val="single" w:sz="4" w:space="0" w:color="000000"/>
            </w:tcBorders>
          </w:tcPr>
          <w:p>
            <w:pPr>
              <w:pStyle w:val="TableParagraph"/>
              <w:spacing w:before="176"/>
              <w:ind w:right="117"/>
              <w:jc w:val="right"/>
              <w:rPr>
                <w:sz w:val="24"/>
              </w:rPr>
            </w:pPr>
            <w:r>
              <w:rPr>
                <w:w w:val="95"/>
                <w:sz w:val="24"/>
              </w:rPr>
              <w:t>0.37</w:t>
            </w:r>
          </w:p>
        </w:tc>
        <w:tc>
          <w:tcPr>
            <w:tcW w:w="732" w:type="dxa"/>
            <w:tcBorders>
              <w:top w:val="single" w:sz="4" w:space="0" w:color="000000"/>
            </w:tcBorders>
          </w:tcPr>
          <w:p>
            <w:pPr>
              <w:pStyle w:val="TableParagraph"/>
              <w:spacing w:before="176"/>
              <w:ind w:left="119"/>
              <w:rPr>
                <w:sz w:val="24"/>
              </w:rPr>
            </w:pPr>
            <w:r>
              <w:rPr>
                <w:sz w:val="24"/>
              </w:rPr>
              <w:t>-5.12</w:t>
            </w:r>
          </w:p>
        </w:tc>
        <w:tc>
          <w:tcPr>
            <w:tcW w:w="854" w:type="dxa"/>
            <w:tcBorders>
              <w:top w:val="single" w:sz="4" w:space="0" w:color="000000"/>
            </w:tcBorders>
          </w:tcPr>
          <w:p>
            <w:pPr>
              <w:pStyle w:val="TableParagraph"/>
              <w:spacing w:before="176"/>
              <w:ind w:right="114"/>
              <w:jc w:val="right"/>
              <w:rPr>
                <w:sz w:val="24"/>
              </w:rPr>
            </w:pPr>
            <w:r>
              <w:rPr>
                <w:w w:val="95"/>
                <w:sz w:val="24"/>
              </w:rPr>
              <w:t>-16.37</w:t>
            </w:r>
          </w:p>
        </w:tc>
        <w:tc>
          <w:tcPr>
            <w:tcW w:w="874" w:type="dxa"/>
            <w:tcBorders>
              <w:top w:val="single" w:sz="4" w:space="0" w:color="000000"/>
            </w:tcBorders>
          </w:tcPr>
          <w:p>
            <w:pPr>
              <w:pStyle w:val="TableParagraph"/>
              <w:spacing w:before="176"/>
              <w:ind w:right="112"/>
              <w:jc w:val="right"/>
              <w:rPr>
                <w:sz w:val="24"/>
              </w:rPr>
            </w:pPr>
            <w:r>
              <w:rPr>
                <w:w w:val="95"/>
                <w:sz w:val="24"/>
              </w:rPr>
              <w:t>6.14</w:t>
            </w:r>
          </w:p>
        </w:tc>
        <w:tc>
          <w:tcPr>
            <w:tcW w:w="655" w:type="dxa"/>
            <w:tcBorders>
              <w:top w:val="single" w:sz="4" w:space="0" w:color="000000"/>
            </w:tcBorders>
          </w:tcPr>
          <w:p>
            <w:pPr>
              <w:pStyle w:val="TableParagraph"/>
              <w:spacing w:before="176"/>
              <w:ind w:right="112"/>
              <w:jc w:val="right"/>
              <w:rPr>
                <w:sz w:val="24"/>
              </w:rPr>
            </w:pPr>
            <w:r>
              <w:rPr>
                <w:w w:val="95"/>
                <w:sz w:val="24"/>
              </w:rPr>
              <w:t>0.07</w:t>
            </w:r>
          </w:p>
        </w:tc>
        <w:tc>
          <w:tcPr>
            <w:tcW w:w="2002" w:type="dxa"/>
            <w:tcBorders>
              <w:top w:val="single" w:sz="4" w:space="0" w:color="000000"/>
            </w:tcBorders>
          </w:tcPr>
          <w:p>
            <w:pPr>
              <w:pStyle w:val="TableParagraph"/>
              <w:spacing w:before="176"/>
              <w:ind w:right="111"/>
              <w:jc w:val="right"/>
              <w:rPr>
                <w:sz w:val="24"/>
              </w:rPr>
            </w:pPr>
            <w:r>
              <w:rPr>
                <w:w w:val="105"/>
                <w:sz w:val="24"/>
              </w:rPr>
              <w:t>Consistent</w:t>
            </w:r>
          </w:p>
        </w:tc>
        <w:tc>
          <w:tcPr>
            <w:tcW w:w="1531" w:type="dxa"/>
            <w:tcBorders>
              <w:top w:val="single" w:sz="4" w:space="0" w:color="000000"/>
            </w:tcBorders>
          </w:tcPr>
          <w:p>
            <w:pPr>
              <w:pStyle w:val="TableParagraph"/>
              <w:spacing w:before="176"/>
              <w:ind w:right="-15"/>
              <w:jc w:val="right"/>
              <w:rPr>
                <w:sz w:val="24"/>
              </w:rPr>
            </w:pPr>
            <w:r>
              <w:rPr>
                <w:sz w:val="24"/>
              </w:rPr>
              <w:t>None</w:t>
            </w:r>
          </w:p>
        </w:tc>
        <w:tc>
          <w:tcPr>
            <w:tcW w:w="116" w:type="dxa"/>
          </w:tcPr>
          <w:p>
            <w:pPr>
              <w:pStyle w:val="TableParagraph"/>
              <w:rPr>
                <w:sz w:val="22"/>
              </w:rPr>
            </w:pPr>
          </w:p>
        </w:tc>
      </w:tr>
      <w:tr>
        <w:trPr>
          <w:trHeight w:val="478" w:hRule="atLeast"/>
        </w:trPr>
        <w:tc>
          <w:tcPr>
            <w:tcW w:w="662" w:type="dxa"/>
          </w:tcPr>
          <w:p>
            <w:pPr>
              <w:pStyle w:val="TableParagraph"/>
              <w:spacing w:before="116"/>
              <w:ind w:left="93" w:right="104"/>
              <w:jc w:val="center"/>
              <w:rPr>
                <w:sz w:val="24"/>
              </w:rPr>
            </w:pPr>
            <w:r>
              <w:rPr>
                <w:sz w:val="24"/>
              </w:rPr>
              <w:t>H3a</w:t>
            </w:r>
          </w:p>
        </w:tc>
        <w:tc>
          <w:tcPr>
            <w:tcW w:w="750" w:type="dxa"/>
          </w:tcPr>
          <w:p>
            <w:pPr>
              <w:pStyle w:val="TableParagraph"/>
              <w:spacing w:before="116"/>
              <w:ind w:left="109" w:right="94"/>
              <w:jc w:val="center"/>
              <w:rPr>
                <w:sz w:val="24"/>
              </w:rPr>
            </w:pPr>
            <w:r>
              <w:rPr>
                <w:sz w:val="24"/>
              </w:rPr>
              <w:t>-1.67</w:t>
            </w:r>
          </w:p>
        </w:tc>
        <w:tc>
          <w:tcPr>
            <w:tcW w:w="655" w:type="dxa"/>
          </w:tcPr>
          <w:p>
            <w:pPr>
              <w:pStyle w:val="TableParagraph"/>
              <w:spacing w:before="116"/>
              <w:ind w:right="117"/>
              <w:jc w:val="right"/>
              <w:rPr>
                <w:sz w:val="24"/>
              </w:rPr>
            </w:pPr>
            <w:r>
              <w:rPr>
                <w:w w:val="95"/>
                <w:sz w:val="24"/>
              </w:rPr>
              <w:t>0.10</w:t>
            </w:r>
          </w:p>
        </w:tc>
        <w:tc>
          <w:tcPr>
            <w:tcW w:w="732" w:type="dxa"/>
          </w:tcPr>
          <w:p>
            <w:pPr>
              <w:pStyle w:val="TableParagraph"/>
              <w:spacing w:before="116"/>
              <w:ind w:left="119"/>
              <w:rPr>
                <w:sz w:val="24"/>
              </w:rPr>
            </w:pPr>
            <w:r>
              <w:rPr>
                <w:sz w:val="24"/>
              </w:rPr>
              <w:t>-1.03</w:t>
            </w:r>
          </w:p>
        </w:tc>
        <w:tc>
          <w:tcPr>
            <w:tcW w:w="854" w:type="dxa"/>
          </w:tcPr>
          <w:p>
            <w:pPr>
              <w:pStyle w:val="TableParagraph"/>
              <w:spacing w:before="116"/>
              <w:ind w:right="115"/>
              <w:jc w:val="right"/>
              <w:rPr>
                <w:sz w:val="24"/>
              </w:rPr>
            </w:pPr>
            <w:r>
              <w:rPr>
                <w:w w:val="95"/>
                <w:sz w:val="24"/>
              </w:rPr>
              <w:t>-2.25</w:t>
            </w:r>
          </w:p>
        </w:tc>
        <w:tc>
          <w:tcPr>
            <w:tcW w:w="874" w:type="dxa"/>
          </w:tcPr>
          <w:p>
            <w:pPr>
              <w:pStyle w:val="TableParagraph"/>
              <w:spacing w:before="116"/>
              <w:ind w:right="112"/>
              <w:jc w:val="right"/>
              <w:rPr>
                <w:sz w:val="24"/>
              </w:rPr>
            </w:pPr>
            <w:r>
              <w:rPr>
                <w:w w:val="95"/>
                <w:sz w:val="24"/>
              </w:rPr>
              <w:t>0.19</w:t>
            </w:r>
          </w:p>
        </w:tc>
        <w:tc>
          <w:tcPr>
            <w:tcW w:w="655" w:type="dxa"/>
          </w:tcPr>
          <w:p>
            <w:pPr>
              <w:pStyle w:val="TableParagraph"/>
              <w:spacing w:before="116"/>
              <w:ind w:right="112"/>
              <w:jc w:val="right"/>
              <w:rPr>
                <w:sz w:val="24"/>
              </w:rPr>
            </w:pPr>
            <w:r>
              <w:rPr>
                <w:w w:val="95"/>
                <w:sz w:val="24"/>
              </w:rPr>
              <w:t>0.10</w:t>
            </w:r>
          </w:p>
        </w:tc>
        <w:tc>
          <w:tcPr>
            <w:tcW w:w="2002" w:type="dxa"/>
          </w:tcPr>
          <w:p>
            <w:pPr>
              <w:pStyle w:val="TableParagraph"/>
              <w:spacing w:before="116"/>
              <w:ind w:right="111"/>
              <w:jc w:val="right"/>
              <w:rPr>
                <w:sz w:val="24"/>
              </w:rPr>
            </w:pPr>
            <w:r>
              <w:rPr>
                <w:w w:val="105"/>
                <w:sz w:val="24"/>
              </w:rPr>
              <w:t>Consistent</w:t>
            </w:r>
          </w:p>
        </w:tc>
        <w:tc>
          <w:tcPr>
            <w:tcW w:w="1531" w:type="dxa"/>
          </w:tcPr>
          <w:p>
            <w:pPr>
              <w:pStyle w:val="TableParagraph"/>
              <w:spacing w:before="116"/>
              <w:ind w:right="-15"/>
              <w:jc w:val="right"/>
              <w:rPr>
                <w:sz w:val="24"/>
              </w:rPr>
            </w:pPr>
            <w:r>
              <w:rPr>
                <w:w w:val="105"/>
                <w:sz w:val="24"/>
              </w:rPr>
              <w:t>Very small</w:t>
            </w:r>
          </w:p>
        </w:tc>
        <w:tc>
          <w:tcPr>
            <w:tcW w:w="116" w:type="dxa"/>
          </w:tcPr>
          <w:p>
            <w:pPr>
              <w:pStyle w:val="TableParagraph"/>
              <w:rPr>
                <w:sz w:val="22"/>
              </w:rPr>
            </w:pPr>
          </w:p>
        </w:tc>
      </w:tr>
      <w:tr>
        <w:trPr>
          <w:trHeight w:val="478" w:hRule="atLeast"/>
        </w:trPr>
        <w:tc>
          <w:tcPr>
            <w:tcW w:w="662" w:type="dxa"/>
          </w:tcPr>
          <w:p>
            <w:pPr>
              <w:pStyle w:val="TableParagraph"/>
              <w:spacing w:before="116"/>
              <w:ind w:left="104" w:right="104"/>
              <w:jc w:val="center"/>
              <w:rPr>
                <w:sz w:val="24"/>
              </w:rPr>
            </w:pPr>
            <w:r>
              <w:rPr>
                <w:sz w:val="24"/>
              </w:rPr>
              <w:t>H3b</w:t>
            </w:r>
          </w:p>
        </w:tc>
        <w:tc>
          <w:tcPr>
            <w:tcW w:w="750" w:type="dxa"/>
          </w:tcPr>
          <w:p>
            <w:pPr>
              <w:pStyle w:val="TableParagraph"/>
              <w:spacing w:before="116"/>
              <w:ind w:left="109" w:right="94"/>
              <w:jc w:val="center"/>
              <w:rPr>
                <w:sz w:val="24"/>
              </w:rPr>
            </w:pPr>
            <w:r>
              <w:rPr>
                <w:sz w:val="24"/>
              </w:rPr>
              <w:t>-0.09</w:t>
            </w:r>
          </w:p>
        </w:tc>
        <w:tc>
          <w:tcPr>
            <w:tcW w:w="655" w:type="dxa"/>
          </w:tcPr>
          <w:p>
            <w:pPr>
              <w:pStyle w:val="TableParagraph"/>
              <w:spacing w:before="116"/>
              <w:ind w:right="117"/>
              <w:jc w:val="right"/>
              <w:rPr>
                <w:sz w:val="24"/>
              </w:rPr>
            </w:pPr>
            <w:r>
              <w:rPr>
                <w:w w:val="95"/>
                <w:sz w:val="24"/>
              </w:rPr>
              <w:t>0.93</w:t>
            </w:r>
          </w:p>
        </w:tc>
        <w:tc>
          <w:tcPr>
            <w:tcW w:w="732" w:type="dxa"/>
          </w:tcPr>
          <w:p>
            <w:pPr>
              <w:pStyle w:val="TableParagraph"/>
              <w:spacing w:before="116"/>
              <w:ind w:left="119"/>
              <w:rPr>
                <w:sz w:val="24"/>
              </w:rPr>
            </w:pPr>
            <w:r>
              <w:rPr>
                <w:sz w:val="24"/>
              </w:rPr>
              <w:t>-0.06</w:t>
            </w:r>
          </w:p>
        </w:tc>
        <w:tc>
          <w:tcPr>
            <w:tcW w:w="854" w:type="dxa"/>
          </w:tcPr>
          <w:p>
            <w:pPr>
              <w:pStyle w:val="TableParagraph"/>
              <w:spacing w:before="116"/>
              <w:ind w:right="115"/>
              <w:jc w:val="right"/>
              <w:rPr>
                <w:sz w:val="24"/>
              </w:rPr>
            </w:pPr>
            <w:r>
              <w:rPr>
                <w:w w:val="95"/>
                <w:sz w:val="24"/>
              </w:rPr>
              <w:t>-1.50</w:t>
            </w:r>
          </w:p>
        </w:tc>
        <w:tc>
          <w:tcPr>
            <w:tcW w:w="874" w:type="dxa"/>
          </w:tcPr>
          <w:p>
            <w:pPr>
              <w:pStyle w:val="TableParagraph"/>
              <w:spacing w:before="116"/>
              <w:ind w:right="113"/>
              <w:jc w:val="right"/>
              <w:rPr>
                <w:sz w:val="24"/>
              </w:rPr>
            </w:pPr>
            <w:r>
              <w:rPr>
                <w:w w:val="95"/>
                <w:sz w:val="24"/>
              </w:rPr>
              <w:t>1.38</w:t>
            </w:r>
          </w:p>
        </w:tc>
        <w:tc>
          <w:tcPr>
            <w:tcW w:w="655" w:type="dxa"/>
          </w:tcPr>
          <w:p>
            <w:pPr>
              <w:pStyle w:val="TableParagraph"/>
              <w:spacing w:before="116"/>
              <w:ind w:right="112"/>
              <w:jc w:val="right"/>
              <w:rPr>
                <w:sz w:val="24"/>
              </w:rPr>
            </w:pPr>
            <w:r>
              <w:rPr>
                <w:w w:val="95"/>
                <w:sz w:val="24"/>
              </w:rPr>
              <w:t>0.01</w:t>
            </w:r>
          </w:p>
        </w:tc>
        <w:tc>
          <w:tcPr>
            <w:tcW w:w="2002" w:type="dxa"/>
          </w:tcPr>
          <w:p>
            <w:pPr>
              <w:pStyle w:val="TableParagraph"/>
              <w:spacing w:before="116"/>
              <w:ind w:right="111"/>
              <w:jc w:val="right"/>
              <w:rPr>
                <w:sz w:val="24"/>
              </w:rPr>
            </w:pPr>
            <w:r>
              <w:rPr>
                <w:w w:val="105"/>
                <w:sz w:val="24"/>
              </w:rPr>
              <w:t>Consistent</w:t>
            </w:r>
          </w:p>
        </w:tc>
        <w:tc>
          <w:tcPr>
            <w:tcW w:w="1531" w:type="dxa"/>
          </w:tcPr>
          <w:p>
            <w:pPr>
              <w:pStyle w:val="TableParagraph"/>
              <w:spacing w:before="116"/>
              <w:ind w:right="-15"/>
              <w:jc w:val="right"/>
              <w:rPr>
                <w:sz w:val="24"/>
              </w:rPr>
            </w:pPr>
            <w:r>
              <w:rPr>
                <w:sz w:val="24"/>
              </w:rPr>
              <w:t>None</w:t>
            </w:r>
          </w:p>
        </w:tc>
        <w:tc>
          <w:tcPr>
            <w:tcW w:w="116" w:type="dxa"/>
          </w:tcPr>
          <w:p>
            <w:pPr>
              <w:pStyle w:val="TableParagraph"/>
              <w:rPr>
                <w:sz w:val="22"/>
              </w:rPr>
            </w:pPr>
          </w:p>
        </w:tc>
      </w:tr>
      <w:tr>
        <w:trPr>
          <w:trHeight w:val="524" w:hRule="atLeast"/>
        </w:trPr>
        <w:tc>
          <w:tcPr>
            <w:tcW w:w="662" w:type="dxa"/>
            <w:tcBorders>
              <w:bottom w:val="single" w:sz="8" w:space="0" w:color="000000"/>
            </w:tcBorders>
          </w:tcPr>
          <w:p>
            <w:pPr>
              <w:pStyle w:val="TableParagraph"/>
              <w:spacing w:before="116"/>
              <w:ind w:left="93" w:right="104"/>
              <w:jc w:val="center"/>
              <w:rPr>
                <w:sz w:val="24"/>
              </w:rPr>
            </w:pPr>
            <w:r>
              <w:rPr>
                <w:sz w:val="24"/>
              </w:rPr>
              <w:t>H4a</w:t>
            </w:r>
          </w:p>
        </w:tc>
        <w:tc>
          <w:tcPr>
            <w:tcW w:w="750" w:type="dxa"/>
            <w:tcBorders>
              <w:bottom w:val="single" w:sz="8" w:space="0" w:color="000000"/>
            </w:tcBorders>
          </w:tcPr>
          <w:p>
            <w:pPr>
              <w:pStyle w:val="TableParagraph"/>
              <w:spacing w:before="116"/>
              <w:ind w:left="109" w:right="94"/>
              <w:jc w:val="center"/>
              <w:rPr>
                <w:sz w:val="24"/>
              </w:rPr>
            </w:pPr>
            <w:r>
              <w:rPr>
                <w:sz w:val="24"/>
              </w:rPr>
              <w:t>-3.11</w:t>
            </w:r>
          </w:p>
        </w:tc>
        <w:tc>
          <w:tcPr>
            <w:tcW w:w="655" w:type="dxa"/>
            <w:tcBorders>
              <w:bottom w:val="single" w:sz="8" w:space="0" w:color="000000"/>
            </w:tcBorders>
          </w:tcPr>
          <w:p>
            <w:pPr>
              <w:pStyle w:val="TableParagraph"/>
              <w:spacing w:before="116"/>
              <w:ind w:right="117"/>
              <w:jc w:val="right"/>
              <w:rPr>
                <w:sz w:val="24"/>
              </w:rPr>
            </w:pPr>
            <w:r>
              <w:rPr>
                <w:w w:val="95"/>
                <w:sz w:val="24"/>
              </w:rPr>
              <w:t>0.00</w:t>
            </w:r>
          </w:p>
        </w:tc>
        <w:tc>
          <w:tcPr>
            <w:tcW w:w="732" w:type="dxa"/>
            <w:tcBorders>
              <w:bottom w:val="single" w:sz="8" w:space="0" w:color="000000"/>
            </w:tcBorders>
          </w:tcPr>
          <w:p>
            <w:pPr>
              <w:pStyle w:val="TableParagraph"/>
              <w:spacing w:before="116"/>
              <w:ind w:left="119"/>
              <w:rPr>
                <w:sz w:val="24"/>
              </w:rPr>
            </w:pPr>
            <w:r>
              <w:rPr>
                <w:sz w:val="24"/>
              </w:rPr>
              <w:t>-0.01</w:t>
            </w:r>
          </w:p>
        </w:tc>
        <w:tc>
          <w:tcPr>
            <w:tcW w:w="854" w:type="dxa"/>
            <w:tcBorders>
              <w:bottom w:val="single" w:sz="8" w:space="0" w:color="000000"/>
            </w:tcBorders>
          </w:tcPr>
          <w:p>
            <w:pPr>
              <w:pStyle w:val="TableParagraph"/>
              <w:spacing w:before="116"/>
              <w:ind w:right="115"/>
              <w:jc w:val="right"/>
              <w:rPr>
                <w:sz w:val="24"/>
              </w:rPr>
            </w:pPr>
            <w:r>
              <w:rPr>
                <w:w w:val="95"/>
                <w:sz w:val="24"/>
              </w:rPr>
              <w:t>-0.01</w:t>
            </w:r>
          </w:p>
        </w:tc>
        <w:tc>
          <w:tcPr>
            <w:tcW w:w="874" w:type="dxa"/>
            <w:tcBorders>
              <w:bottom w:val="single" w:sz="8" w:space="0" w:color="000000"/>
            </w:tcBorders>
          </w:tcPr>
          <w:p>
            <w:pPr>
              <w:pStyle w:val="TableParagraph"/>
              <w:spacing w:before="116"/>
              <w:ind w:right="112"/>
              <w:jc w:val="right"/>
              <w:rPr>
                <w:sz w:val="24"/>
              </w:rPr>
            </w:pPr>
            <w:r>
              <w:rPr>
                <w:w w:val="95"/>
                <w:sz w:val="24"/>
              </w:rPr>
              <w:t>0.00</w:t>
            </w:r>
          </w:p>
        </w:tc>
        <w:tc>
          <w:tcPr>
            <w:tcW w:w="655" w:type="dxa"/>
            <w:tcBorders>
              <w:bottom w:val="single" w:sz="8" w:space="0" w:color="000000"/>
            </w:tcBorders>
          </w:tcPr>
          <w:p>
            <w:pPr>
              <w:pStyle w:val="TableParagraph"/>
              <w:spacing w:before="116"/>
              <w:ind w:right="112"/>
              <w:jc w:val="right"/>
              <w:rPr>
                <w:sz w:val="24"/>
              </w:rPr>
            </w:pPr>
            <w:r>
              <w:rPr>
                <w:w w:val="95"/>
                <w:sz w:val="24"/>
              </w:rPr>
              <w:t>0.20</w:t>
            </w:r>
          </w:p>
        </w:tc>
        <w:tc>
          <w:tcPr>
            <w:tcW w:w="2002" w:type="dxa"/>
            <w:tcBorders>
              <w:bottom w:val="single" w:sz="8" w:space="0" w:color="000000"/>
            </w:tcBorders>
          </w:tcPr>
          <w:p>
            <w:pPr>
              <w:pStyle w:val="TableParagraph"/>
              <w:spacing w:before="116"/>
              <w:ind w:right="111"/>
              <w:jc w:val="right"/>
              <w:rPr>
                <w:sz w:val="24"/>
              </w:rPr>
            </w:pPr>
            <w:r>
              <w:rPr>
                <w:w w:val="105"/>
                <w:sz w:val="24"/>
              </w:rPr>
              <w:t>Consistent</w:t>
            </w:r>
          </w:p>
        </w:tc>
        <w:tc>
          <w:tcPr>
            <w:tcW w:w="1531" w:type="dxa"/>
            <w:tcBorders>
              <w:bottom w:val="single" w:sz="8" w:space="0" w:color="000000"/>
            </w:tcBorders>
          </w:tcPr>
          <w:p>
            <w:pPr>
              <w:pStyle w:val="TableParagraph"/>
              <w:spacing w:before="116"/>
              <w:ind w:right="-15"/>
              <w:jc w:val="right"/>
              <w:rPr>
                <w:sz w:val="24"/>
              </w:rPr>
            </w:pPr>
            <w:r>
              <w:rPr>
                <w:sz w:val="24"/>
              </w:rPr>
              <w:t>Small</w:t>
            </w:r>
          </w:p>
        </w:tc>
        <w:tc>
          <w:tcPr>
            <w:tcW w:w="116" w:type="dxa"/>
            <w:tcBorders>
              <w:bottom w:val="single" w:sz="8" w:space="0" w:color="000000"/>
            </w:tcBorders>
          </w:tcPr>
          <w:p>
            <w:pPr>
              <w:pStyle w:val="TableParagraph"/>
              <w:rPr>
                <w:sz w:val="22"/>
              </w:rPr>
            </w:pPr>
          </w:p>
        </w:tc>
      </w:tr>
    </w:tbl>
    <w:p>
      <w:pPr>
        <w:spacing w:line="412" w:lineRule="auto" w:before="9"/>
        <w:ind w:left="612" w:right="265" w:hanging="4"/>
        <w:jc w:val="left"/>
        <w:rPr>
          <w:sz w:val="20"/>
        </w:rPr>
      </w:pPr>
      <w:r>
        <w:rPr>
          <w:i/>
          <w:w w:val="110"/>
          <w:sz w:val="20"/>
        </w:rPr>
        <w:t>Note. </w:t>
      </w:r>
      <w:r>
        <w:rPr>
          <w:w w:val="110"/>
          <w:sz w:val="20"/>
        </w:rPr>
        <w:t>The degrees of freedom for the robust </w:t>
      </w:r>
      <w:r>
        <w:rPr>
          <w:i/>
          <w:w w:val="110"/>
          <w:sz w:val="20"/>
        </w:rPr>
        <w:t>t </w:t>
      </w:r>
      <w:r>
        <w:rPr>
          <w:w w:val="110"/>
          <w:sz w:val="20"/>
        </w:rPr>
        <w:t>statistic are 98 because of trimming at 20% for both tails of the distribution (i.e., N = 99). Comparison to confirmatory test refers to whether or not the results from </w:t>
      </w:r>
      <w:r>
        <w:rPr>
          <w:spacing w:val="-3"/>
          <w:w w:val="110"/>
          <w:sz w:val="20"/>
        </w:rPr>
        <w:t>Yuen’s</w:t>
      </w:r>
      <w:r>
        <w:rPr>
          <w:spacing w:val="-14"/>
          <w:w w:val="110"/>
          <w:sz w:val="20"/>
        </w:rPr>
        <w:t> </w:t>
      </w:r>
      <w:r>
        <w:rPr>
          <w:w w:val="110"/>
          <w:sz w:val="20"/>
        </w:rPr>
        <w:t>tests</w:t>
      </w:r>
      <w:r>
        <w:rPr>
          <w:spacing w:val="-14"/>
          <w:w w:val="110"/>
          <w:sz w:val="20"/>
        </w:rPr>
        <w:t> </w:t>
      </w:r>
      <w:r>
        <w:rPr>
          <w:w w:val="110"/>
          <w:sz w:val="20"/>
        </w:rPr>
        <w:t>are</w:t>
      </w:r>
      <w:r>
        <w:rPr>
          <w:spacing w:val="-13"/>
          <w:w w:val="110"/>
          <w:sz w:val="20"/>
        </w:rPr>
        <w:t> </w:t>
      </w:r>
      <w:r>
        <w:rPr>
          <w:w w:val="110"/>
          <w:sz w:val="20"/>
        </w:rPr>
        <w:t>consistent</w:t>
      </w:r>
      <w:r>
        <w:rPr>
          <w:spacing w:val="-14"/>
          <w:w w:val="110"/>
          <w:sz w:val="20"/>
        </w:rPr>
        <w:t> </w:t>
      </w:r>
      <w:r>
        <w:rPr>
          <w:w w:val="110"/>
          <w:sz w:val="20"/>
        </w:rPr>
        <w:t>with</w:t>
      </w:r>
      <w:r>
        <w:rPr>
          <w:spacing w:val="-13"/>
          <w:w w:val="110"/>
          <w:sz w:val="20"/>
        </w:rPr>
        <w:t> </w:t>
      </w:r>
      <w:r>
        <w:rPr>
          <w:w w:val="110"/>
          <w:sz w:val="20"/>
        </w:rPr>
        <w:t>the</w:t>
      </w:r>
      <w:r>
        <w:rPr>
          <w:spacing w:val="-14"/>
          <w:w w:val="110"/>
          <w:sz w:val="20"/>
        </w:rPr>
        <w:t> </w:t>
      </w:r>
      <w:r>
        <w:rPr>
          <w:w w:val="110"/>
          <w:sz w:val="20"/>
        </w:rPr>
        <w:t>pre-registered,</w:t>
      </w:r>
      <w:r>
        <w:rPr>
          <w:spacing w:val="-14"/>
          <w:w w:val="110"/>
          <w:sz w:val="20"/>
        </w:rPr>
        <w:t> </w:t>
      </w:r>
      <w:r>
        <w:rPr>
          <w:w w:val="110"/>
          <w:sz w:val="20"/>
        </w:rPr>
        <w:t>confirmatory</w:t>
      </w:r>
      <w:r>
        <w:rPr>
          <w:spacing w:val="-13"/>
          <w:w w:val="110"/>
          <w:sz w:val="20"/>
        </w:rPr>
        <w:t> </w:t>
      </w:r>
      <w:r>
        <w:rPr>
          <w:w w:val="110"/>
          <w:sz w:val="20"/>
        </w:rPr>
        <w:t>test</w:t>
      </w:r>
      <w:r>
        <w:rPr>
          <w:spacing w:val="-14"/>
          <w:w w:val="110"/>
          <w:sz w:val="20"/>
        </w:rPr>
        <w:t> </w:t>
      </w:r>
      <w:r>
        <w:rPr>
          <w:w w:val="110"/>
          <w:sz w:val="20"/>
        </w:rPr>
        <w:t>results. </w:t>
      </w:r>
      <w:r>
        <w:rPr>
          <w:i/>
          <w:w w:val="110"/>
          <w:sz w:val="20"/>
        </w:rPr>
        <w:t>MD</w:t>
      </w:r>
      <w:r>
        <w:rPr>
          <w:rFonts w:ascii="Arial" w:hAnsi="Arial"/>
          <w:i/>
          <w:w w:val="110"/>
          <w:sz w:val="20"/>
          <w:vertAlign w:val="subscript"/>
        </w:rPr>
        <w:t>t</w:t>
      </w:r>
      <w:r>
        <w:rPr>
          <w:w w:val="110"/>
          <w:sz w:val="20"/>
          <w:vertAlign w:val="baseline"/>
        </w:rPr>
        <w:t>: trimmed</w:t>
      </w:r>
      <w:r>
        <w:rPr>
          <w:spacing w:val="-14"/>
          <w:w w:val="110"/>
          <w:sz w:val="20"/>
          <w:vertAlign w:val="baseline"/>
        </w:rPr>
        <w:t> </w:t>
      </w:r>
      <w:r>
        <w:rPr>
          <w:w w:val="110"/>
          <w:sz w:val="20"/>
          <w:vertAlign w:val="baseline"/>
        </w:rPr>
        <w:t>mean</w:t>
      </w:r>
      <w:r>
        <w:rPr>
          <w:spacing w:val="-13"/>
          <w:w w:val="110"/>
          <w:sz w:val="20"/>
          <w:vertAlign w:val="baseline"/>
        </w:rPr>
        <w:t> </w:t>
      </w:r>
      <w:r>
        <w:rPr>
          <w:w w:val="110"/>
          <w:sz w:val="20"/>
          <w:vertAlign w:val="baseline"/>
        </w:rPr>
        <w:t>difference; </w:t>
      </w:r>
      <w:r>
        <w:rPr>
          <w:rFonts w:ascii="Arial" w:hAnsi="Arial"/>
          <w:i/>
          <w:spacing w:val="4"/>
          <w:w w:val="110"/>
          <w:sz w:val="20"/>
          <w:vertAlign w:val="baseline"/>
        </w:rPr>
        <w:t>ξ</w:t>
      </w:r>
      <w:r>
        <w:rPr>
          <w:spacing w:val="4"/>
          <w:w w:val="110"/>
          <w:sz w:val="20"/>
          <w:vertAlign w:val="baseline"/>
        </w:rPr>
        <w:t>: </w:t>
      </w:r>
      <w:r>
        <w:rPr>
          <w:w w:val="110"/>
          <w:sz w:val="20"/>
          <w:vertAlign w:val="baseline"/>
        </w:rPr>
        <w:t>explanatory measure of effect</w:t>
      </w:r>
      <w:r>
        <w:rPr>
          <w:spacing w:val="6"/>
          <w:w w:val="110"/>
          <w:sz w:val="20"/>
          <w:vertAlign w:val="baseline"/>
        </w:rPr>
        <w:t> </w:t>
      </w:r>
      <w:r>
        <w:rPr>
          <w:w w:val="110"/>
          <w:sz w:val="20"/>
          <w:vertAlign w:val="baseline"/>
        </w:rPr>
        <w:t>size</w:t>
      </w:r>
    </w:p>
    <w:p>
      <w:pPr>
        <w:pStyle w:val="BodyText"/>
        <w:spacing w:before="7"/>
        <w:ind w:left="0"/>
        <w:rPr>
          <w:sz w:val="13"/>
        </w:rPr>
      </w:pPr>
    </w:p>
    <w:p>
      <w:pPr>
        <w:tabs>
          <w:tab w:pos="4686" w:val="left" w:leader="none"/>
        </w:tabs>
        <w:spacing w:before="148"/>
        <w:ind w:left="230" w:right="0" w:firstLine="0"/>
        <w:jc w:val="left"/>
        <w:rPr>
          <w:b/>
          <w:sz w:val="24"/>
        </w:rPr>
      </w:pPr>
      <w:r>
        <w:rPr>
          <w:rFonts w:ascii="Arial"/>
          <w:w w:val="110"/>
          <w:sz w:val="12"/>
        </w:rPr>
        <w:t>627</w:t>
        <w:tab/>
      </w:r>
      <w:bookmarkStart w:name="Discussion" w:id="64"/>
      <w:bookmarkEnd w:id="64"/>
      <w:r>
        <w:rPr>
          <w:rFonts w:ascii="Arial"/>
          <w:w w:val="110"/>
          <w:sz w:val="12"/>
        </w:rPr>
      </w:r>
      <w:bookmarkStart w:name="_bookmark30" w:id="65"/>
      <w:bookmarkEnd w:id="65"/>
      <w:r>
        <w:rPr>
          <w:rFonts w:ascii="Arial"/>
          <w:w w:val="110"/>
          <w:sz w:val="12"/>
        </w:rPr>
      </w:r>
      <w:r>
        <w:rPr>
          <w:b/>
          <w:w w:val="110"/>
          <w:sz w:val="24"/>
        </w:rPr>
        <w:t>Discussion</w:t>
      </w:r>
    </w:p>
    <w:p>
      <w:pPr>
        <w:pStyle w:val="BodyText"/>
        <w:spacing w:before="0"/>
        <w:ind w:left="0"/>
        <w:rPr>
          <w:b/>
          <w:sz w:val="20"/>
        </w:rPr>
      </w:pPr>
    </w:p>
    <w:p>
      <w:pPr>
        <w:pStyle w:val="BodyText"/>
        <w:spacing w:before="0"/>
        <w:ind w:left="0"/>
        <w:rPr>
          <w:b/>
          <w:sz w:val="20"/>
        </w:rPr>
      </w:pPr>
    </w:p>
    <w:p>
      <w:pPr>
        <w:pStyle w:val="Heading1"/>
        <w:spacing w:before="297"/>
      </w:pPr>
      <w:r>
        <w:rPr>
          <w:rFonts w:ascii="Arial"/>
          <w:b w:val="0"/>
          <w:w w:val="115"/>
          <w:sz w:val="12"/>
        </w:rPr>
        <w:t>628</w:t>
      </w:r>
      <w:bookmarkStart w:name="No effects of training on automatic acti" w:id="66"/>
      <w:bookmarkEnd w:id="66"/>
      <w:r>
        <w:rPr>
          <w:rFonts w:ascii="Arial"/>
          <w:b w:val="0"/>
          <w:w w:val="115"/>
          <w:sz w:val="12"/>
        </w:rPr>
      </w:r>
      <w:r>
        <w:rPr>
          <w:rFonts w:ascii="Arial"/>
          <w:b w:val="0"/>
          <w:w w:val="115"/>
          <w:sz w:val="12"/>
        </w:rPr>
        <w:t> </w:t>
      </w:r>
      <w:r>
        <w:rPr>
          <w:w w:val="115"/>
        </w:rPr>
        <w:t>No effects of training on automatic action tendencies</w:t>
      </w:r>
    </w:p>
    <w:p>
      <w:pPr>
        <w:pStyle w:val="BodyText"/>
        <w:spacing w:before="0"/>
        <w:ind w:left="0"/>
        <w:rPr>
          <w:b/>
          <w:sz w:val="20"/>
        </w:rPr>
      </w:pPr>
    </w:p>
    <w:p>
      <w:pPr>
        <w:pStyle w:val="BodyText"/>
        <w:spacing w:before="0"/>
        <w:ind w:left="0"/>
        <w:rPr>
          <w:b/>
          <w:sz w:val="20"/>
        </w:rPr>
      </w:pPr>
    </w:p>
    <w:p>
      <w:pPr>
        <w:pStyle w:val="BodyText"/>
        <w:tabs>
          <w:tab w:pos="1195" w:val="left" w:leader="none"/>
        </w:tabs>
        <w:spacing w:line="415" w:lineRule="auto" w:before="296"/>
        <w:ind w:right="299"/>
      </w:pPr>
      <w:r>
        <w:rPr>
          <w:rFonts w:ascii="Arial"/>
          <w:w w:val="105"/>
          <w:sz w:val="12"/>
        </w:rPr>
        <w:t>629</w:t>
        <w:tab/>
      </w:r>
      <w:r>
        <w:rPr>
          <w:w w:val="105"/>
        </w:rPr>
        <w:t>The primary aim of the study </w:t>
      </w:r>
      <w:r>
        <w:rPr>
          <w:spacing w:val="-3"/>
          <w:w w:val="105"/>
        </w:rPr>
        <w:t>was </w:t>
      </w:r>
      <w:r>
        <w:rPr>
          <w:w w:val="105"/>
        </w:rPr>
        <w:t>to investigate whether inhibitory control training    </w:t>
      </w:r>
      <w:r>
        <w:rPr>
          <w:rFonts w:ascii="Arial"/>
          <w:w w:val="105"/>
          <w:sz w:val="12"/>
        </w:rPr>
        <w:t>630 </w:t>
      </w:r>
      <w:r>
        <w:rPr>
          <w:w w:val="105"/>
        </w:rPr>
        <w:t>(ICT) can </w:t>
      </w:r>
      <w:r>
        <w:rPr>
          <w:spacing w:val="-4"/>
          <w:w w:val="105"/>
        </w:rPr>
        <w:t>have</w:t>
      </w:r>
      <w:r>
        <w:rPr>
          <w:spacing w:val="55"/>
          <w:w w:val="105"/>
        </w:rPr>
        <w:t> </w:t>
      </w:r>
      <w:r>
        <w:rPr>
          <w:w w:val="105"/>
        </w:rPr>
        <w:t>an indirect effect on automatic action tendencies.</w:t>
      </w:r>
      <w:r>
        <w:rPr>
          <w:spacing w:val="63"/>
          <w:w w:val="105"/>
        </w:rPr>
        <w:t> </w:t>
      </w:r>
      <w:r>
        <w:rPr>
          <w:w w:val="105"/>
        </w:rPr>
        <w:t>It </w:t>
      </w:r>
      <w:r>
        <w:rPr>
          <w:spacing w:val="-3"/>
          <w:w w:val="105"/>
        </w:rPr>
        <w:t>was</w:t>
      </w:r>
      <w:r>
        <w:rPr>
          <w:spacing w:val="57"/>
          <w:w w:val="105"/>
        </w:rPr>
        <w:t> </w:t>
      </w:r>
      <w:r>
        <w:rPr>
          <w:w w:val="105"/>
        </w:rPr>
        <w:t>hypothesized that</w:t>
      </w:r>
      <w:r>
        <w:rPr>
          <w:spacing w:val="63"/>
          <w:w w:val="105"/>
        </w:rPr>
        <w:t> </w:t>
      </w:r>
      <w:r>
        <w:rPr>
          <w:rFonts w:ascii="Arial"/>
          <w:w w:val="105"/>
          <w:sz w:val="12"/>
        </w:rPr>
        <w:t>631 </w:t>
      </w:r>
      <w:r>
        <w:rPr>
          <w:w w:val="105"/>
        </w:rPr>
        <w:t>approach bias for unhealthy </w:t>
      </w:r>
      <w:r>
        <w:rPr>
          <w:spacing w:val="2"/>
          <w:w w:val="105"/>
        </w:rPr>
        <w:t>foods </w:t>
      </w:r>
      <w:r>
        <w:rPr>
          <w:w w:val="105"/>
        </w:rPr>
        <w:t>associated with a no-go response during go/no-go training </w:t>
      </w:r>
      <w:r>
        <w:rPr>
          <w:rFonts w:ascii="Arial"/>
          <w:w w:val="105"/>
          <w:sz w:val="12"/>
        </w:rPr>
        <w:t>632  </w:t>
      </w:r>
      <w:r>
        <w:rPr>
          <w:rFonts w:ascii="Arial"/>
          <w:spacing w:val="35"/>
          <w:w w:val="105"/>
          <w:sz w:val="12"/>
        </w:rPr>
        <w:t> </w:t>
      </w:r>
      <w:r>
        <w:rPr>
          <w:w w:val="105"/>
        </w:rPr>
        <w:t>(i.e., response inhibition) would </w:t>
      </w:r>
      <w:r>
        <w:rPr>
          <w:spacing w:val="3"/>
          <w:w w:val="105"/>
        </w:rPr>
        <w:t>be </w:t>
      </w:r>
      <w:r>
        <w:rPr>
          <w:w w:val="105"/>
        </w:rPr>
        <w:t>reduced compared to filler </w:t>
      </w:r>
      <w:r>
        <w:rPr>
          <w:spacing w:val="2"/>
          <w:w w:val="105"/>
        </w:rPr>
        <w:t>foods </w:t>
      </w:r>
      <w:r>
        <w:rPr>
          <w:w w:val="105"/>
        </w:rPr>
        <w:t>that were paired with  </w:t>
      </w:r>
      <w:r>
        <w:rPr>
          <w:rFonts w:ascii="Arial"/>
          <w:w w:val="105"/>
          <w:sz w:val="12"/>
        </w:rPr>
        <w:t>633</w:t>
      </w:r>
      <w:r>
        <w:rPr>
          <w:rFonts w:ascii="Arial"/>
          <w:spacing w:val="22"/>
          <w:w w:val="105"/>
          <w:sz w:val="12"/>
        </w:rPr>
        <w:t> </w:t>
      </w:r>
      <w:r>
        <w:rPr>
          <w:w w:val="105"/>
        </w:rPr>
        <w:t>both</w:t>
      </w:r>
      <w:r>
        <w:rPr>
          <w:spacing w:val="15"/>
          <w:w w:val="105"/>
        </w:rPr>
        <w:t> </w:t>
      </w:r>
      <w:r>
        <w:rPr>
          <w:w w:val="105"/>
        </w:rPr>
        <w:t>go</w:t>
      </w:r>
      <w:r>
        <w:rPr>
          <w:spacing w:val="13"/>
          <w:w w:val="105"/>
        </w:rPr>
        <w:t> </w:t>
      </w:r>
      <w:r>
        <w:rPr>
          <w:w w:val="105"/>
        </w:rPr>
        <w:t>and</w:t>
      </w:r>
      <w:r>
        <w:rPr>
          <w:spacing w:val="14"/>
          <w:w w:val="105"/>
        </w:rPr>
        <w:t> </w:t>
      </w:r>
      <w:r>
        <w:rPr>
          <w:w w:val="105"/>
        </w:rPr>
        <w:t>no-go</w:t>
      </w:r>
      <w:r>
        <w:rPr>
          <w:spacing w:val="14"/>
          <w:w w:val="105"/>
        </w:rPr>
        <w:t> </w:t>
      </w:r>
      <w:r>
        <w:rPr>
          <w:w w:val="105"/>
        </w:rPr>
        <w:t>responses</w:t>
      </w:r>
      <w:r>
        <w:rPr>
          <w:spacing w:val="13"/>
          <w:w w:val="105"/>
        </w:rPr>
        <w:t> </w:t>
      </w:r>
      <w:r>
        <w:rPr>
          <w:w w:val="105"/>
        </w:rPr>
        <w:t>with</w:t>
      </w:r>
      <w:r>
        <w:rPr>
          <w:spacing w:val="15"/>
          <w:w w:val="105"/>
        </w:rPr>
        <w:t> </w:t>
      </w:r>
      <w:r>
        <w:rPr>
          <w:w w:val="105"/>
        </w:rPr>
        <w:t>an</w:t>
      </w:r>
      <w:r>
        <w:rPr>
          <w:spacing w:val="14"/>
          <w:w w:val="105"/>
        </w:rPr>
        <w:t> </w:t>
      </w:r>
      <w:r>
        <w:rPr>
          <w:w w:val="105"/>
        </w:rPr>
        <w:t>equal</w:t>
      </w:r>
      <w:r>
        <w:rPr>
          <w:spacing w:val="15"/>
          <w:w w:val="105"/>
        </w:rPr>
        <w:t> </w:t>
      </w:r>
      <w:r>
        <w:rPr>
          <w:w w:val="105"/>
        </w:rPr>
        <w:t>probability</w:t>
      </w:r>
      <w:r>
        <w:rPr>
          <w:spacing w:val="13"/>
          <w:w w:val="105"/>
        </w:rPr>
        <w:t> </w:t>
      </w:r>
      <w:r>
        <w:rPr>
          <w:w w:val="105"/>
        </w:rPr>
        <w:t>(control).</w:t>
      </w:r>
      <w:r>
        <w:rPr>
          <w:spacing w:val="40"/>
          <w:w w:val="105"/>
        </w:rPr>
        <w:t> </w:t>
      </w:r>
      <w:r>
        <w:rPr>
          <w:w w:val="105"/>
        </w:rPr>
        <w:t>Automatic</w:t>
      </w:r>
      <w:r>
        <w:rPr>
          <w:spacing w:val="13"/>
          <w:w w:val="105"/>
        </w:rPr>
        <w:t> </w:t>
      </w:r>
      <w:r>
        <w:rPr>
          <w:w w:val="105"/>
        </w:rPr>
        <w:t>action</w:t>
      </w:r>
    </w:p>
    <w:p>
      <w:pPr>
        <w:pStyle w:val="BodyText"/>
        <w:spacing w:line="415" w:lineRule="auto" w:before="4"/>
        <w:ind w:right="299"/>
      </w:pPr>
      <w:r>
        <w:rPr>
          <w:rFonts w:ascii="Arial" w:hAnsi="Arial"/>
          <w:w w:val="105"/>
          <w:sz w:val="12"/>
        </w:rPr>
        <w:t>634  </w:t>
      </w:r>
      <w:r>
        <w:rPr>
          <w:rFonts w:ascii="Arial" w:hAnsi="Arial"/>
          <w:spacing w:val="35"/>
          <w:w w:val="105"/>
          <w:sz w:val="12"/>
        </w:rPr>
        <w:t> </w:t>
      </w:r>
      <w:r>
        <w:rPr>
          <w:w w:val="105"/>
        </w:rPr>
        <w:t>tendencies were indirectly measured using a </w:t>
      </w:r>
      <w:r>
        <w:rPr>
          <w:spacing w:val="-4"/>
          <w:w w:val="105"/>
        </w:rPr>
        <w:t>variant </w:t>
      </w:r>
      <w:r>
        <w:rPr>
          <w:w w:val="105"/>
        </w:rPr>
        <w:t>of the approach-avoidance task </w:t>
      </w:r>
      <w:r>
        <w:rPr>
          <w:spacing w:val="-5"/>
          <w:w w:val="105"/>
        </w:rPr>
        <w:t>(AAT)  </w:t>
      </w:r>
      <w:r>
        <w:rPr>
          <w:rFonts w:ascii="Arial" w:hAnsi="Arial"/>
          <w:w w:val="105"/>
          <w:sz w:val="12"/>
        </w:rPr>
        <w:t>635      </w:t>
      </w:r>
      <w:r>
        <w:rPr>
          <w:w w:val="105"/>
        </w:rPr>
        <w:t>that includes a “zooming” feature for push/pull actions (Neumann &amp; Strack, 2000) of the   </w:t>
      </w:r>
      <w:r>
        <w:rPr>
          <w:rFonts w:ascii="Arial" w:hAnsi="Arial"/>
          <w:w w:val="105"/>
          <w:sz w:val="12"/>
        </w:rPr>
        <w:t>636 </w:t>
      </w:r>
      <w:r>
        <w:rPr>
          <w:rFonts w:ascii="Arial" w:hAnsi="Arial"/>
          <w:spacing w:val="35"/>
          <w:w w:val="105"/>
          <w:sz w:val="12"/>
        </w:rPr>
        <w:t> </w:t>
      </w:r>
      <w:r>
        <w:rPr>
          <w:w w:val="105"/>
        </w:rPr>
        <w:t>computer mouse and requires participants to judge the orientation of the presented picture    </w:t>
      </w:r>
      <w:r>
        <w:rPr>
          <w:rFonts w:ascii="Arial" w:hAnsi="Arial"/>
          <w:w w:val="105"/>
          <w:sz w:val="12"/>
        </w:rPr>
        <w:t>637 </w:t>
      </w:r>
      <w:r>
        <w:rPr>
          <w:w w:val="105"/>
        </w:rPr>
        <w:t>(C. E. Wiers et al., 2013). Approach-avoidance bias scores were calculated from </w:t>
      </w:r>
      <w:r>
        <w:rPr>
          <w:spacing w:val="-7"/>
          <w:w w:val="105"/>
        </w:rPr>
        <w:t>AAT </w:t>
      </w:r>
      <w:r>
        <w:rPr>
          <w:w w:val="105"/>
        </w:rPr>
        <w:t>blocks </w:t>
      </w:r>
      <w:r>
        <w:rPr>
          <w:rFonts w:ascii="Arial" w:hAnsi="Arial"/>
          <w:w w:val="105"/>
          <w:sz w:val="12"/>
        </w:rPr>
        <w:t>638     </w:t>
      </w:r>
      <w:r>
        <w:rPr>
          <w:w w:val="105"/>
        </w:rPr>
        <w:t>before and after training </w:t>
      </w:r>
      <w:r>
        <w:rPr>
          <w:spacing w:val="-4"/>
          <w:w w:val="105"/>
        </w:rPr>
        <w:t>by  </w:t>
      </w:r>
      <w:r>
        <w:rPr>
          <w:w w:val="105"/>
        </w:rPr>
        <w:t>subtracting median </w:t>
      </w:r>
      <w:r>
        <w:rPr>
          <w:spacing w:val="-14"/>
          <w:w w:val="105"/>
        </w:rPr>
        <w:t>RTs  </w:t>
      </w:r>
      <w:r>
        <w:rPr>
          <w:w w:val="105"/>
        </w:rPr>
        <w:t>on approach trials (pull action) from   </w:t>
      </w:r>
      <w:r>
        <w:rPr>
          <w:rFonts w:ascii="Arial" w:hAnsi="Arial"/>
          <w:w w:val="105"/>
          <w:sz w:val="12"/>
        </w:rPr>
        <w:t>639 </w:t>
      </w:r>
      <w:r>
        <w:rPr>
          <w:w w:val="105"/>
        </w:rPr>
        <w:t>median </w:t>
      </w:r>
      <w:r>
        <w:rPr>
          <w:spacing w:val="-14"/>
          <w:w w:val="105"/>
        </w:rPr>
        <w:t>RTs </w:t>
      </w:r>
      <w:r>
        <w:rPr>
          <w:w w:val="105"/>
        </w:rPr>
        <w:t>on </w:t>
      </w:r>
      <w:r>
        <w:rPr>
          <w:spacing w:val="-4"/>
          <w:w w:val="105"/>
        </w:rPr>
        <w:t>avoid </w:t>
      </w:r>
      <w:r>
        <w:rPr>
          <w:w w:val="105"/>
        </w:rPr>
        <w:t>trials (push action). </w:t>
      </w:r>
      <w:r>
        <w:rPr>
          <w:spacing w:val="-3"/>
          <w:w w:val="105"/>
        </w:rPr>
        <w:t>Positive </w:t>
      </w:r>
      <w:r>
        <w:rPr>
          <w:w w:val="105"/>
        </w:rPr>
        <w:t>scores would indicate an approach</w:t>
      </w:r>
      <w:r>
        <w:rPr>
          <w:spacing w:val="45"/>
          <w:w w:val="105"/>
        </w:rPr>
        <w:t> </w:t>
      </w:r>
      <w:r>
        <w:rPr>
          <w:w w:val="105"/>
        </w:rPr>
        <w:t>bias</w:t>
      </w:r>
    </w:p>
    <w:p>
      <w:pPr>
        <w:spacing w:after="0" w:line="415" w:lineRule="auto"/>
        <w:sectPr>
          <w:pgSz w:w="12240" w:h="15840"/>
          <w:pgMar w:header="649" w:footer="0" w:top="1320" w:bottom="280" w:left="820" w:right="1140"/>
        </w:sectPr>
      </w:pPr>
    </w:p>
    <w:p>
      <w:pPr>
        <w:pStyle w:val="BodyText"/>
        <w:spacing w:before="191"/>
      </w:pPr>
      <w:r>
        <w:rPr>
          <w:rFonts w:ascii="Arial"/>
          <w:w w:val="105"/>
          <w:sz w:val="12"/>
        </w:rPr>
        <w:t>640 </w:t>
      </w:r>
      <w:r>
        <w:rPr>
          <w:w w:val="105"/>
        </w:rPr>
        <w:t>towards unhealthy foods. As a primary outcome measure, the change in bias scores from</w:t>
      </w:r>
    </w:p>
    <w:p>
      <w:pPr>
        <w:pStyle w:val="BodyText"/>
      </w:pPr>
      <w:r>
        <w:rPr>
          <w:rFonts w:ascii="Arial"/>
          <w:w w:val="105"/>
          <w:sz w:val="12"/>
        </w:rPr>
        <w:t>641 </w:t>
      </w:r>
      <w:r>
        <w:rPr>
          <w:w w:val="105"/>
        </w:rPr>
        <w:t>pre-to post-training was examined across training conditions. The results from the</w:t>
      </w:r>
    </w:p>
    <w:p>
      <w:pPr>
        <w:pStyle w:val="BodyText"/>
        <w:spacing w:before="203"/>
      </w:pPr>
      <w:r>
        <w:rPr>
          <w:rFonts w:ascii="Arial"/>
          <w:w w:val="105"/>
          <w:sz w:val="12"/>
        </w:rPr>
        <w:t>642 </w:t>
      </w:r>
      <w:r>
        <w:rPr>
          <w:w w:val="105"/>
        </w:rPr>
        <w:t>pre-registered analyses </w:t>
      </w:r>
      <w:r>
        <w:rPr>
          <w:spacing w:val="-3"/>
          <w:w w:val="105"/>
        </w:rPr>
        <w:t>showed </w:t>
      </w:r>
      <w:r>
        <w:rPr>
          <w:w w:val="105"/>
        </w:rPr>
        <w:t>that ICT did not </w:t>
      </w:r>
      <w:r>
        <w:rPr>
          <w:spacing w:val="-4"/>
          <w:w w:val="105"/>
        </w:rPr>
        <w:t>have </w:t>
      </w:r>
      <w:r>
        <w:rPr>
          <w:w w:val="105"/>
        </w:rPr>
        <w:t>an effect on automatic</w:t>
      </w:r>
      <w:r>
        <w:rPr>
          <w:spacing w:val="59"/>
          <w:w w:val="105"/>
        </w:rPr>
        <w:t> </w:t>
      </w:r>
      <w:r>
        <w:rPr>
          <w:w w:val="105"/>
        </w:rPr>
        <w:t>action</w:t>
      </w:r>
    </w:p>
    <w:p>
      <w:pPr>
        <w:pStyle w:val="BodyText"/>
      </w:pPr>
      <w:r>
        <w:rPr>
          <w:rFonts w:ascii="Arial"/>
          <w:w w:val="105"/>
          <w:sz w:val="12"/>
        </w:rPr>
        <w:t>643 </w:t>
      </w:r>
      <w:r>
        <w:rPr>
          <w:w w:val="105"/>
        </w:rPr>
        <w:t>tendencies, as there was </w:t>
      </w:r>
      <w:r>
        <w:rPr>
          <w:i/>
          <w:w w:val="105"/>
        </w:rPr>
        <w:t>moderate </w:t>
      </w:r>
      <w:r>
        <w:rPr>
          <w:w w:val="105"/>
        </w:rPr>
        <w:t>evidence that approach bias for no-go foods was not</w:t>
      </w:r>
    </w:p>
    <w:p>
      <w:pPr>
        <w:pStyle w:val="BodyText"/>
      </w:pPr>
      <w:r>
        <w:rPr>
          <w:rFonts w:ascii="Arial"/>
          <w:w w:val="105"/>
          <w:sz w:val="12"/>
        </w:rPr>
        <w:t>644 </w:t>
      </w:r>
      <w:r>
        <w:rPr>
          <w:w w:val="105"/>
        </w:rPr>
        <w:t>reduced relative to control foods after training (H1a) and </w:t>
      </w:r>
      <w:r>
        <w:rPr>
          <w:i/>
          <w:w w:val="105"/>
        </w:rPr>
        <w:t>strong </w:t>
      </w:r>
      <w:r>
        <w:rPr>
          <w:w w:val="105"/>
        </w:rPr>
        <w:t>evidence that approach bias</w:t>
      </w:r>
    </w:p>
    <w:p>
      <w:pPr>
        <w:pStyle w:val="BodyText"/>
      </w:pPr>
      <w:r>
        <w:rPr>
          <w:rFonts w:ascii="Arial"/>
          <w:w w:val="105"/>
          <w:sz w:val="12"/>
        </w:rPr>
        <w:t>645 </w:t>
      </w:r>
      <w:r>
        <w:rPr>
          <w:w w:val="105"/>
        </w:rPr>
        <w:t>for go foods was not increased compared to control foods after training (H1b). Although</w:t>
      </w:r>
    </w:p>
    <w:p>
      <w:pPr>
        <w:pStyle w:val="BodyText"/>
        <w:spacing w:line="415" w:lineRule="auto"/>
        <w:ind w:right="294"/>
      </w:pPr>
      <w:r>
        <w:rPr/>
        <w:pict>
          <v:group style="position:absolute;margin-left:488.062012pt;margin-top:175.184586pt;width:35.3pt;height:17.350pt;mso-position-horizontal-relative:page;mso-position-vertical-relative:paragraph;z-index:-95320" coordorigin="9761,3504" coordsize="706,347">
            <v:rect style="position:absolute;left:9761;top:3593;width:362;height:258" filled="true" fillcolor="#fff200" stroked="false">
              <v:fill type="solid"/>
            </v:rect>
            <v:line style="position:absolute" from="10154,3593" to="10154,3850" stroked="true" strokeweight="3.653pt" strokecolor="#fff200">
              <v:stroke dashstyle="solid"/>
            </v:line>
            <v:rect style="position:absolute;left:10190;top:3593;width:277;height:258" filled="true" fillcolor="#fff200" stroked="false">
              <v:fill type="solid"/>
            </v:rect>
            <v:shape style="position:absolute;left:9761;top:3503;width:706;height:347" type="#_x0000_t202" filled="false" stroked="false">
              <v:textbox inset="0,0,0,0">
                <w:txbxContent>
                  <w:p>
                    <w:pPr>
                      <w:spacing w:before="45"/>
                      <w:ind w:left="4" w:right="0" w:firstLine="0"/>
                      <w:jc w:val="left"/>
                      <w:rPr>
                        <w:sz w:val="24"/>
                      </w:rPr>
                    </w:pPr>
                    <w:r>
                      <w:rPr>
                        <w:sz w:val="24"/>
                      </w:rPr>
                      <w:t>can we</w:t>
                    </w:r>
                  </w:p>
                </w:txbxContent>
              </v:textbox>
              <w10:wrap type="none"/>
            </v:shape>
            <w10:wrap type="none"/>
          </v:group>
        </w:pict>
      </w:r>
      <w:r>
        <w:rPr/>
        <w:pict>
          <v:group style="position:absolute;margin-left:71.750999pt;margin-top:199.09259pt;width:357.8pt;height:17.350pt;mso-position-horizontal-relative:page;mso-position-vertical-relative:paragraph;z-index:1432" coordorigin="1435,3982" coordsize="7156,347">
            <v:shape style="position:absolute;left:1435;top:4071;width:836;height:258" coordorigin="1435,4071" coordsize="836,258" path="m2271,4071l1858,4071,1435,4071,1435,4329,1858,4329,2271,4329,2271,4071e" filled="true" fillcolor="#fff200" stroked="false">
              <v:path arrowok="t"/>
              <v:fill type="solid"/>
            </v:shape>
            <v:line style="position:absolute" from="2302,4071" to="2302,4329" stroked="true" strokeweight="3.653pt" strokecolor="#fff200">
              <v:stroke dashstyle="solid"/>
            </v:line>
            <v:rect style="position:absolute;left:2339;top:4071;width:440;height:258" filled="true" fillcolor="#fff200" stroked="false">
              <v:fill type="solid"/>
            </v:rect>
            <v:line style="position:absolute" from="2810,4071" to="2810,4329" stroked="true" strokeweight="3.653pt" strokecolor="#fff200">
              <v:stroke dashstyle="solid"/>
            </v:line>
            <v:rect style="position:absolute;left:2846;top:4071;width:440;height:258" filled="true" fillcolor="#fff200" stroked="false">
              <v:fill type="solid"/>
            </v:rect>
            <v:line style="position:absolute" from="3317,4071" to="3317,4329" stroked="true" strokeweight="3.653pt" strokecolor="#fff200">
              <v:stroke dashstyle="solid"/>
            </v:line>
            <v:rect style="position:absolute;left:3353;top:4071;width:389;height:258" filled="true" fillcolor="#fff200" stroked="false">
              <v:fill type="solid"/>
            </v:rect>
            <v:line style="position:absolute" from="3774,4071" to="3774,4329" stroked="true" strokeweight="3.653pt" strokecolor="#fff200">
              <v:stroke dashstyle="solid"/>
            </v:line>
            <v:rect style="position:absolute;left:3810;top:4071;width:375;height:258" filled="true" fillcolor="#fff200" stroked="false">
              <v:fill type="solid"/>
            </v:rect>
            <v:line style="position:absolute" from="4216,4071" to="4216,4329" stroked="true" strokeweight="3.652pt" strokecolor="#fff200">
              <v:stroke dashstyle="solid"/>
            </v:line>
            <v:rect style="position:absolute;left:4252;top:4071;width:251;height:258" filled="true" fillcolor="#fff200" stroked="false">
              <v:fill type="solid"/>
            </v:rect>
            <v:line style="position:absolute" from="4534,4071" to="4534,4329" stroked="true" strokeweight="3.653pt" strokecolor="#fff200">
              <v:stroke dashstyle="solid"/>
            </v:line>
            <v:shape style="position:absolute;left:4570;top:4071;width:951;height:258" coordorigin="4571,4071" coordsize="951,258" path="m5521,4071l4858,4071,4571,4071,4571,4329,4858,4329,5521,4329,5521,4071e" filled="true" fillcolor="#fff200" stroked="false">
              <v:path arrowok="t"/>
              <v:fill type="solid"/>
            </v:shape>
            <v:line style="position:absolute" from="5553,4071" to="5553,4329" stroked="true" strokeweight="3.653pt" strokecolor="#fff200">
              <v:stroke dashstyle="solid"/>
            </v:line>
            <v:shape style="position:absolute;left:5589;top:4071;width:719;height:258" coordorigin="5589,4071" coordsize="719,258" path="m6308,4071l5882,4071,5589,4071,5589,4329,5882,4329,6308,4329,6308,4071e" filled="true" fillcolor="#fff200" stroked="false">
              <v:path arrowok="t"/>
              <v:fill type="solid"/>
            </v:shape>
            <v:line style="position:absolute" from="6340,4071" to="6340,4329" stroked="true" strokeweight="3.653pt" strokecolor="#fff200">
              <v:stroke dashstyle="solid"/>
            </v:line>
            <v:shape style="position:absolute;left:6376;top:4071;width:596;height:258" coordorigin="6376,4071" coordsize="596,258" path="m6972,4071l6617,4071,6376,4071,6376,4329,6617,4329,6972,4329,6972,4071e" filled="true" fillcolor="#fff200" stroked="false">
              <v:path arrowok="t"/>
              <v:fill type="solid"/>
            </v:shape>
            <v:line style="position:absolute" from="7003,4071" to="7003,4329" stroked="true" strokeweight="3.653pt" strokecolor="#fff200">
              <v:stroke dashstyle="solid"/>
            </v:line>
            <v:rect style="position:absolute;left:7039;top:4071;width:206;height:258" filled="true" fillcolor="#fff200" stroked="false">
              <v:fill type="solid"/>
            </v:rect>
            <v:line style="position:absolute" from="7276,4071" to="7276,4329" stroked="true" strokeweight="3.653pt" strokecolor="#fff200">
              <v:stroke dashstyle="solid"/>
            </v:line>
            <v:rect style="position:absolute;left:7312;top:4071;width:518;height:258" filled="true" fillcolor="#fff200" stroked="false">
              <v:fill type="solid"/>
            </v:rect>
            <v:line style="position:absolute" from="7862,4071" to="7862,4329" stroked="true" strokeweight="3.653pt" strokecolor="#fff200">
              <v:stroke dashstyle="solid"/>
            </v:line>
            <v:shape style="position:absolute;left:7898;top:4071;width:693;height:258" coordorigin="7898,4071" coordsize="693,258" path="m8591,4071l8132,4071,7898,4071,7898,4329,8132,4329,8591,4329,8591,4071e" filled="true" fillcolor="#fff200" stroked="false">
              <v:path arrowok="t"/>
              <v:fill type="solid"/>
            </v:shape>
            <v:shape style="position:absolute;left:1435;top:3981;width:7156;height:347" type="#_x0000_t202" filled="false" stroked="false">
              <v:textbox inset="0,0,0,0">
                <w:txbxContent>
                  <w:p>
                    <w:pPr>
                      <w:spacing w:before="45"/>
                      <w:ind w:left="4" w:right="0" w:firstLine="0"/>
                      <w:jc w:val="left"/>
                      <w:rPr>
                        <w:sz w:val="24"/>
                      </w:rPr>
                    </w:pPr>
                    <w:r>
                      <w:rPr>
                        <w:w w:val="105"/>
                        <w:sz w:val="24"/>
                      </w:rPr>
                      <w:t>mention here that this will be discussed further below in more detail?</w:t>
                    </w:r>
                  </w:p>
                </w:txbxContent>
              </v:textbox>
              <w10:wrap type="none"/>
            </v:shape>
            <w10:wrap type="none"/>
          </v:group>
        </w:pict>
      </w:r>
      <w:r>
        <w:rPr>
          <w:rFonts w:ascii="Arial"/>
          <w:w w:val="105"/>
          <w:sz w:val="12"/>
        </w:rPr>
        <w:t>646     </w:t>
      </w:r>
      <w:r>
        <w:rPr>
          <w:w w:val="105"/>
        </w:rPr>
        <w:t>such ICT effects </w:t>
      </w:r>
      <w:r>
        <w:rPr>
          <w:spacing w:val="-3"/>
          <w:w w:val="105"/>
        </w:rPr>
        <w:t>may </w:t>
      </w:r>
      <w:r>
        <w:rPr>
          <w:w w:val="105"/>
        </w:rPr>
        <w:t>not </w:t>
      </w:r>
      <w:r>
        <w:rPr>
          <w:spacing w:val="-4"/>
          <w:w w:val="105"/>
        </w:rPr>
        <w:t>have </w:t>
      </w:r>
      <w:r>
        <w:rPr>
          <w:w w:val="105"/>
        </w:rPr>
        <w:t>been previously investigated, or published due to selective   </w:t>
      </w:r>
      <w:r>
        <w:rPr>
          <w:rFonts w:ascii="Arial"/>
          <w:w w:val="105"/>
          <w:sz w:val="12"/>
        </w:rPr>
        <w:t>647</w:t>
      </w:r>
      <w:r>
        <w:rPr>
          <w:rFonts w:ascii="Arial"/>
          <w:spacing w:val="34"/>
          <w:w w:val="105"/>
          <w:sz w:val="12"/>
        </w:rPr>
        <w:t> </w:t>
      </w:r>
      <w:r>
        <w:rPr>
          <w:w w:val="105"/>
        </w:rPr>
        <w:t>reporting</w:t>
      </w:r>
      <w:r>
        <w:rPr>
          <w:spacing w:val="-11"/>
          <w:w w:val="105"/>
        </w:rPr>
        <w:t> </w:t>
      </w:r>
      <w:r>
        <w:rPr>
          <w:w w:val="105"/>
        </w:rPr>
        <w:t>of</w:t>
      </w:r>
      <w:r>
        <w:rPr>
          <w:spacing w:val="-11"/>
          <w:w w:val="105"/>
        </w:rPr>
        <w:t> </w:t>
      </w:r>
      <w:r>
        <w:rPr>
          <w:w w:val="105"/>
        </w:rPr>
        <w:t>significant</w:t>
      </w:r>
      <w:r>
        <w:rPr>
          <w:spacing w:val="-10"/>
          <w:w w:val="105"/>
        </w:rPr>
        <w:t> </w:t>
      </w:r>
      <w:r>
        <w:rPr>
          <w:w w:val="105"/>
        </w:rPr>
        <w:t>findings</w:t>
      </w:r>
      <w:r>
        <w:rPr>
          <w:spacing w:val="-11"/>
          <w:w w:val="105"/>
        </w:rPr>
        <w:t> </w:t>
      </w:r>
      <w:r>
        <w:rPr>
          <w:w w:val="105"/>
        </w:rPr>
        <w:t>(e.g.,</w:t>
      </w:r>
      <w:r>
        <w:rPr>
          <w:spacing w:val="-11"/>
          <w:w w:val="105"/>
        </w:rPr>
        <w:t> </w:t>
      </w:r>
      <w:r>
        <w:rPr>
          <w:w w:val="105"/>
        </w:rPr>
        <w:t>see</w:t>
      </w:r>
      <w:r>
        <w:rPr>
          <w:spacing w:val="-10"/>
          <w:w w:val="105"/>
        </w:rPr>
        <w:t> </w:t>
      </w:r>
      <w:r>
        <w:rPr>
          <w:w w:val="105"/>
        </w:rPr>
        <w:t>Carbine,</w:t>
      </w:r>
      <w:r>
        <w:rPr>
          <w:spacing w:val="-11"/>
          <w:w w:val="105"/>
        </w:rPr>
        <w:t> </w:t>
      </w:r>
      <w:r>
        <w:rPr>
          <w:spacing w:val="-4"/>
          <w:w w:val="105"/>
        </w:rPr>
        <w:t>Lindsey,</w:t>
      </w:r>
      <w:r>
        <w:rPr>
          <w:spacing w:val="-10"/>
          <w:w w:val="105"/>
        </w:rPr>
        <w:t> </w:t>
      </w:r>
      <w:r>
        <w:rPr>
          <w:w w:val="105"/>
        </w:rPr>
        <w:t>Rodeback,</w:t>
      </w:r>
      <w:r>
        <w:rPr>
          <w:spacing w:val="-11"/>
          <w:w w:val="105"/>
        </w:rPr>
        <w:t> </w:t>
      </w:r>
      <w:r>
        <w:rPr>
          <w:w w:val="105"/>
        </w:rPr>
        <w:t>&amp;</w:t>
      </w:r>
      <w:r>
        <w:rPr>
          <w:spacing w:val="-11"/>
          <w:w w:val="105"/>
        </w:rPr>
        <w:t> </w:t>
      </w:r>
      <w:r>
        <w:rPr>
          <w:w w:val="105"/>
        </w:rPr>
        <w:t>Larson,</w:t>
      </w:r>
      <w:r>
        <w:rPr>
          <w:spacing w:val="-10"/>
          <w:w w:val="105"/>
        </w:rPr>
        <w:t> </w:t>
      </w:r>
      <w:r>
        <w:rPr>
          <w:w w:val="105"/>
        </w:rPr>
        <w:t>2019),</w:t>
      </w:r>
      <w:r>
        <w:rPr>
          <w:spacing w:val="-11"/>
          <w:w w:val="105"/>
        </w:rPr>
        <w:t> </w:t>
      </w:r>
      <w:r>
        <w:rPr>
          <w:w w:val="105"/>
        </w:rPr>
        <w:t>there </w:t>
      </w:r>
      <w:r>
        <w:rPr>
          <w:rFonts w:ascii="Arial"/>
          <w:w w:val="105"/>
          <w:sz w:val="12"/>
        </w:rPr>
        <w:t>648 </w:t>
      </w:r>
      <w:r>
        <w:rPr>
          <w:w w:val="105"/>
        </w:rPr>
        <w:t>is empirical evidence to suggest that </w:t>
      </w:r>
      <w:r>
        <w:rPr>
          <w:spacing w:val="3"/>
          <w:w w:val="105"/>
        </w:rPr>
        <w:t>food </w:t>
      </w:r>
      <w:r>
        <w:rPr>
          <w:w w:val="105"/>
        </w:rPr>
        <w:t>stimuli included in </w:t>
      </w:r>
      <w:r>
        <w:rPr>
          <w:spacing w:val="-7"/>
          <w:w w:val="105"/>
        </w:rPr>
        <w:t>AAT </w:t>
      </w:r>
      <w:r>
        <w:rPr>
          <w:w w:val="105"/>
        </w:rPr>
        <w:t>training protocols can </w:t>
      </w:r>
      <w:r>
        <w:rPr>
          <w:spacing w:val="3"/>
          <w:w w:val="105"/>
        </w:rPr>
        <w:t>be </w:t>
      </w:r>
      <w:r>
        <w:rPr>
          <w:rFonts w:ascii="Arial"/>
          <w:w w:val="105"/>
          <w:sz w:val="12"/>
        </w:rPr>
        <w:t>649</w:t>
      </w:r>
      <w:r>
        <w:rPr>
          <w:rFonts w:ascii="Arial"/>
          <w:spacing w:val="35"/>
          <w:w w:val="105"/>
          <w:sz w:val="12"/>
        </w:rPr>
        <w:t> </w:t>
      </w:r>
      <w:r>
        <w:rPr>
          <w:w w:val="105"/>
        </w:rPr>
        <w:t>associated  with  increased </w:t>
      </w:r>
      <w:r>
        <w:rPr>
          <w:spacing w:val="-3"/>
          <w:w w:val="105"/>
        </w:rPr>
        <w:t>avoidance  </w:t>
      </w:r>
      <w:r>
        <w:rPr>
          <w:w w:val="105"/>
        </w:rPr>
        <w:t>behaviour (or reduced  approach)  after training (e.g., </w:t>
      </w:r>
      <w:r>
        <w:rPr>
          <w:rFonts w:ascii="Arial"/>
          <w:w w:val="105"/>
          <w:sz w:val="12"/>
        </w:rPr>
        <w:t>650     </w:t>
      </w:r>
      <w:r>
        <w:rPr>
          <w:w w:val="105"/>
        </w:rPr>
        <w:t>Dickson, </w:t>
      </w:r>
      <w:r>
        <w:rPr>
          <w:spacing w:val="-3"/>
          <w:w w:val="105"/>
        </w:rPr>
        <w:t>Kavanagh, </w:t>
      </w:r>
      <w:r>
        <w:rPr>
          <w:w w:val="105"/>
        </w:rPr>
        <w:t>&amp; MacLeod, 2016; </w:t>
      </w:r>
      <w:r>
        <w:rPr>
          <w:spacing w:val="-3"/>
          <w:w w:val="105"/>
        </w:rPr>
        <w:t>Schumacher </w:t>
      </w:r>
      <w:r>
        <w:rPr>
          <w:w w:val="105"/>
        </w:rPr>
        <w:t>et al., 2016).  A signidicant change in </w:t>
      </w:r>
      <w:r>
        <w:rPr>
          <w:rFonts w:ascii="Arial"/>
          <w:w w:val="105"/>
          <w:sz w:val="12"/>
        </w:rPr>
        <w:t>651 </w:t>
      </w:r>
      <w:r>
        <w:rPr>
          <w:w w:val="105"/>
        </w:rPr>
        <w:t>approach-avoidance bias scores </w:t>
      </w:r>
      <w:r>
        <w:rPr>
          <w:spacing w:val="-3"/>
          <w:w w:val="105"/>
        </w:rPr>
        <w:t>was </w:t>
      </w:r>
      <w:r>
        <w:rPr>
          <w:w w:val="105"/>
        </w:rPr>
        <w:t>not observed in another series of experiments </w:t>
      </w:r>
      <w:r>
        <w:rPr>
          <w:spacing w:val="-3"/>
          <w:w w:val="105"/>
        </w:rPr>
        <w:t>(Becker </w:t>
      </w:r>
      <w:r>
        <w:rPr>
          <w:w w:val="105"/>
        </w:rPr>
        <w:t>et </w:t>
      </w:r>
      <w:r>
        <w:rPr>
          <w:rFonts w:ascii="Arial"/>
          <w:w w:val="105"/>
          <w:sz w:val="12"/>
        </w:rPr>
        <w:t>652  </w:t>
      </w:r>
      <w:r>
        <w:rPr>
          <w:rFonts w:ascii="Arial"/>
          <w:spacing w:val="35"/>
          <w:w w:val="105"/>
          <w:sz w:val="12"/>
        </w:rPr>
        <w:t> </w:t>
      </w:r>
      <w:r>
        <w:rPr>
          <w:w w:val="105"/>
        </w:rPr>
        <w:t>al., 2015), but presence or absence of training effects </w:t>
      </w:r>
      <w:r>
        <w:rPr>
          <w:spacing w:val="-3"/>
          <w:w w:val="105"/>
        </w:rPr>
        <w:t>may </w:t>
      </w:r>
      <w:r>
        <w:rPr>
          <w:w w:val="105"/>
        </w:rPr>
        <w:t>also depend on methodological   </w:t>
      </w:r>
      <w:r>
        <w:rPr>
          <w:rFonts w:ascii="Arial"/>
          <w:w w:val="105"/>
          <w:sz w:val="12"/>
        </w:rPr>
        <w:t>653</w:t>
      </w:r>
      <w:r>
        <w:rPr>
          <w:rFonts w:ascii="Arial"/>
          <w:spacing w:val="13"/>
          <w:w w:val="105"/>
          <w:sz w:val="12"/>
        </w:rPr>
        <w:t> </w:t>
      </w:r>
      <w:r>
        <w:rPr>
          <w:w w:val="105"/>
        </w:rPr>
        <w:t>parameters</w:t>
      </w:r>
      <w:r>
        <w:rPr>
          <w:spacing w:val="10"/>
          <w:w w:val="105"/>
        </w:rPr>
        <w:t> </w:t>
      </w:r>
      <w:r>
        <w:rPr>
          <w:w w:val="105"/>
        </w:rPr>
        <w:t>of</w:t>
      </w:r>
      <w:r>
        <w:rPr>
          <w:spacing w:val="11"/>
          <w:w w:val="105"/>
        </w:rPr>
        <w:t> </w:t>
      </w:r>
      <w:r>
        <w:rPr>
          <w:w w:val="105"/>
        </w:rPr>
        <w:t>training</w:t>
      </w:r>
      <w:r>
        <w:rPr>
          <w:spacing w:val="10"/>
          <w:w w:val="105"/>
        </w:rPr>
        <w:t> </w:t>
      </w:r>
      <w:r>
        <w:rPr>
          <w:w w:val="105"/>
        </w:rPr>
        <w:t>and</w:t>
      </w:r>
      <w:r>
        <w:rPr>
          <w:spacing w:val="10"/>
          <w:w w:val="105"/>
        </w:rPr>
        <w:t> </w:t>
      </w:r>
      <w:r>
        <w:rPr>
          <w:w w:val="105"/>
        </w:rPr>
        <w:t>employed</w:t>
      </w:r>
      <w:r>
        <w:rPr>
          <w:spacing w:val="11"/>
          <w:w w:val="105"/>
        </w:rPr>
        <w:t> </w:t>
      </w:r>
      <w:r>
        <w:rPr>
          <w:w w:val="105"/>
        </w:rPr>
        <w:t>controls</w:t>
      </w:r>
      <w:r>
        <w:rPr>
          <w:spacing w:val="10"/>
          <w:w w:val="105"/>
        </w:rPr>
        <w:t> </w:t>
      </w:r>
      <w:r>
        <w:rPr>
          <w:w w:val="105"/>
        </w:rPr>
        <w:t>(see</w:t>
      </w:r>
      <w:r>
        <w:rPr>
          <w:spacing w:val="10"/>
          <w:w w:val="105"/>
        </w:rPr>
        <w:t> </w:t>
      </w:r>
      <w:r>
        <w:rPr>
          <w:w w:val="105"/>
        </w:rPr>
        <w:t>Jones</w:t>
      </w:r>
      <w:r>
        <w:rPr>
          <w:spacing w:val="11"/>
          <w:w w:val="105"/>
        </w:rPr>
        <w:t> </w:t>
      </w:r>
      <w:r>
        <w:rPr>
          <w:w w:val="105"/>
        </w:rPr>
        <w:t>et</w:t>
      </w:r>
      <w:r>
        <w:rPr>
          <w:spacing w:val="11"/>
          <w:w w:val="105"/>
        </w:rPr>
        <w:t> </w:t>
      </w:r>
      <w:r>
        <w:rPr>
          <w:w w:val="105"/>
        </w:rPr>
        <w:t>al.,</w:t>
      </w:r>
      <w:r>
        <w:rPr>
          <w:spacing w:val="11"/>
          <w:w w:val="105"/>
        </w:rPr>
        <w:t> </w:t>
      </w:r>
      <w:r>
        <w:rPr>
          <w:w w:val="105"/>
        </w:rPr>
        <w:t>2018</w:t>
      </w:r>
      <w:r>
        <w:rPr>
          <w:spacing w:val="11"/>
          <w:w w:val="105"/>
        </w:rPr>
        <w:t> </w:t>
      </w:r>
      <w:r>
        <w:rPr>
          <w:w w:val="105"/>
        </w:rPr>
        <w:t>for</w:t>
      </w:r>
      <w:r>
        <w:rPr>
          <w:spacing w:val="11"/>
          <w:w w:val="105"/>
        </w:rPr>
        <w:t> </w:t>
      </w:r>
      <w:r>
        <w:rPr>
          <w:w w:val="105"/>
        </w:rPr>
        <w:t>review).</w:t>
      </w:r>
    </w:p>
    <w:p>
      <w:pPr>
        <w:spacing w:before="118"/>
        <w:ind w:left="230" w:right="0" w:firstLine="0"/>
        <w:jc w:val="left"/>
        <w:rPr>
          <w:rFonts w:ascii="Arial"/>
          <w:sz w:val="12"/>
        </w:rPr>
      </w:pPr>
      <w:r>
        <w:rPr>
          <w:rFonts w:ascii="Arial"/>
          <w:sz w:val="12"/>
        </w:rPr>
        <w:t>654</w:t>
      </w:r>
    </w:p>
    <w:p>
      <w:pPr>
        <w:pStyle w:val="BodyText"/>
        <w:spacing w:before="0"/>
        <w:ind w:left="0"/>
        <w:rPr>
          <w:rFonts w:ascii="Arial"/>
          <w:sz w:val="20"/>
        </w:rPr>
      </w:pPr>
    </w:p>
    <w:p>
      <w:pPr>
        <w:pStyle w:val="BodyText"/>
        <w:spacing w:before="0"/>
        <w:ind w:left="0"/>
        <w:rPr>
          <w:rFonts w:ascii="Arial"/>
          <w:sz w:val="20"/>
        </w:rPr>
      </w:pPr>
    </w:p>
    <w:p>
      <w:pPr>
        <w:pStyle w:val="BodyText"/>
        <w:spacing w:before="2"/>
        <w:ind w:left="0"/>
        <w:rPr>
          <w:rFonts w:ascii="Arial"/>
          <w:sz w:val="28"/>
        </w:rPr>
      </w:pPr>
    </w:p>
    <w:p>
      <w:pPr>
        <w:pStyle w:val="Heading1"/>
      </w:pPr>
      <w:r>
        <w:rPr>
          <w:rFonts w:ascii="Arial"/>
          <w:b w:val="0"/>
          <w:w w:val="110"/>
          <w:sz w:val="12"/>
        </w:rPr>
        <w:t>655</w:t>
      </w:r>
      <w:bookmarkStart w:name="Response inhibition &amp; impulsive food cho" w:id="67"/>
      <w:bookmarkEnd w:id="67"/>
      <w:r>
        <w:rPr>
          <w:rFonts w:ascii="Arial"/>
          <w:b w:val="0"/>
          <w:w w:val="110"/>
          <w:sz w:val="12"/>
        </w:rPr>
      </w:r>
      <w:r>
        <w:rPr>
          <w:rFonts w:ascii="Arial"/>
          <w:b w:val="0"/>
          <w:w w:val="110"/>
          <w:sz w:val="12"/>
        </w:rPr>
        <w:t> </w:t>
      </w:r>
      <w:r>
        <w:rPr>
          <w:w w:val="110"/>
        </w:rPr>
        <w:t>Response inhibition &amp; impulsive food choices</w:t>
      </w:r>
    </w:p>
    <w:p>
      <w:pPr>
        <w:pStyle w:val="BodyText"/>
        <w:spacing w:before="0"/>
        <w:ind w:left="0"/>
        <w:rPr>
          <w:b/>
          <w:sz w:val="20"/>
        </w:rPr>
      </w:pPr>
    </w:p>
    <w:p>
      <w:pPr>
        <w:pStyle w:val="BodyText"/>
        <w:spacing w:before="0"/>
        <w:ind w:left="0"/>
        <w:rPr>
          <w:b/>
          <w:sz w:val="20"/>
        </w:rPr>
      </w:pPr>
    </w:p>
    <w:p>
      <w:pPr>
        <w:pStyle w:val="BodyText"/>
        <w:tabs>
          <w:tab w:pos="1195" w:val="left" w:leader="none"/>
        </w:tabs>
        <w:spacing w:line="415" w:lineRule="auto" w:before="284"/>
        <w:ind w:right="298"/>
      </w:pPr>
      <w:r>
        <w:rPr>
          <w:rFonts w:ascii="Arial"/>
          <w:w w:val="105"/>
          <w:sz w:val="12"/>
        </w:rPr>
        <w:t>656</w:t>
        <w:tab/>
      </w:r>
      <w:r>
        <w:rPr>
          <w:w w:val="105"/>
        </w:rPr>
        <w:t>As a secondary outcome of training, the effects of go/no-go training on impulsive </w:t>
      </w:r>
      <w:r>
        <w:rPr>
          <w:spacing w:val="3"/>
          <w:w w:val="105"/>
        </w:rPr>
        <w:t>food </w:t>
      </w:r>
      <w:r>
        <w:rPr>
          <w:rFonts w:ascii="Arial"/>
          <w:w w:val="105"/>
          <w:sz w:val="12"/>
        </w:rPr>
        <w:t>657 </w:t>
      </w:r>
      <w:r>
        <w:rPr>
          <w:w w:val="105"/>
        </w:rPr>
        <w:t>choices were assessed via an adapted </w:t>
      </w:r>
      <w:r>
        <w:rPr>
          <w:spacing w:val="3"/>
          <w:w w:val="105"/>
        </w:rPr>
        <w:t>food </w:t>
      </w:r>
      <w:r>
        <w:rPr>
          <w:w w:val="105"/>
        </w:rPr>
        <w:t>choice task </w:t>
      </w:r>
      <w:r>
        <w:rPr>
          <w:spacing w:val="-3"/>
          <w:w w:val="105"/>
        </w:rPr>
        <w:t>(Veling </w:t>
      </w:r>
      <w:r>
        <w:rPr>
          <w:w w:val="105"/>
        </w:rPr>
        <w:t>et al., 2013a). Participants</w:t>
      </w:r>
      <w:r>
        <w:rPr>
          <w:spacing w:val="-43"/>
          <w:w w:val="105"/>
        </w:rPr>
        <w:t> </w:t>
      </w:r>
      <w:r>
        <w:rPr>
          <w:w w:val="105"/>
        </w:rPr>
        <w:t>had </w:t>
      </w:r>
      <w:r>
        <w:rPr>
          <w:rFonts w:ascii="Arial"/>
          <w:w w:val="105"/>
          <w:sz w:val="12"/>
        </w:rPr>
        <w:t>658 </w:t>
      </w:r>
      <w:r>
        <w:rPr>
          <w:w w:val="105"/>
        </w:rPr>
        <w:t>ten seconds to choose three </w:t>
      </w:r>
      <w:r>
        <w:rPr>
          <w:spacing w:val="3"/>
          <w:w w:val="105"/>
        </w:rPr>
        <w:t>food </w:t>
      </w:r>
      <w:r>
        <w:rPr>
          <w:w w:val="105"/>
        </w:rPr>
        <w:t>stimuli from all training conditions (go, no-go or control).</w:t>
      </w:r>
      <w:r>
        <w:rPr>
          <w:spacing w:val="63"/>
          <w:w w:val="105"/>
        </w:rPr>
        <w:t> </w:t>
      </w:r>
      <w:r>
        <w:rPr>
          <w:rFonts w:ascii="Arial"/>
          <w:w w:val="105"/>
          <w:sz w:val="12"/>
        </w:rPr>
        <w:t>659  </w:t>
      </w:r>
      <w:r>
        <w:rPr>
          <w:rFonts w:ascii="Arial"/>
          <w:spacing w:val="35"/>
          <w:w w:val="105"/>
          <w:sz w:val="12"/>
        </w:rPr>
        <w:t> </w:t>
      </w:r>
      <w:r>
        <w:rPr>
          <w:w w:val="105"/>
        </w:rPr>
        <w:t>Pre-registered analyses </w:t>
      </w:r>
      <w:r>
        <w:rPr>
          <w:spacing w:val="-3"/>
          <w:w w:val="105"/>
        </w:rPr>
        <w:t>showed </w:t>
      </w:r>
      <w:r>
        <w:rPr>
          <w:w w:val="105"/>
        </w:rPr>
        <w:t>that the probability of choosing a no-go </w:t>
      </w:r>
      <w:r>
        <w:rPr>
          <w:spacing w:val="3"/>
          <w:w w:val="105"/>
        </w:rPr>
        <w:t>food </w:t>
      </w:r>
      <w:r>
        <w:rPr>
          <w:spacing w:val="-3"/>
          <w:w w:val="105"/>
        </w:rPr>
        <w:t>was </w:t>
      </w:r>
      <w:r>
        <w:rPr>
          <w:w w:val="105"/>
        </w:rPr>
        <w:t>reduced   </w:t>
      </w:r>
      <w:r>
        <w:rPr>
          <w:rFonts w:ascii="Arial"/>
          <w:w w:val="105"/>
          <w:sz w:val="12"/>
        </w:rPr>
        <w:t>660</w:t>
      </w:r>
      <w:r>
        <w:rPr>
          <w:rFonts w:ascii="Arial"/>
          <w:spacing w:val="9"/>
          <w:w w:val="105"/>
          <w:sz w:val="12"/>
        </w:rPr>
        <w:t> </w:t>
      </w:r>
      <w:r>
        <w:rPr>
          <w:w w:val="105"/>
        </w:rPr>
        <w:t>compared</w:t>
      </w:r>
      <w:r>
        <w:rPr>
          <w:spacing w:val="9"/>
          <w:w w:val="105"/>
        </w:rPr>
        <w:t> </w:t>
      </w:r>
      <w:r>
        <w:rPr>
          <w:w w:val="105"/>
        </w:rPr>
        <w:t>to</w:t>
      </w:r>
      <w:r>
        <w:rPr>
          <w:spacing w:val="9"/>
          <w:w w:val="105"/>
        </w:rPr>
        <w:t> </w:t>
      </w:r>
      <w:r>
        <w:rPr>
          <w:w w:val="105"/>
        </w:rPr>
        <w:t>the</w:t>
      </w:r>
      <w:r>
        <w:rPr>
          <w:spacing w:val="9"/>
          <w:w w:val="105"/>
        </w:rPr>
        <w:t> </w:t>
      </w:r>
      <w:r>
        <w:rPr>
          <w:w w:val="105"/>
        </w:rPr>
        <w:t>probability</w:t>
      </w:r>
      <w:r>
        <w:rPr>
          <w:spacing w:val="8"/>
          <w:w w:val="105"/>
        </w:rPr>
        <w:t> </w:t>
      </w:r>
      <w:r>
        <w:rPr>
          <w:w w:val="105"/>
        </w:rPr>
        <w:t>of</w:t>
      </w:r>
      <w:r>
        <w:rPr>
          <w:spacing w:val="9"/>
          <w:w w:val="105"/>
        </w:rPr>
        <w:t> </w:t>
      </w:r>
      <w:r>
        <w:rPr>
          <w:w w:val="105"/>
        </w:rPr>
        <w:t>choosing</w:t>
      </w:r>
      <w:r>
        <w:rPr>
          <w:spacing w:val="9"/>
          <w:w w:val="105"/>
        </w:rPr>
        <w:t> </w:t>
      </w:r>
      <w:r>
        <w:rPr>
          <w:w w:val="105"/>
        </w:rPr>
        <w:t>a</w:t>
      </w:r>
      <w:r>
        <w:rPr>
          <w:spacing w:val="8"/>
          <w:w w:val="105"/>
        </w:rPr>
        <w:t> </w:t>
      </w:r>
      <w:r>
        <w:rPr>
          <w:w w:val="105"/>
        </w:rPr>
        <w:t>control</w:t>
      </w:r>
      <w:r>
        <w:rPr>
          <w:spacing w:val="9"/>
          <w:w w:val="105"/>
        </w:rPr>
        <w:t> </w:t>
      </w:r>
      <w:r>
        <w:rPr>
          <w:spacing w:val="3"/>
          <w:w w:val="105"/>
        </w:rPr>
        <w:t>food</w:t>
      </w:r>
      <w:r>
        <w:rPr>
          <w:spacing w:val="9"/>
          <w:w w:val="105"/>
        </w:rPr>
        <w:t> </w:t>
      </w:r>
      <w:r>
        <w:rPr>
          <w:w w:val="105"/>
        </w:rPr>
        <w:t>(H2a).</w:t>
      </w:r>
      <w:r>
        <w:rPr>
          <w:spacing w:val="32"/>
          <w:w w:val="105"/>
        </w:rPr>
        <w:t> </w:t>
      </w:r>
      <w:r>
        <w:rPr>
          <w:w w:val="105"/>
        </w:rPr>
        <w:t>Meanwhile,</w:t>
      </w:r>
      <w:r>
        <w:rPr>
          <w:spacing w:val="10"/>
          <w:w w:val="105"/>
        </w:rPr>
        <w:t> </w:t>
      </w:r>
      <w:r>
        <w:rPr>
          <w:w w:val="105"/>
        </w:rPr>
        <w:t>there</w:t>
      </w:r>
      <w:r>
        <w:rPr>
          <w:spacing w:val="8"/>
          <w:w w:val="105"/>
        </w:rPr>
        <w:t> </w:t>
      </w:r>
      <w:r>
        <w:rPr>
          <w:spacing w:val="-3"/>
          <w:w w:val="105"/>
        </w:rPr>
        <w:t>was</w:t>
      </w:r>
      <w:r>
        <w:rPr>
          <w:spacing w:val="8"/>
          <w:w w:val="105"/>
        </w:rPr>
        <w:t> </w:t>
      </w:r>
      <w:r>
        <w:rPr>
          <w:w w:val="105"/>
        </w:rPr>
        <w:t>no</w:t>
      </w:r>
    </w:p>
    <w:p>
      <w:pPr>
        <w:pStyle w:val="BodyText"/>
        <w:spacing w:before="3"/>
      </w:pPr>
      <w:r>
        <w:rPr>
          <w:rFonts w:ascii="Arial"/>
          <w:w w:val="105"/>
          <w:sz w:val="12"/>
        </w:rPr>
        <w:t>661 </w:t>
      </w:r>
      <w:r>
        <w:rPr>
          <w:w w:val="105"/>
        </w:rPr>
        <w:t>difference between the probability of choosing a go food relative to the probability of</w:t>
      </w:r>
    </w:p>
    <w:p>
      <w:pPr>
        <w:pStyle w:val="BodyText"/>
        <w:spacing w:line="415" w:lineRule="auto"/>
        <w:ind w:right="292"/>
        <w:jc w:val="both"/>
      </w:pPr>
      <w:r>
        <w:rPr>
          <w:rFonts w:ascii="Arial"/>
          <w:w w:val="105"/>
          <w:sz w:val="12"/>
        </w:rPr>
        <w:t>662 </w:t>
      </w:r>
      <w:r>
        <w:rPr>
          <w:w w:val="105"/>
        </w:rPr>
        <w:t>choosing a control </w:t>
      </w:r>
      <w:r>
        <w:rPr>
          <w:spacing w:val="3"/>
          <w:w w:val="105"/>
        </w:rPr>
        <w:t>food </w:t>
      </w:r>
      <w:r>
        <w:rPr>
          <w:w w:val="105"/>
        </w:rPr>
        <w:t>(H2b).</w:t>
      </w:r>
      <w:r>
        <w:rPr>
          <w:spacing w:val="63"/>
          <w:w w:val="105"/>
        </w:rPr>
        <w:t> </w:t>
      </w:r>
      <w:r>
        <w:rPr>
          <w:w w:val="105"/>
        </w:rPr>
        <w:t>The findings that ICT can </w:t>
      </w:r>
      <w:r>
        <w:rPr>
          <w:spacing w:val="-4"/>
          <w:w w:val="105"/>
        </w:rPr>
        <w:t>have </w:t>
      </w:r>
      <w:r>
        <w:rPr>
          <w:w w:val="105"/>
        </w:rPr>
        <w:t>an effect on impulsive </w:t>
      </w:r>
      <w:r>
        <w:rPr>
          <w:spacing w:val="3"/>
          <w:w w:val="105"/>
        </w:rPr>
        <w:t>food</w:t>
      </w:r>
      <w:r>
        <w:rPr>
          <w:spacing w:val="69"/>
          <w:w w:val="105"/>
        </w:rPr>
        <w:t> </w:t>
      </w:r>
      <w:r>
        <w:rPr>
          <w:rFonts w:ascii="Arial"/>
          <w:w w:val="105"/>
          <w:sz w:val="12"/>
        </w:rPr>
        <w:t>663 </w:t>
      </w:r>
      <w:r>
        <w:rPr>
          <w:w w:val="105"/>
        </w:rPr>
        <w:t>choices is consistent with previous studies that </w:t>
      </w:r>
      <w:r>
        <w:rPr>
          <w:spacing w:val="-4"/>
          <w:w w:val="105"/>
        </w:rPr>
        <w:t>have </w:t>
      </w:r>
      <w:r>
        <w:rPr>
          <w:w w:val="105"/>
        </w:rPr>
        <w:t>used both go/no-go and stop-signal task </w:t>
      </w:r>
      <w:r>
        <w:rPr>
          <w:rFonts w:ascii="Arial"/>
          <w:w w:val="105"/>
          <w:sz w:val="12"/>
        </w:rPr>
        <w:t>664</w:t>
      </w:r>
      <w:r>
        <w:rPr>
          <w:rFonts w:ascii="Arial"/>
          <w:spacing w:val="19"/>
          <w:w w:val="105"/>
          <w:sz w:val="12"/>
        </w:rPr>
        <w:t> </w:t>
      </w:r>
      <w:r>
        <w:rPr>
          <w:w w:val="105"/>
        </w:rPr>
        <w:t>paradigms</w:t>
      </w:r>
      <w:r>
        <w:rPr>
          <w:spacing w:val="12"/>
          <w:w w:val="105"/>
        </w:rPr>
        <w:t> </w:t>
      </w:r>
      <w:r>
        <w:rPr>
          <w:spacing w:val="-3"/>
          <w:w w:val="105"/>
        </w:rPr>
        <w:t>(Veling</w:t>
      </w:r>
      <w:r>
        <w:rPr>
          <w:spacing w:val="13"/>
          <w:w w:val="105"/>
        </w:rPr>
        <w:t> </w:t>
      </w:r>
      <w:r>
        <w:rPr>
          <w:w w:val="105"/>
        </w:rPr>
        <w:t>et</w:t>
      </w:r>
      <w:r>
        <w:rPr>
          <w:spacing w:val="13"/>
          <w:w w:val="105"/>
        </w:rPr>
        <w:t> </w:t>
      </w:r>
      <w:r>
        <w:rPr>
          <w:w w:val="105"/>
        </w:rPr>
        <w:t>al.,</w:t>
      </w:r>
      <w:r>
        <w:rPr>
          <w:spacing w:val="14"/>
          <w:w w:val="105"/>
        </w:rPr>
        <w:t> </w:t>
      </w:r>
      <w:r>
        <w:rPr>
          <w:w w:val="105"/>
        </w:rPr>
        <w:t>2013b,</w:t>
      </w:r>
      <w:r>
        <w:rPr>
          <w:spacing w:val="12"/>
          <w:w w:val="105"/>
        </w:rPr>
        <w:t> </w:t>
      </w:r>
      <w:r>
        <w:rPr>
          <w:w w:val="105"/>
        </w:rPr>
        <w:t>2013a),</w:t>
      </w:r>
      <w:r>
        <w:rPr>
          <w:spacing w:val="12"/>
          <w:w w:val="105"/>
        </w:rPr>
        <w:t> </w:t>
      </w:r>
      <w:r>
        <w:rPr>
          <w:w w:val="105"/>
        </w:rPr>
        <w:t>but</w:t>
      </w:r>
      <w:r>
        <w:rPr>
          <w:spacing w:val="13"/>
          <w:w w:val="105"/>
        </w:rPr>
        <w:t> </w:t>
      </w:r>
      <w:r>
        <w:rPr>
          <w:w w:val="105"/>
        </w:rPr>
        <w:t>cannot</w:t>
      </w:r>
      <w:r>
        <w:rPr>
          <w:spacing w:val="13"/>
          <w:w w:val="105"/>
        </w:rPr>
        <w:t> </w:t>
      </w:r>
      <w:r>
        <w:rPr>
          <w:spacing w:val="3"/>
          <w:w w:val="105"/>
        </w:rPr>
        <w:t>be</w:t>
      </w:r>
      <w:r>
        <w:rPr>
          <w:spacing w:val="14"/>
          <w:w w:val="105"/>
        </w:rPr>
        <w:t> </w:t>
      </w:r>
      <w:r>
        <w:rPr>
          <w:w w:val="105"/>
        </w:rPr>
        <w:t>directly</w:t>
      </w:r>
      <w:r>
        <w:rPr>
          <w:spacing w:val="13"/>
          <w:w w:val="105"/>
        </w:rPr>
        <w:t> </w:t>
      </w:r>
      <w:r>
        <w:rPr>
          <w:w w:val="105"/>
        </w:rPr>
        <w:t>compared</w:t>
      </w:r>
      <w:r>
        <w:rPr>
          <w:spacing w:val="13"/>
          <w:w w:val="105"/>
        </w:rPr>
        <w:t> </w:t>
      </w:r>
      <w:r>
        <w:rPr>
          <w:w w:val="105"/>
        </w:rPr>
        <w:t>to</w:t>
      </w:r>
      <w:r>
        <w:rPr>
          <w:spacing w:val="12"/>
          <w:w w:val="105"/>
        </w:rPr>
        <w:t> </w:t>
      </w:r>
      <w:r>
        <w:rPr>
          <w:w w:val="105"/>
        </w:rPr>
        <w:t>experiments</w:t>
      </w:r>
    </w:p>
    <w:p>
      <w:pPr>
        <w:spacing w:after="0" w:line="415" w:lineRule="auto"/>
        <w:jc w:val="both"/>
        <w:sectPr>
          <w:pgSz w:w="12240" w:h="15840"/>
          <w:pgMar w:header="649" w:footer="0" w:top="1320" w:bottom="280" w:left="820" w:right="1140"/>
        </w:sectPr>
      </w:pPr>
    </w:p>
    <w:p>
      <w:pPr>
        <w:pStyle w:val="BodyText"/>
        <w:spacing w:line="415" w:lineRule="auto" w:before="191"/>
        <w:ind w:right="433"/>
      </w:pPr>
      <w:r>
        <w:rPr>
          <w:rFonts w:ascii="Arial"/>
          <w:w w:val="105"/>
          <w:sz w:val="12"/>
        </w:rPr>
        <w:t>665 </w:t>
      </w:r>
      <w:r>
        <w:rPr>
          <w:spacing w:val="-3"/>
          <w:w w:val="105"/>
        </w:rPr>
        <w:t>involving </w:t>
      </w:r>
      <w:r>
        <w:rPr>
          <w:w w:val="105"/>
        </w:rPr>
        <w:t>cue-approach training, which </w:t>
      </w:r>
      <w:r>
        <w:rPr>
          <w:spacing w:val="-3"/>
          <w:w w:val="105"/>
        </w:rPr>
        <w:t>involves </w:t>
      </w:r>
      <w:r>
        <w:rPr>
          <w:w w:val="105"/>
        </w:rPr>
        <w:t>responding to go items in response to a cue</w:t>
      </w:r>
      <w:r>
        <w:rPr>
          <w:spacing w:val="63"/>
          <w:w w:val="105"/>
        </w:rPr>
        <w:t> </w:t>
      </w:r>
      <w:r>
        <w:rPr>
          <w:rFonts w:ascii="Arial"/>
          <w:w w:val="105"/>
          <w:sz w:val="12"/>
        </w:rPr>
        <w:t>666 </w:t>
      </w:r>
      <w:r>
        <w:rPr>
          <w:w w:val="105"/>
        </w:rPr>
        <w:t>or signal.</w:t>
      </w:r>
      <w:r>
        <w:rPr>
          <w:spacing w:val="63"/>
          <w:w w:val="105"/>
        </w:rPr>
        <w:t> </w:t>
      </w:r>
      <w:r>
        <w:rPr>
          <w:w w:val="105"/>
        </w:rPr>
        <w:t>These studies </w:t>
      </w:r>
      <w:r>
        <w:rPr>
          <w:spacing w:val="-4"/>
          <w:w w:val="105"/>
        </w:rPr>
        <w:t>have </w:t>
      </w:r>
      <w:r>
        <w:rPr>
          <w:w w:val="105"/>
        </w:rPr>
        <w:t>found increased </w:t>
      </w:r>
      <w:r>
        <w:rPr>
          <w:spacing w:val="3"/>
          <w:w w:val="105"/>
        </w:rPr>
        <w:t>food </w:t>
      </w:r>
      <w:r>
        <w:rPr>
          <w:w w:val="105"/>
        </w:rPr>
        <w:t>choices for go </w:t>
      </w:r>
      <w:r>
        <w:rPr>
          <w:spacing w:val="3"/>
          <w:w w:val="105"/>
        </w:rPr>
        <w:t>food </w:t>
      </w:r>
      <w:r>
        <w:rPr>
          <w:w w:val="105"/>
        </w:rPr>
        <w:t>items (Schonberg et </w:t>
      </w:r>
      <w:r>
        <w:rPr>
          <w:rFonts w:ascii="Arial"/>
          <w:w w:val="105"/>
          <w:sz w:val="12"/>
        </w:rPr>
        <w:t>667</w:t>
      </w:r>
      <w:r>
        <w:rPr>
          <w:rFonts w:ascii="Arial"/>
          <w:spacing w:val="19"/>
          <w:w w:val="105"/>
          <w:sz w:val="12"/>
        </w:rPr>
        <w:t> </w:t>
      </w:r>
      <w:r>
        <w:rPr>
          <w:w w:val="105"/>
        </w:rPr>
        <w:t>al.,</w:t>
      </w:r>
      <w:r>
        <w:rPr>
          <w:spacing w:val="12"/>
          <w:w w:val="105"/>
        </w:rPr>
        <w:t> </w:t>
      </w:r>
      <w:r>
        <w:rPr>
          <w:w w:val="105"/>
        </w:rPr>
        <w:t>2014;</w:t>
      </w:r>
      <w:r>
        <w:rPr>
          <w:spacing w:val="13"/>
          <w:w w:val="105"/>
        </w:rPr>
        <w:t> </w:t>
      </w:r>
      <w:r>
        <w:rPr>
          <w:spacing w:val="-3"/>
          <w:w w:val="105"/>
        </w:rPr>
        <w:t>Veling,</w:t>
      </w:r>
      <w:r>
        <w:rPr>
          <w:spacing w:val="13"/>
          <w:w w:val="105"/>
        </w:rPr>
        <w:t> </w:t>
      </w:r>
      <w:r>
        <w:rPr>
          <w:w w:val="105"/>
        </w:rPr>
        <w:t>Chen,</w:t>
      </w:r>
      <w:r>
        <w:rPr>
          <w:spacing w:val="13"/>
          <w:w w:val="105"/>
        </w:rPr>
        <w:t> </w:t>
      </w:r>
      <w:r>
        <w:rPr>
          <w:w w:val="105"/>
        </w:rPr>
        <w:t>et</w:t>
      </w:r>
      <w:r>
        <w:rPr>
          <w:spacing w:val="13"/>
          <w:w w:val="105"/>
        </w:rPr>
        <w:t> </w:t>
      </w:r>
      <w:r>
        <w:rPr>
          <w:w w:val="105"/>
        </w:rPr>
        <w:t>al.,</w:t>
      </w:r>
      <w:r>
        <w:rPr>
          <w:spacing w:val="13"/>
          <w:w w:val="105"/>
        </w:rPr>
        <w:t> </w:t>
      </w:r>
      <w:r>
        <w:rPr>
          <w:w w:val="105"/>
        </w:rPr>
        <w:t>2017),</w:t>
      </w:r>
      <w:r>
        <w:rPr>
          <w:spacing w:val="13"/>
          <w:w w:val="105"/>
        </w:rPr>
        <w:t> </w:t>
      </w:r>
      <w:r>
        <w:rPr>
          <w:w w:val="105"/>
        </w:rPr>
        <w:t>but</w:t>
      </w:r>
      <w:r>
        <w:rPr>
          <w:spacing w:val="12"/>
          <w:w w:val="105"/>
        </w:rPr>
        <w:t> </w:t>
      </w:r>
      <w:r>
        <w:rPr>
          <w:w w:val="105"/>
        </w:rPr>
        <w:t>it</w:t>
      </w:r>
      <w:r>
        <w:rPr>
          <w:spacing w:val="12"/>
          <w:w w:val="105"/>
        </w:rPr>
        <w:t> </w:t>
      </w:r>
      <w:r>
        <w:rPr>
          <w:w w:val="105"/>
        </w:rPr>
        <w:t>cannot</w:t>
      </w:r>
      <w:r>
        <w:rPr>
          <w:spacing w:val="13"/>
          <w:w w:val="105"/>
        </w:rPr>
        <w:t> </w:t>
      </w:r>
      <w:r>
        <w:rPr>
          <w:spacing w:val="3"/>
          <w:w w:val="105"/>
        </w:rPr>
        <w:t>be</w:t>
      </w:r>
      <w:r>
        <w:rPr>
          <w:spacing w:val="13"/>
          <w:w w:val="105"/>
        </w:rPr>
        <w:t> </w:t>
      </w:r>
      <w:r>
        <w:rPr>
          <w:w w:val="105"/>
        </w:rPr>
        <w:t>inferred</w:t>
      </w:r>
      <w:r>
        <w:rPr>
          <w:spacing w:val="13"/>
          <w:w w:val="105"/>
        </w:rPr>
        <w:t> </w:t>
      </w:r>
      <w:r>
        <w:rPr>
          <w:w w:val="105"/>
        </w:rPr>
        <w:t>that</w:t>
      </w:r>
      <w:r>
        <w:rPr>
          <w:spacing w:val="13"/>
          <w:w w:val="105"/>
        </w:rPr>
        <w:t> </w:t>
      </w:r>
      <w:r>
        <w:rPr>
          <w:w w:val="105"/>
        </w:rPr>
        <w:t>the</w:t>
      </w:r>
      <w:r>
        <w:rPr>
          <w:spacing w:val="12"/>
          <w:w w:val="105"/>
        </w:rPr>
        <w:t> </w:t>
      </w:r>
      <w:r>
        <w:rPr>
          <w:w w:val="105"/>
        </w:rPr>
        <w:t>lack</w:t>
      </w:r>
      <w:r>
        <w:rPr>
          <w:spacing w:val="12"/>
          <w:w w:val="105"/>
        </w:rPr>
        <w:t> </w:t>
      </w:r>
      <w:r>
        <w:rPr>
          <w:w w:val="105"/>
        </w:rPr>
        <w:t>of</w:t>
      </w:r>
      <w:r>
        <w:rPr>
          <w:spacing w:val="13"/>
          <w:w w:val="105"/>
        </w:rPr>
        <w:t> </w:t>
      </w:r>
      <w:r>
        <w:rPr>
          <w:w w:val="105"/>
        </w:rPr>
        <w:t>increased</w:t>
      </w:r>
    </w:p>
    <w:p>
      <w:pPr>
        <w:pStyle w:val="BodyText"/>
        <w:spacing w:before="2"/>
      </w:pPr>
      <w:r>
        <w:rPr>
          <w:rFonts w:ascii="Arial"/>
          <w:w w:val="105"/>
          <w:sz w:val="12"/>
        </w:rPr>
        <w:t>668 </w:t>
      </w:r>
      <w:r>
        <w:rPr>
          <w:w w:val="105"/>
        </w:rPr>
        <w:t>choice probability for go foods in this study contradicts previous findings.</w:t>
      </w:r>
    </w:p>
    <w:p>
      <w:pPr>
        <w:pStyle w:val="BodyText"/>
        <w:spacing w:before="0"/>
        <w:ind w:left="0"/>
        <w:rPr>
          <w:sz w:val="20"/>
        </w:rPr>
      </w:pPr>
    </w:p>
    <w:p>
      <w:pPr>
        <w:pStyle w:val="BodyText"/>
        <w:spacing w:before="0"/>
        <w:ind w:left="0"/>
        <w:rPr>
          <w:sz w:val="20"/>
        </w:rPr>
      </w:pPr>
    </w:p>
    <w:p>
      <w:pPr>
        <w:pStyle w:val="BodyText"/>
        <w:spacing w:before="0"/>
        <w:ind w:left="0"/>
        <w:rPr>
          <w:sz w:val="26"/>
        </w:rPr>
      </w:pPr>
    </w:p>
    <w:p>
      <w:pPr>
        <w:pStyle w:val="Heading1"/>
      </w:pPr>
      <w:r>
        <w:rPr>
          <w:rFonts w:ascii="Arial"/>
          <w:b w:val="0"/>
          <w:w w:val="110"/>
          <w:sz w:val="12"/>
        </w:rPr>
        <w:t>669</w:t>
      </w:r>
      <w:bookmarkStart w:name="Devaluation effects &amp; design limitations" w:id="68"/>
      <w:bookmarkEnd w:id="68"/>
      <w:r>
        <w:rPr>
          <w:rFonts w:ascii="Arial"/>
          <w:b w:val="0"/>
          <w:w w:val="110"/>
          <w:sz w:val="12"/>
        </w:rPr>
      </w:r>
      <w:r>
        <w:rPr>
          <w:rFonts w:ascii="Arial"/>
          <w:b w:val="0"/>
          <w:w w:val="110"/>
          <w:sz w:val="12"/>
        </w:rPr>
        <w:t> </w:t>
      </w:r>
      <w:r>
        <w:rPr>
          <w:w w:val="110"/>
        </w:rPr>
        <w:t>Devaluation effects &amp; design limitations</w:t>
      </w:r>
    </w:p>
    <w:p>
      <w:pPr>
        <w:pStyle w:val="BodyText"/>
        <w:spacing w:before="0"/>
        <w:ind w:left="0"/>
        <w:rPr>
          <w:b/>
          <w:sz w:val="20"/>
        </w:rPr>
      </w:pPr>
    </w:p>
    <w:p>
      <w:pPr>
        <w:pStyle w:val="BodyText"/>
        <w:spacing w:before="0"/>
        <w:ind w:left="0"/>
        <w:rPr>
          <w:b/>
          <w:sz w:val="20"/>
        </w:rPr>
      </w:pPr>
    </w:p>
    <w:p>
      <w:pPr>
        <w:pStyle w:val="BodyText"/>
        <w:tabs>
          <w:tab w:pos="1195" w:val="left" w:leader="none"/>
        </w:tabs>
        <w:spacing w:line="415" w:lineRule="auto" w:before="283"/>
        <w:ind w:right="295"/>
        <w:jc w:val="both"/>
      </w:pPr>
      <w:r>
        <w:rPr>
          <w:rFonts w:ascii="Arial"/>
          <w:w w:val="105"/>
          <w:sz w:val="12"/>
        </w:rPr>
        <w:t>670</w:t>
        <w:tab/>
      </w:r>
      <w:r>
        <w:rPr>
          <w:w w:val="105"/>
        </w:rPr>
        <w:t>Another important training outcome which </w:t>
      </w:r>
      <w:r>
        <w:rPr>
          <w:spacing w:val="-3"/>
          <w:w w:val="105"/>
        </w:rPr>
        <w:t>was </w:t>
      </w:r>
      <w:r>
        <w:rPr>
          <w:w w:val="105"/>
        </w:rPr>
        <w:t>also treated as manipulation </w:t>
      </w:r>
      <w:r>
        <w:rPr>
          <w:spacing w:val="-3"/>
          <w:w w:val="105"/>
        </w:rPr>
        <w:t>check </w:t>
      </w:r>
      <w:r>
        <w:rPr>
          <w:w w:val="105"/>
        </w:rPr>
        <w:t>for </w:t>
      </w:r>
      <w:r>
        <w:rPr>
          <w:rFonts w:ascii="Arial"/>
          <w:w w:val="105"/>
          <w:sz w:val="12"/>
        </w:rPr>
        <w:t>671 </w:t>
      </w:r>
      <w:r>
        <w:rPr>
          <w:w w:val="105"/>
        </w:rPr>
        <w:t>the ICT paradigm </w:t>
      </w:r>
      <w:r>
        <w:rPr>
          <w:spacing w:val="-3"/>
          <w:w w:val="105"/>
        </w:rPr>
        <w:t>was </w:t>
      </w:r>
      <w:r>
        <w:rPr>
          <w:w w:val="105"/>
        </w:rPr>
        <w:t>the change in </w:t>
      </w:r>
      <w:r>
        <w:rPr>
          <w:spacing w:val="3"/>
          <w:w w:val="105"/>
        </w:rPr>
        <w:t>food </w:t>
      </w:r>
      <w:r>
        <w:rPr>
          <w:w w:val="105"/>
        </w:rPr>
        <w:t>evaluations from pre-to post-training.</w:t>
      </w:r>
      <w:r>
        <w:rPr>
          <w:spacing w:val="63"/>
          <w:w w:val="105"/>
        </w:rPr>
        <w:t> </w:t>
      </w:r>
      <w:r>
        <w:rPr>
          <w:w w:val="105"/>
        </w:rPr>
        <w:t>According</w:t>
      </w:r>
      <w:r>
        <w:rPr>
          <w:spacing w:val="63"/>
          <w:w w:val="105"/>
        </w:rPr>
        <w:t> </w:t>
      </w:r>
      <w:r>
        <w:rPr>
          <w:rFonts w:ascii="Arial"/>
          <w:w w:val="105"/>
          <w:sz w:val="12"/>
        </w:rPr>
        <w:t>672</w:t>
      </w:r>
      <w:r>
        <w:rPr>
          <w:rFonts w:ascii="Arial"/>
          <w:spacing w:val="9"/>
          <w:w w:val="105"/>
          <w:sz w:val="12"/>
        </w:rPr>
        <w:t> </w:t>
      </w:r>
      <w:r>
        <w:rPr>
          <w:w w:val="105"/>
        </w:rPr>
        <w:t>to</w:t>
      </w:r>
      <w:r>
        <w:rPr>
          <w:spacing w:val="9"/>
          <w:w w:val="105"/>
        </w:rPr>
        <w:t> </w:t>
      </w:r>
      <w:r>
        <w:rPr>
          <w:w w:val="105"/>
        </w:rPr>
        <w:t>the</w:t>
      </w:r>
      <w:r>
        <w:rPr>
          <w:spacing w:val="10"/>
          <w:w w:val="105"/>
        </w:rPr>
        <w:t> </w:t>
      </w:r>
      <w:r>
        <w:rPr>
          <w:w w:val="105"/>
        </w:rPr>
        <w:t>BSI</w:t>
      </w:r>
      <w:r>
        <w:rPr>
          <w:spacing w:val="9"/>
          <w:w w:val="105"/>
        </w:rPr>
        <w:t> </w:t>
      </w:r>
      <w:r>
        <w:rPr>
          <w:w w:val="105"/>
        </w:rPr>
        <w:t>theory</w:t>
      </w:r>
      <w:r>
        <w:rPr>
          <w:spacing w:val="9"/>
          <w:w w:val="105"/>
        </w:rPr>
        <w:t> </w:t>
      </w:r>
      <w:r>
        <w:rPr>
          <w:w w:val="105"/>
        </w:rPr>
        <w:t>of</w:t>
      </w:r>
      <w:r>
        <w:rPr>
          <w:spacing w:val="9"/>
          <w:w w:val="105"/>
        </w:rPr>
        <w:t> </w:t>
      </w:r>
      <w:r>
        <w:rPr>
          <w:w w:val="105"/>
        </w:rPr>
        <w:t>stimulus</w:t>
      </w:r>
      <w:r>
        <w:rPr>
          <w:spacing w:val="9"/>
          <w:w w:val="105"/>
        </w:rPr>
        <w:t> </w:t>
      </w:r>
      <w:r>
        <w:rPr>
          <w:w w:val="105"/>
        </w:rPr>
        <w:t>devaluation,</w:t>
      </w:r>
      <w:r>
        <w:rPr>
          <w:spacing w:val="9"/>
          <w:w w:val="105"/>
        </w:rPr>
        <w:t> </w:t>
      </w:r>
      <w:r>
        <w:rPr>
          <w:w w:val="105"/>
        </w:rPr>
        <w:t>as</w:t>
      </w:r>
      <w:r>
        <w:rPr>
          <w:spacing w:val="9"/>
          <w:w w:val="105"/>
        </w:rPr>
        <w:t> </w:t>
      </w:r>
      <w:r>
        <w:rPr>
          <w:w w:val="105"/>
        </w:rPr>
        <w:t>already</w:t>
      </w:r>
      <w:r>
        <w:rPr>
          <w:spacing w:val="8"/>
          <w:w w:val="105"/>
        </w:rPr>
        <w:t> </w:t>
      </w:r>
      <w:r>
        <w:rPr>
          <w:w w:val="105"/>
        </w:rPr>
        <w:t>discussed,</w:t>
      </w:r>
      <w:r>
        <w:rPr>
          <w:spacing w:val="10"/>
          <w:w w:val="105"/>
        </w:rPr>
        <w:t> </w:t>
      </w:r>
      <w:r>
        <w:rPr>
          <w:w w:val="105"/>
        </w:rPr>
        <w:t>successful</w:t>
      </w:r>
      <w:r>
        <w:rPr>
          <w:spacing w:val="9"/>
          <w:w w:val="105"/>
        </w:rPr>
        <w:t> </w:t>
      </w:r>
      <w:r>
        <w:rPr>
          <w:w w:val="105"/>
        </w:rPr>
        <w:t>inhibition</w:t>
      </w:r>
      <w:r>
        <w:rPr>
          <w:spacing w:val="9"/>
          <w:w w:val="105"/>
        </w:rPr>
        <w:t> </w:t>
      </w:r>
      <w:r>
        <w:rPr>
          <w:w w:val="105"/>
        </w:rPr>
        <w:t>of</w:t>
      </w:r>
    </w:p>
    <w:p>
      <w:pPr>
        <w:pStyle w:val="BodyText"/>
        <w:spacing w:before="2"/>
      </w:pPr>
      <w:r>
        <w:rPr>
          <w:rFonts w:ascii="Arial"/>
          <w:w w:val="105"/>
          <w:sz w:val="12"/>
        </w:rPr>
        <w:t>673 </w:t>
      </w:r>
      <w:r>
        <w:rPr>
          <w:w w:val="105"/>
        </w:rPr>
        <w:t>responses on signal trials is facilitated by an underlying devaluation process for appetitive</w:t>
      </w:r>
    </w:p>
    <w:p>
      <w:pPr>
        <w:pStyle w:val="BodyText"/>
      </w:pPr>
      <w:r>
        <w:rPr>
          <w:rFonts w:ascii="Arial"/>
          <w:w w:val="105"/>
          <w:sz w:val="12"/>
        </w:rPr>
        <w:t>674 </w:t>
      </w:r>
      <w:r>
        <w:rPr>
          <w:w w:val="105"/>
        </w:rPr>
        <w:t>foods, whereby approach bias for these foods is reduced (Veling et al., 2008, 2017).</w:t>
      </w:r>
    </w:p>
    <w:p>
      <w:pPr>
        <w:pStyle w:val="BodyText"/>
        <w:spacing w:line="415" w:lineRule="auto"/>
        <w:ind w:right="456"/>
      </w:pPr>
      <w:r>
        <w:rPr>
          <w:rFonts w:ascii="Arial"/>
          <w:w w:val="105"/>
          <w:sz w:val="12"/>
        </w:rPr>
        <w:t>675     </w:t>
      </w:r>
      <w:r>
        <w:rPr>
          <w:w w:val="105"/>
        </w:rPr>
        <w:t>Consistent with previous findings where go/no-go training led to robust </w:t>
      </w:r>
      <w:r>
        <w:rPr>
          <w:spacing w:val="3"/>
          <w:w w:val="105"/>
        </w:rPr>
        <w:t>food </w:t>
      </w:r>
      <w:r>
        <w:rPr>
          <w:w w:val="105"/>
        </w:rPr>
        <w:t>devaluation   </w:t>
      </w:r>
      <w:r>
        <w:rPr>
          <w:rFonts w:ascii="Arial"/>
          <w:w w:val="105"/>
          <w:sz w:val="12"/>
        </w:rPr>
        <w:t>676 </w:t>
      </w:r>
      <w:r>
        <w:rPr>
          <w:w w:val="105"/>
        </w:rPr>
        <w:t>effects (see Chen et al., 2016 for a series of pre-registered experiments), it </w:t>
      </w:r>
      <w:r>
        <w:rPr>
          <w:spacing w:val="-3"/>
          <w:w w:val="105"/>
        </w:rPr>
        <w:t>was </w:t>
      </w:r>
      <w:r>
        <w:rPr>
          <w:w w:val="105"/>
        </w:rPr>
        <w:t>expected that </w:t>
      </w:r>
      <w:r>
        <w:rPr>
          <w:rFonts w:ascii="Arial"/>
          <w:w w:val="105"/>
          <w:sz w:val="12"/>
        </w:rPr>
        <w:t>677</w:t>
      </w:r>
      <w:r>
        <w:rPr>
          <w:rFonts w:ascii="Arial"/>
          <w:spacing w:val="13"/>
          <w:w w:val="105"/>
          <w:sz w:val="12"/>
        </w:rPr>
        <w:t> </w:t>
      </w:r>
      <w:r>
        <w:rPr>
          <w:w w:val="105"/>
        </w:rPr>
        <w:t>the</w:t>
      </w:r>
      <w:r>
        <w:rPr>
          <w:spacing w:val="9"/>
          <w:w w:val="105"/>
        </w:rPr>
        <w:t> </w:t>
      </w:r>
      <w:r>
        <w:rPr>
          <w:w w:val="105"/>
        </w:rPr>
        <w:t>change</w:t>
      </w:r>
      <w:r>
        <w:rPr>
          <w:spacing w:val="10"/>
          <w:w w:val="105"/>
        </w:rPr>
        <w:t> </w:t>
      </w:r>
      <w:r>
        <w:rPr>
          <w:w w:val="105"/>
        </w:rPr>
        <w:t>in</w:t>
      </w:r>
      <w:r>
        <w:rPr>
          <w:spacing w:val="11"/>
          <w:w w:val="105"/>
        </w:rPr>
        <w:t> </w:t>
      </w:r>
      <w:r>
        <w:rPr>
          <w:w w:val="105"/>
        </w:rPr>
        <w:t>mean</w:t>
      </w:r>
      <w:r>
        <w:rPr>
          <w:spacing w:val="10"/>
          <w:w w:val="105"/>
        </w:rPr>
        <w:t> </w:t>
      </w:r>
      <w:r>
        <w:rPr>
          <w:w w:val="105"/>
        </w:rPr>
        <w:t>tastiness</w:t>
      </w:r>
      <w:r>
        <w:rPr>
          <w:spacing w:val="9"/>
          <w:w w:val="105"/>
        </w:rPr>
        <w:t> </w:t>
      </w:r>
      <w:r>
        <w:rPr>
          <w:w w:val="105"/>
        </w:rPr>
        <w:t>ratings</w:t>
      </w:r>
      <w:r>
        <w:rPr>
          <w:spacing w:val="11"/>
          <w:w w:val="105"/>
        </w:rPr>
        <w:t> </w:t>
      </w:r>
      <w:r>
        <w:rPr>
          <w:w w:val="105"/>
        </w:rPr>
        <w:t>(i.e.,</w:t>
      </w:r>
      <w:r>
        <w:rPr>
          <w:spacing w:val="10"/>
          <w:w w:val="105"/>
        </w:rPr>
        <w:t> </w:t>
      </w:r>
      <w:r>
        <w:rPr>
          <w:spacing w:val="3"/>
          <w:w w:val="105"/>
        </w:rPr>
        <w:t>food</w:t>
      </w:r>
      <w:r>
        <w:rPr>
          <w:spacing w:val="10"/>
          <w:w w:val="105"/>
        </w:rPr>
        <w:t> </w:t>
      </w:r>
      <w:r>
        <w:rPr>
          <w:w w:val="105"/>
        </w:rPr>
        <w:t>liking)</w:t>
      </w:r>
      <w:r>
        <w:rPr>
          <w:spacing w:val="10"/>
          <w:w w:val="105"/>
        </w:rPr>
        <w:t> </w:t>
      </w:r>
      <w:r>
        <w:rPr>
          <w:w w:val="105"/>
        </w:rPr>
        <w:t>for</w:t>
      </w:r>
      <w:r>
        <w:rPr>
          <w:spacing w:val="11"/>
          <w:w w:val="105"/>
        </w:rPr>
        <w:t> </w:t>
      </w:r>
      <w:r>
        <w:rPr>
          <w:w w:val="105"/>
        </w:rPr>
        <w:t>no-go</w:t>
      </w:r>
      <w:r>
        <w:rPr>
          <w:spacing w:val="11"/>
          <w:w w:val="105"/>
        </w:rPr>
        <w:t> </w:t>
      </w:r>
      <w:r>
        <w:rPr>
          <w:spacing w:val="2"/>
          <w:w w:val="105"/>
        </w:rPr>
        <w:t>foods</w:t>
      </w:r>
      <w:r>
        <w:rPr>
          <w:spacing w:val="10"/>
          <w:w w:val="105"/>
        </w:rPr>
        <w:t> </w:t>
      </w:r>
      <w:r>
        <w:rPr>
          <w:w w:val="105"/>
        </w:rPr>
        <w:t>from</w:t>
      </w:r>
      <w:r>
        <w:rPr>
          <w:spacing w:val="11"/>
          <w:w w:val="105"/>
        </w:rPr>
        <w:t> </w:t>
      </w:r>
      <w:r>
        <w:rPr>
          <w:w w:val="105"/>
        </w:rPr>
        <w:t>pre-to</w:t>
      </w:r>
    </w:p>
    <w:p>
      <w:pPr>
        <w:pStyle w:val="BodyText"/>
        <w:spacing w:before="3"/>
      </w:pPr>
      <w:r>
        <w:rPr>
          <w:rFonts w:ascii="Arial"/>
          <w:w w:val="105"/>
          <w:sz w:val="12"/>
        </w:rPr>
        <w:t>678    </w:t>
      </w:r>
      <w:r>
        <w:rPr>
          <w:rFonts w:ascii="Arial"/>
          <w:spacing w:val="7"/>
          <w:w w:val="105"/>
          <w:sz w:val="12"/>
        </w:rPr>
        <w:t> </w:t>
      </w:r>
      <w:r>
        <w:rPr>
          <w:w w:val="105"/>
        </w:rPr>
        <w:t>post-training</w:t>
      </w:r>
      <w:r>
        <w:rPr>
          <w:spacing w:val="8"/>
          <w:w w:val="105"/>
        </w:rPr>
        <w:t> </w:t>
      </w:r>
      <w:r>
        <w:rPr>
          <w:w w:val="105"/>
        </w:rPr>
        <w:t>would</w:t>
      </w:r>
      <w:r>
        <w:rPr>
          <w:spacing w:val="9"/>
          <w:w w:val="105"/>
        </w:rPr>
        <w:t> </w:t>
      </w:r>
      <w:r>
        <w:rPr>
          <w:spacing w:val="3"/>
          <w:w w:val="105"/>
        </w:rPr>
        <w:t>be</w:t>
      </w:r>
      <w:r>
        <w:rPr>
          <w:spacing w:val="9"/>
          <w:w w:val="105"/>
        </w:rPr>
        <w:t> </w:t>
      </w:r>
      <w:r>
        <w:rPr>
          <w:w w:val="105"/>
        </w:rPr>
        <w:t>reduced</w:t>
      </w:r>
      <w:r>
        <w:rPr>
          <w:spacing w:val="7"/>
          <w:w w:val="105"/>
        </w:rPr>
        <w:t> </w:t>
      </w:r>
      <w:r>
        <w:rPr>
          <w:w w:val="105"/>
        </w:rPr>
        <w:t>compared</w:t>
      </w:r>
      <w:r>
        <w:rPr>
          <w:spacing w:val="9"/>
          <w:w w:val="105"/>
        </w:rPr>
        <w:t> </w:t>
      </w:r>
      <w:r>
        <w:rPr>
          <w:w w:val="105"/>
        </w:rPr>
        <w:t>to</w:t>
      </w:r>
      <w:r>
        <w:rPr>
          <w:spacing w:val="8"/>
          <w:w w:val="105"/>
        </w:rPr>
        <w:t> </w:t>
      </w:r>
      <w:r>
        <w:rPr>
          <w:w w:val="105"/>
        </w:rPr>
        <w:t>the</w:t>
      </w:r>
      <w:r>
        <w:rPr>
          <w:spacing w:val="8"/>
          <w:w w:val="105"/>
        </w:rPr>
        <w:t> </w:t>
      </w:r>
      <w:r>
        <w:rPr>
          <w:w w:val="105"/>
        </w:rPr>
        <w:t>change</w:t>
      </w:r>
      <w:r>
        <w:rPr>
          <w:spacing w:val="7"/>
          <w:w w:val="105"/>
        </w:rPr>
        <w:t> </w:t>
      </w:r>
      <w:r>
        <w:rPr>
          <w:w w:val="105"/>
        </w:rPr>
        <w:t>in</w:t>
      </w:r>
      <w:r>
        <w:rPr>
          <w:spacing w:val="9"/>
          <w:w w:val="105"/>
        </w:rPr>
        <w:t> </w:t>
      </w:r>
      <w:r>
        <w:rPr>
          <w:w w:val="105"/>
        </w:rPr>
        <w:t>ratings</w:t>
      </w:r>
      <w:r>
        <w:rPr>
          <w:spacing w:val="8"/>
          <w:w w:val="105"/>
        </w:rPr>
        <w:t> </w:t>
      </w:r>
      <w:r>
        <w:rPr>
          <w:w w:val="105"/>
        </w:rPr>
        <w:t>for</w:t>
      </w:r>
      <w:r>
        <w:rPr>
          <w:spacing w:val="9"/>
          <w:w w:val="105"/>
        </w:rPr>
        <w:t> </w:t>
      </w:r>
      <w:r>
        <w:rPr>
          <w:w w:val="105"/>
        </w:rPr>
        <w:t>filler</w:t>
      </w:r>
      <w:r>
        <w:rPr>
          <w:spacing w:val="8"/>
          <w:w w:val="105"/>
        </w:rPr>
        <w:t> </w:t>
      </w:r>
      <w:r>
        <w:rPr>
          <w:w w:val="105"/>
        </w:rPr>
        <w:t>foods.</w:t>
      </w:r>
    </w:p>
    <w:p>
      <w:pPr>
        <w:pStyle w:val="BodyText"/>
      </w:pPr>
      <w:r>
        <w:rPr>
          <w:rFonts w:ascii="Arial"/>
          <w:w w:val="105"/>
          <w:sz w:val="12"/>
        </w:rPr>
        <w:t>679     </w:t>
      </w:r>
      <w:r>
        <w:rPr>
          <w:w w:val="105"/>
        </w:rPr>
        <w:t>Pre-registered analyses </w:t>
      </w:r>
      <w:r>
        <w:rPr>
          <w:spacing w:val="-3"/>
          <w:w w:val="105"/>
        </w:rPr>
        <w:t>showed </w:t>
      </w:r>
      <w:r>
        <w:rPr>
          <w:w w:val="105"/>
        </w:rPr>
        <w:t>only </w:t>
      </w:r>
      <w:r>
        <w:rPr>
          <w:i/>
          <w:spacing w:val="-3"/>
          <w:w w:val="105"/>
        </w:rPr>
        <w:t>anecdotal  </w:t>
      </w:r>
      <w:r>
        <w:rPr>
          <w:w w:val="105"/>
        </w:rPr>
        <w:t>evidence that no-go </w:t>
      </w:r>
      <w:r>
        <w:rPr>
          <w:spacing w:val="2"/>
          <w:w w:val="105"/>
        </w:rPr>
        <w:t>foods </w:t>
      </w:r>
      <w:r>
        <w:rPr>
          <w:w w:val="105"/>
        </w:rPr>
        <w:t>were rated</w:t>
      </w:r>
      <w:r>
        <w:rPr>
          <w:spacing w:val="-17"/>
          <w:w w:val="105"/>
        </w:rPr>
        <w:t> </w:t>
      </w:r>
      <w:r>
        <w:rPr>
          <w:w w:val="105"/>
        </w:rPr>
        <w:t>less</w:t>
      </w:r>
    </w:p>
    <w:p>
      <w:pPr>
        <w:pStyle w:val="BodyText"/>
        <w:spacing w:line="415" w:lineRule="auto"/>
        <w:ind w:right="433"/>
      </w:pPr>
      <w:r>
        <w:rPr>
          <w:rFonts w:ascii="Arial"/>
          <w:w w:val="105"/>
          <w:sz w:val="12"/>
        </w:rPr>
        <w:t>680 </w:t>
      </w:r>
      <w:r>
        <w:rPr>
          <w:w w:val="105"/>
        </w:rPr>
        <w:t>positively after training compared to filler </w:t>
      </w:r>
      <w:r>
        <w:rPr>
          <w:spacing w:val="2"/>
          <w:w w:val="105"/>
        </w:rPr>
        <w:t>foods </w:t>
      </w:r>
      <w:r>
        <w:rPr>
          <w:w w:val="105"/>
        </w:rPr>
        <w:t>(H3a).</w:t>
      </w:r>
      <w:r>
        <w:rPr>
          <w:spacing w:val="63"/>
          <w:w w:val="105"/>
        </w:rPr>
        <w:t> </w:t>
      </w:r>
      <w:r>
        <w:rPr>
          <w:w w:val="105"/>
        </w:rPr>
        <w:t>Similarly, participants did not show </w:t>
      </w:r>
      <w:r>
        <w:rPr>
          <w:rFonts w:ascii="Arial"/>
          <w:w w:val="105"/>
          <w:sz w:val="12"/>
        </w:rPr>
        <w:t>681</w:t>
      </w:r>
      <w:r>
        <w:rPr>
          <w:rFonts w:ascii="Arial"/>
          <w:spacing w:val="35"/>
          <w:w w:val="105"/>
          <w:sz w:val="12"/>
        </w:rPr>
        <w:t> </w:t>
      </w:r>
      <w:r>
        <w:rPr>
          <w:w w:val="105"/>
        </w:rPr>
        <w:t>increased liking for go </w:t>
      </w:r>
      <w:r>
        <w:rPr>
          <w:spacing w:val="2"/>
          <w:w w:val="105"/>
        </w:rPr>
        <w:t>foods </w:t>
      </w:r>
      <w:r>
        <w:rPr>
          <w:w w:val="105"/>
        </w:rPr>
        <w:t>relative to the filler foods, from pre-to post-training (H3b).  It  </w:t>
      </w:r>
      <w:r>
        <w:rPr>
          <w:rFonts w:ascii="Arial"/>
          <w:w w:val="105"/>
          <w:sz w:val="12"/>
        </w:rPr>
        <w:t>682     </w:t>
      </w:r>
      <w:r>
        <w:rPr>
          <w:w w:val="105"/>
        </w:rPr>
        <w:t>should </w:t>
      </w:r>
      <w:r>
        <w:rPr>
          <w:spacing w:val="3"/>
          <w:w w:val="105"/>
        </w:rPr>
        <w:t>be </w:t>
      </w:r>
      <w:r>
        <w:rPr>
          <w:w w:val="105"/>
        </w:rPr>
        <w:t>noted that filler </w:t>
      </w:r>
      <w:r>
        <w:rPr>
          <w:spacing w:val="2"/>
          <w:w w:val="105"/>
        </w:rPr>
        <w:t>foods </w:t>
      </w:r>
      <w:r>
        <w:rPr>
          <w:w w:val="105"/>
        </w:rPr>
        <w:t>which were associated with both go and no-go responses   </w:t>
      </w:r>
      <w:r>
        <w:rPr>
          <w:rFonts w:ascii="Arial"/>
          <w:w w:val="105"/>
          <w:sz w:val="12"/>
        </w:rPr>
        <w:t>683 </w:t>
      </w:r>
      <w:r>
        <w:rPr>
          <w:w w:val="105"/>
        </w:rPr>
        <w:t>(50:50) are not an ideal control for devaluation effects, as Chen et al.</w:t>
      </w:r>
      <w:r>
        <w:rPr>
          <w:spacing w:val="63"/>
          <w:w w:val="105"/>
        </w:rPr>
        <w:t> </w:t>
      </w:r>
      <w:r>
        <w:rPr>
          <w:w w:val="105"/>
        </w:rPr>
        <w:t>(2016) correctly point </w:t>
      </w:r>
      <w:r>
        <w:rPr>
          <w:rFonts w:ascii="Arial"/>
          <w:w w:val="105"/>
          <w:sz w:val="12"/>
        </w:rPr>
        <w:t>684</w:t>
      </w:r>
      <w:r>
        <w:rPr>
          <w:rFonts w:ascii="Arial"/>
          <w:spacing w:val="11"/>
          <w:w w:val="105"/>
          <w:sz w:val="12"/>
        </w:rPr>
        <w:t> </w:t>
      </w:r>
      <w:r>
        <w:rPr>
          <w:w w:val="105"/>
        </w:rPr>
        <w:t>out</w:t>
      </w:r>
      <w:r>
        <w:rPr>
          <w:spacing w:val="9"/>
          <w:w w:val="105"/>
        </w:rPr>
        <w:t> </w:t>
      </w:r>
      <w:r>
        <w:rPr>
          <w:w w:val="105"/>
        </w:rPr>
        <w:t>that</w:t>
      </w:r>
      <w:r>
        <w:rPr>
          <w:spacing w:val="9"/>
          <w:w w:val="105"/>
        </w:rPr>
        <w:t> </w:t>
      </w:r>
      <w:r>
        <w:rPr>
          <w:w w:val="105"/>
        </w:rPr>
        <w:t>effects</w:t>
      </w:r>
      <w:r>
        <w:rPr>
          <w:spacing w:val="10"/>
          <w:w w:val="105"/>
        </w:rPr>
        <w:t> </w:t>
      </w:r>
      <w:r>
        <w:rPr>
          <w:w w:val="105"/>
        </w:rPr>
        <w:t>should</w:t>
      </w:r>
      <w:r>
        <w:rPr>
          <w:spacing w:val="10"/>
          <w:w w:val="105"/>
        </w:rPr>
        <w:t> </w:t>
      </w:r>
      <w:r>
        <w:rPr>
          <w:spacing w:val="3"/>
          <w:w w:val="105"/>
        </w:rPr>
        <w:t>be</w:t>
      </w:r>
      <w:r>
        <w:rPr>
          <w:spacing w:val="10"/>
          <w:w w:val="105"/>
        </w:rPr>
        <w:t> </w:t>
      </w:r>
      <w:r>
        <w:rPr>
          <w:w w:val="105"/>
        </w:rPr>
        <w:t>observed</w:t>
      </w:r>
      <w:r>
        <w:rPr>
          <w:spacing w:val="10"/>
          <w:w w:val="105"/>
        </w:rPr>
        <w:t> </w:t>
      </w:r>
      <w:r>
        <w:rPr>
          <w:w w:val="105"/>
        </w:rPr>
        <w:t>for</w:t>
      </w:r>
      <w:r>
        <w:rPr>
          <w:spacing w:val="10"/>
          <w:w w:val="105"/>
        </w:rPr>
        <w:t> </w:t>
      </w:r>
      <w:r>
        <w:rPr>
          <w:spacing w:val="-5"/>
          <w:w w:val="105"/>
        </w:rPr>
        <w:t>two</w:t>
      </w:r>
      <w:r>
        <w:rPr>
          <w:spacing w:val="9"/>
          <w:w w:val="105"/>
        </w:rPr>
        <w:t> </w:t>
      </w:r>
      <w:r>
        <w:rPr>
          <w:w w:val="105"/>
        </w:rPr>
        <w:t>baselines</w:t>
      </w:r>
      <w:r>
        <w:rPr>
          <w:spacing w:val="9"/>
          <w:w w:val="105"/>
        </w:rPr>
        <w:t> </w:t>
      </w:r>
      <w:r>
        <w:rPr>
          <w:w w:val="105"/>
        </w:rPr>
        <w:t>in</w:t>
      </w:r>
      <w:r>
        <w:rPr>
          <w:spacing w:val="10"/>
          <w:w w:val="105"/>
        </w:rPr>
        <w:t> </w:t>
      </w:r>
      <w:r>
        <w:rPr>
          <w:w w:val="105"/>
        </w:rPr>
        <w:t>order</w:t>
      </w:r>
      <w:r>
        <w:rPr>
          <w:spacing w:val="9"/>
          <w:w w:val="105"/>
        </w:rPr>
        <w:t> </w:t>
      </w:r>
      <w:r>
        <w:rPr>
          <w:w w:val="105"/>
        </w:rPr>
        <w:t>for</w:t>
      </w:r>
      <w:r>
        <w:rPr>
          <w:spacing w:val="10"/>
          <w:w w:val="105"/>
        </w:rPr>
        <w:t> </w:t>
      </w:r>
      <w:r>
        <w:rPr>
          <w:w w:val="105"/>
        </w:rPr>
        <w:t>proper</w:t>
      </w:r>
      <w:r>
        <w:rPr>
          <w:spacing w:val="10"/>
          <w:w w:val="105"/>
        </w:rPr>
        <w:t> </w:t>
      </w:r>
      <w:r>
        <w:rPr>
          <w:w w:val="105"/>
        </w:rPr>
        <w:t>inferences</w:t>
      </w:r>
      <w:r>
        <w:rPr>
          <w:spacing w:val="9"/>
          <w:w w:val="105"/>
        </w:rPr>
        <w:t> </w:t>
      </w:r>
      <w:r>
        <w:rPr>
          <w:w w:val="105"/>
        </w:rPr>
        <w:t>to</w:t>
      </w:r>
      <w:r>
        <w:rPr>
          <w:spacing w:val="9"/>
          <w:w w:val="105"/>
        </w:rPr>
        <w:t> </w:t>
      </w:r>
      <w:r>
        <w:rPr>
          <w:spacing w:val="3"/>
          <w:w w:val="105"/>
        </w:rPr>
        <w:t>be</w:t>
      </w:r>
    </w:p>
    <w:p>
      <w:pPr>
        <w:pStyle w:val="BodyText"/>
        <w:spacing w:before="4"/>
      </w:pPr>
      <w:r>
        <w:rPr>
          <w:rFonts w:ascii="Arial"/>
          <w:w w:val="105"/>
          <w:sz w:val="12"/>
        </w:rPr>
        <w:t>685 </w:t>
      </w:r>
      <w:r>
        <w:rPr>
          <w:w w:val="105"/>
        </w:rPr>
        <w:t>made. They compared changes in evaluation for no-go </w:t>
      </w:r>
      <w:r>
        <w:rPr>
          <w:spacing w:val="2"/>
          <w:w w:val="105"/>
        </w:rPr>
        <w:t>foods </w:t>
      </w:r>
      <w:r>
        <w:rPr>
          <w:w w:val="105"/>
        </w:rPr>
        <w:t>compared to changes for</w:t>
      </w:r>
      <w:r>
        <w:rPr>
          <w:spacing w:val="60"/>
          <w:w w:val="105"/>
        </w:rPr>
        <w:t> </w:t>
      </w:r>
      <w:r>
        <w:rPr>
          <w:w w:val="105"/>
        </w:rPr>
        <w:t>go</w:t>
      </w:r>
    </w:p>
    <w:p>
      <w:pPr>
        <w:pStyle w:val="BodyText"/>
      </w:pPr>
      <w:r>
        <w:rPr>
          <w:rFonts w:ascii="Arial"/>
          <w:sz w:val="12"/>
        </w:rPr>
        <w:t>686 </w:t>
      </w:r>
      <w:r>
        <w:rPr/>
        <w:t>foods as well as changes for untrained food stimuli, which were never included in training. In</w:t>
      </w:r>
    </w:p>
    <w:p>
      <w:pPr>
        <w:pStyle w:val="BodyText"/>
      </w:pPr>
      <w:r>
        <w:rPr>
          <w:rFonts w:ascii="Arial"/>
          <w:w w:val="105"/>
          <w:sz w:val="12"/>
        </w:rPr>
        <w:t>687 </w:t>
      </w:r>
      <w:r>
        <w:rPr>
          <w:w w:val="105"/>
        </w:rPr>
        <w:t>their design, food stimuli sets were matched in valence at the beginning of the study.</w:t>
      </w:r>
    </w:p>
    <w:p>
      <w:pPr>
        <w:pStyle w:val="BodyText"/>
      </w:pPr>
      <w:r>
        <w:rPr>
          <w:rFonts w:ascii="Arial"/>
          <w:w w:val="110"/>
          <w:sz w:val="12"/>
        </w:rPr>
        <w:t>688 </w:t>
      </w:r>
      <w:r>
        <w:rPr>
          <w:w w:val="110"/>
        </w:rPr>
        <w:t>However, participants in this study were only presented with a fixed set of unhealthy foods</w:t>
      </w:r>
    </w:p>
    <w:p>
      <w:pPr>
        <w:pStyle w:val="BodyText"/>
      </w:pPr>
      <w:r>
        <w:rPr>
          <w:rFonts w:ascii="Arial"/>
          <w:w w:val="105"/>
          <w:sz w:val="12"/>
        </w:rPr>
        <w:t>689 </w:t>
      </w:r>
      <w:r>
        <w:rPr>
          <w:w w:val="105"/>
        </w:rPr>
        <w:t>which were considered appetitive (e.g., pizza, cake, crisps) and this was a viable limitation</w:t>
      </w:r>
    </w:p>
    <w:p>
      <w:pPr>
        <w:spacing w:after="0"/>
        <w:sectPr>
          <w:pgSz w:w="12240" w:h="15840"/>
          <w:pgMar w:header="649" w:footer="0" w:top="1320" w:bottom="280" w:left="820" w:right="1140"/>
        </w:sectPr>
      </w:pPr>
    </w:p>
    <w:p>
      <w:pPr>
        <w:pStyle w:val="BodyText"/>
        <w:spacing w:line="415" w:lineRule="auto" w:before="191"/>
        <w:ind w:right="782"/>
      </w:pPr>
      <w:r>
        <w:rPr>
          <w:rFonts w:ascii="Arial"/>
          <w:w w:val="105"/>
          <w:sz w:val="12"/>
        </w:rPr>
        <w:t>690 </w:t>
      </w:r>
      <w:r>
        <w:rPr>
          <w:w w:val="105"/>
        </w:rPr>
        <w:t>with regards to the examination of devaluation effects.</w:t>
      </w:r>
      <w:r>
        <w:rPr>
          <w:spacing w:val="63"/>
          <w:w w:val="105"/>
        </w:rPr>
        <w:t> </w:t>
      </w:r>
      <w:r>
        <w:rPr>
          <w:w w:val="105"/>
        </w:rPr>
        <w:t>There is evidence to suggest that</w:t>
      </w:r>
      <w:r>
        <w:rPr>
          <w:spacing w:val="63"/>
          <w:w w:val="105"/>
        </w:rPr>
        <w:t> </w:t>
      </w:r>
      <w:r>
        <w:rPr>
          <w:rFonts w:ascii="Arial"/>
          <w:w w:val="105"/>
          <w:sz w:val="12"/>
        </w:rPr>
        <w:t>691  </w:t>
      </w:r>
      <w:r>
        <w:rPr>
          <w:rFonts w:ascii="Arial"/>
          <w:spacing w:val="35"/>
          <w:w w:val="105"/>
          <w:sz w:val="12"/>
        </w:rPr>
        <w:t> </w:t>
      </w:r>
      <w:r>
        <w:rPr>
          <w:w w:val="105"/>
        </w:rPr>
        <w:t>devaluation is observed only when highly appetitive </w:t>
      </w:r>
      <w:r>
        <w:rPr>
          <w:spacing w:val="2"/>
          <w:w w:val="105"/>
        </w:rPr>
        <w:t>foods </w:t>
      </w:r>
      <w:r>
        <w:rPr>
          <w:w w:val="105"/>
        </w:rPr>
        <w:t>are associated with response  </w:t>
      </w:r>
      <w:r>
        <w:rPr>
          <w:rFonts w:ascii="Arial"/>
          <w:w w:val="105"/>
          <w:sz w:val="12"/>
        </w:rPr>
        <w:t>692 </w:t>
      </w:r>
      <w:r>
        <w:rPr>
          <w:w w:val="105"/>
        </w:rPr>
        <w:t>inhibition (see Chen et al.,</w:t>
      </w:r>
      <w:r>
        <w:rPr>
          <w:spacing w:val="58"/>
          <w:w w:val="105"/>
        </w:rPr>
        <w:t> </w:t>
      </w:r>
      <w:r>
        <w:rPr>
          <w:w w:val="105"/>
        </w:rPr>
        <w:t>2016).</w:t>
      </w:r>
    </w:p>
    <w:p>
      <w:pPr>
        <w:pStyle w:val="BodyText"/>
        <w:spacing w:before="8"/>
        <w:ind w:left="0"/>
        <w:rPr>
          <w:sz w:val="12"/>
        </w:rPr>
      </w:pPr>
    </w:p>
    <w:p>
      <w:pPr>
        <w:pStyle w:val="BodyText"/>
        <w:tabs>
          <w:tab w:pos="1195" w:val="left" w:leader="none"/>
        </w:tabs>
        <w:spacing w:line="415" w:lineRule="auto" w:before="145"/>
        <w:ind w:right="297"/>
      </w:pPr>
      <w:r>
        <w:rPr>
          <w:rFonts w:ascii="Arial" w:hAnsi="Arial"/>
          <w:w w:val="105"/>
          <w:sz w:val="12"/>
        </w:rPr>
        <w:t>693</w:t>
        <w:tab/>
      </w:r>
      <w:r>
        <w:rPr>
          <w:w w:val="105"/>
        </w:rPr>
        <w:t>Exploratory analyses further </w:t>
      </w:r>
      <w:r>
        <w:rPr>
          <w:spacing w:val="-3"/>
          <w:w w:val="105"/>
        </w:rPr>
        <w:t>showed </w:t>
      </w:r>
      <w:r>
        <w:rPr>
          <w:w w:val="105"/>
        </w:rPr>
        <w:t>that while on average no-go </w:t>
      </w:r>
      <w:r>
        <w:rPr>
          <w:spacing w:val="2"/>
          <w:w w:val="105"/>
        </w:rPr>
        <w:t>foods </w:t>
      </w:r>
      <w:r>
        <w:rPr>
          <w:w w:val="105"/>
        </w:rPr>
        <w:t>were rated less </w:t>
      </w:r>
      <w:r>
        <w:rPr>
          <w:rFonts w:ascii="Arial" w:hAnsi="Arial"/>
          <w:w w:val="105"/>
          <w:sz w:val="12"/>
        </w:rPr>
        <w:t>694</w:t>
      </w:r>
      <w:r>
        <w:rPr>
          <w:rFonts w:ascii="Arial" w:hAnsi="Arial"/>
          <w:spacing w:val="35"/>
          <w:w w:val="105"/>
          <w:sz w:val="12"/>
        </w:rPr>
        <w:t> </w:t>
      </w:r>
      <w:r>
        <w:rPr>
          <w:w w:val="105"/>
        </w:rPr>
        <w:t>positively after training compared to before, there </w:t>
      </w:r>
      <w:r>
        <w:rPr>
          <w:spacing w:val="-3"/>
          <w:w w:val="105"/>
        </w:rPr>
        <w:t>was </w:t>
      </w:r>
      <w:r>
        <w:rPr>
          <w:w w:val="105"/>
        </w:rPr>
        <w:t>a general devaluation trend for both   </w:t>
      </w:r>
      <w:r>
        <w:rPr>
          <w:rFonts w:ascii="Arial" w:hAnsi="Arial"/>
          <w:w w:val="105"/>
          <w:sz w:val="12"/>
        </w:rPr>
        <w:t>695 </w:t>
      </w:r>
      <w:r>
        <w:rPr>
          <w:w w:val="105"/>
        </w:rPr>
        <w:t>go and control </w:t>
      </w:r>
      <w:r>
        <w:rPr>
          <w:spacing w:val="2"/>
          <w:w w:val="105"/>
        </w:rPr>
        <w:t>foods </w:t>
      </w:r>
      <w:r>
        <w:rPr>
          <w:w w:val="105"/>
        </w:rPr>
        <w:t>(see </w:t>
      </w:r>
      <w:hyperlink w:history="true" w:anchor="_bookmark26">
        <w:r>
          <w:rPr>
            <w:i/>
            <w:w w:val="105"/>
          </w:rPr>
          <w:t>Devaluation trends across training conditions</w:t>
        </w:r>
      </w:hyperlink>
      <w:r>
        <w:rPr>
          <w:w w:val="105"/>
        </w:rPr>
        <w:t>).</w:t>
      </w:r>
      <w:r>
        <w:rPr>
          <w:spacing w:val="63"/>
          <w:w w:val="105"/>
        </w:rPr>
        <w:t> </w:t>
      </w:r>
      <w:r>
        <w:rPr>
          <w:w w:val="105"/>
        </w:rPr>
        <w:t>It is possible that </w:t>
      </w:r>
      <w:r>
        <w:rPr>
          <w:rFonts w:ascii="Arial" w:hAnsi="Arial"/>
          <w:w w:val="105"/>
          <w:sz w:val="12"/>
        </w:rPr>
        <w:t>696     </w:t>
      </w:r>
      <w:r>
        <w:rPr>
          <w:w w:val="105"/>
        </w:rPr>
        <w:t>‘over-exposure’ to </w:t>
      </w:r>
      <w:r>
        <w:rPr>
          <w:spacing w:val="3"/>
          <w:w w:val="105"/>
        </w:rPr>
        <w:t>food </w:t>
      </w:r>
      <w:r>
        <w:rPr>
          <w:w w:val="105"/>
        </w:rPr>
        <w:t>stimuli from all training conditions during the phases of the study  </w:t>
      </w:r>
      <w:r>
        <w:rPr>
          <w:rFonts w:ascii="Arial" w:hAnsi="Arial"/>
          <w:w w:val="105"/>
          <w:sz w:val="12"/>
        </w:rPr>
        <w:t>697</w:t>
      </w:r>
      <w:r>
        <w:rPr>
          <w:rFonts w:ascii="Arial" w:hAnsi="Arial"/>
          <w:spacing w:val="2"/>
          <w:w w:val="105"/>
          <w:sz w:val="12"/>
        </w:rPr>
        <w:t> </w:t>
      </w:r>
      <w:r>
        <w:rPr>
          <w:w w:val="105"/>
        </w:rPr>
        <w:t>(pre-training,</w:t>
      </w:r>
      <w:r>
        <w:rPr>
          <w:spacing w:val="17"/>
          <w:w w:val="105"/>
        </w:rPr>
        <w:t> </w:t>
      </w:r>
      <w:r>
        <w:rPr>
          <w:w w:val="105"/>
        </w:rPr>
        <w:t>training,</w:t>
      </w:r>
      <w:r>
        <w:rPr>
          <w:spacing w:val="18"/>
          <w:w w:val="105"/>
        </w:rPr>
        <w:t> </w:t>
      </w:r>
      <w:r>
        <w:rPr>
          <w:w w:val="105"/>
        </w:rPr>
        <w:t>and</w:t>
      </w:r>
      <w:r>
        <w:rPr>
          <w:spacing w:val="17"/>
          <w:w w:val="105"/>
        </w:rPr>
        <w:t> </w:t>
      </w:r>
      <w:r>
        <w:rPr>
          <w:w w:val="105"/>
        </w:rPr>
        <w:t>post-training)</w:t>
      </w:r>
      <w:r>
        <w:rPr>
          <w:spacing w:val="17"/>
          <w:w w:val="105"/>
        </w:rPr>
        <w:t> </w:t>
      </w:r>
      <w:r>
        <w:rPr>
          <w:w w:val="105"/>
        </w:rPr>
        <w:t>could</w:t>
      </w:r>
      <w:r>
        <w:rPr>
          <w:spacing w:val="18"/>
          <w:w w:val="105"/>
        </w:rPr>
        <w:t> </w:t>
      </w:r>
      <w:r>
        <w:rPr>
          <w:spacing w:val="-4"/>
          <w:w w:val="105"/>
        </w:rPr>
        <w:t>have</w:t>
      </w:r>
      <w:r>
        <w:rPr>
          <w:spacing w:val="17"/>
          <w:w w:val="105"/>
        </w:rPr>
        <w:t> </w:t>
      </w:r>
      <w:r>
        <w:rPr>
          <w:w w:val="105"/>
        </w:rPr>
        <w:t>had</w:t>
      </w:r>
      <w:r>
        <w:rPr>
          <w:spacing w:val="17"/>
          <w:w w:val="105"/>
        </w:rPr>
        <w:t> </w:t>
      </w:r>
      <w:r>
        <w:rPr>
          <w:w w:val="105"/>
        </w:rPr>
        <w:t>a</w:t>
      </w:r>
      <w:r>
        <w:rPr>
          <w:spacing w:val="17"/>
          <w:w w:val="105"/>
        </w:rPr>
        <w:t> </w:t>
      </w:r>
      <w:r>
        <w:rPr>
          <w:w w:val="105"/>
        </w:rPr>
        <w:t>viable</w:t>
      </w:r>
      <w:r>
        <w:rPr>
          <w:spacing w:val="17"/>
          <w:w w:val="105"/>
        </w:rPr>
        <w:t> </w:t>
      </w:r>
      <w:r>
        <w:rPr>
          <w:w w:val="105"/>
        </w:rPr>
        <w:t>habituation</w:t>
      </w:r>
      <w:r>
        <w:rPr>
          <w:spacing w:val="18"/>
          <w:w w:val="105"/>
        </w:rPr>
        <w:t> </w:t>
      </w:r>
      <w:r>
        <w:rPr>
          <w:w w:val="105"/>
        </w:rPr>
        <w:t>effect</w:t>
      </w:r>
      <w:r>
        <w:rPr>
          <w:spacing w:val="18"/>
          <w:w w:val="105"/>
        </w:rPr>
        <w:t> </w:t>
      </w:r>
      <w:r>
        <w:rPr>
          <w:w w:val="105"/>
        </w:rPr>
        <w:t>on</w:t>
      </w:r>
    </w:p>
    <w:p>
      <w:pPr>
        <w:pStyle w:val="BodyText"/>
        <w:spacing w:line="415" w:lineRule="auto" w:before="4"/>
        <w:ind w:right="251"/>
      </w:pPr>
      <w:r>
        <w:rPr>
          <w:rFonts w:ascii="Arial" w:hAnsi="Arial"/>
          <w:sz w:val="12"/>
        </w:rPr>
        <w:t>698       </w:t>
      </w:r>
      <w:r>
        <w:rPr/>
        <w:t>participants’ affective evaluations of </w:t>
      </w:r>
      <w:r>
        <w:rPr>
          <w:spacing w:val="-3"/>
        </w:rPr>
        <w:t>any  </w:t>
      </w:r>
      <w:r>
        <w:rPr/>
        <w:t>presented </w:t>
      </w:r>
      <w:r>
        <w:rPr>
          <w:spacing w:val="2"/>
        </w:rPr>
        <w:t>foods </w:t>
      </w:r>
      <w:r>
        <w:rPr/>
        <w:t>at the end of the </w:t>
      </w:r>
      <w:r>
        <w:rPr>
          <w:spacing w:val="-4"/>
        </w:rPr>
        <w:t>study.  </w:t>
      </w:r>
      <w:r>
        <w:rPr/>
        <w:t>It is also        </w:t>
      </w:r>
      <w:r>
        <w:rPr>
          <w:rFonts w:ascii="Arial" w:hAnsi="Arial"/>
          <w:sz w:val="12"/>
        </w:rPr>
        <w:t>699    </w:t>
      </w:r>
      <w:r>
        <w:rPr/>
        <w:t>unclear whether stimulus-response mappings in the </w:t>
      </w:r>
      <w:r>
        <w:rPr>
          <w:spacing w:val="-7"/>
        </w:rPr>
        <w:t>AAT  </w:t>
      </w:r>
      <w:r>
        <w:rPr/>
        <w:t>affected GNG manipulations, as for     </w:t>
      </w:r>
      <w:r>
        <w:rPr>
          <w:rFonts w:ascii="Arial" w:hAnsi="Arial"/>
          <w:sz w:val="12"/>
        </w:rPr>
        <w:t>700     </w:t>
      </w:r>
      <w:r>
        <w:rPr/>
        <w:t>example a correct response on push trials </w:t>
      </w:r>
      <w:r>
        <w:rPr>
          <w:spacing w:val="-3"/>
        </w:rPr>
        <w:t>may  </w:t>
      </w:r>
      <w:r>
        <w:rPr/>
        <w:t>require response inhibition, whereby an initial     </w:t>
      </w:r>
      <w:r>
        <w:rPr>
          <w:rFonts w:ascii="Arial" w:hAnsi="Arial"/>
          <w:sz w:val="12"/>
        </w:rPr>
        <w:t>701   </w:t>
      </w:r>
      <w:r>
        <w:rPr/>
        <w:t>approach  tendency  </w:t>
      </w:r>
      <w:r>
        <w:rPr>
          <w:spacing w:val="-3"/>
        </w:rPr>
        <w:t>towards  </w:t>
      </w:r>
      <w:r>
        <w:rPr/>
        <w:t>an  appetitive  </w:t>
      </w:r>
      <w:r>
        <w:rPr>
          <w:spacing w:val="3"/>
        </w:rPr>
        <w:t>food  </w:t>
      </w:r>
      <w:r>
        <w:rPr/>
        <w:t>cue  is  inhibited.   This  would  mean  that,  at </w:t>
      </w:r>
      <w:r>
        <w:rPr>
          <w:rFonts w:ascii="Arial" w:hAnsi="Arial"/>
          <w:sz w:val="12"/>
        </w:rPr>
        <w:t>702       </w:t>
      </w:r>
      <w:r>
        <w:rPr/>
        <w:t>least to a certain extent, all </w:t>
      </w:r>
      <w:r>
        <w:rPr>
          <w:spacing w:val="3"/>
        </w:rPr>
        <w:t>food </w:t>
      </w:r>
      <w:r>
        <w:rPr/>
        <w:t>stimuli were associated with an inhibitory control process.        </w:t>
      </w:r>
      <w:r>
        <w:rPr>
          <w:rFonts w:ascii="Arial" w:hAnsi="Arial"/>
          <w:sz w:val="12"/>
        </w:rPr>
        <w:t>703       </w:t>
      </w:r>
      <w:r>
        <w:rPr/>
        <w:t>It is therefore recommended that future studies only present outcome measures, such as the        </w:t>
      </w:r>
      <w:r>
        <w:rPr>
          <w:rFonts w:ascii="Arial" w:hAnsi="Arial"/>
          <w:sz w:val="12"/>
        </w:rPr>
        <w:t>704</w:t>
      </w:r>
      <w:r>
        <w:rPr>
          <w:rFonts w:ascii="Arial" w:hAnsi="Arial"/>
          <w:spacing w:val="26"/>
          <w:sz w:val="12"/>
        </w:rPr>
        <w:t> </w:t>
      </w:r>
      <w:r>
        <w:rPr>
          <w:spacing w:val="-5"/>
        </w:rPr>
        <w:t>AAT,</w:t>
      </w:r>
      <w:r>
        <w:rPr>
          <w:spacing w:val="33"/>
        </w:rPr>
        <w:t> </w:t>
      </w:r>
      <w:r>
        <w:rPr/>
        <w:t>only</w:t>
      </w:r>
      <w:r>
        <w:rPr>
          <w:spacing w:val="32"/>
        </w:rPr>
        <w:t> </w:t>
      </w:r>
      <w:r>
        <w:rPr/>
        <w:t>after</w:t>
      </w:r>
      <w:r>
        <w:rPr>
          <w:spacing w:val="31"/>
        </w:rPr>
        <w:t> </w:t>
      </w:r>
      <w:r>
        <w:rPr/>
        <w:t>training,</w:t>
      </w:r>
      <w:r>
        <w:rPr>
          <w:spacing w:val="33"/>
        </w:rPr>
        <w:t> </w:t>
      </w:r>
      <w:r>
        <w:rPr/>
        <w:t>which</w:t>
      </w:r>
      <w:r>
        <w:rPr>
          <w:spacing w:val="33"/>
        </w:rPr>
        <w:t> </w:t>
      </w:r>
      <w:r>
        <w:rPr/>
        <w:t>can</w:t>
      </w:r>
      <w:r>
        <w:rPr>
          <w:spacing w:val="33"/>
        </w:rPr>
        <w:t> </w:t>
      </w:r>
      <w:r>
        <w:rPr/>
        <w:t>reduce</w:t>
      </w:r>
      <w:r>
        <w:rPr>
          <w:spacing w:val="32"/>
        </w:rPr>
        <w:t> </w:t>
      </w:r>
      <w:r>
        <w:rPr/>
        <w:t>habituation</w:t>
      </w:r>
      <w:r>
        <w:rPr>
          <w:spacing w:val="33"/>
        </w:rPr>
        <w:t> </w:t>
      </w:r>
      <w:r>
        <w:rPr/>
        <w:t>effects,</w:t>
      </w:r>
      <w:r>
        <w:rPr>
          <w:spacing w:val="33"/>
        </w:rPr>
        <w:t> </w:t>
      </w:r>
      <w:r>
        <w:rPr/>
        <w:t>but</w:t>
      </w:r>
      <w:r>
        <w:rPr>
          <w:spacing w:val="32"/>
        </w:rPr>
        <w:t> </w:t>
      </w:r>
      <w:r>
        <w:rPr/>
        <w:t>also</w:t>
      </w:r>
      <w:r>
        <w:rPr>
          <w:spacing w:val="33"/>
        </w:rPr>
        <w:t> </w:t>
      </w:r>
      <w:r>
        <w:rPr/>
        <w:t>enhance</w:t>
      </w:r>
      <w:r>
        <w:rPr>
          <w:spacing w:val="33"/>
        </w:rPr>
        <w:t> </w:t>
      </w:r>
      <w:r>
        <w:rPr/>
        <w:t>the</w:t>
      </w:r>
    </w:p>
    <w:p>
      <w:pPr>
        <w:pStyle w:val="BodyText"/>
        <w:spacing w:before="5"/>
      </w:pPr>
      <w:r>
        <w:rPr>
          <w:rFonts w:ascii="Arial"/>
          <w:w w:val="105"/>
          <w:sz w:val="12"/>
        </w:rPr>
        <w:t>705 </w:t>
      </w:r>
      <w:r>
        <w:rPr>
          <w:w w:val="105"/>
        </w:rPr>
        <w:t>experimental design if untrained food stimuli are included as additional controls. The</w:t>
      </w:r>
    </w:p>
    <w:p>
      <w:pPr>
        <w:pStyle w:val="BodyText"/>
        <w:spacing w:line="415" w:lineRule="auto"/>
        <w:ind w:right="367"/>
      </w:pPr>
      <w:r>
        <w:rPr>
          <w:rFonts w:ascii="Arial"/>
          <w:w w:val="105"/>
          <w:sz w:val="12"/>
        </w:rPr>
        <w:t>706 </w:t>
      </w:r>
      <w:r>
        <w:rPr>
          <w:w w:val="105"/>
        </w:rPr>
        <w:t>recommended design can also increase the number of observations without the need for great </w:t>
      </w:r>
      <w:r>
        <w:rPr>
          <w:rFonts w:ascii="Arial"/>
          <w:w w:val="105"/>
          <w:sz w:val="12"/>
        </w:rPr>
        <w:t>707</w:t>
      </w:r>
      <w:r>
        <w:rPr>
          <w:rFonts w:ascii="Arial"/>
          <w:spacing w:val="35"/>
          <w:w w:val="105"/>
          <w:sz w:val="12"/>
        </w:rPr>
        <w:t> </w:t>
      </w:r>
      <w:r>
        <w:rPr>
          <w:w w:val="105"/>
        </w:rPr>
        <w:t>data reduction, such as calculating a difference score of the </w:t>
      </w:r>
      <w:r>
        <w:rPr>
          <w:spacing w:val="-4"/>
          <w:w w:val="105"/>
        </w:rPr>
        <w:t>AAT</w:t>
      </w:r>
      <w:r>
        <w:rPr>
          <w:spacing w:val="-4"/>
          <w:w w:val="105"/>
          <w:vertAlign w:val="subscript"/>
        </w:rPr>
        <w:t>pre</w:t>
      </w:r>
      <w:r>
        <w:rPr>
          <w:spacing w:val="-4"/>
          <w:w w:val="105"/>
          <w:vertAlign w:val="baseline"/>
        </w:rPr>
        <w:t>  </w:t>
      </w:r>
      <w:r>
        <w:rPr>
          <w:w w:val="105"/>
          <w:vertAlign w:val="baseline"/>
        </w:rPr>
        <w:t>and </w:t>
      </w:r>
      <w:r>
        <w:rPr>
          <w:spacing w:val="-3"/>
          <w:w w:val="105"/>
          <w:vertAlign w:val="baseline"/>
        </w:rPr>
        <w:t>AAT</w:t>
      </w:r>
      <w:r>
        <w:rPr>
          <w:spacing w:val="-3"/>
          <w:w w:val="105"/>
          <w:vertAlign w:val="subscript"/>
        </w:rPr>
        <w:t>post</w:t>
      </w:r>
      <w:r>
        <w:rPr>
          <w:spacing w:val="-3"/>
          <w:w w:val="105"/>
          <w:vertAlign w:val="baseline"/>
        </w:rPr>
        <w:t>  </w:t>
      </w:r>
      <w:r>
        <w:rPr>
          <w:w w:val="105"/>
          <w:vertAlign w:val="baseline"/>
        </w:rPr>
        <w:t>bias scores </w:t>
      </w:r>
      <w:r>
        <w:rPr>
          <w:rFonts w:ascii="Arial"/>
          <w:w w:val="105"/>
          <w:sz w:val="12"/>
          <w:vertAlign w:val="baseline"/>
        </w:rPr>
        <w:t>708 </w:t>
      </w:r>
      <w:r>
        <w:rPr>
          <w:rFonts w:ascii="Arial"/>
          <w:spacing w:val="35"/>
          <w:w w:val="105"/>
          <w:sz w:val="12"/>
          <w:vertAlign w:val="baseline"/>
        </w:rPr>
        <w:t> </w:t>
      </w:r>
      <w:r>
        <w:rPr>
          <w:w w:val="105"/>
          <w:vertAlign w:val="baseline"/>
        </w:rPr>
        <w:t>which are also represented </w:t>
      </w:r>
      <w:r>
        <w:rPr>
          <w:spacing w:val="-4"/>
          <w:w w:val="105"/>
          <w:vertAlign w:val="baseline"/>
        </w:rPr>
        <w:t>by </w:t>
      </w:r>
      <w:r>
        <w:rPr>
          <w:w w:val="105"/>
          <w:vertAlign w:val="baseline"/>
        </w:rPr>
        <w:t>difference scores between median </w:t>
      </w:r>
      <w:r>
        <w:rPr>
          <w:spacing w:val="-14"/>
          <w:w w:val="105"/>
          <w:vertAlign w:val="baseline"/>
        </w:rPr>
        <w:t>RTs  </w:t>
      </w:r>
      <w:r>
        <w:rPr>
          <w:w w:val="105"/>
          <w:vertAlign w:val="baseline"/>
        </w:rPr>
        <w:t>in approach and </w:t>
      </w:r>
      <w:r>
        <w:rPr>
          <w:spacing w:val="-4"/>
          <w:w w:val="105"/>
          <w:vertAlign w:val="baseline"/>
        </w:rPr>
        <w:t>avoid </w:t>
      </w:r>
      <w:r>
        <w:rPr>
          <w:rFonts w:ascii="Arial"/>
          <w:w w:val="105"/>
          <w:sz w:val="12"/>
          <w:vertAlign w:val="baseline"/>
        </w:rPr>
        <w:t>709</w:t>
      </w:r>
      <w:r>
        <w:rPr>
          <w:rFonts w:ascii="Arial"/>
          <w:spacing w:val="35"/>
          <w:w w:val="105"/>
          <w:sz w:val="12"/>
          <w:vertAlign w:val="baseline"/>
        </w:rPr>
        <w:t> </w:t>
      </w:r>
      <w:r>
        <w:rPr>
          <w:w w:val="105"/>
          <w:vertAlign w:val="baseline"/>
        </w:rPr>
        <w:t>trials.  The absence of devaluation effects specific to no-go </w:t>
      </w:r>
      <w:r>
        <w:rPr>
          <w:spacing w:val="2"/>
          <w:w w:val="105"/>
          <w:vertAlign w:val="baseline"/>
        </w:rPr>
        <w:t>foods </w:t>
      </w:r>
      <w:r>
        <w:rPr>
          <w:w w:val="105"/>
          <w:vertAlign w:val="baseline"/>
        </w:rPr>
        <w:t>could not </w:t>
      </w:r>
      <w:r>
        <w:rPr>
          <w:spacing w:val="3"/>
          <w:w w:val="105"/>
          <w:vertAlign w:val="baseline"/>
        </w:rPr>
        <w:t>be </w:t>
      </w:r>
      <w:r>
        <w:rPr>
          <w:w w:val="105"/>
          <w:vertAlign w:val="baseline"/>
        </w:rPr>
        <w:t>attributed to  </w:t>
      </w:r>
      <w:r>
        <w:rPr>
          <w:rFonts w:ascii="Arial"/>
          <w:w w:val="105"/>
          <w:sz w:val="12"/>
          <w:vertAlign w:val="baseline"/>
        </w:rPr>
        <w:t>710      </w:t>
      </w:r>
      <w:r>
        <w:rPr>
          <w:w w:val="105"/>
          <w:vertAlign w:val="baseline"/>
        </w:rPr>
        <w:t>ineffective training, as the second manipulation </w:t>
      </w:r>
      <w:r>
        <w:rPr>
          <w:spacing w:val="-3"/>
          <w:w w:val="105"/>
          <w:vertAlign w:val="baseline"/>
        </w:rPr>
        <w:t>check </w:t>
      </w:r>
      <w:r>
        <w:rPr>
          <w:w w:val="105"/>
          <w:vertAlign w:val="baseline"/>
        </w:rPr>
        <w:t>for contingency learning during the  </w:t>
      </w:r>
      <w:r>
        <w:rPr>
          <w:rFonts w:ascii="Arial"/>
          <w:w w:val="105"/>
          <w:sz w:val="12"/>
          <w:vertAlign w:val="baseline"/>
        </w:rPr>
        <w:t>711 </w:t>
      </w:r>
      <w:r>
        <w:rPr>
          <w:rFonts w:ascii="Arial"/>
          <w:spacing w:val="35"/>
          <w:w w:val="105"/>
          <w:sz w:val="12"/>
          <w:vertAlign w:val="baseline"/>
        </w:rPr>
        <w:t> </w:t>
      </w:r>
      <w:r>
        <w:rPr>
          <w:w w:val="105"/>
          <w:vertAlign w:val="baseline"/>
        </w:rPr>
        <w:t>go/no-go task </w:t>
      </w:r>
      <w:r>
        <w:rPr>
          <w:spacing w:val="-3"/>
          <w:w w:val="105"/>
          <w:vertAlign w:val="baseline"/>
        </w:rPr>
        <w:t>was  </w:t>
      </w:r>
      <w:r>
        <w:rPr>
          <w:w w:val="105"/>
          <w:vertAlign w:val="baseline"/>
        </w:rPr>
        <w:t>positive.  There </w:t>
      </w:r>
      <w:r>
        <w:rPr>
          <w:spacing w:val="-3"/>
          <w:w w:val="105"/>
          <w:vertAlign w:val="baseline"/>
        </w:rPr>
        <w:t>was  </w:t>
      </w:r>
      <w:r>
        <w:rPr>
          <w:i/>
          <w:w w:val="105"/>
          <w:vertAlign w:val="baseline"/>
        </w:rPr>
        <w:t>extreme  </w:t>
      </w:r>
      <w:r>
        <w:rPr>
          <w:w w:val="105"/>
          <w:vertAlign w:val="baseline"/>
        </w:rPr>
        <w:t>evidence that </w:t>
      </w:r>
      <w:r>
        <w:rPr>
          <w:spacing w:val="-8"/>
          <w:w w:val="105"/>
          <w:vertAlign w:val="baseline"/>
        </w:rPr>
        <w:t>GoRTs  </w:t>
      </w:r>
      <w:r>
        <w:rPr>
          <w:w w:val="105"/>
          <w:vertAlign w:val="baseline"/>
        </w:rPr>
        <w:t>on correct no-signal </w:t>
      </w:r>
      <w:r>
        <w:rPr>
          <w:rFonts w:ascii="Arial"/>
          <w:w w:val="105"/>
          <w:sz w:val="12"/>
          <w:vertAlign w:val="baseline"/>
        </w:rPr>
        <w:t>712 </w:t>
      </w:r>
      <w:r>
        <w:rPr>
          <w:w w:val="105"/>
          <w:vertAlign w:val="baseline"/>
        </w:rPr>
        <w:t>trials were reduced for go </w:t>
      </w:r>
      <w:r>
        <w:rPr>
          <w:spacing w:val="2"/>
          <w:w w:val="105"/>
          <w:vertAlign w:val="baseline"/>
        </w:rPr>
        <w:t>foods </w:t>
      </w:r>
      <w:r>
        <w:rPr>
          <w:w w:val="105"/>
          <w:vertAlign w:val="baseline"/>
        </w:rPr>
        <w:t>compared to control </w:t>
      </w:r>
      <w:r>
        <w:rPr>
          <w:spacing w:val="2"/>
          <w:w w:val="105"/>
          <w:vertAlign w:val="baseline"/>
        </w:rPr>
        <w:t>foods </w:t>
      </w:r>
      <w:r>
        <w:rPr>
          <w:w w:val="105"/>
          <w:vertAlign w:val="baseline"/>
        </w:rPr>
        <w:t>and that the percentage of correct </w:t>
      </w:r>
      <w:r>
        <w:rPr>
          <w:rFonts w:ascii="Arial"/>
          <w:w w:val="105"/>
          <w:sz w:val="12"/>
          <w:vertAlign w:val="baseline"/>
        </w:rPr>
        <w:t>713 </w:t>
      </w:r>
      <w:r>
        <w:rPr>
          <w:w w:val="105"/>
          <w:vertAlign w:val="baseline"/>
        </w:rPr>
        <w:t>responses on signal trials were greater for no-go </w:t>
      </w:r>
      <w:r>
        <w:rPr>
          <w:spacing w:val="2"/>
          <w:w w:val="105"/>
          <w:vertAlign w:val="baseline"/>
        </w:rPr>
        <w:t>foods </w:t>
      </w:r>
      <w:r>
        <w:rPr>
          <w:w w:val="105"/>
          <w:vertAlign w:val="baseline"/>
        </w:rPr>
        <w:t>relative to control foods. Overall, ICT </w:t>
      </w:r>
      <w:r>
        <w:rPr>
          <w:rFonts w:ascii="Arial"/>
          <w:w w:val="105"/>
          <w:sz w:val="12"/>
          <w:vertAlign w:val="baseline"/>
        </w:rPr>
        <w:t>714 </w:t>
      </w:r>
      <w:r>
        <w:rPr>
          <w:w w:val="105"/>
          <w:vertAlign w:val="baseline"/>
        </w:rPr>
        <w:t>outcomes for devaluation are generally consistent with prior expectations, while taking </w:t>
      </w:r>
      <w:r>
        <w:rPr>
          <w:spacing w:val="-3"/>
          <w:w w:val="105"/>
          <w:vertAlign w:val="baseline"/>
        </w:rPr>
        <w:t>into</w:t>
      </w:r>
      <w:r>
        <w:rPr>
          <w:spacing w:val="57"/>
          <w:w w:val="105"/>
          <w:vertAlign w:val="baseline"/>
        </w:rPr>
        <w:t> </w:t>
      </w:r>
      <w:r>
        <w:rPr>
          <w:rFonts w:ascii="Arial"/>
          <w:w w:val="105"/>
          <w:sz w:val="12"/>
          <w:vertAlign w:val="baseline"/>
        </w:rPr>
        <w:t>715 </w:t>
      </w:r>
      <w:r>
        <w:rPr>
          <w:w w:val="105"/>
          <w:vertAlign w:val="baseline"/>
        </w:rPr>
        <w:t>account that limitations</w:t>
      </w:r>
      <w:r>
        <w:rPr>
          <w:spacing w:val="63"/>
          <w:w w:val="105"/>
          <w:vertAlign w:val="baseline"/>
        </w:rPr>
        <w:t> </w:t>
      </w:r>
      <w:r>
        <w:rPr>
          <w:w w:val="105"/>
          <w:vertAlign w:val="baseline"/>
        </w:rPr>
        <w:t>of the experimental</w:t>
      </w:r>
      <w:r>
        <w:rPr>
          <w:spacing w:val="63"/>
          <w:w w:val="105"/>
          <w:vertAlign w:val="baseline"/>
        </w:rPr>
        <w:t> </w:t>
      </w:r>
      <w:r>
        <w:rPr>
          <w:w w:val="105"/>
          <w:vertAlign w:val="baseline"/>
        </w:rPr>
        <w:t>design </w:t>
      </w:r>
      <w:r>
        <w:rPr>
          <w:spacing w:val="-3"/>
          <w:w w:val="105"/>
          <w:vertAlign w:val="baseline"/>
        </w:rPr>
        <w:t>may</w:t>
      </w:r>
      <w:r>
        <w:rPr>
          <w:spacing w:val="57"/>
          <w:w w:val="105"/>
          <w:vertAlign w:val="baseline"/>
        </w:rPr>
        <w:t> </w:t>
      </w:r>
      <w:r>
        <w:rPr>
          <w:spacing w:val="-4"/>
          <w:w w:val="105"/>
          <w:vertAlign w:val="baseline"/>
        </w:rPr>
        <w:t>have</w:t>
      </w:r>
      <w:r>
        <w:rPr>
          <w:spacing w:val="55"/>
          <w:w w:val="105"/>
          <w:vertAlign w:val="baseline"/>
        </w:rPr>
        <w:t> </w:t>
      </w:r>
      <w:r>
        <w:rPr>
          <w:w w:val="105"/>
          <w:vertAlign w:val="baseline"/>
        </w:rPr>
        <w:t>had a</w:t>
      </w:r>
      <w:r>
        <w:rPr>
          <w:spacing w:val="63"/>
          <w:w w:val="105"/>
          <w:vertAlign w:val="baseline"/>
        </w:rPr>
        <w:t> </w:t>
      </w:r>
      <w:r>
        <w:rPr>
          <w:w w:val="105"/>
          <w:vertAlign w:val="baseline"/>
        </w:rPr>
        <w:t>significant  impact on </w:t>
      </w:r>
      <w:r>
        <w:rPr>
          <w:rFonts w:ascii="Arial"/>
          <w:w w:val="105"/>
          <w:sz w:val="12"/>
          <w:vertAlign w:val="baseline"/>
        </w:rPr>
        <w:t>716 </w:t>
      </w:r>
      <w:r>
        <w:rPr>
          <w:w w:val="105"/>
          <w:vertAlign w:val="baseline"/>
        </w:rPr>
        <w:t>observed</w:t>
      </w:r>
      <w:r>
        <w:rPr>
          <w:spacing w:val="1"/>
          <w:w w:val="105"/>
          <w:vertAlign w:val="baseline"/>
        </w:rPr>
        <w:t> </w:t>
      </w:r>
      <w:r>
        <w:rPr>
          <w:w w:val="105"/>
          <w:vertAlign w:val="baseline"/>
        </w:rPr>
        <w:t>effects.</w:t>
      </w:r>
    </w:p>
    <w:p>
      <w:pPr>
        <w:spacing w:after="0" w:line="415" w:lineRule="auto"/>
        <w:sectPr>
          <w:pgSz w:w="12240" w:h="15840"/>
          <w:pgMar w:header="649" w:footer="0" w:top="1320" w:bottom="280" w:left="820" w:right="1140"/>
        </w:sectPr>
      </w:pPr>
    </w:p>
    <w:p>
      <w:pPr>
        <w:pStyle w:val="Heading1"/>
        <w:spacing w:before="191"/>
      </w:pPr>
      <w:r>
        <w:rPr>
          <w:rFonts w:ascii="Arial"/>
          <w:b w:val="0"/>
          <w:w w:val="110"/>
          <w:sz w:val="12"/>
        </w:rPr>
        <w:t>717</w:t>
      </w:r>
      <w:bookmarkStart w:name="Methodological considerations for the ap" w:id="69"/>
      <w:bookmarkEnd w:id="69"/>
      <w:r>
        <w:rPr>
          <w:rFonts w:ascii="Arial"/>
          <w:b w:val="0"/>
          <w:w w:val="110"/>
          <w:sz w:val="12"/>
        </w:rPr>
      </w:r>
      <w:r>
        <w:rPr>
          <w:rFonts w:ascii="Arial"/>
          <w:b w:val="0"/>
          <w:w w:val="110"/>
          <w:sz w:val="12"/>
        </w:rPr>
        <w:t> </w:t>
      </w:r>
      <w:r>
        <w:rPr>
          <w:w w:val="110"/>
        </w:rPr>
        <w:t>Methodological considerations for the approach-avoidance task</w:t>
      </w: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tabs>
          <w:tab w:pos="1195" w:val="left" w:leader="none"/>
        </w:tabs>
        <w:spacing w:before="279"/>
      </w:pPr>
      <w:r>
        <w:rPr>
          <w:rFonts w:ascii="Arial"/>
          <w:w w:val="105"/>
          <w:sz w:val="12"/>
        </w:rPr>
        <w:t>718</w:t>
        <w:tab/>
      </w:r>
      <w:r>
        <w:rPr>
          <w:w w:val="105"/>
        </w:rPr>
        <w:t>There</w:t>
      </w:r>
      <w:r>
        <w:rPr>
          <w:spacing w:val="14"/>
          <w:w w:val="105"/>
        </w:rPr>
        <w:t> </w:t>
      </w:r>
      <w:r>
        <w:rPr>
          <w:w w:val="105"/>
        </w:rPr>
        <w:t>were</w:t>
      </w:r>
      <w:r>
        <w:rPr>
          <w:spacing w:val="15"/>
          <w:w w:val="105"/>
        </w:rPr>
        <w:t> </w:t>
      </w:r>
      <w:r>
        <w:rPr>
          <w:w w:val="105"/>
        </w:rPr>
        <w:t>several</w:t>
      </w:r>
      <w:r>
        <w:rPr>
          <w:spacing w:val="15"/>
          <w:w w:val="105"/>
        </w:rPr>
        <w:t> </w:t>
      </w:r>
      <w:r>
        <w:rPr>
          <w:w w:val="105"/>
        </w:rPr>
        <w:t>exploratory</w:t>
      </w:r>
      <w:r>
        <w:rPr>
          <w:spacing w:val="15"/>
          <w:w w:val="105"/>
        </w:rPr>
        <w:t> </w:t>
      </w:r>
      <w:r>
        <w:rPr>
          <w:w w:val="105"/>
        </w:rPr>
        <w:t>findings</w:t>
      </w:r>
      <w:r>
        <w:rPr>
          <w:spacing w:val="14"/>
          <w:w w:val="105"/>
        </w:rPr>
        <w:t> </w:t>
      </w:r>
      <w:r>
        <w:rPr>
          <w:w w:val="105"/>
        </w:rPr>
        <w:t>regarding</w:t>
      </w:r>
      <w:r>
        <w:rPr>
          <w:spacing w:val="14"/>
          <w:w w:val="105"/>
        </w:rPr>
        <w:t> </w:t>
      </w:r>
      <w:r>
        <w:rPr>
          <w:w w:val="105"/>
        </w:rPr>
        <w:t>the</w:t>
      </w:r>
      <w:r>
        <w:rPr>
          <w:spacing w:val="14"/>
          <w:w w:val="105"/>
        </w:rPr>
        <w:t> </w:t>
      </w:r>
      <w:r>
        <w:rPr>
          <w:w w:val="105"/>
        </w:rPr>
        <w:t>approach</w:t>
      </w:r>
      <w:r>
        <w:rPr>
          <w:spacing w:val="15"/>
          <w:w w:val="105"/>
        </w:rPr>
        <w:t> </w:t>
      </w:r>
      <w:r>
        <w:rPr>
          <w:spacing w:val="-3"/>
          <w:w w:val="105"/>
        </w:rPr>
        <w:t>avoidance</w:t>
      </w:r>
      <w:r>
        <w:rPr>
          <w:spacing w:val="14"/>
          <w:w w:val="105"/>
        </w:rPr>
        <w:t> </w:t>
      </w:r>
      <w:r>
        <w:rPr>
          <w:w w:val="105"/>
        </w:rPr>
        <w:t>task</w:t>
      </w:r>
      <w:r>
        <w:rPr>
          <w:spacing w:val="15"/>
          <w:w w:val="105"/>
        </w:rPr>
        <w:t> </w:t>
      </w:r>
      <w:r>
        <w:rPr>
          <w:w w:val="105"/>
        </w:rPr>
        <w:t>that</w:t>
      </w:r>
    </w:p>
    <w:p>
      <w:pPr>
        <w:pStyle w:val="BodyText"/>
        <w:spacing w:before="203"/>
      </w:pPr>
      <w:r>
        <w:rPr>
          <w:rFonts w:ascii="Arial"/>
          <w:w w:val="105"/>
          <w:sz w:val="12"/>
        </w:rPr>
        <w:t>719 </w:t>
      </w:r>
      <w:r>
        <w:rPr>
          <w:w w:val="105"/>
        </w:rPr>
        <w:t>may explain the absence of ICT effects on automatic action tendencies and yielded</w:t>
      </w:r>
    </w:p>
    <w:p>
      <w:pPr>
        <w:pStyle w:val="BodyText"/>
        <w:spacing w:line="415" w:lineRule="auto"/>
        <w:ind w:right="365"/>
      </w:pPr>
      <w:r>
        <w:rPr>
          <w:rFonts w:ascii="Arial"/>
          <w:w w:val="105"/>
          <w:sz w:val="12"/>
        </w:rPr>
        <w:t>720  </w:t>
      </w:r>
      <w:r>
        <w:rPr>
          <w:rFonts w:ascii="Arial"/>
          <w:spacing w:val="35"/>
          <w:w w:val="105"/>
          <w:sz w:val="12"/>
        </w:rPr>
        <w:t> </w:t>
      </w:r>
      <w:r>
        <w:rPr>
          <w:w w:val="105"/>
        </w:rPr>
        <w:t>methodological considerations for future studies.  First, overall baseline bias scores did not </w:t>
      </w:r>
      <w:r>
        <w:rPr>
          <w:rFonts w:ascii="Arial"/>
          <w:w w:val="105"/>
          <w:sz w:val="12"/>
        </w:rPr>
        <w:t>721 </w:t>
      </w:r>
      <w:r>
        <w:rPr>
          <w:w w:val="105"/>
        </w:rPr>
        <w:t>statistically deviate from zero (see </w:t>
      </w:r>
      <w:hyperlink w:history="true" w:anchor="_bookmark22">
        <w:r>
          <w:rPr>
            <w:i/>
            <w:w w:val="105"/>
          </w:rPr>
          <w:t>Baseline </w:t>
        </w:r>
        <w:r>
          <w:rPr>
            <w:i/>
            <w:spacing w:val="-3"/>
            <w:w w:val="105"/>
          </w:rPr>
          <w:t>approach </w:t>
        </w:r>
        <w:r>
          <w:rPr>
            <w:i/>
            <w:w w:val="105"/>
          </w:rPr>
          <w:t>bias </w:t>
        </w:r>
        <w:r>
          <w:rPr>
            <w:i/>
            <w:spacing w:val="-4"/>
            <w:w w:val="105"/>
          </w:rPr>
          <w:t>scores</w:t>
        </w:r>
      </w:hyperlink>
      <w:r>
        <w:rPr>
          <w:spacing w:val="-4"/>
          <w:w w:val="105"/>
        </w:rPr>
        <w:t>), </w:t>
      </w:r>
      <w:r>
        <w:rPr>
          <w:w w:val="105"/>
        </w:rPr>
        <w:t>which suggests that either </w:t>
      </w:r>
      <w:r>
        <w:rPr>
          <w:rFonts w:ascii="Arial"/>
          <w:w w:val="105"/>
          <w:sz w:val="12"/>
        </w:rPr>
        <w:t>722 </w:t>
      </w:r>
      <w:r>
        <w:rPr>
          <w:w w:val="105"/>
        </w:rPr>
        <w:t>participants did not </w:t>
      </w:r>
      <w:r>
        <w:rPr>
          <w:spacing w:val="-4"/>
          <w:w w:val="105"/>
        </w:rPr>
        <w:t>have </w:t>
      </w:r>
      <w:r>
        <w:rPr>
          <w:spacing w:val="-3"/>
          <w:w w:val="105"/>
        </w:rPr>
        <w:t>any </w:t>
      </w:r>
      <w:r>
        <w:rPr>
          <w:w w:val="105"/>
        </w:rPr>
        <w:t>approach bias for the selected </w:t>
      </w:r>
      <w:r>
        <w:rPr>
          <w:spacing w:val="2"/>
          <w:w w:val="105"/>
        </w:rPr>
        <w:t>foods </w:t>
      </w:r>
      <w:r>
        <w:rPr>
          <w:w w:val="105"/>
        </w:rPr>
        <w:t>or the employed </w:t>
      </w:r>
      <w:r>
        <w:rPr>
          <w:spacing w:val="-4"/>
          <w:w w:val="105"/>
        </w:rPr>
        <w:t>variant </w:t>
      </w:r>
      <w:r>
        <w:rPr>
          <w:w w:val="105"/>
        </w:rPr>
        <w:t>of </w:t>
      </w:r>
      <w:r>
        <w:rPr>
          <w:rFonts w:ascii="Arial"/>
          <w:w w:val="105"/>
          <w:sz w:val="12"/>
        </w:rPr>
        <w:t>723 </w:t>
      </w:r>
      <w:r>
        <w:rPr>
          <w:w w:val="105"/>
        </w:rPr>
        <w:t>the </w:t>
      </w:r>
      <w:r>
        <w:rPr>
          <w:spacing w:val="-7"/>
          <w:w w:val="105"/>
        </w:rPr>
        <w:t>AAT </w:t>
      </w:r>
      <w:r>
        <w:rPr>
          <w:spacing w:val="-3"/>
          <w:w w:val="105"/>
        </w:rPr>
        <w:t>was </w:t>
      </w:r>
      <w:r>
        <w:rPr>
          <w:w w:val="105"/>
        </w:rPr>
        <w:t>not sensitive enough to capture both baseline bias and potential indirect effects </w:t>
      </w:r>
      <w:r>
        <w:rPr>
          <w:rFonts w:ascii="Arial"/>
          <w:w w:val="105"/>
          <w:sz w:val="12"/>
        </w:rPr>
        <w:t>724 </w:t>
      </w:r>
      <w:r>
        <w:rPr>
          <w:w w:val="105"/>
        </w:rPr>
        <w:t>of training.</w:t>
      </w:r>
      <w:r>
        <w:rPr>
          <w:spacing w:val="63"/>
          <w:w w:val="105"/>
        </w:rPr>
        <w:t> </w:t>
      </w:r>
      <w:r>
        <w:rPr>
          <w:w w:val="105"/>
        </w:rPr>
        <w:t>Sub-group analyses </w:t>
      </w:r>
      <w:r>
        <w:rPr>
          <w:spacing w:val="-3"/>
          <w:w w:val="105"/>
        </w:rPr>
        <w:t>showed </w:t>
      </w:r>
      <w:r>
        <w:rPr>
          <w:w w:val="105"/>
        </w:rPr>
        <w:t>that even when participants had positive bias scores </w:t>
      </w:r>
      <w:r>
        <w:rPr>
          <w:rFonts w:ascii="Arial"/>
          <w:w w:val="105"/>
          <w:sz w:val="12"/>
        </w:rPr>
        <w:t>725</w:t>
      </w:r>
      <w:r>
        <w:rPr>
          <w:rFonts w:ascii="Arial"/>
          <w:spacing w:val="5"/>
          <w:w w:val="105"/>
          <w:sz w:val="12"/>
        </w:rPr>
        <w:t> </w:t>
      </w:r>
      <w:r>
        <w:rPr>
          <w:w w:val="105"/>
        </w:rPr>
        <w:t>for</w:t>
      </w:r>
      <w:r>
        <w:rPr>
          <w:spacing w:val="8"/>
          <w:w w:val="105"/>
        </w:rPr>
        <w:t> </w:t>
      </w:r>
      <w:r>
        <w:rPr>
          <w:w w:val="105"/>
        </w:rPr>
        <w:t>unhealthy</w:t>
      </w:r>
      <w:r>
        <w:rPr>
          <w:spacing w:val="7"/>
          <w:w w:val="105"/>
        </w:rPr>
        <w:t> </w:t>
      </w:r>
      <w:r>
        <w:rPr>
          <w:w w:val="105"/>
        </w:rPr>
        <w:t>foods,</w:t>
      </w:r>
      <w:r>
        <w:rPr>
          <w:spacing w:val="6"/>
          <w:w w:val="105"/>
        </w:rPr>
        <w:t> </w:t>
      </w:r>
      <w:r>
        <w:rPr>
          <w:w w:val="105"/>
        </w:rPr>
        <w:t>which</w:t>
      </w:r>
      <w:r>
        <w:rPr>
          <w:spacing w:val="7"/>
          <w:w w:val="105"/>
        </w:rPr>
        <w:t> </w:t>
      </w:r>
      <w:r>
        <w:rPr>
          <w:w w:val="105"/>
        </w:rPr>
        <w:t>reflect</w:t>
      </w:r>
      <w:r>
        <w:rPr>
          <w:spacing w:val="7"/>
          <w:w w:val="105"/>
        </w:rPr>
        <w:t> </w:t>
      </w:r>
      <w:r>
        <w:rPr>
          <w:w w:val="105"/>
        </w:rPr>
        <w:t>existing</w:t>
      </w:r>
      <w:r>
        <w:rPr>
          <w:spacing w:val="8"/>
          <w:w w:val="105"/>
        </w:rPr>
        <w:t> </w:t>
      </w:r>
      <w:r>
        <w:rPr>
          <w:w w:val="105"/>
        </w:rPr>
        <w:t>approach</w:t>
      </w:r>
      <w:r>
        <w:rPr>
          <w:spacing w:val="8"/>
          <w:w w:val="105"/>
        </w:rPr>
        <w:t> </w:t>
      </w:r>
      <w:r>
        <w:rPr>
          <w:w w:val="105"/>
        </w:rPr>
        <w:t>bias,</w:t>
      </w:r>
      <w:r>
        <w:rPr>
          <w:spacing w:val="6"/>
          <w:w w:val="105"/>
        </w:rPr>
        <w:t> </w:t>
      </w:r>
      <w:r>
        <w:rPr>
          <w:w w:val="105"/>
        </w:rPr>
        <w:t>there</w:t>
      </w:r>
      <w:r>
        <w:rPr>
          <w:spacing w:val="8"/>
          <w:w w:val="105"/>
        </w:rPr>
        <w:t> </w:t>
      </w:r>
      <w:r>
        <w:rPr>
          <w:w w:val="105"/>
        </w:rPr>
        <w:t>were</w:t>
      </w:r>
      <w:r>
        <w:rPr>
          <w:spacing w:val="8"/>
          <w:w w:val="105"/>
        </w:rPr>
        <w:t> </w:t>
      </w:r>
      <w:r>
        <w:rPr>
          <w:w w:val="105"/>
        </w:rPr>
        <w:t>still</w:t>
      </w:r>
      <w:r>
        <w:rPr>
          <w:spacing w:val="8"/>
          <w:w w:val="105"/>
        </w:rPr>
        <w:t> </w:t>
      </w:r>
      <w:r>
        <w:rPr>
          <w:w w:val="105"/>
        </w:rPr>
        <w:t>no</w:t>
      </w:r>
      <w:r>
        <w:rPr>
          <w:spacing w:val="7"/>
          <w:w w:val="105"/>
        </w:rPr>
        <w:t> </w:t>
      </w:r>
      <w:r>
        <w:rPr>
          <w:w w:val="105"/>
        </w:rPr>
        <w:t>effects</w:t>
      </w:r>
      <w:r>
        <w:rPr>
          <w:spacing w:val="7"/>
          <w:w w:val="105"/>
        </w:rPr>
        <w:t> </w:t>
      </w:r>
      <w:r>
        <w:rPr>
          <w:w w:val="105"/>
        </w:rPr>
        <w:t>of</w:t>
      </w:r>
    </w:p>
    <w:p>
      <w:pPr>
        <w:spacing w:before="4"/>
        <w:ind w:left="230" w:right="0" w:firstLine="0"/>
        <w:jc w:val="left"/>
        <w:rPr>
          <w:sz w:val="24"/>
        </w:rPr>
      </w:pPr>
      <w:r>
        <w:rPr>
          <w:rFonts w:ascii="Arial"/>
          <w:w w:val="105"/>
          <w:sz w:val="12"/>
        </w:rPr>
        <w:t>726 </w:t>
      </w:r>
      <w:r>
        <w:rPr>
          <w:w w:val="105"/>
          <w:sz w:val="24"/>
        </w:rPr>
        <w:t>training on automatic action tendencies (see </w:t>
      </w:r>
      <w:hyperlink w:history="true" w:anchor="_bookmark24">
        <w:r>
          <w:rPr>
            <w:i/>
            <w:w w:val="105"/>
            <w:sz w:val="24"/>
          </w:rPr>
          <w:t>Sub-group analysis</w:t>
        </w:r>
      </w:hyperlink>
      <w:r>
        <w:rPr>
          <w:w w:val="105"/>
          <w:sz w:val="24"/>
        </w:rPr>
        <w:t>). Consequently, the</w:t>
      </w:r>
    </w:p>
    <w:p>
      <w:pPr>
        <w:pStyle w:val="BodyText"/>
        <w:spacing w:line="415" w:lineRule="auto"/>
        <w:ind w:right="433"/>
      </w:pPr>
      <w:r>
        <w:rPr>
          <w:rFonts w:ascii="Arial"/>
          <w:w w:val="105"/>
          <w:sz w:val="12"/>
        </w:rPr>
        <w:t>727 </w:t>
      </w:r>
      <w:r>
        <w:rPr>
          <w:w w:val="105"/>
        </w:rPr>
        <w:t>test-retest reliability of the calculated bias scores for pre-and post-training </w:t>
      </w:r>
      <w:r>
        <w:rPr>
          <w:spacing w:val="-7"/>
          <w:w w:val="105"/>
        </w:rPr>
        <w:t>AAT</w:t>
      </w:r>
      <w:r>
        <w:rPr>
          <w:spacing w:val="49"/>
          <w:w w:val="105"/>
        </w:rPr>
        <w:t> </w:t>
      </w:r>
      <w:r>
        <w:rPr>
          <w:w w:val="105"/>
        </w:rPr>
        <w:t>blocks </w:t>
      </w:r>
      <w:r>
        <w:rPr>
          <w:spacing w:val="-3"/>
          <w:w w:val="105"/>
        </w:rPr>
        <w:t>was</w:t>
      </w:r>
      <w:r>
        <w:rPr>
          <w:spacing w:val="57"/>
          <w:w w:val="105"/>
        </w:rPr>
        <w:t> </w:t>
      </w:r>
      <w:r>
        <w:rPr>
          <w:rFonts w:ascii="Arial"/>
          <w:w w:val="105"/>
          <w:sz w:val="12"/>
        </w:rPr>
        <w:t>728 </w:t>
      </w:r>
      <w:r>
        <w:rPr>
          <w:rFonts w:ascii="Arial"/>
          <w:spacing w:val="35"/>
          <w:w w:val="105"/>
          <w:sz w:val="12"/>
        </w:rPr>
        <w:t> </w:t>
      </w:r>
      <w:r>
        <w:rPr>
          <w:w w:val="105"/>
        </w:rPr>
        <w:t>examined and the stability coefficients </w:t>
      </w:r>
      <w:r>
        <w:rPr>
          <w:spacing w:val="-3"/>
          <w:w w:val="105"/>
        </w:rPr>
        <w:t>showed </w:t>
      </w:r>
      <w:r>
        <w:rPr>
          <w:spacing w:val="2"/>
          <w:w w:val="105"/>
        </w:rPr>
        <w:t>poor </w:t>
      </w:r>
      <w:r>
        <w:rPr>
          <w:w w:val="105"/>
        </w:rPr>
        <w:t>reliability (see </w:t>
      </w:r>
      <w:hyperlink w:history="true" w:anchor="_bookmark25">
        <w:r>
          <w:rPr>
            <w:i/>
            <w:w w:val="105"/>
          </w:rPr>
          <w:t>Reliability of </w:t>
        </w:r>
        <w:r>
          <w:rPr>
            <w:i/>
            <w:spacing w:val="-3"/>
            <w:w w:val="105"/>
          </w:rPr>
          <w:t>calculated</w:t>
        </w:r>
      </w:hyperlink>
      <w:r>
        <w:rPr>
          <w:i/>
          <w:spacing w:val="-3"/>
          <w:w w:val="105"/>
        </w:rPr>
        <w:t> </w:t>
      </w:r>
      <w:r>
        <w:rPr>
          <w:rFonts w:ascii="Arial"/>
          <w:w w:val="105"/>
          <w:sz w:val="12"/>
        </w:rPr>
        <w:t>729  </w:t>
      </w:r>
      <w:r>
        <w:rPr>
          <w:rFonts w:ascii="Arial"/>
          <w:spacing w:val="35"/>
          <w:w w:val="105"/>
          <w:sz w:val="12"/>
        </w:rPr>
        <w:t> </w:t>
      </w:r>
      <w:hyperlink w:history="true" w:anchor="_bookmark25">
        <w:r>
          <w:rPr>
            <w:i/>
            <w:w w:val="105"/>
          </w:rPr>
          <w:t>bias </w:t>
        </w:r>
        <w:r>
          <w:rPr>
            <w:i/>
            <w:spacing w:val="-4"/>
            <w:w w:val="105"/>
          </w:rPr>
          <w:t>scores</w:t>
        </w:r>
      </w:hyperlink>
      <w:r>
        <w:rPr>
          <w:spacing w:val="-4"/>
          <w:w w:val="105"/>
        </w:rPr>
        <w:t>).  </w:t>
      </w:r>
      <w:r>
        <w:rPr>
          <w:w w:val="105"/>
        </w:rPr>
        <w:t>Test-retest reliability </w:t>
      </w:r>
      <w:r>
        <w:rPr>
          <w:spacing w:val="-3"/>
          <w:w w:val="105"/>
        </w:rPr>
        <w:t>was </w:t>
      </w:r>
      <w:r>
        <w:rPr>
          <w:w w:val="105"/>
        </w:rPr>
        <w:t>slightly improved when bias scores were calculated </w:t>
      </w:r>
      <w:r>
        <w:rPr>
          <w:rFonts w:ascii="Arial"/>
          <w:w w:val="105"/>
          <w:sz w:val="12"/>
        </w:rPr>
        <w:t>730</w:t>
      </w:r>
      <w:r>
        <w:rPr>
          <w:rFonts w:ascii="Arial"/>
          <w:spacing w:val="19"/>
          <w:w w:val="105"/>
          <w:sz w:val="12"/>
        </w:rPr>
        <w:t> </w:t>
      </w:r>
      <w:r>
        <w:rPr>
          <w:w w:val="105"/>
        </w:rPr>
        <w:t>using</w:t>
      </w:r>
      <w:r>
        <w:rPr>
          <w:spacing w:val="13"/>
          <w:w w:val="105"/>
        </w:rPr>
        <w:t> </w:t>
      </w:r>
      <w:r>
        <w:rPr>
          <w:w w:val="105"/>
        </w:rPr>
        <w:t>initiation</w:t>
      </w:r>
      <w:r>
        <w:rPr>
          <w:spacing w:val="13"/>
          <w:w w:val="105"/>
        </w:rPr>
        <w:t> </w:t>
      </w:r>
      <w:r>
        <w:rPr>
          <w:w w:val="105"/>
        </w:rPr>
        <w:t>times,</w:t>
      </w:r>
      <w:r>
        <w:rPr>
          <w:spacing w:val="12"/>
          <w:w w:val="105"/>
        </w:rPr>
        <w:t> </w:t>
      </w:r>
      <w:r>
        <w:rPr>
          <w:w w:val="105"/>
        </w:rPr>
        <w:t>instead</w:t>
      </w:r>
      <w:r>
        <w:rPr>
          <w:spacing w:val="13"/>
          <w:w w:val="105"/>
        </w:rPr>
        <w:t> </w:t>
      </w:r>
      <w:r>
        <w:rPr>
          <w:w w:val="105"/>
        </w:rPr>
        <w:t>of</w:t>
      </w:r>
      <w:r>
        <w:rPr>
          <w:spacing w:val="13"/>
          <w:w w:val="105"/>
        </w:rPr>
        <w:t> </w:t>
      </w:r>
      <w:r>
        <w:rPr>
          <w:w w:val="105"/>
        </w:rPr>
        <w:t>completion</w:t>
      </w:r>
      <w:r>
        <w:rPr>
          <w:spacing w:val="13"/>
          <w:w w:val="105"/>
        </w:rPr>
        <w:t> </w:t>
      </w:r>
      <w:r>
        <w:rPr>
          <w:w w:val="105"/>
        </w:rPr>
        <w:t>times,</w:t>
      </w:r>
      <w:r>
        <w:rPr>
          <w:spacing w:val="13"/>
          <w:w w:val="105"/>
        </w:rPr>
        <w:t> </w:t>
      </w:r>
      <w:r>
        <w:rPr>
          <w:w w:val="105"/>
        </w:rPr>
        <w:t>which</w:t>
      </w:r>
      <w:r>
        <w:rPr>
          <w:spacing w:val="12"/>
          <w:w w:val="105"/>
        </w:rPr>
        <w:t> </w:t>
      </w:r>
      <w:r>
        <w:rPr>
          <w:spacing w:val="-3"/>
          <w:w w:val="105"/>
        </w:rPr>
        <w:t>may</w:t>
      </w:r>
      <w:r>
        <w:rPr>
          <w:spacing w:val="14"/>
          <w:w w:val="105"/>
        </w:rPr>
        <w:t> </w:t>
      </w:r>
      <w:r>
        <w:rPr>
          <w:spacing w:val="3"/>
          <w:w w:val="105"/>
        </w:rPr>
        <w:t>be</w:t>
      </w:r>
      <w:r>
        <w:rPr>
          <w:spacing w:val="13"/>
          <w:w w:val="105"/>
        </w:rPr>
        <w:t> </w:t>
      </w:r>
      <w:r>
        <w:rPr>
          <w:w w:val="105"/>
        </w:rPr>
        <w:t>due</w:t>
      </w:r>
      <w:r>
        <w:rPr>
          <w:spacing w:val="12"/>
          <w:w w:val="105"/>
        </w:rPr>
        <w:t> </w:t>
      </w:r>
      <w:r>
        <w:rPr>
          <w:w w:val="105"/>
        </w:rPr>
        <w:t>to</w:t>
      </w:r>
      <w:r>
        <w:rPr>
          <w:spacing w:val="14"/>
          <w:w w:val="105"/>
        </w:rPr>
        <w:t> </w:t>
      </w:r>
      <w:r>
        <w:rPr>
          <w:w w:val="105"/>
        </w:rPr>
        <w:t>individual</w:t>
      </w:r>
    </w:p>
    <w:p>
      <w:pPr>
        <w:pStyle w:val="BodyText"/>
        <w:spacing w:line="415" w:lineRule="auto" w:before="3"/>
        <w:ind w:right="295"/>
        <w:jc w:val="both"/>
      </w:pPr>
      <w:r>
        <w:rPr>
          <w:rFonts w:ascii="Arial" w:hAnsi="Arial"/>
          <w:w w:val="105"/>
          <w:sz w:val="12"/>
        </w:rPr>
        <w:t>731 </w:t>
      </w:r>
      <w:r>
        <w:rPr>
          <w:w w:val="105"/>
        </w:rPr>
        <w:t>differences in action-associated motor demands (i.e.,biceps and triceps muscle </w:t>
      </w:r>
      <w:r>
        <w:rPr>
          <w:spacing w:val="-3"/>
          <w:w w:val="105"/>
        </w:rPr>
        <w:t>activation </w:t>
      </w:r>
      <w:r>
        <w:rPr>
          <w:w w:val="105"/>
        </w:rPr>
        <w:t>for </w:t>
      </w:r>
      <w:r>
        <w:rPr>
          <w:rFonts w:ascii="Arial" w:hAnsi="Arial"/>
          <w:w w:val="105"/>
          <w:sz w:val="12"/>
        </w:rPr>
        <w:t>732 </w:t>
      </w:r>
      <w:r>
        <w:rPr>
          <w:rFonts w:ascii="Arial" w:hAnsi="Arial"/>
          <w:spacing w:val="35"/>
          <w:w w:val="105"/>
          <w:sz w:val="12"/>
        </w:rPr>
        <w:t> </w:t>
      </w:r>
      <w:r>
        <w:rPr>
          <w:w w:val="105"/>
        </w:rPr>
        <w:t>pushing/pulling the computer mouse).  It is suggested that initiation time would </w:t>
      </w:r>
      <w:r>
        <w:rPr>
          <w:spacing w:val="3"/>
          <w:w w:val="105"/>
        </w:rPr>
        <w:t>be </w:t>
      </w:r>
      <w:r>
        <w:rPr>
          <w:w w:val="105"/>
        </w:rPr>
        <w:t>a more   </w:t>
      </w:r>
      <w:r>
        <w:rPr>
          <w:rFonts w:ascii="Arial" w:hAnsi="Arial"/>
          <w:w w:val="105"/>
          <w:sz w:val="12"/>
        </w:rPr>
        <w:t>733 </w:t>
      </w:r>
      <w:r>
        <w:rPr>
          <w:w w:val="105"/>
        </w:rPr>
        <w:t>reliable measure to use for calculation </w:t>
      </w:r>
      <w:r>
        <w:rPr>
          <w:spacing w:val="-7"/>
          <w:w w:val="105"/>
        </w:rPr>
        <w:t>AAT </w:t>
      </w:r>
      <w:r>
        <w:rPr>
          <w:w w:val="105"/>
        </w:rPr>
        <w:t>bias scores (e.g., see Seibt, Häfner, &amp; Deutsch,</w:t>
      </w:r>
      <w:r>
        <w:rPr>
          <w:spacing w:val="63"/>
          <w:w w:val="105"/>
        </w:rPr>
        <w:t> </w:t>
      </w:r>
      <w:r>
        <w:rPr>
          <w:rFonts w:ascii="Arial" w:hAnsi="Arial"/>
          <w:w w:val="105"/>
          <w:sz w:val="12"/>
        </w:rPr>
        <w:t>734</w:t>
      </w:r>
      <w:r>
        <w:rPr>
          <w:rFonts w:ascii="Arial" w:hAnsi="Arial"/>
          <w:spacing w:val="7"/>
          <w:w w:val="105"/>
          <w:sz w:val="12"/>
        </w:rPr>
        <w:t> </w:t>
      </w:r>
      <w:r>
        <w:rPr>
          <w:w w:val="105"/>
        </w:rPr>
        <w:t>2007).</w:t>
      </w:r>
      <w:r>
        <w:rPr>
          <w:spacing w:val="34"/>
          <w:w w:val="105"/>
        </w:rPr>
        <w:t> </w:t>
      </w:r>
      <w:r>
        <w:rPr>
          <w:w w:val="105"/>
        </w:rPr>
        <w:t>It</w:t>
      </w:r>
      <w:r>
        <w:rPr>
          <w:spacing w:val="11"/>
          <w:w w:val="105"/>
        </w:rPr>
        <w:t> </w:t>
      </w:r>
      <w:r>
        <w:rPr>
          <w:w w:val="105"/>
        </w:rPr>
        <w:t>is</w:t>
      </w:r>
      <w:r>
        <w:rPr>
          <w:spacing w:val="9"/>
          <w:w w:val="105"/>
        </w:rPr>
        <w:t> </w:t>
      </w:r>
      <w:r>
        <w:rPr>
          <w:w w:val="105"/>
        </w:rPr>
        <w:t>also</w:t>
      </w:r>
      <w:r>
        <w:rPr>
          <w:spacing w:val="10"/>
          <w:w w:val="105"/>
        </w:rPr>
        <w:t> </w:t>
      </w:r>
      <w:r>
        <w:rPr>
          <w:w w:val="105"/>
        </w:rPr>
        <w:t>unclear</w:t>
      </w:r>
      <w:r>
        <w:rPr>
          <w:spacing w:val="11"/>
          <w:w w:val="105"/>
        </w:rPr>
        <w:t> </w:t>
      </w:r>
      <w:r>
        <w:rPr>
          <w:w w:val="105"/>
        </w:rPr>
        <w:t>whether</w:t>
      </w:r>
      <w:r>
        <w:rPr>
          <w:spacing w:val="10"/>
          <w:w w:val="105"/>
        </w:rPr>
        <w:t> </w:t>
      </w:r>
      <w:r>
        <w:rPr>
          <w:spacing w:val="-3"/>
          <w:w w:val="105"/>
        </w:rPr>
        <w:t>any</w:t>
      </w:r>
      <w:r>
        <w:rPr>
          <w:spacing w:val="10"/>
          <w:w w:val="105"/>
        </w:rPr>
        <w:t> </w:t>
      </w:r>
      <w:r>
        <w:rPr>
          <w:w w:val="105"/>
        </w:rPr>
        <w:t>time</w:t>
      </w:r>
      <w:r>
        <w:rPr>
          <w:spacing w:val="10"/>
          <w:w w:val="105"/>
        </w:rPr>
        <w:t> </w:t>
      </w:r>
      <w:r>
        <w:rPr>
          <w:w w:val="105"/>
        </w:rPr>
        <w:t>of</w:t>
      </w:r>
      <w:r>
        <w:rPr>
          <w:spacing w:val="11"/>
          <w:w w:val="105"/>
        </w:rPr>
        <w:t> </w:t>
      </w:r>
      <w:r>
        <w:rPr>
          <w:w w:val="105"/>
        </w:rPr>
        <w:t>response</w:t>
      </w:r>
      <w:r>
        <w:rPr>
          <w:spacing w:val="9"/>
          <w:w w:val="105"/>
        </w:rPr>
        <w:t> </w:t>
      </w:r>
      <w:r>
        <w:rPr>
          <w:w w:val="105"/>
        </w:rPr>
        <w:t>latency</w:t>
      </w:r>
      <w:r>
        <w:rPr>
          <w:spacing w:val="10"/>
          <w:w w:val="105"/>
        </w:rPr>
        <w:t> </w:t>
      </w:r>
      <w:r>
        <w:rPr>
          <w:w w:val="105"/>
        </w:rPr>
        <w:t>measure</w:t>
      </w:r>
      <w:r>
        <w:rPr>
          <w:spacing w:val="11"/>
          <w:w w:val="105"/>
        </w:rPr>
        <w:t> </w:t>
      </w:r>
      <w:r>
        <w:rPr>
          <w:w w:val="105"/>
        </w:rPr>
        <w:t>derived</w:t>
      </w:r>
      <w:r>
        <w:rPr>
          <w:spacing w:val="10"/>
          <w:w w:val="105"/>
        </w:rPr>
        <w:t> </w:t>
      </w:r>
      <w:r>
        <w:rPr>
          <w:w w:val="105"/>
        </w:rPr>
        <w:t>from</w:t>
      </w:r>
    </w:p>
    <w:p>
      <w:pPr>
        <w:pStyle w:val="BodyText"/>
        <w:spacing w:before="3"/>
      </w:pPr>
      <w:r>
        <w:rPr>
          <w:rFonts w:ascii="Arial"/>
          <w:w w:val="105"/>
          <w:sz w:val="12"/>
        </w:rPr>
        <w:t>735 </w:t>
      </w:r>
      <w:r>
        <w:rPr>
          <w:w w:val="105"/>
        </w:rPr>
        <w:t>sensorimotor tasks, such as the AAT variant employed in this study, can be indicative of</w:t>
      </w:r>
    </w:p>
    <w:p>
      <w:pPr>
        <w:pStyle w:val="BodyText"/>
        <w:spacing w:line="415" w:lineRule="auto"/>
        <w:ind w:right="254"/>
      </w:pPr>
      <w:r>
        <w:rPr>
          <w:rFonts w:ascii="Arial"/>
          <w:w w:val="105"/>
          <w:sz w:val="12"/>
        </w:rPr>
        <w:t>736  </w:t>
      </w:r>
      <w:r>
        <w:rPr>
          <w:rFonts w:ascii="Arial"/>
          <w:spacing w:val="35"/>
          <w:w w:val="105"/>
          <w:sz w:val="12"/>
        </w:rPr>
        <w:t> </w:t>
      </w:r>
      <w:r>
        <w:rPr>
          <w:w w:val="105"/>
        </w:rPr>
        <w:t>approach-avoidance bias, since the role of arm </w:t>
      </w:r>
      <w:r>
        <w:rPr>
          <w:spacing w:val="-3"/>
          <w:w w:val="105"/>
        </w:rPr>
        <w:t>movements </w:t>
      </w:r>
      <w:r>
        <w:rPr>
          <w:w w:val="105"/>
        </w:rPr>
        <w:t>in these motivational processes   </w:t>
      </w:r>
      <w:r>
        <w:rPr>
          <w:rFonts w:ascii="Arial"/>
          <w:w w:val="105"/>
          <w:sz w:val="12"/>
        </w:rPr>
        <w:t>737</w:t>
      </w:r>
      <w:r>
        <w:rPr>
          <w:rFonts w:ascii="Arial"/>
          <w:spacing w:val="28"/>
          <w:w w:val="105"/>
          <w:sz w:val="12"/>
        </w:rPr>
        <w:t> </w:t>
      </w:r>
      <w:r>
        <w:rPr>
          <w:w w:val="105"/>
        </w:rPr>
        <w:t>has recently been questioned for the controversial replicability of findings and the importance </w:t>
      </w:r>
      <w:r>
        <w:rPr>
          <w:rFonts w:ascii="Arial"/>
          <w:w w:val="105"/>
          <w:sz w:val="12"/>
        </w:rPr>
        <w:t>738</w:t>
      </w:r>
      <w:r>
        <w:rPr>
          <w:rFonts w:ascii="Arial"/>
          <w:spacing w:val="19"/>
          <w:w w:val="105"/>
          <w:sz w:val="12"/>
        </w:rPr>
        <w:t> </w:t>
      </w:r>
      <w:r>
        <w:rPr>
          <w:w w:val="105"/>
        </w:rPr>
        <w:t>of</w:t>
      </w:r>
      <w:r>
        <w:rPr>
          <w:spacing w:val="-17"/>
          <w:w w:val="105"/>
        </w:rPr>
        <w:t> </w:t>
      </w:r>
      <w:r>
        <w:rPr>
          <w:w w:val="105"/>
        </w:rPr>
        <w:t>whole-body</w:t>
      </w:r>
      <w:r>
        <w:rPr>
          <w:spacing w:val="-16"/>
          <w:w w:val="105"/>
        </w:rPr>
        <w:t> </w:t>
      </w:r>
      <w:r>
        <w:rPr>
          <w:spacing w:val="-3"/>
          <w:w w:val="105"/>
        </w:rPr>
        <w:t>movements</w:t>
      </w:r>
      <w:r>
        <w:rPr>
          <w:spacing w:val="-17"/>
          <w:w w:val="105"/>
        </w:rPr>
        <w:t> </w:t>
      </w:r>
      <w:r>
        <w:rPr>
          <w:w w:val="105"/>
        </w:rPr>
        <w:t>in</w:t>
      </w:r>
      <w:r>
        <w:rPr>
          <w:spacing w:val="-17"/>
          <w:w w:val="105"/>
        </w:rPr>
        <w:t> </w:t>
      </w:r>
      <w:r>
        <w:rPr>
          <w:w w:val="105"/>
        </w:rPr>
        <w:t>real-world</w:t>
      </w:r>
      <w:r>
        <w:rPr>
          <w:spacing w:val="-16"/>
          <w:w w:val="105"/>
        </w:rPr>
        <w:t> </w:t>
      </w:r>
      <w:r>
        <w:rPr>
          <w:w w:val="105"/>
        </w:rPr>
        <w:t>approach-avoidance</w:t>
      </w:r>
      <w:r>
        <w:rPr>
          <w:spacing w:val="-17"/>
          <w:w w:val="105"/>
        </w:rPr>
        <w:t> </w:t>
      </w:r>
      <w:r>
        <w:rPr>
          <w:w w:val="105"/>
        </w:rPr>
        <w:t>behaviours</w:t>
      </w:r>
      <w:r>
        <w:rPr>
          <w:spacing w:val="-17"/>
          <w:w w:val="105"/>
        </w:rPr>
        <w:t> </w:t>
      </w:r>
      <w:r>
        <w:rPr>
          <w:w w:val="105"/>
        </w:rPr>
        <w:t>(Rougier</w:t>
      </w:r>
      <w:r>
        <w:rPr>
          <w:spacing w:val="-16"/>
          <w:w w:val="105"/>
        </w:rPr>
        <w:t> </w:t>
      </w:r>
      <w:r>
        <w:rPr>
          <w:w w:val="105"/>
        </w:rPr>
        <w:t>et</w:t>
      </w:r>
      <w:r>
        <w:rPr>
          <w:spacing w:val="-17"/>
          <w:w w:val="105"/>
        </w:rPr>
        <w:t> </w:t>
      </w:r>
      <w:r>
        <w:rPr>
          <w:w w:val="105"/>
        </w:rPr>
        <w:t>al.,</w:t>
      </w:r>
      <w:r>
        <w:rPr>
          <w:spacing w:val="-16"/>
          <w:w w:val="105"/>
        </w:rPr>
        <w:t> </w:t>
      </w:r>
      <w:r>
        <w:rPr>
          <w:w w:val="105"/>
        </w:rPr>
        <w:t>2018). </w:t>
      </w:r>
      <w:r>
        <w:rPr>
          <w:rFonts w:ascii="Arial"/>
          <w:w w:val="105"/>
          <w:sz w:val="12"/>
        </w:rPr>
        <w:t>739</w:t>
      </w:r>
      <w:r>
        <w:rPr>
          <w:rFonts w:ascii="Arial"/>
          <w:spacing w:val="35"/>
          <w:w w:val="105"/>
          <w:sz w:val="12"/>
        </w:rPr>
        <w:t> </w:t>
      </w:r>
      <w:r>
        <w:rPr>
          <w:w w:val="105"/>
        </w:rPr>
        <w:t>An element of the </w:t>
      </w:r>
      <w:r>
        <w:rPr>
          <w:spacing w:val="-7"/>
          <w:w w:val="105"/>
        </w:rPr>
        <w:t>AAT </w:t>
      </w:r>
      <w:r>
        <w:rPr>
          <w:spacing w:val="-4"/>
          <w:w w:val="105"/>
        </w:rPr>
        <w:t>variant </w:t>
      </w:r>
      <w:r>
        <w:rPr>
          <w:w w:val="105"/>
        </w:rPr>
        <w:t>that could </w:t>
      </w:r>
      <w:r>
        <w:rPr>
          <w:spacing w:val="-4"/>
          <w:w w:val="105"/>
        </w:rPr>
        <w:t>have </w:t>
      </w:r>
      <w:r>
        <w:rPr>
          <w:w w:val="105"/>
        </w:rPr>
        <w:t>affected the reliability of the bias scores </w:t>
      </w:r>
      <w:r>
        <w:rPr>
          <w:spacing w:val="-3"/>
          <w:w w:val="105"/>
        </w:rPr>
        <w:t>was  </w:t>
      </w:r>
      <w:r>
        <w:rPr>
          <w:rFonts w:ascii="Arial"/>
          <w:w w:val="105"/>
          <w:sz w:val="12"/>
        </w:rPr>
        <w:t>740 </w:t>
      </w:r>
      <w:r>
        <w:rPr>
          <w:w w:val="105"/>
        </w:rPr>
        <w:t>the use of a computer mouse instead of a </w:t>
      </w:r>
      <w:r>
        <w:rPr>
          <w:spacing w:val="-3"/>
          <w:w w:val="105"/>
        </w:rPr>
        <w:t>joystick, </w:t>
      </w:r>
      <w:r>
        <w:rPr>
          <w:w w:val="105"/>
        </w:rPr>
        <w:t>as in the seminal version of this paradigm</w:t>
      </w:r>
      <w:r>
        <w:rPr>
          <w:spacing w:val="63"/>
          <w:w w:val="105"/>
        </w:rPr>
        <w:t> </w:t>
      </w:r>
      <w:r>
        <w:rPr>
          <w:rFonts w:ascii="Arial"/>
          <w:w w:val="105"/>
          <w:sz w:val="12"/>
        </w:rPr>
        <w:t>741 </w:t>
      </w:r>
      <w:r>
        <w:rPr>
          <w:w w:val="105"/>
        </w:rPr>
        <w:t>(Rinck &amp; Becker, 2007; Wiers et al., 2009). </w:t>
      </w:r>
      <w:r>
        <w:rPr>
          <w:spacing w:val="-3"/>
          <w:w w:val="105"/>
        </w:rPr>
        <w:t>However, any </w:t>
      </w:r>
      <w:r>
        <w:rPr>
          <w:w w:val="105"/>
        </w:rPr>
        <w:t>motor demand differences between </w:t>
      </w:r>
      <w:r>
        <w:rPr>
          <w:rFonts w:ascii="Arial"/>
          <w:w w:val="105"/>
          <w:sz w:val="12"/>
        </w:rPr>
        <w:t>742 </w:t>
      </w:r>
      <w:r>
        <w:rPr>
          <w:w w:val="105"/>
        </w:rPr>
        <w:t>the </w:t>
      </w:r>
      <w:r>
        <w:rPr>
          <w:spacing w:val="-3"/>
          <w:w w:val="105"/>
        </w:rPr>
        <w:t>joystick </w:t>
      </w:r>
      <w:r>
        <w:rPr>
          <w:w w:val="105"/>
        </w:rPr>
        <w:t>and computer mouse would not affect the initiation times, which were also</w:t>
      </w:r>
      <w:r>
        <w:rPr>
          <w:spacing w:val="-42"/>
          <w:w w:val="105"/>
        </w:rPr>
        <w:t> </w:t>
      </w:r>
      <w:r>
        <w:rPr>
          <w:w w:val="105"/>
        </w:rPr>
        <w:t>found</w:t>
      </w:r>
    </w:p>
    <w:p>
      <w:pPr>
        <w:spacing w:after="0" w:line="415" w:lineRule="auto"/>
        <w:sectPr>
          <w:pgSz w:w="12240" w:h="15840"/>
          <w:pgMar w:header="649" w:footer="0" w:top="1320" w:bottom="280" w:left="820" w:right="1140"/>
        </w:sectPr>
      </w:pPr>
    </w:p>
    <w:p>
      <w:pPr>
        <w:pStyle w:val="BodyText"/>
        <w:spacing w:before="191"/>
      </w:pPr>
      <w:r>
        <w:rPr>
          <w:rFonts w:ascii="Arial"/>
          <w:w w:val="105"/>
          <w:sz w:val="12"/>
        </w:rPr>
        <w:t>743 </w:t>
      </w:r>
      <w:r>
        <w:rPr>
          <w:w w:val="105"/>
        </w:rPr>
        <w:t>to have questionable test-retest reliability. The variability in methodology for the</w:t>
      </w:r>
    </w:p>
    <w:p>
      <w:pPr>
        <w:pStyle w:val="BodyText"/>
        <w:spacing w:line="415" w:lineRule="auto"/>
        <w:ind w:right="782"/>
      </w:pPr>
      <w:r>
        <w:rPr>
          <w:rFonts w:ascii="Arial"/>
          <w:w w:val="105"/>
          <w:sz w:val="12"/>
        </w:rPr>
        <w:t>744 </w:t>
      </w:r>
      <w:r>
        <w:rPr>
          <w:w w:val="105"/>
        </w:rPr>
        <w:t>measurement of motivational bias should </w:t>
      </w:r>
      <w:r>
        <w:rPr>
          <w:spacing w:val="3"/>
          <w:w w:val="105"/>
        </w:rPr>
        <w:t>be </w:t>
      </w:r>
      <w:r>
        <w:rPr>
          <w:w w:val="105"/>
        </w:rPr>
        <w:t>taken into account, as different parameters</w:t>
      </w:r>
      <w:r>
        <w:rPr>
          <w:spacing w:val="63"/>
          <w:w w:val="105"/>
        </w:rPr>
        <w:t> </w:t>
      </w:r>
      <w:r>
        <w:rPr>
          <w:rFonts w:ascii="Arial"/>
          <w:w w:val="105"/>
          <w:sz w:val="12"/>
        </w:rPr>
        <w:t>745     </w:t>
      </w:r>
      <w:r>
        <w:rPr>
          <w:w w:val="105"/>
        </w:rPr>
        <w:t>might need to </w:t>
      </w:r>
      <w:r>
        <w:rPr>
          <w:spacing w:val="3"/>
          <w:w w:val="105"/>
        </w:rPr>
        <w:t>be </w:t>
      </w:r>
      <w:r>
        <w:rPr>
          <w:w w:val="105"/>
        </w:rPr>
        <w:t>examined further when the </w:t>
      </w:r>
      <w:r>
        <w:rPr>
          <w:spacing w:val="-7"/>
          <w:w w:val="105"/>
        </w:rPr>
        <w:t>AAT  </w:t>
      </w:r>
      <w:r>
        <w:rPr>
          <w:w w:val="105"/>
        </w:rPr>
        <w:t>is applied in the </w:t>
      </w:r>
      <w:r>
        <w:rPr>
          <w:spacing w:val="3"/>
          <w:w w:val="105"/>
        </w:rPr>
        <w:t>food </w:t>
      </w:r>
      <w:r>
        <w:rPr>
          <w:w w:val="105"/>
        </w:rPr>
        <w:t>domain (e.g.,  </w:t>
      </w:r>
      <w:r>
        <w:rPr>
          <w:rFonts w:ascii="Arial"/>
          <w:w w:val="105"/>
          <w:sz w:val="12"/>
        </w:rPr>
        <w:t>746</w:t>
      </w:r>
      <w:r>
        <w:rPr>
          <w:rFonts w:ascii="Arial"/>
          <w:spacing w:val="20"/>
          <w:w w:val="105"/>
          <w:sz w:val="12"/>
        </w:rPr>
        <w:t> </w:t>
      </w:r>
      <w:r>
        <w:rPr>
          <w:w w:val="105"/>
        </w:rPr>
        <w:t>explicit</w:t>
      </w:r>
      <w:r>
        <w:rPr>
          <w:spacing w:val="14"/>
          <w:w w:val="105"/>
        </w:rPr>
        <w:t> </w:t>
      </w:r>
      <w:r>
        <w:rPr>
          <w:w w:val="105"/>
        </w:rPr>
        <w:t>vs</w:t>
      </w:r>
      <w:r>
        <w:rPr>
          <w:spacing w:val="13"/>
          <w:w w:val="105"/>
        </w:rPr>
        <w:t> </w:t>
      </w:r>
      <w:r>
        <w:rPr>
          <w:w w:val="105"/>
        </w:rPr>
        <w:t>implicit</w:t>
      </w:r>
      <w:r>
        <w:rPr>
          <w:spacing w:val="13"/>
          <w:w w:val="105"/>
        </w:rPr>
        <w:t> </w:t>
      </w:r>
      <w:r>
        <w:rPr>
          <w:w w:val="105"/>
        </w:rPr>
        <w:t>task</w:t>
      </w:r>
      <w:r>
        <w:rPr>
          <w:spacing w:val="13"/>
          <w:w w:val="105"/>
        </w:rPr>
        <w:t> </w:t>
      </w:r>
      <w:r>
        <w:rPr>
          <w:w w:val="105"/>
        </w:rPr>
        <w:t>instructions;</w:t>
      </w:r>
      <w:r>
        <w:rPr>
          <w:spacing w:val="13"/>
          <w:w w:val="105"/>
        </w:rPr>
        <w:t> </w:t>
      </w:r>
      <w:r>
        <w:rPr>
          <w:w w:val="105"/>
        </w:rPr>
        <w:t>see</w:t>
      </w:r>
      <w:r>
        <w:rPr>
          <w:spacing w:val="14"/>
          <w:w w:val="105"/>
        </w:rPr>
        <w:t> </w:t>
      </w:r>
      <w:r>
        <w:rPr>
          <w:w w:val="105"/>
        </w:rPr>
        <w:t>Phaf</w:t>
      </w:r>
      <w:r>
        <w:rPr>
          <w:spacing w:val="14"/>
          <w:w w:val="105"/>
        </w:rPr>
        <w:t> </w:t>
      </w:r>
      <w:r>
        <w:rPr>
          <w:w w:val="105"/>
        </w:rPr>
        <w:t>et</w:t>
      </w:r>
      <w:r>
        <w:rPr>
          <w:spacing w:val="13"/>
          <w:w w:val="105"/>
        </w:rPr>
        <w:t> </w:t>
      </w:r>
      <w:r>
        <w:rPr>
          <w:w w:val="105"/>
        </w:rPr>
        <w:t>al.,</w:t>
      </w:r>
      <w:r>
        <w:rPr>
          <w:spacing w:val="13"/>
          <w:w w:val="105"/>
        </w:rPr>
        <w:t> </w:t>
      </w:r>
      <w:r>
        <w:rPr>
          <w:w w:val="105"/>
        </w:rPr>
        <w:t>2014</w:t>
      </w:r>
      <w:r>
        <w:rPr>
          <w:spacing w:val="12"/>
          <w:w w:val="105"/>
        </w:rPr>
        <w:t> </w:t>
      </w:r>
      <w:r>
        <w:rPr>
          <w:w w:val="105"/>
        </w:rPr>
        <w:t>for</w:t>
      </w:r>
      <w:r>
        <w:rPr>
          <w:spacing w:val="14"/>
          <w:w w:val="105"/>
        </w:rPr>
        <w:t> </w:t>
      </w:r>
      <w:r>
        <w:rPr>
          <w:w w:val="105"/>
        </w:rPr>
        <w:t>meta-analysis).</w:t>
      </w:r>
    </w:p>
    <w:p>
      <w:pPr>
        <w:pStyle w:val="BodyText"/>
        <w:spacing w:before="9"/>
        <w:ind w:left="0"/>
        <w:rPr>
          <w:sz w:val="9"/>
        </w:rPr>
      </w:pPr>
    </w:p>
    <w:p>
      <w:pPr>
        <w:pStyle w:val="BodyText"/>
        <w:tabs>
          <w:tab w:pos="1195" w:val="left" w:leader="none"/>
        </w:tabs>
        <w:spacing w:before="145"/>
      </w:pPr>
      <w:r>
        <w:rPr>
          <w:rFonts w:ascii="Arial"/>
          <w:w w:val="105"/>
          <w:sz w:val="12"/>
        </w:rPr>
        <w:t>747</w:t>
        <w:tab/>
      </w:r>
      <w:r>
        <w:rPr>
          <w:w w:val="105"/>
        </w:rPr>
        <w:t>Certainly,</w:t>
      </w:r>
      <w:r>
        <w:rPr>
          <w:spacing w:val="14"/>
          <w:w w:val="105"/>
        </w:rPr>
        <w:t> </w:t>
      </w:r>
      <w:r>
        <w:rPr>
          <w:w w:val="105"/>
        </w:rPr>
        <w:t>there</w:t>
      </w:r>
      <w:r>
        <w:rPr>
          <w:spacing w:val="14"/>
          <w:w w:val="105"/>
        </w:rPr>
        <w:t> </w:t>
      </w:r>
      <w:r>
        <w:rPr>
          <w:w w:val="105"/>
        </w:rPr>
        <w:t>are</w:t>
      </w:r>
      <w:r>
        <w:rPr>
          <w:spacing w:val="14"/>
          <w:w w:val="105"/>
        </w:rPr>
        <w:t> </w:t>
      </w:r>
      <w:r>
        <w:rPr>
          <w:w w:val="105"/>
        </w:rPr>
        <w:t>methodological</w:t>
      </w:r>
      <w:r>
        <w:rPr>
          <w:spacing w:val="14"/>
          <w:w w:val="105"/>
        </w:rPr>
        <w:t> </w:t>
      </w:r>
      <w:r>
        <w:rPr>
          <w:w w:val="105"/>
        </w:rPr>
        <w:t>issues</w:t>
      </w:r>
      <w:r>
        <w:rPr>
          <w:spacing w:val="14"/>
          <w:w w:val="105"/>
        </w:rPr>
        <w:t> </w:t>
      </w:r>
      <w:r>
        <w:rPr>
          <w:w w:val="105"/>
        </w:rPr>
        <w:t>with</w:t>
      </w:r>
      <w:r>
        <w:rPr>
          <w:spacing w:val="15"/>
          <w:w w:val="105"/>
        </w:rPr>
        <w:t> </w:t>
      </w:r>
      <w:r>
        <w:rPr>
          <w:w w:val="105"/>
        </w:rPr>
        <w:t>the</w:t>
      </w:r>
      <w:r>
        <w:rPr>
          <w:spacing w:val="14"/>
          <w:w w:val="105"/>
        </w:rPr>
        <w:t> </w:t>
      </w:r>
      <w:r>
        <w:rPr>
          <w:w w:val="105"/>
        </w:rPr>
        <w:t>application</w:t>
      </w:r>
      <w:r>
        <w:rPr>
          <w:spacing w:val="15"/>
          <w:w w:val="105"/>
        </w:rPr>
        <w:t> </w:t>
      </w:r>
      <w:r>
        <w:rPr>
          <w:w w:val="105"/>
        </w:rPr>
        <w:t>of</w:t>
      </w:r>
      <w:r>
        <w:rPr>
          <w:spacing w:val="14"/>
          <w:w w:val="105"/>
        </w:rPr>
        <w:t> </w:t>
      </w:r>
      <w:r>
        <w:rPr>
          <w:w w:val="105"/>
        </w:rPr>
        <w:t>the</w:t>
      </w:r>
      <w:r>
        <w:rPr>
          <w:spacing w:val="14"/>
          <w:w w:val="105"/>
        </w:rPr>
        <w:t> </w:t>
      </w:r>
      <w:r>
        <w:rPr>
          <w:spacing w:val="-7"/>
          <w:w w:val="105"/>
        </w:rPr>
        <w:t>AAT</w:t>
      </w:r>
      <w:r>
        <w:rPr>
          <w:spacing w:val="15"/>
          <w:w w:val="105"/>
        </w:rPr>
        <w:t> </w:t>
      </w:r>
      <w:r>
        <w:rPr>
          <w:w w:val="105"/>
        </w:rPr>
        <w:t>as</w:t>
      </w:r>
      <w:r>
        <w:rPr>
          <w:spacing w:val="15"/>
          <w:w w:val="105"/>
        </w:rPr>
        <w:t> </w:t>
      </w:r>
      <w:r>
        <w:rPr>
          <w:w w:val="105"/>
        </w:rPr>
        <w:t>an</w:t>
      </w:r>
    </w:p>
    <w:p>
      <w:pPr>
        <w:pStyle w:val="BodyText"/>
        <w:spacing w:line="415" w:lineRule="auto" w:before="203"/>
        <w:ind w:right="525"/>
      </w:pPr>
      <w:r>
        <w:rPr>
          <w:rFonts w:ascii="Arial"/>
          <w:w w:val="105"/>
          <w:sz w:val="12"/>
        </w:rPr>
        <w:t>748</w:t>
      </w:r>
      <w:r>
        <w:rPr>
          <w:rFonts w:ascii="Arial"/>
          <w:spacing w:val="35"/>
          <w:w w:val="105"/>
          <w:sz w:val="12"/>
        </w:rPr>
        <w:t> </w:t>
      </w:r>
      <w:r>
        <w:rPr>
          <w:w w:val="105"/>
        </w:rPr>
        <w:t>indirect measure of approach bias in ICT studies that </w:t>
      </w:r>
      <w:r>
        <w:rPr>
          <w:spacing w:val="-4"/>
          <w:w w:val="105"/>
        </w:rPr>
        <w:t>have </w:t>
      </w:r>
      <w:r>
        <w:rPr>
          <w:w w:val="105"/>
        </w:rPr>
        <w:t>strict comparisons for outcomes   </w:t>
      </w:r>
      <w:r>
        <w:rPr>
          <w:rFonts w:ascii="Arial"/>
          <w:w w:val="105"/>
          <w:sz w:val="12"/>
        </w:rPr>
        <w:t>749     </w:t>
      </w:r>
      <w:r>
        <w:rPr>
          <w:w w:val="105"/>
        </w:rPr>
        <w:t>based only </w:t>
      </w:r>
      <w:r>
        <w:rPr>
          <w:spacing w:val="3"/>
          <w:w w:val="105"/>
        </w:rPr>
        <w:t>food </w:t>
      </w:r>
      <w:r>
        <w:rPr>
          <w:w w:val="105"/>
        </w:rPr>
        <w:t>stimuli.  </w:t>
      </w:r>
      <w:r>
        <w:rPr>
          <w:spacing w:val="-7"/>
          <w:w w:val="105"/>
        </w:rPr>
        <w:t>For </w:t>
      </w:r>
      <w:r>
        <w:rPr>
          <w:w w:val="105"/>
        </w:rPr>
        <w:t>example, one approach for making inferences based on </w:t>
      </w:r>
      <w:r>
        <w:rPr>
          <w:spacing w:val="-7"/>
          <w:w w:val="105"/>
        </w:rPr>
        <w:t>AAT  </w:t>
      </w:r>
      <w:r>
        <w:rPr>
          <w:rFonts w:ascii="Arial"/>
          <w:w w:val="105"/>
          <w:sz w:val="12"/>
        </w:rPr>
        <w:t>750 </w:t>
      </w:r>
      <w:r>
        <w:rPr>
          <w:w w:val="105"/>
        </w:rPr>
        <w:t>scores is to calculate a </w:t>
      </w:r>
      <w:r>
        <w:rPr>
          <w:i/>
          <w:w w:val="105"/>
        </w:rPr>
        <w:t>relative </w:t>
      </w:r>
      <w:r>
        <w:rPr>
          <w:w w:val="105"/>
        </w:rPr>
        <w:t>bias based on the push-pull median </w:t>
      </w:r>
      <w:r>
        <w:rPr>
          <w:spacing w:val="-10"/>
          <w:w w:val="105"/>
        </w:rPr>
        <w:t>RT </w:t>
      </w:r>
      <w:r>
        <w:rPr>
          <w:w w:val="105"/>
        </w:rPr>
        <w:t>differences from one</w:t>
      </w:r>
      <w:r>
        <w:rPr>
          <w:spacing w:val="63"/>
          <w:w w:val="105"/>
        </w:rPr>
        <w:t> </w:t>
      </w:r>
      <w:r>
        <w:rPr>
          <w:rFonts w:ascii="Arial"/>
          <w:w w:val="105"/>
          <w:sz w:val="12"/>
        </w:rPr>
        <w:t>751</w:t>
      </w:r>
      <w:r>
        <w:rPr>
          <w:rFonts w:ascii="Arial"/>
          <w:spacing w:val="35"/>
          <w:w w:val="105"/>
          <w:sz w:val="12"/>
        </w:rPr>
        <w:t> </w:t>
      </w:r>
      <w:r>
        <w:rPr>
          <w:w w:val="105"/>
        </w:rPr>
        <w:t>category (e.g., alcohol) versus another (e.g., non-alcohol), as reported in previous literature  </w:t>
      </w:r>
      <w:r>
        <w:rPr>
          <w:rFonts w:ascii="Arial"/>
          <w:w w:val="105"/>
          <w:sz w:val="12"/>
        </w:rPr>
        <w:t>752</w:t>
      </w:r>
      <w:r>
        <w:rPr>
          <w:rFonts w:ascii="Arial"/>
          <w:spacing w:val="35"/>
          <w:w w:val="105"/>
          <w:sz w:val="12"/>
        </w:rPr>
        <w:t> </w:t>
      </w:r>
      <w:r>
        <w:rPr>
          <w:w w:val="105"/>
        </w:rPr>
        <w:t>(Sharbanee, Stritzke, Jamalludin, &amp; Wiers, 2014; </w:t>
      </w:r>
      <w:r>
        <w:rPr>
          <w:spacing w:val="-5"/>
          <w:w w:val="105"/>
        </w:rPr>
        <w:t>van </w:t>
      </w:r>
      <w:r>
        <w:rPr>
          <w:w w:val="105"/>
        </w:rPr>
        <w:t>Deursen, Salemink, Smit, Kramer, &amp;  </w:t>
      </w:r>
      <w:r>
        <w:rPr>
          <w:rFonts w:ascii="Arial"/>
          <w:w w:val="105"/>
          <w:sz w:val="12"/>
        </w:rPr>
        <w:t>753 </w:t>
      </w:r>
      <w:r>
        <w:rPr>
          <w:w w:val="105"/>
        </w:rPr>
        <w:t>Wiers, 2013). </w:t>
      </w:r>
      <w:r>
        <w:rPr>
          <w:spacing w:val="-3"/>
          <w:w w:val="105"/>
        </w:rPr>
        <w:t>However, </w:t>
      </w:r>
      <w:r>
        <w:rPr>
          <w:w w:val="105"/>
        </w:rPr>
        <w:t>in the present study design the </w:t>
      </w:r>
      <w:r>
        <w:rPr>
          <w:spacing w:val="-7"/>
          <w:w w:val="105"/>
        </w:rPr>
        <w:t>AAT </w:t>
      </w:r>
      <w:r>
        <w:rPr>
          <w:w w:val="105"/>
        </w:rPr>
        <w:t>included only sweet</w:t>
      </w:r>
      <w:r>
        <w:rPr>
          <w:spacing w:val="62"/>
          <w:w w:val="105"/>
        </w:rPr>
        <w:t> </w:t>
      </w:r>
      <w:r>
        <w:rPr>
          <w:w w:val="105"/>
        </w:rPr>
        <w:t>and</w:t>
      </w:r>
    </w:p>
    <w:p>
      <w:pPr>
        <w:pStyle w:val="BodyText"/>
        <w:spacing w:before="4"/>
      </w:pPr>
      <w:r>
        <w:rPr>
          <w:rFonts w:ascii="Arial"/>
          <w:sz w:val="12"/>
        </w:rPr>
        <w:t>754 </w:t>
      </w:r>
      <w:r>
        <w:rPr/>
        <w:t>savoury unhealthy foods and bias scores were based on the differences between push and pull</w:t>
      </w:r>
    </w:p>
    <w:p>
      <w:pPr>
        <w:pStyle w:val="BodyText"/>
      </w:pPr>
      <w:r>
        <w:rPr>
          <w:rFonts w:ascii="Arial"/>
          <w:w w:val="105"/>
          <w:sz w:val="12"/>
        </w:rPr>
        <w:t>755     </w:t>
      </w:r>
      <w:r>
        <w:rPr>
          <w:w w:val="105"/>
        </w:rPr>
        <w:t>actions alone.  The control for relative bias scores should </w:t>
      </w:r>
      <w:r>
        <w:rPr>
          <w:spacing w:val="3"/>
          <w:w w:val="105"/>
        </w:rPr>
        <w:t>be </w:t>
      </w:r>
      <w:r>
        <w:rPr>
          <w:w w:val="105"/>
        </w:rPr>
        <w:t>specific to the question</w:t>
      </w:r>
      <w:r>
        <w:rPr>
          <w:spacing w:val="36"/>
          <w:w w:val="105"/>
        </w:rPr>
        <w:t> </w:t>
      </w:r>
      <w:r>
        <w:rPr>
          <w:w w:val="105"/>
        </w:rPr>
        <w:t>of</w:t>
      </w:r>
    </w:p>
    <w:p>
      <w:pPr>
        <w:pStyle w:val="BodyText"/>
      </w:pPr>
      <w:r>
        <w:rPr>
          <w:rFonts w:ascii="Arial"/>
          <w:w w:val="105"/>
          <w:sz w:val="12"/>
        </w:rPr>
        <w:t>756    </w:t>
      </w:r>
      <w:r>
        <w:rPr>
          <w:rFonts w:ascii="Arial"/>
          <w:spacing w:val="17"/>
          <w:w w:val="105"/>
          <w:sz w:val="12"/>
        </w:rPr>
        <w:t> </w:t>
      </w:r>
      <w:r>
        <w:rPr>
          <w:w w:val="105"/>
        </w:rPr>
        <w:t>interest,</w:t>
      </w:r>
      <w:r>
        <w:rPr>
          <w:spacing w:val="11"/>
          <w:w w:val="105"/>
        </w:rPr>
        <w:t> </w:t>
      </w:r>
      <w:r>
        <w:rPr>
          <w:w w:val="105"/>
        </w:rPr>
        <w:t>such</w:t>
      </w:r>
      <w:r>
        <w:rPr>
          <w:spacing w:val="11"/>
          <w:w w:val="105"/>
        </w:rPr>
        <w:t> </w:t>
      </w:r>
      <w:r>
        <w:rPr>
          <w:w w:val="105"/>
        </w:rPr>
        <w:t>as</w:t>
      </w:r>
      <w:r>
        <w:rPr>
          <w:spacing w:val="12"/>
          <w:w w:val="105"/>
        </w:rPr>
        <w:t> </w:t>
      </w:r>
      <w:r>
        <w:rPr>
          <w:w w:val="105"/>
        </w:rPr>
        <w:t>healthy</w:t>
      </w:r>
      <w:r>
        <w:rPr>
          <w:spacing w:val="13"/>
          <w:w w:val="105"/>
        </w:rPr>
        <w:t> </w:t>
      </w:r>
      <w:r>
        <w:rPr>
          <w:w w:val="105"/>
        </w:rPr>
        <w:t>foods,</w:t>
      </w:r>
      <w:r>
        <w:rPr>
          <w:spacing w:val="11"/>
          <w:w w:val="105"/>
        </w:rPr>
        <w:t> </w:t>
      </w:r>
      <w:r>
        <w:rPr>
          <w:w w:val="105"/>
        </w:rPr>
        <w:t>if</w:t>
      </w:r>
      <w:r>
        <w:rPr>
          <w:spacing w:val="12"/>
          <w:w w:val="105"/>
        </w:rPr>
        <w:t> </w:t>
      </w:r>
      <w:r>
        <w:rPr>
          <w:w w:val="105"/>
        </w:rPr>
        <w:t>approach</w:t>
      </w:r>
      <w:r>
        <w:rPr>
          <w:spacing w:val="13"/>
          <w:w w:val="105"/>
        </w:rPr>
        <w:t> </w:t>
      </w:r>
      <w:r>
        <w:rPr>
          <w:w w:val="105"/>
        </w:rPr>
        <w:t>bias</w:t>
      </w:r>
      <w:r>
        <w:rPr>
          <w:spacing w:val="11"/>
          <w:w w:val="105"/>
        </w:rPr>
        <w:t> </w:t>
      </w:r>
      <w:r>
        <w:rPr>
          <w:w w:val="105"/>
        </w:rPr>
        <w:t>and</w:t>
      </w:r>
      <w:r>
        <w:rPr>
          <w:spacing w:val="12"/>
          <w:w w:val="105"/>
        </w:rPr>
        <w:t> </w:t>
      </w:r>
      <w:r>
        <w:rPr>
          <w:w w:val="105"/>
        </w:rPr>
        <w:t>healthiness</w:t>
      </w:r>
      <w:r>
        <w:rPr>
          <w:spacing w:val="12"/>
          <w:w w:val="105"/>
        </w:rPr>
        <w:t> </w:t>
      </w:r>
      <w:r>
        <w:rPr>
          <w:w w:val="105"/>
        </w:rPr>
        <w:t>is</w:t>
      </w:r>
      <w:r>
        <w:rPr>
          <w:spacing w:val="12"/>
          <w:w w:val="105"/>
        </w:rPr>
        <w:t> </w:t>
      </w:r>
      <w:r>
        <w:rPr>
          <w:w w:val="105"/>
        </w:rPr>
        <w:t>to</w:t>
      </w:r>
      <w:r>
        <w:rPr>
          <w:spacing w:val="12"/>
          <w:w w:val="105"/>
        </w:rPr>
        <w:t> </w:t>
      </w:r>
      <w:r>
        <w:rPr>
          <w:spacing w:val="3"/>
          <w:w w:val="105"/>
        </w:rPr>
        <w:t>be</w:t>
      </w:r>
      <w:r>
        <w:rPr>
          <w:spacing w:val="12"/>
          <w:w w:val="105"/>
        </w:rPr>
        <w:t> </w:t>
      </w:r>
      <w:r>
        <w:rPr>
          <w:w w:val="105"/>
        </w:rPr>
        <w:t>examined,</w:t>
      </w:r>
      <w:r>
        <w:rPr>
          <w:spacing w:val="12"/>
          <w:w w:val="105"/>
        </w:rPr>
        <w:t> </w:t>
      </w:r>
      <w:r>
        <w:rPr>
          <w:w w:val="105"/>
        </w:rPr>
        <w:t>or</w:t>
      </w:r>
    </w:p>
    <w:p>
      <w:pPr>
        <w:pStyle w:val="BodyText"/>
        <w:spacing w:line="415" w:lineRule="auto"/>
        <w:ind w:right="365"/>
      </w:pPr>
      <w:r>
        <w:rPr/>
        <w:pict>
          <v:group style="position:absolute;margin-left:236.880997pt;margin-top:127.369614pt;width:304.05pt;height:17.350pt;mso-position-horizontal-relative:page;mso-position-vertical-relative:paragraph;z-index:-95224" coordorigin="4738,2547" coordsize="6081,347">
            <v:rect style="position:absolute;left:4737;top:2636;width:479;height:258" filled="true" fillcolor="#fff200" stroked="false">
              <v:fill type="solid"/>
            </v:rect>
            <v:line style="position:absolute" from="5239,2637" to="5239,2894" stroked="true" strokeweight="3.652pt" strokecolor="#fff200">
              <v:stroke dashstyle="solid"/>
            </v:line>
            <v:rect style="position:absolute;left:5275;top:2636;width:219;height:258" filled="true" fillcolor="#fff200" stroked="false">
              <v:fill type="solid"/>
            </v:rect>
            <v:line style="position:absolute" from="5521,2637" to="5521,2894" stroked="true" strokeweight="3.651pt" strokecolor="#fff200">
              <v:stroke dashstyle="solid"/>
            </v:line>
            <v:rect style="position:absolute;left:5557;top:2636;width:544;height:258" filled="true" fillcolor="#fff200" stroked="false">
              <v:fill type="solid"/>
            </v:rect>
            <v:line style="position:absolute" from="6123,2637" to="6123,2894" stroked="true" strokeweight="3.651pt" strokecolor="#fff200">
              <v:stroke dashstyle="solid"/>
            </v:line>
            <v:rect style="position:absolute;left:6159;top:2636;width:167;height:258" filled="true" fillcolor="#fff200" stroked="false">
              <v:fill type="solid"/>
            </v:rect>
            <v:line style="position:absolute" from="6354,2637" to="6354,2894" stroked="true" strokeweight="3.651pt" strokecolor="#fff200">
              <v:stroke dashstyle="solid"/>
            </v:line>
            <v:rect style="position:absolute;left:6390;top:2636;width:492;height:258" filled="true" fillcolor="#fff200" stroked="false">
              <v:fill type="solid"/>
            </v:rect>
            <v:line style="position:absolute" from="6905,2637" to="6905,2894" stroked="true" strokeweight="3.651pt" strokecolor="#fff200">
              <v:stroke dashstyle="solid"/>
            </v:line>
            <v:rect style="position:absolute;left:6941;top:2636;width:440;height:258" filled="true" fillcolor="#fff200" stroked="false">
              <v:fill type="solid"/>
            </v:rect>
            <v:line style="position:absolute" from="7404,2637" to="7404,2894" stroked="true" strokeweight="3.652pt" strokecolor="#fff200">
              <v:stroke dashstyle="solid"/>
            </v:line>
            <v:rect style="position:absolute;left:7440;top:2636;width:433;height:258" filled="true" fillcolor="#fff200" stroked="false">
              <v:fill type="solid"/>
            </v:rect>
            <v:line style="position:absolute" from="7897,2637" to="7897,2894" stroked="true" strokeweight="3.651pt" strokecolor="#fff200">
              <v:stroke dashstyle="solid"/>
            </v:line>
            <v:rect style="position:absolute;left:7933;top:2636;width:557;height:258" filled="true" fillcolor="#fff200" stroked="false">
              <v:fill type="solid"/>
            </v:rect>
            <v:line style="position:absolute" from="8512,2637" to="8512,2894" stroked="true" strokeweight="3.651pt" strokecolor="#fff200">
              <v:stroke dashstyle="solid"/>
            </v:line>
            <v:rect style="position:absolute;left:8548;top:2636;width:472;height:258" filled="true" fillcolor="#fff200" stroked="false">
              <v:fill type="solid"/>
            </v:rect>
            <v:line style="position:absolute" from="9043,2637" to="9043,2894" stroked="true" strokeweight="3.651pt" strokecolor="#fff200">
              <v:stroke dashstyle="solid"/>
            </v:line>
            <v:rect style="position:absolute;left:9079;top:2636;width:388;height:258" filled="true" fillcolor="#fff200" stroked="false">
              <v:fill type="solid"/>
            </v:rect>
            <v:line style="position:absolute" from="9491,2637" to="9491,2894" stroked="true" strokeweight="3.651pt" strokecolor="#fff200">
              <v:stroke dashstyle="solid"/>
            </v:line>
            <v:rect style="position:absolute;left:9527;top:2636;width:258;height:258" filled="true" fillcolor="#fff200" stroked="false">
              <v:fill type="solid"/>
            </v:rect>
            <v:line style="position:absolute" from="9812,2637" to="9812,2894" stroked="true" strokeweight="3.651pt" strokecolor="#fff200">
              <v:stroke dashstyle="solid"/>
            </v:line>
            <v:shape style="position:absolute;left:9848;top:2636;width:547;height:258" coordorigin="9849,2637" coordsize="547,258" path="m10395,2637l10014,2637,9849,2637,9849,2894,10014,2894,10395,2894,10395,2637e" filled="true" fillcolor="#fff200" stroked="false">
              <v:path arrowok="t"/>
              <v:fill type="solid"/>
            </v:shape>
            <v:line style="position:absolute" from="10420,2637" to="10420,2894" stroked="true" strokeweight="3.652pt" strokecolor="#fff200">
              <v:stroke dashstyle="solid"/>
            </v:line>
            <v:rect style="position:absolute;left:10456;top:2636;width:362;height:258" filled="true" fillcolor="#fff200" stroked="false">
              <v:fill type="solid"/>
            </v:rect>
            <v:shape style="position:absolute;left:4737;top:2547;width:6081;height:347" type="#_x0000_t202" filled="false" stroked="false">
              <v:textbox inset="0,0,0,0">
                <w:txbxContent>
                  <w:p>
                    <w:pPr>
                      <w:spacing w:before="45"/>
                      <w:ind w:left="4" w:right="0" w:firstLine="0"/>
                      <w:jc w:val="left"/>
                      <w:rPr>
                        <w:sz w:val="24"/>
                      </w:rPr>
                    </w:pPr>
                    <w:r>
                      <w:rPr>
                        <w:w w:val="105"/>
                        <w:sz w:val="24"/>
                      </w:rPr>
                      <w:t>need to make it clear that ICT could have had no effect but</w:t>
                    </w:r>
                  </w:p>
                </w:txbxContent>
              </v:textbox>
              <w10:wrap type="none"/>
            </v:shape>
            <w10:wrap type="none"/>
          </v:group>
        </w:pict>
      </w:r>
      <w:r>
        <w:rPr/>
        <w:pict>
          <v:group style="position:absolute;margin-left:71.750999pt;margin-top:151.276611pt;width:421.6pt;height:17.350pt;mso-position-horizontal-relative:page;mso-position-vertical-relative:paragraph;z-index:-95176" coordorigin="1435,3026" coordsize="8432,347">
            <v:rect style="position:absolute;left:1435;top:3114;width:167;height:258" filled="true" fillcolor="#fff200" stroked="false">
              <v:fill type="solid"/>
            </v:rect>
            <v:line style="position:absolute" from="1633,3115" to="1633,3372" stroked="true" strokeweight="3.653pt" strokecolor="#fff200">
              <v:stroke dashstyle="solid"/>
            </v:line>
            <v:rect style="position:absolute;left:1669;top:3114;width:168;height:258" filled="true" fillcolor="#fff200" stroked="false">
              <v:fill type="solid"/>
            </v:rect>
            <v:line style="position:absolute" from="1868,3115" to="1868,3372" stroked="true" strokeweight="3.653pt" strokecolor="#fff200">
              <v:stroke dashstyle="solid"/>
            </v:line>
            <v:shape style="position:absolute;left:1904;top:3114;width:791;height:258" coordorigin="1905,3115" coordsize="791,258" path="m2695,3115l2295,3115,2165,3115,1905,3115,1905,3372,2165,3372,2295,3372,2695,3372,2695,3115e" filled="true" fillcolor="#fff200" stroked="false">
              <v:path arrowok="t"/>
              <v:fill type="solid"/>
            </v:shape>
            <v:line style="position:absolute" from="2726,3115" to="2726,3372" stroked="true" strokeweight="3.653pt" strokecolor="#fff200">
              <v:stroke dashstyle="solid"/>
            </v:line>
            <v:rect style="position:absolute;left:2763;top:3114;width:219;height:258" filled="true" fillcolor="#fff200" stroked="false">
              <v:fill type="solid"/>
            </v:rect>
            <v:line style="position:absolute" from="3013,3115" to="3013,3372" stroked="true" strokeweight="3.653pt" strokecolor="#fff200">
              <v:stroke dashstyle="solid"/>
            </v:line>
            <v:rect style="position:absolute;left:3049;top:3114;width:511;height:258" filled="true" fillcolor="#fff200" stroked="false">
              <v:fill type="solid"/>
            </v:rect>
            <v:line style="position:absolute" from="3591,3115" to="3591,3372" stroked="true" strokeweight="3.653pt" strokecolor="#fff200">
              <v:stroke dashstyle="solid"/>
            </v:line>
            <v:rect style="position:absolute;left:3627;top:3114;width:460;height:258" filled="true" fillcolor="#fff200" stroked="false">
              <v:fill type="solid"/>
            </v:rect>
            <v:line style="position:absolute" from="4120,3115" to="4120,3372" stroked="true" strokeweight="3.653pt" strokecolor="#fff200">
              <v:stroke dashstyle="solid"/>
            </v:line>
            <v:shape style="position:absolute;left:4156;top:3114;width:1158;height:258" coordorigin="4156,3115" coordsize="1158,258" path="m5313,3115l4806,3115,4507,3115,4156,3115,4156,3372,4507,3372,4806,3372,5313,3372,5313,3115e" filled="true" fillcolor="#fff200" stroked="false">
              <v:path arrowok="t"/>
              <v:fill type="solid"/>
            </v:shape>
            <v:line style="position:absolute" from="5345,3115" to="5345,3372" stroked="true" strokeweight="3.653pt" strokecolor="#fff200">
              <v:stroke dashstyle="solid"/>
            </v:line>
            <v:shape style="position:absolute;left:5381;top:3114;width:804;height:258" coordorigin="5381,3115" coordsize="804,258" path="m6185,3115l5837,3115,5381,3115,5381,3372,5837,3372,6185,3372,6185,3115e" filled="true" fillcolor="#fff200" stroked="false">
              <v:path arrowok="t"/>
              <v:fill type="solid"/>
            </v:shape>
            <v:line style="position:absolute" from="6216,3115" to="6216,3372" stroked="true" strokeweight="3.653pt" strokecolor="#fff200">
              <v:stroke dashstyle="solid"/>
            </v:line>
            <v:rect style="position:absolute;left:6252;top:3114;width:518;height:258" filled="true" fillcolor="#fff200" stroked="false">
              <v:fill type="solid"/>
            </v:rect>
            <v:line style="position:absolute" from="6802,3115" to="6802,3372" stroked="true" strokeweight="3.653pt" strokecolor="#fff200">
              <v:stroke dashstyle="solid"/>
            </v:line>
            <v:shape style="position:absolute;left:6838;top:3114;width:968;height:258" coordorigin="6838,3115" coordsize="968,258" path="m7805,3115l7033,3115,6838,3115,6838,3372,7033,3372,7805,3372,7805,3115e" filled="true" fillcolor="#fff200" stroked="false">
              <v:path arrowok="t"/>
              <v:fill type="solid"/>
            </v:shape>
            <v:line style="position:absolute" from="7837,3115" to="7837,3372" stroked="true" strokeweight="3.653pt" strokecolor="#fff200">
              <v:stroke dashstyle="solid"/>
            </v:line>
            <v:shape style="position:absolute;left:7873;top:3114;width:654;height:258" coordorigin="7873,3115" coordsize="654,258" path="m8527,3115l8205,3115,7873,3115,7873,3372,8205,3372,8527,3372,8527,3115e" filled="true" fillcolor="#fff200" stroked="false">
              <v:path arrowok="t"/>
              <v:fill type="solid"/>
            </v:shape>
            <v:line style="position:absolute" from="8559,3115" to="8559,3372" stroked="true" strokeweight="3.653pt" strokecolor="#fff200">
              <v:stroke dashstyle="solid"/>
            </v:line>
            <v:rect style="position:absolute;left:8595;top:3114;width:407;height:258" filled="true" fillcolor="#fff200" stroked="false">
              <v:fill type="solid"/>
            </v:rect>
            <v:line style="position:absolute" from="9033,3115" to="9033,3372" stroked="true" strokeweight="3.653pt" strokecolor="#fff200">
              <v:stroke dashstyle="solid"/>
            </v:line>
            <v:shape style="position:absolute;left:9070;top:3114;width:797;height:258" coordorigin="9070,3115" coordsize="797,258" path="m9867,3115l9291,3115,9070,3115,9070,3372,9291,3372,9867,3372,9867,3115e" filled="true" fillcolor="#fff200" stroked="false">
              <v:path arrowok="t"/>
              <v:fill type="solid"/>
            </v:shape>
            <v:shape style="position:absolute;left:1435;top:3025;width:8432;height:347" type="#_x0000_t202" filled="false" stroked="false">
              <v:textbox inset="0,0,0,0">
                <w:txbxContent>
                  <w:p>
                    <w:pPr>
                      <w:spacing w:before="45"/>
                      <w:ind w:left="4" w:right="0" w:firstLine="0"/>
                      <w:jc w:val="left"/>
                      <w:rPr>
                        <w:sz w:val="24"/>
                      </w:rPr>
                    </w:pPr>
                    <w:r>
                      <w:rPr>
                        <w:w w:val="105"/>
                        <w:sz w:val="24"/>
                      </w:rPr>
                      <w:t>it is difficult to draw such conclusions without more research.. taking into account</w:t>
                    </w:r>
                  </w:p>
                </w:txbxContent>
              </v:textbox>
              <w10:wrap type="none"/>
            </v:shape>
            <w10:wrap type="none"/>
          </v:group>
        </w:pict>
      </w:r>
      <w:r>
        <w:rPr>
          <w:rFonts w:ascii="Arial"/>
          <w:w w:val="105"/>
          <w:sz w:val="12"/>
        </w:rPr>
        <w:t>757      </w:t>
      </w:r>
      <w:r>
        <w:rPr>
          <w:w w:val="105"/>
        </w:rPr>
        <w:t>non-food stimuli if a general </w:t>
      </w:r>
      <w:r>
        <w:rPr>
          <w:spacing w:val="3"/>
          <w:w w:val="105"/>
        </w:rPr>
        <w:t>food </w:t>
      </w:r>
      <w:r>
        <w:rPr>
          <w:w w:val="105"/>
        </w:rPr>
        <w:t>approach bias is to </w:t>
      </w:r>
      <w:r>
        <w:rPr>
          <w:spacing w:val="3"/>
          <w:w w:val="105"/>
        </w:rPr>
        <w:t>be </w:t>
      </w:r>
      <w:r>
        <w:rPr>
          <w:w w:val="105"/>
        </w:rPr>
        <w:t>inferred.  In </w:t>
      </w:r>
      <w:r>
        <w:rPr>
          <w:spacing w:val="-3"/>
          <w:w w:val="105"/>
        </w:rPr>
        <w:t>any </w:t>
      </w:r>
      <w:r>
        <w:rPr>
          <w:w w:val="105"/>
        </w:rPr>
        <w:t>case, the control  </w:t>
      </w:r>
      <w:r>
        <w:rPr>
          <w:rFonts w:ascii="Arial"/>
          <w:w w:val="105"/>
          <w:sz w:val="12"/>
        </w:rPr>
        <w:t>758      </w:t>
      </w:r>
      <w:r>
        <w:rPr>
          <w:w w:val="105"/>
        </w:rPr>
        <w:t>stimuli need to </w:t>
      </w:r>
      <w:r>
        <w:rPr>
          <w:spacing w:val="3"/>
          <w:w w:val="105"/>
        </w:rPr>
        <w:t>be </w:t>
      </w:r>
      <w:r>
        <w:rPr>
          <w:w w:val="105"/>
        </w:rPr>
        <w:t>matched in liking (i.e., hedonic </w:t>
      </w:r>
      <w:r>
        <w:rPr>
          <w:spacing w:val="-3"/>
          <w:w w:val="105"/>
        </w:rPr>
        <w:t>value)  </w:t>
      </w:r>
      <w:r>
        <w:rPr>
          <w:w w:val="105"/>
        </w:rPr>
        <w:t>so that </w:t>
      </w:r>
      <w:r>
        <w:rPr>
          <w:spacing w:val="-3"/>
          <w:w w:val="105"/>
        </w:rPr>
        <w:t>any</w:t>
      </w:r>
      <w:r>
        <w:rPr>
          <w:spacing w:val="57"/>
          <w:w w:val="105"/>
        </w:rPr>
        <w:t> </w:t>
      </w:r>
      <w:r>
        <w:rPr>
          <w:w w:val="105"/>
        </w:rPr>
        <w:t>resulting bias scores</w:t>
      </w:r>
      <w:r>
        <w:rPr>
          <w:spacing w:val="63"/>
          <w:w w:val="105"/>
        </w:rPr>
        <w:t> </w:t>
      </w:r>
      <w:r>
        <w:rPr>
          <w:rFonts w:ascii="Arial"/>
          <w:w w:val="105"/>
          <w:sz w:val="12"/>
        </w:rPr>
        <w:t>759 </w:t>
      </w:r>
      <w:r>
        <w:rPr>
          <w:w w:val="105"/>
        </w:rPr>
        <w:t>reflect differences in motivational bias and not affective/hedonic bias (Kemps &amp; Tiggemann, </w:t>
      </w:r>
      <w:r>
        <w:rPr>
          <w:rFonts w:ascii="Arial"/>
          <w:w w:val="105"/>
          <w:sz w:val="12"/>
        </w:rPr>
        <w:t>760 </w:t>
      </w:r>
      <w:r>
        <w:rPr>
          <w:w w:val="105"/>
        </w:rPr>
        <w:t>2015).</w:t>
      </w:r>
      <w:r>
        <w:rPr>
          <w:spacing w:val="63"/>
          <w:w w:val="105"/>
        </w:rPr>
        <w:t> </w:t>
      </w:r>
      <w:r>
        <w:rPr>
          <w:w w:val="105"/>
        </w:rPr>
        <w:t>Setting aside the methodological utility of the </w:t>
      </w:r>
      <w:r>
        <w:rPr>
          <w:spacing w:val="-7"/>
          <w:w w:val="105"/>
        </w:rPr>
        <w:t>AAT </w:t>
      </w:r>
      <w:r>
        <w:rPr>
          <w:w w:val="105"/>
        </w:rPr>
        <w:t>in this context, it is possible that</w:t>
      </w:r>
      <w:r>
        <w:rPr>
          <w:spacing w:val="63"/>
          <w:w w:val="105"/>
        </w:rPr>
        <w:t> </w:t>
      </w:r>
      <w:r>
        <w:rPr>
          <w:rFonts w:ascii="Arial"/>
          <w:w w:val="105"/>
          <w:sz w:val="12"/>
        </w:rPr>
        <w:t>761  </w:t>
      </w:r>
      <w:r>
        <w:rPr>
          <w:rFonts w:ascii="Arial"/>
          <w:spacing w:val="35"/>
          <w:w w:val="105"/>
          <w:sz w:val="12"/>
        </w:rPr>
        <w:t> </w:t>
      </w:r>
      <w:r>
        <w:rPr>
          <w:w w:val="105"/>
        </w:rPr>
        <w:t>go/no-go training with the specific parameters applied in this </w:t>
      </w:r>
      <w:r>
        <w:rPr>
          <w:spacing w:val="-4"/>
          <w:w w:val="105"/>
        </w:rPr>
        <w:t>study,  </w:t>
      </w:r>
      <w:r>
        <w:rPr>
          <w:w w:val="105"/>
        </w:rPr>
        <w:t>did not </w:t>
      </w:r>
      <w:r>
        <w:rPr>
          <w:spacing w:val="-4"/>
          <w:w w:val="105"/>
        </w:rPr>
        <w:t>have  </w:t>
      </w:r>
      <w:r>
        <w:rPr>
          <w:w w:val="105"/>
        </w:rPr>
        <w:t>an effect  </w:t>
      </w:r>
      <w:r>
        <w:rPr>
          <w:rFonts w:ascii="Arial"/>
          <w:w w:val="105"/>
          <w:sz w:val="12"/>
        </w:rPr>
        <w:t>762 </w:t>
      </w:r>
      <w:r>
        <w:rPr>
          <w:w w:val="105"/>
        </w:rPr>
        <w:t>on automatic action</w:t>
      </w:r>
      <w:r>
        <w:rPr>
          <w:spacing w:val="26"/>
          <w:w w:val="105"/>
        </w:rPr>
        <w:t> </w:t>
      </w:r>
      <w:r>
        <w:rPr>
          <w:w w:val="105"/>
        </w:rPr>
        <w:t>tendencies.</w:t>
      </w:r>
    </w:p>
    <w:p>
      <w:pPr>
        <w:spacing w:before="116"/>
        <w:ind w:left="230" w:right="0" w:firstLine="0"/>
        <w:jc w:val="left"/>
        <w:rPr>
          <w:rFonts w:ascii="Arial"/>
          <w:sz w:val="12"/>
        </w:rPr>
      </w:pPr>
      <w:r>
        <w:rPr>
          <w:rFonts w:ascii="Arial"/>
          <w:sz w:val="12"/>
        </w:rPr>
        <w:t>763</w:t>
      </w:r>
    </w:p>
    <w:p>
      <w:pPr>
        <w:pStyle w:val="BodyText"/>
        <w:spacing w:before="0"/>
        <w:ind w:left="0"/>
        <w:rPr>
          <w:rFonts w:ascii="Arial"/>
          <w:sz w:val="18"/>
        </w:rPr>
      </w:pPr>
    </w:p>
    <w:p>
      <w:pPr>
        <w:spacing w:before="133"/>
        <w:ind w:left="230" w:right="0" w:firstLine="0"/>
        <w:jc w:val="left"/>
        <w:rPr>
          <w:rFonts w:ascii="Arial"/>
          <w:sz w:val="12"/>
        </w:rPr>
      </w:pPr>
      <w:r>
        <w:rPr/>
        <w:pict>
          <v:group style="position:absolute;margin-left:71.750999pt;margin-top:-1.195579pt;width:370.65pt;height:17.350pt;mso-position-horizontal-relative:page;mso-position-vertical-relative:paragraph;z-index:1576" coordorigin="1435,-24" coordsize="7413,347">
            <v:shape style="position:absolute;left:1435;top:65;width:1201;height:258" coordorigin="1435,65" coordsize="1201,258" path="m2635,65l2209,65,1435,65,1435,323,2209,323,2635,323,2635,65e" filled="true" fillcolor="#fff200" stroked="false">
              <v:path arrowok="t"/>
              <v:fill type="solid"/>
            </v:shape>
            <v:line style="position:absolute" from="2658,65" to="2658,323" stroked="true" strokeweight="3.252pt" strokecolor="#fff200">
              <v:stroke dashstyle="solid"/>
            </v:line>
            <v:rect style="position:absolute;left:2690;top:65;width:297;height:258" filled="true" fillcolor="#fff200" stroked="false">
              <v:fill type="solid"/>
            </v:rect>
            <v:line style="position:absolute" from="3018,65" to="3018,323" stroked="true" strokeweight="3.652pt" strokecolor="#fff200">
              <v:stroke dashstyle="solid"/>
            </v:line>
            <v:rect style="position:absolute;left:3054;top:65;width:336;height:258" filled="true" fillcolor="#fff200" stroked="false">
              <v:fill type="solid"/>
            </v:rect>
            <v:line style="position:absolute" from="3412,65" to="3412,323" stroked="true" strokeweight="3.252pt" strokecolor="#fff200">
              <v:stroke dashstyle="solid"/>
            </v:line>
            <v:shape style="position:absolute;left:3444;top:65;width:714;height:258" coordorigin="3445,65" coordsize="714,258" path="m4158,65l3653,65,3445,65,3445,323,3653,323,4158,323,4158,65e" filled="true" fillcolor="#fff200" stroked="false">
              <v:path arrowok="t"/>
              <v:fill type="solid"/>
            </v:shape>
            <v:line style="position:absolute" from="4190,65" to="4190,323" stroked="true" strokeweight="3.653pt" strokecolor="#fff200">
              <v:stroke dashstyle="solid"/>
            </v:line>
            <v:rect style="position:absolute;left:4226;top:65;width:290;height:258" filled="true" fillcolor="#fff200" stroked="false">
              <v:fill type="solid"/>
            </v:rect>
            <v:line style="position:absolute" from="4547,65" to="4547,323" stroked="true" strokeweight="3.653pt" strokecolor="#fff200">
              <v:stroke dashstyle="solid"/>
            </v:line>
            <v:rect style="position:absolute;left:4583;top:65;width:485;height:258" filled="true" fillcolor="#fff200" stroked="false">
              <v:fill type="solid"/>
            </v:rect>
            <v:line style="position:absolute" from="5100,65" to="5100,323" stroked="true" strokeweight="3.653pt" strokecolor="#fff200">
              <v:stroke dashstyle="solid"/>
            </v:line>
            <v:rect style="position:absolute;left:5136;top:65;width:336;height:258" filled="true" fillcolor="#fff200" stroked="false">
              <v:fill type="solid"/>
            </v:rect>
            <v:line style="position:absolute" from="5503,65" to="5503,323" stroked="true" strokeweight="3.653pt" strokecolor="#fff200">
              <v:stroke dashstyle="solid"/>
            </v:line>
            <v:rect style="position:absolute;left:5539;top:65;width:553;height:258" filled="true" fillcolor="#fff200" stroked="false">
              <v:fill type="solid"/>
            </v:rect>
            <v:line style="position:absolute" from="6124,65" to="6124,323" stroked="true" strokeweight="3.653pt" strokecolor="#fff200">
              <v:stroke dashstyle="solid"/>
            </v:line>
            <v:shape style="position:absolute;left:6160;top:65;width:649;height:258" coordorigin="6161,65" coordsize="649,258" path="m6810,65l6395,65,6161,65,6161,323,6395,323,6810,323,6810,65e" filled="true" fillcolor="#fff200" stroked="false">
              <v:path arrowok="t"/>
              <v:fill type="solid"/>
            </v:shape>
            <v:line style="position:absolute" from="6841,65" to="6841,323" stroked="true" strokeweight="3.653pt" strokecolor="#fff200">
              <v:stroke dashstyle="solid"/>
            </v:line>
            <v:rect style="position:absolute;left:6877;top:65;width:388;height:258" filled="true" fillcolor="#fff200" stroked="false">
              <v:fill type="solid"/>
            </v:rect>
            <v:line style="position:absolute" from="7296,65" to="7296,323" stroked="true" strokeweight="3.653pt" strokecolor="#fff200">
              <v:stroke dashstyle="solid"/>
            </v:line>
            <v:rect style="position:absolute;left:7332;top:65;width:511;height:258" filled="true" fillcolor="#fff200" stroked="false">
              <v:fill type="solid"/>
            </v:rect>
            <v:line style="position:absolute" from="7875,65" to="7875,323" stroked="true" strokeweight="3.653pt" strokecolor="#fff200">
              <v:stroke dashstyle="solid"/>
            </v:line>
            <v:shape style="position:absolute;left:7911;top:65;width:937;height:258" coordorigin="7911,65" coordsize="937,258" path="m8847,65l8328,65,7911,65,7911,323,8328,323,8847,323,8847,65e" filled="true" fillcolor="#fff200" stroked="false">
              <v:path arrowok="t"/>
              <v:fill type="solid"/>
            </v:shape>
            <v:shape style="position:absolute;left:1435;top:-24;width:7413;height:347" type="#_x0000_t202" filled="false" stroked="false">
              <v:textbox inset="0,0,0,0">
                <w:txbxContent>
                  <w:p>
                    <w:pPr>
                      <w:spacing w:before="45"/>
                      <w:ind w:left="4" w:right="0" w:firstLine="0"/>
                      <w:jc w:val="left"/>
                      <w:rPr>
                        <w:sz w:val="24"/>
                      </w:rPr>
                    </w:pPr>
                    <w:r>
                      <w:rPr>
                        <w:w w:val="105"/>
                        <w:sz w:val="24"/>
                      </w:rPr>
                      <w:t>methodological limitations for both the GNG design and AAT measures</w:t>
                    </w:r>
                  </w:p>
                </w:txbxContent>
              </v:textbox>
              <w10:wrap type="none"/>
            </v:shape>
            <w10:wrap type="none"/>
          </v:group>
        </w:pict>
      </w:r>
      <w:r>
        <w:rPr>
          <w:rFonts w:ascii="Arial"/>
          <w:sz w:val="12"/>
        </w:rPr>
        <w:t>764</w:t>
      </w:r>
    </w:p>
    <w:p>
      <w:pPr>
        <w:pStyle w:val="BodyText"/>
        <w:spacing w:before="0"/>
        <w:ind w:left="0"/>
        <w:rPr>
          <w:rFonts w:ascii="Arial"/>
          <w:sz w:val="20"/>
        </w:rPr>
      </w:pPr>
    </w:p>
    <w:p>
      <w:pPr>
        <w:pStyle w:val="BodyText"/>
        <w:spacing w:before="0"/>
        <w:ind w:left="0"/>
        <w:rPr>
          <w:rFonts w:ascii="Arial"/>
          <w:sz w:val="20"/>
        </w:rPr>
      </w:pPr>
    </w:p>
    <w:p>
      <w:pPr>
        <w:pStyle w:val="BodyText"/>
        <w:spacing w:before="2"/>
        <w:ind w:left="0"/>
        <w:rPr>
          <w:rFonts w:ascii="Arial"/>
          <w:sz w:val="28"/>
        </w:rPr>
      </w:pPr>
    </w:p>
    <w:p>
      <w:pPr>
        <w:pStyle w:val="Heading1"/>
        <w:spacing w:before="0"/>
      </w:pPr>
      <w:r>
        <w:rPr>
          <w:rFonts w:ascii="Arial"/>
          <w:b w:val="0"/>
          <w:w w:val="110"/>
          <w:sz w:val="12"/>
        </w:rPr>
        <w:t>765</w:t>
      </w:r>
      <w:bookmarkStart w:name="Concluding remarks &amp; future directions" w:id="70"/>
      <w:bookmarkEnd w:id="70"/>
      <w:r>
        <w:rPr>
          <w:rFonts w:ascii="Arial"/>
          <w:b w:val="0"/>
          <w:w w:val="110"/>
          <w:sz w:val="12"/>
        </w:rPr>
      </w:r>
      <w:r>
        <w:rPr>
          <w:rFonts w:ascii="Arial"/>
          <w:b w:val="0"/>
          <w:w w:val="110"/>
          <w:sz w:val="12"/>
        </w:rPr>
        <w:t> </w:t>
      </w:r>
      <w:r>
        <w:rPr>
          <w:w w:val="110"/>
        </w:rPr>
        <w:t>Concluding remarks &amp; future directions</w:t>
      </w:r>
    </w:p>
    <w:p>
      <w:pPr>
        <w:pStyle w:val="BodyText"/>
        <w:spacing w:before="0"/>
        <w:ind w:left="0"/>
        <w:rPr>
          <w:b/>
          <w:sz w:val="20"/>
        </w:rPr>
      </w:pPr>
    </w:p>
    <w:p>
      <w:pPr>
        <w:pStyle w:val="BodyText"/>
        <w:spacing w:before="9"/>
        <w:ind w:left="0"/>
        <w:rPr>
          <w:b/>
          <w:sz w:val="22"/>
        </w:rPr>
      </w:pPr>
    </w:p>
    <w:p>
      <w:pPr>
        <w:pStyle w:val="BodyText"/>
        <w:tabs>
          <w:tab w:pos="1195" w:val="left" w:leader="none"/>
        </w:tabs>
        <w:spacing w:before="145"/>
      </w:pPr>
      <w:r>
        <w:rPr>
          <w:rFonts w:ascii="Arial"/>
          <w:w w:val="105"/>
          <w:sz w:val="12"/>
        </w:rPr>
        <w:t>766</w:t>
        <w:tab/>
      </w:r>
      <w:r>
        <w:rPr>
          <w:w w:val="105"/>
        </w:rPr>
        <w:t>As</w:t>
      </w:r>
      <w:r>
        <w:rPr>
          <w:spacing w:val="9"/>
          <w:w w:val="105"/>
        </w:rPr>
        <w:t> </w:t>
      </w:r>
      <w:r>
        <w:rPr>
          <w:w w:val="105"/>
        </w:rPr>
        <w:t>thorough</w:t>
      </w:r>
      <w:r>
        <w:rPr>
          <w:spacing w:val="9"/>
          <w:w w:val="105"/>
        </w:rPr>
        <w:t> </w:t>
      </w:r>
      <w:r>
        <w:rPr>
          <w:w w:val="105"/>
        </w:rPr>
        <w:t>search</w:t>
      </w:r>
      <w:r>
        <w:rPr>
          <w:spacing w:val="10"/>
          <w:w w:val="105"/>
        </w:rPr>
        <w:t> </w:t>
      </w:r>
      <w:r>
        <w:rPr>
          <w:w w:val="105"/>
        </w:rPr>
        <w:t>of</w:t>
      </w:r>
      <w:r>
        <w:rPr>
          <w:spacing w:val="9"/>
          <w:w w:val="105"/>
        </w:rPr>
        <w:t> </w:t>
      </w:r>
      <w:r>
        <w:rPr>
          <w:w w:val="105"/>
        </w:rPr>
        <w:t>the</w:t>
      </w:r>
      <w:r>
        <w:rPr>
          <w:spacing w:val="9"/>
          <w:w w:val="105"/>
        </w:rPr>
        <w:t> </w:t>
      </w:r>
      <w:r>
        <w:rPr>
          <w:w w:val="105"/>
        </w:rPr>
        <w:t>literature</w:t>
      </w:r>
      <w:r>
        <w:rPr>
          <w:spacing w:val="10"/>
          <w:w w:val="105"/>
        </w:rPr>
        <w:t> </w:t>
      </w:r>
      <w:r>
        <w:rPr>
          <w:w w:val="105"/>
        </w:rPr>
        <w:t>did</w:t>
      </w:r>
      <w:r>
        <w:rPr>
          <w:spacing w:val="9"/>
          <w:w w:val="105"/>
        </w:rPr>
        <w:t> </w:t>
      </w:r>
      <w:r>
        <w:rPr>
          <w:w w:val="105"/>
        </w:rPr>
        <w:t>not</w:t>
      </w:r>
      <w:r>
        <w:rPr>
          <w:spacing w:val="10"/>
          <w:w w:val="105"/>
        </w:rPr>
        <w:t> </w:t>
      </w:r>
      <w:r>
        <w:rPr>
          <w:w w:val="105"/>
        </w:rPr>
        <w:t>indicate</w:t>
      </w:r>
      <w:r>
        <w:rPr>
          <w:spacing w:val="9"/>
          <w:w w:val="105"/>
        </w:rPr>
        <w:t> </w:t>
      </w:r>
      <w:r>
        <w:rPr>
          <w:w w:val="105"/>
        </w:rPr>
        <w:t>that</w:t>
      </w:r>
      <w:r>
        <w:rPr>
          <w:spacing w:val="9"/>
          <w:w w:val="105"/>
        </w:rPr>
        <w:t> </w:t>
      </w:r>
      <w:r>
        <w:rPr>
          <w:w w:val="105"/>
        </w:rPr>
        <w:t>the</w:t>
      </w:r>
      <w:r>
        <w:rPr>
          <w:spacing w:val="10"/>
          <w:w w:val="105"/>
        </w:rPr>
        <w:t> </w:t>
      </w:r>
      <w:r>
        <w:rPr>
          <w:spacing w:val="-7"/>
          <w:w w:val="105"/>
        </w:rPr>
        <w:t>AAT</w:t>
      </w:r>
      <w:r>
        <w:rPr>
          <w:spacing w:val="9"/>
          <w:w w:val="105"/>
        </w:rPr>
        <w:t> </w:t>
      </w:r>
      <w:r>
        <w:rPr>
          <w:w w:val="105"/>
        </w:rPr>
        <w:t>has</w:t>
      </w:r>
      <w:r>
        <w:rPr>
          <w:spacing w:val="10"/>
          <w:w w:val="105"/>
        </w:rPr>
        <w:t> </w:t>
      </w:r>
      <w:r>
        <w:rPr>
          <w:w w:val="105"/>
        </w:rPr>
        <w:t>previously</w:t>
      </w:r>
      <w:r>
        <w:rPr>
          <w:spacing w:val="9"/>
          <w:w w:val="105"/>
        </w:rPr>
        <w:t> </w:t>
      </w:r>
      <w:r>
        <w:rPr>
          <w:w w:val="105"/>
        </w:rPr>
        <w:t>been</w:t>
      </w:r>
    </w:p>
    <w:p>
      <w:pPr>
        <w:pStyle w:val="BodyText"/>
      </w:pPr>
      <w:r>
        <w:rPr>
          <w:rFonts w:ascii="Arial"/>
          <w:w w:val="105"/>
          <w:sz w:val="12"/>
        </w:rPr>
        <w:t>767 </w:t>
      </w:r>
      <w:r>
        <w:rPr>
          <w:w w:val="105"/>
        </w:rPr>
        <w:t>employed as an outcome measure in ICT studies utilising the go/no-go training paradigm,</w:t>
      </w:r>
    </w:p>
    <w:p>
      <w:pPr>
        <w:spacing w:after="0"/>
        <w:sectPr>
          <w:pgSz w:w="12240" w:h="15840"/>
          <w:pgMar w:header="649" w:footer="0" w:top="1320" w:bottom="280" w:left="820" w:right="1140"/>
        </w:sectPr>
      </w:pPr>
    </w:p>
    <w:p>
      <w:pPr>
        <w:pStyle w:val="BodyText"/>
        <w:spacing w:line="415" w:lineRule="auto" w:before="191"/>
        <w:ind w:right="298"/>
        <w:jc w:val="both"/>
      </w:pPr>
      <w:r>
        <w:rPr>
          <w:rFonts w:ascii="Arial"/>
          <w:w w:val="105"/>
          <w:sz w:val="12"/>
        </w:rPr>
        <w:t>768</w:t>
      </w:r>
      <w:r>
        <w:rPr>
          <w:rFonts w:ascii="Arial"/>
          <w:spacing w:val="35"/>
          <w:w w:val="105"/>
          <w:sz w:val="12"/>
        </w:rPr>
        <w:t> </w:t>
      </w:r>
      <w:r>
        <w:rPr>
          <w:w w:val="105"/>
        </w:rPr>
        <w:t>the null findings presented in this study </w:t>
      </w:r>
      <w:r>
        <w:rPr>
          <w:spacing w:val="-4"/>
          <w:w w:val="105"/>
        </w:rPr>
        <w:t>have </w:t>
      </w:r>
      <w:r>
        <w:rPr>
          <w:w w:val="105"/>
        </w:rPr>
        <w:t>shed light into methodological and theoretical  </w:t>
      </w:r>
      <w:r>
        <w:rPr>
          <w:rFonts w:ascii="Arial"/>
          <w:w w:val="105"/>
          <w:sz w:val="12"/>
        </w:rPr>
        <w:t>769 </w:t>
      </w:r>
      <w:r>
        <w:rPr>
          <w:rFonts w:ascii="Arial"/>
          <w:spacing w:val="35"/>
          <w:w w:val="105"/>
          <w:sz w:val="12"/>
        </w:rPr>
        <w:t> </w:t>
      </w:r>
      <w:r>
        <w:rPr>
          <w:w w:val="105"/>
        </w:rPr>
        <w:t>issues to </w:t>
      </w:r>
      <w:r>
        <w:rPr>
          <w:spacing w:val="3"/>
          <w:w w:val="105"/>
        </w:rPr>
        <w:t>be </w:t>
      </w:r>
      <w:r>
        <w:rPr>
          <w:w w:val="105"/>
        </w:rPr>
        <w:t>explored further.  </w:t>
      </w:r>
      <w:r>
        <w:rPr>
          <w:spacing w:val="-6"/>
          <w:w w:val="105"/>
        </w:rPr>
        <w:t>From  </w:t>
      </w:r>
      <w:r>
        <w:rPr>
          <w:w w:val="105"/>
        </w:rPr>
        <w:t>a theoretical standpoint, there could </w:t>
      </w:r>
      <w:r>
        <w:rPr>
          <w:spacing w:val="3"/>
          <w:w w:val="105"/>
        </w:rPr>
        <w:t>be </w:t>
      </w:r>
      <w:r>
        <w:rPr>
          <w:w w:val="105"/>
        </w:rPr>
        <w:t>a link between  </w:t>
      </w:r>
      <w:r>
        <w:rPr>
          <w:rFonts w:ascii="Arial"/>
          <w:w w:val="105"/>
          <w:sz w:val="12"/>
        </w:rPr>
        <w:t>770</w:t>
      </w:r>
      <w:r>
        <w:rPr>
          <w:rFonts w:ascii="Arial"/>
          <w:spacing w:val="35"/>
          <w:w w:val="105"/>
          <w:sz w:val="12"/>
        </w:rPr>
        <w:t> </w:t>
      </w:r>
      <w:r>
        <w:rPr>
          <w:w w:val="105"/>
        </w:rPr>
        <w:t>stimulus devaluation during ICT training and automatic action tendencies.  If a tendency to  </w:t>
      </w:r>
      <w:r>
        <w:rPr>
          <w:rFonts w:ascii="Arial"/>
          <w:w w:val="105"/>
          <w:sz w:val="12"/>
        </w:rPr>
        <w:t>771</w:t>
      </w:r>
      <w:r>
        <w:rPr>
          <w:rFonts w:ascii="Arial"/>
          <w:spacing w:val="17"/>
          <w:w w:val="105"/>
          <w:sz w:val="12"/>
        </w:rPr>
        <w:t> </w:t>
      </w:r>
      <w:r>
        <w:rPr>
          <w:w w:val="105"/>
        </w:rPr>
        <w:t>approach</w:t>
      </w:r>
      <w:r>
        <w:rPr>
          <w:spacing w:val="12"/>
          <w:w w:val="105"/>
        </w:rPr>
        <w:t> </w:t>
      </w:r>
      <w:r>
        <w:rPr>
          <w:w w:val="105"/>
        </w:rPr>
        <w:t>an</w:t>
      </w:r>
      <w:r>
        <w:rPr>
          <w:spacing w:val="11"/>
          <w:w w:val="105"/>
        </w:rPr>
        <w:t> </w:t>
      </w:r>
      <w:r>
        <w:rPr>
          <w:w w:val="105"/>
        </w:rPr>
        <w:t>appetitive</w:t>
      </w:r>
      <w:r>
        <w:rPr>
          <w:spacing w:val="13"/>
          <w:w w:val="105"/>
        </w:rPr>
        <w:t> </w:t>
      </w:r>
      <w:r>
        <w:rPr>
          <w:spacing w:val="3"/>
          <w:w w:val="105"/>
        </w:rPr>
        <w:t>food</w:t>
      </w:r>
      <w:r>
        <w:rPr>
          <w:spacing w:val="11"/>
          <w:w w:val="105"/>
        </w:rPr>
        <w:t> </w:t>
      </w:r>
      <w:r>
        <w:rPr>
          <w:w w:val="105"/>
        </w:rPr>
        <w:t>is</w:t>
      </w:r>
      <w:r>
        <w:rPr>
          <w:spacing w:val="13"/>
          <w:w w:val="105"/>
        </w:rPr>
        <w:t> </w:t>
      </w:r>
      <w:r>
        <w:rPr>
          <w:w w:val="105"/>
        </w:rPr>
        <w:t>reduced</w:t>
      </w:r>
      <w:r>
        <w:rPr>
          <w:spacing w:val="11"/>
          <w:w w:val="105"/>
        </w:rPr>
        <w:t> </w:t>
      </w:r>
      <w:r>
        <w:rPr>
          <w:w w:val="105"/>
        </w:rPr>
        <w:t>during</w:t>
      </w:r>
      <w:r>
        <w:rPr>
          <w:spacing w:val="12"/>
          <w:w w:val="105"/>
        </w:rPr>
        <w:t> </w:t>
      </w:r>
      <w:r>
        <w:rPr>
          <w:w w:val="105"/>
        </w:rPr>
        <w:t>go/no-go</w:t>
      </w:r>
      <w:r>
        <w:rPr>
          <w:spacing w:val="12"/>
          <w:w w:val="105"/>
        </w:rPr>
        <w:t> </w:t>
      </w:r>
      <w:r>
        <w:rPr>
          <w:w w:val="105"/>
        </w:rPr>
        <w:t>training</w:t>
      </w:r>
      <w:r>
        <w:rPr>
          <w:spacing w:val="11"/>
          <w:w w:val="105"/>
        </w:rPr>
        <w:t> </w:t>
      </w:r>
      <w:r>
        <w:rPr>
          <w:w w:val="105"/>
        </w:rPr>
        <w:t>in</w:t>
      </w:r>
      <w:r>
        <w:rPr>
          <w:spacing w:val="12"/>
          <w:w w:val="105"/>
        </w:rPr>
        <w:t> </w:t>
      </w:r>
      <w:r>
        <w:rPr>
          <w:w w:val="105"/>
        </w:rPr>
        <w:t>order</w:t>
      </w:r>
      <w:r>
        <w:rPr>
          <w:spacing w:val="12"/>
          <w:w w:val="105"/>
        </w:rPr>
        <w:t> </w:t>
      </w:r>
      <w:r>
        <w:rPr>
          <w:w w:val="105"/>
        </w:rPr>
        <w:t>for</w:t>
      </w:r>
      <w:r>
        <w:rPr>
          <w:spacing w:val="13"/>
          <w:w w:val="105"/>
        </w:rPr>
        <w:t> </w:t>
      </w:r>
      <w:r>
        <w:rPr>
          <w:w w:val="105"/>
        </w:rPr>
        <w:t>response</w:t>
      </w:r>
    </w:p>
    <w:p>
      <w:pPr>
        <w:pStyle w:val="BodyText"/>
        <w:spacing w:before="3"/>
      </w:pPr>
      <w:r>
        <w:rPr>
          <w:rFonts w:ascii="Arial"/>
          <w:w w:val="105"/>
          <w:sz w:val="12"/>
        </w:rPr>
        <w:t>772 </w:t>
      </w:r>
      <w:r>
        <w:rPr>
          <w:w w:val="105"/>
        </w:rPr>
        <w:t>inhibition to be successful, the approach bias towards food stimuli associated with signal</w:t>
      </w:r>
    </w:p>
    <w:p>
      <w:pPr>
        <w:pStyle w:val="BodyText"/>
        <w:spacing w:line="415" w:lineRule="auto"/>
        <w:ind w:right="433"/>
      </w:pPr>
      <w:r>
        <w:rPr>
          <w:rFonts w:ascii="Arial"/>
          <w:w w:val="105"/>
          <w:sz w:val="12"/>
        </w:rPr>
        <w:t>773 </w:t>
      </w:r>
      <w:r>
        <w:rPr>
          <w:w w:val="105"/>
        </w:rPr>
        <w:t>trials could </w:t>
      </w:r>
      <w:r>
        <w:rPr>
          <w:spacing w:val="3"/>
          <w:w w:val="105"/>
        </w:rPr>
        <w:t>be </w:t>
      </w:r>
      <w:r>
        <w:rPr>
          <w:w w:val="105"/>
        </w:rPr>
        <w:t>indirectly affected </w:t>
      </w:r>
      <w:r>
        <w:rPr>
          <w:spacing w:val="-4"/>
          <w:w w:val="105"/>
        </w:rPr>
        <w:t>by </w:t>
      </w:r>
      <w:r>
        <w:rPr>
          <w:w w:val="105"/>
        </w:rPr>
        <w:t>this process. The absence of devaluation effects in this</w:t>
      </w:r>
      <w:r>
        <w:rPr>
          <w:spacing w:val="63"/>
          <w:w w:val="105"/>
        </w:rPr>
        <w:t> </w:t>
      </w:r>
      <w:r>
        <w:rPr>
          <w:rFonts w:ascii="Arial"/>
          <w:w w:val="105"/>
          <w:sz w:val="12"/>
        </w:rPr>
        <w:t>774</w:t>
      </w:r>
      <w:r>
        <w:rPr>
          <w:rFonts w:ascii="Arial"/>
          <w:spacing w:val="35"/>
          <w:w w:val="105"/>
          <w:sz w:val="12"/>
        </w:rPr>
        <w:t> </w:t>
      </w:r>
      <w:r>
        <w:rPr>
          <w:w w:val="105"/>
        </w:rPr>
        <w:t>study could therefore explain the finding that ICT did not </w:t>
      </w:r>
      <w:r>
        <w:rPr>
          <w:spacing w:val="-4"/>
          <w:w w:val="105"/>
        </w:rPr>
        <w:t>have  </w:t>
      </w:r>
      <w:r>
        <w:rPr>
          <w:spacing w:val="-3"/>
          <w:w w:val="105"/>
        </w:rPr>
        <w:t>any </w:t>
      </w:r>
      <w:r>
        <w:rPr>
          <w:w w:val="105"/>
        </w:rPr>
        <w:t>influence on automatic   </w:t>
      </w:r>
      <w:r>
        <w:rPr>
          <w:rFonts w:ascii="Arial"/>
          <w:w w:val="105"/>
          <w:sz w:val="12"/>
        </w:rPr>
        <w:t>775  </w:t>
      </w:r>
      <w:r>
        <w:rPr>
          <w:rFonts w:ascii="Arial"/>
          <w:spacing w:val="35"/>
          <w:w w:val="105"/>
          <w:sz w:val="12"/>
        </w:rPr>
        <w:t> </w:t>
      </w:r>
      <w:r>
        <w:rPr>
          <w:w w:val="105"/>
        </w:rPr>
        <w:t>action tendencies.  Nevertheless, there are several methodological limitations regarding the </w:t>
      </w:r>
      <w:r>
        <w:rPr>
          <w:rFonts w:ascii="Arial"/>
          <w:w w:val="105"/>
          <w:sz w:val="12"/>
        </w:rPr>
        <w:t>776</w:t>
      </w:r>
      <w:r>
        <w:rPr>
          <w:rFonts w:ascii="Arial"/>
          <w:spacing w:val="25"/>
          <w:w w:val="105"/>
          <w:sz w:val="12"/>
        </w:rPr>
        <w:t> </w:t>
      </w:r>
      <w:r>
        <w:rPr>
          <w:w w:val="105"/>
        </w:rPr>
        <w:t>application</w:t>
      </w:r>
      <w:r>
        <w:rPr>
          <w:spacing w:val="15"/>
          <w:w w:val="105"/>
        </w:rPr>
        <w:t> </w:t>
      </w:r>
      <w:r>
        <w:rPr>
          <w:w w:val="105"/>
        </w:rPr>
        <w:t>of</w:t>
      </w:r>
      <w:r>
        <w:rPr>
          <w:spacing w:val="15"/>
          <w:w w:val="105"/>
        </w:rPr>
        <w:t> </w:t>
      </w:r>
      <w:r>
        <w:rPr>
          <w:w w:val="105"/>
        </w:rPr>
        <w:t>the</w:t>
      </w:r>
      <w:r>
        <w:rPr>
          <w:spacing w:val="15"/>
          <w:w w:val="105"/>
        </w:rPr>
        <w:t> </w:t>
      </w:r>
      <w:r>
        <w:rPr>
          <w:spacing w:val="-7"/>
          <w:w w:val="105"/>
        </w:rPr>
        <w:t>AAT</w:t>
      </w:r>
      <w:r>
        <w:rPr>
          <w:spacing w:val="16"/>
          <w:w w:val="105"/>
        </w:rPr>
        <w:t> </w:t>
      </w:r>
      <w:r>
        <w:rPr>
          <w:w w:val="105"/>
        </w:rPr>
        <w:t>as</w:t>
      </w:r>
      <w:r>
        <w:rPr>
          <w:spacing w:val="14"/>
          <w:w w:val="105"/>
        </w:rPr>
        <w:t> </w:t>
      </w:r>
      <w:r>
        <w:rPr>
          <w:w w:val="105"/>
        </w:rPr>
        <w:t>an</w:t>
      </w:r>
      <w:r>
        <w:rPr>
          <w:spacing w:val="15"/>
          <w:w w:val="105"/>
        </w:rPr>
        <w:t> </w:t>
      </w:r>
      <w:r>
        <w:rPr>
          <w:w w:val="105"/>
        </w:rPr>
        <w:t>indirect</w:t>
      </w:r>
      <w:r>
        <w:rPr>
          <w:spacing w:val="16"/>
          <w:w w:val="105"/>
        </w:rPr>
        <w:t> </w:t>
      </w:r>
      <w:r>
        <w:rPr>
          <w:w w:val="105"/>
        </w:rPr>
        <w:t>measure</w:t>
      </w:r>
      <w:r>
        <w:rPr>
          <w:spacing w:val="14"/>
          <w:w w:val="105"/>
        </w:rPr>
        <w:t> </w:t>
      </w:r>
      <w:r>
        <w:rPr>
          <w:w w:val="105"/>
        </w:rPr>
        <w:t>of</w:t>
      </w:r>
      <w:r>
        <w:rPr>
          <w:spacing w:val="15"/>
          <w:w w:val="105"/>
        </w:rPr>
        <w:t> </w:t>
      </w:r>
      <w:r>
        <w:rPr>
          <w:w w:val="105"/>
        </w:rPr>
        <w:t>motivational</w:t>
      </w:r>
      <w:r>
        <w:rPr>
          <w:spacing w:val="14"/>
          <w:w w:val="105"/>
        </w:rPr>
        <w:t> </w:t>
      </w:r>
      <w:r>
        <w:rPr>
          <w:w w:val="105"/>
        </w:rPr>
        <w:t>bias</w:t>
      </w:r>
      <w:r>
        <w:rPr>
          <w:spacing w:val="16"/>
          <w:w w:val="105"/>
        </w:rPr>
        <w:t> </w:t>
      </w:r>
      <w:r>
        <w:rPr>
          <w:w w:val="105"/>
        </w:rPr>
        <w:t>that</w:t>
      </w:r>
      <w:r>
        <w:rPr>
          <w:spacing w:val="15"/>
          <w:w w:val="105"/>
        </w:rPr>
        <w:t> </w:t>
      </w:r>
      <w:r>
        <w:rPr>
          <w:w w:val="105"/>
        </w:rPr>
        <w:t>need</w:t>
      </w:r>
      <w:r>
        <w:rPr>
          <w:spacing w:val="14"/>
          <w:w w:val="105"/>
        </w:rPr>
        <w:t> </w:t>
      </w:r>
      <w:r>
        <w:rPr>
          <w:w w:val="105"/>
        </w:rPr>
        <w:t>to</w:t>
      </w:r>
      <w:r>
        <w:rPr>
          <w:spacing w:val="16"/>
          <w:w w:val="105"/>
        </w:rPr>
        <w:t> </w:t>
      </w:r>
      <w:r>
        <w:rPr>
          <w:spacing w:val="3"/>
          <w:w w:val="105"/>
        </w:rPr>
        <w:t>be</w:t>
      </w:r>
    </w:p>
    <w:p>
      <w:pPr>
        <w:pStyle w:val="BodyText"/>
        <w:spacing w:before="3"/>
      </w:pPr>
      <w:r>
        <w:rPr>
          <w:rFonts w:ascii="Arial"/>
          <w:sz w:val="12"/>
        </w:rPr>
        <w:t>777 </w:t>
      </w:r>
      <w:r>
        <w:rPr/>
        <w:t>considered before drawing any conclusions and these would need to be addressed in future</w:t>
      </w:r>
    </w:p>
    <w:p>
      <w:pPr>
        <w:pStyle w:val="BodyText"/>
      </w:pPr>
      <w:r>
        <w:rPr>
          <w:rFonts w:ascii="Arial"/>
          <w:w w:val="105"/>
          <w:sz w:val="12"/>
        </w:rPr>
        <w:t>778 </w:t>
      </w:r>
      <w:r>
        <w:rPr>
          <w:w w:val="105"/>
        </w:rPr>
        <w:t>studies. On a final note, it is worth mentioning that there are various methodological</w:t>
      </w:r>
    </w:p>
    <w:p>
      <w:pPr>
        <w:pStyle w:val="BodyText"/>
        <w:spacing w:line="415" w:lineRule="auto"/>
        <w:ind w:right="297"/>
        <w:jc w:val="both"/>
      </w:pPr>
      <w:r>
        <w:rPr>
          <w:rFonts w:ascii="Arial"/>
          <w:w w:val="105"/>
          <w:sz w:val="12"/>
        </w:rPr>
        <w:t>779 </w:t>
      </w:r>
      <w:r>
        <w:rPr>
          <w:rFonts w:ascii="Arial"/>
          <w:spacing w:val="35"/>
          <w:w w:val="105"/>
          <w:sz w:val="12"/>
        </w:rPr>
        <w:t> </w:t>
      </w:r>
      <w:r>
        <w:rPr>
          <w:w w:val="105"/>
        </w:rPr>
        <w:t>parameters and protocols that can </w:t>
      </w:r>
      <w:r>
        <w:rPr>
          <w:spacing w:val="3"/>
          <w:w w:val="105"/>
        </w:rPr>
        <w:t>be </w:t>
      </w:r>
      <w:r>
        <w:rPr>
          <w:w w:val="105"/>
        </w:rPr>
        <w:t>implemented for both inhibitory control training and    </w:t>
      </w:r>
      <w:r>
        <w:rPr>
          <w:rFonts w:ascii="Arial"/>
          <w:w w:val="105"/>
          <w:sz w:val="12"/>
        </w:rPr>
        <w:t>780 </w:t>
      </w:r>
      <w:r>
        <w:rPr>
          <w:w w:val="105"/>
        </w:rPr>
        <w:t>measurement of approach-avoidance bias. This can pose an important replicability issue and </w:t>
      </w:r>
      <w:r>
        <w:rPr>
          <w:rFonts w:ascii="Arial"/>
          <w:w w:val="105"/>
          <w:sz w:val="12"/>
        </w:rPr>
        <w:t>781</w:t>
      </w:r>
      <w:r>
        <w:rPr>
          <w:rFonts w:ascii="Arial"/>
          <w:spacing w:val="22"/>
          <w:w w:val="105"/>
          <w:sz w:val="12"/>
        </w:rPr>
        <w:t> </w:t>
      </w:r>
      <w:r>
        <w:rPr>
          <w:w w:val="105"/>
        </w:rPr>
        <w:t>it</w:t>
      </w:r>
      <w:r>
        <w:rPr>
          <w:spacing w:val="13"/>
          <w:w w:val="105"/>
        </w:rPr>
        <w:t> </w:t>
      </w:r>
      <w:r>
        <w:rPr>
          <w:w w:val="105"/>
        </w:rPr>
        <w:t>is</w:t>
      </w:r>
      <w:r>
        <w:rPr>
          <w:spacing w:val="14"/>
          <w:w w:val="105"/>
        </w:rPr>
        <w:t> </w:t>
      </w:r>
      <w:r>
        <w:rPr>
          <w:w w:val="105"/>
        </w:rPr>
        <w:t>recommended</w:t>
      </w:r>
      <w:r>
        <w:rPr>
          <w:spacing w:val="14"/>
          <w:w w:val="105"/>
        </w:rPr>
        <w:t> </w:t>
      </w:r>
      <w:r>
        <w:rPr>
          <w:w w:val="105"/>
        </w:rPr>
        <w:t>that</w:t>
      </w:r>
      <w:r>
        <w:rPr>
          <w:spacing w:val="13"/>
          <w:w w:val="105"/>
        </w:rPr>
        <w:t> </w:t>
      </w:r>
      <w:r>
        <w:rPr>
          <w:spacing w:val="-3"/>
          <w:w w:val="105"/>
        </w:rPr>
        <w:t>novel</w:t>
      </w:r>
      <w:r>
        <w:rPr>
          <w:spacing w:val="14"/>
          <w:w w:val="105"/>
        </w:rPr>
        <w:t> </w:t>
      </w:r>
      <w:r>
        <w:rPr>
          <w:w w:val="105"/>
        </w:rPr>
        <w:t>findings,</w:t>
      </w:r>
      <w:r>
        <w:rPr>
          <w:spacing w:val="14"/>
          <w:w w:val="105"/>
        </w:rPr>
        <w:t> </w:t>
      </w:r>
      <w:r>
        <w:rPr>
          <w:w w:val="105"/>
        </w:rPr>
        <w:t>even</w:t>
      </w:r>
      <w:r>
        <w:rPr>
          <w:spacing w:val="15"/>
          <w:w w:val="105"/>
        </w:rPr>
        <w:t> </w:t>
      </w:r>
      <w:r>
        <w:rPr>
          <w:w w:val="105"/>
        </w:rPr>
        <w:t>if</w:t>
      </w:r>
      <w:r>
        <w:rPr>
          <w:spacing w:val="13"/>
          <w:w w:val="105"/>
        </w:rPr>
        <w:t> </w:t>
      </w:r>
      <w:r>
        <w:rPr>
          <w:w w:val="105"/>
        </w:rPr>
        <w:t>null,</w:t>
      </w:r>
      <w:r>
        <w:rPr>
          <w:spacing w:val="13"/>
          <w:w w:val="105"/>
        </w:rPr>
        <w:t> </w:t>
      </w:r>
      <w:r>
        <w:rPr>
          <w:w w:val="105"/>
        </w:rPr>
        <w:t>are</w:t>
      </w:r>
      <w:r>
        <w:rPr>
          <w:spacing w:val="15"/>
          <w:w w:val="105"/>
        </w:rPr>
        <w:t> </w:t>
      </w:r>
      <w:r>
        <w:rPr>
          <w:w w:val="105"/>
        </w:rPr>
        <w:t>replicated</w:t>
      </w:r>
      <w:r>
        <w:rPr>
          <w:spacing w:val="14"/>
          <w:w w:val="105"/>
        </w:rPr>
        <w:t> </w:t>
      </w:r>
      <w:r>
        <w:rPr>
          <w:w w:val="105"/>
        </w:rPr>
        <w:t>and/or</w:t>
      </w:r>
      <w:r>
        <w:rPr>
          <w:spacing w:val="13"/>
          <w:w w:val="105"/>
        </w:rPr>
        <w:t> </w:t>
      </w:r>
      <w:r>
        <w:rPr>
          <w:w w:val="105"/>
        </w:rPr>
        <w:t>extended</w:t>
      </w:r>
      <w:r>
        <w:rPr>
          <w:spacing w:val="14"/>
          <w:w w:val="105"/>
        </w:rPr>
        <w:t> </w:t>
      </w:r>
      <w:r>
        <w:rPr>
          <w:w w:val="105"/>
        </w:rPr>
        <w:t>in</w:t>
      </w:r>
      <w:r>
        <w:rPr>
          <w:spacing w:val="15"/>
          <w:w w:val="105"/>
        </w:rPr>
        <w:t> </w:t>
      </w:r>
      <w:r>
        <w:rPr>
          <w:w w:val="105"/>
        </w:rPr>
        <w:t>a</w:t>
      </w:r>
    </w:p>
    <w:p>
      <w:pPr>
        <w:pStyle w:val="BodyText"/>
        <w:spacing w:line="415" w:lineRule="auto" w:before="3"/>
        <w:ind w:right="966"/>
      </w:pPr>
      <w:r>
        <w:rPr>
          <w:rFonts w:ascii="Arial"/>
          <w:w w:val="105"/>
          <w:sz w:val="12"/>
        </w:rPr>
        <w:t>782     </w:t>
      </w:r>
      <w:r>
        <w:rPr>
          <w:w w:val="105"/>
        </w:rPr>
        <w:t>rigorous and reproducible manner, in an effort to also reduce selective reporting and  </w:t>
      </w:r>
      <w:r>
        <w:rPr>
          <w:rFonts w:ascii="Arial"/>
          <w:w w:val="105"/>
          <w:sz w:val="12"/>
        </w:rPr>
        <w:t>783 </w:t>
      </w:r>
      <w:r>
        <w:rPr>
          <w:w w:val="105"/>
        </w:rPr>
        <w:t>publication bias in this line of research (e.g., see Aulbach, Knittle, &amp; Haukkala, 2019;</w:t>
      </w:r>
      <w:r>
        <w:rPr>
          <w:spacing w:val="63"/>
          <w:w w:val="105"/>
        </w:rPr>
        <w:t> </w:t>
      </w:r>
      <w:r>
        <w:rPr>
          <w:rFonts w:ascii="Arial"/>
          <w:w w:val="105"/>
          <w:sz w:val="12"/>
        </w:rPr>
        <w:t>784 </w:t>
      </w:r>
      <w:r>
        <w:rPr>
          <w:w w:val="105"/>
        </w:rPr>
        <w:t>Carbine et al.,</w:t>
      </w:r>
      <w:r>
        <w:rPr>
          <w:spacing w:val="31"/>
          <w:w w:val="105"/>
        </w:rPr>
        <w:t> </w:t>
      </w:r>
      <w:r>
        <w:rPr>
          <w:w w:val="105"/>
        </w:rPr>
        <w:t>2019).</w:t>
      </w:r>
    </w:p>
    <w:p>
      <w:pPr>
        <w:spacing w:after="0" w:line="415" w:lineRule="auto"/>
        <w:sectPr>
          <w:pgSz w:w="12240" w:h="15840"/>
          <w:pgMar w:header="649" w:footer="0" w:top="1320" w:bottom="280" w:left="820" w:right="1140"/>
        </w:sectPr>
      </w:pPr>
    </w:p>
    <w:p>
      <w:pPr>
        <w:pStyle w:val="BodyText"/>
        <w:spacing w:line="415" w:lineRule="auto" w:before="191"/>
        <w:ind w:left="3716" w:right="3141" w:firstLine="958"/>
      </w:pPr>
      <w:r>
        <w:rPr/>
        <w:drawing>
          <wp:anchor distT="0" distB="0" distL="0" distR="0" allowOverlap="1" layoutInCell="1" locked="0" behindDoc="0" simplePos="0" relativeHeight="24">
            <wp:simplePos x="0" y="0"/>
            <wp:positionH relativeFrom="page">
              <wp:posOffset>1835117</wp:posOffset>
            </wp:positionH>
            <wp:positionV relativeFrom="paragraph">
              <wp:posOffset>766949</wp:posOffset>
            </wp:positionV>
            <wp:extent cx="4096702" cy="3724275"/>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4096702" cy="3724275"/>
                    </a:xfrm>
                    <a:prstGeom prst="rect">
                      <a:avLst/>
                    </a:prstGeom>
                  </pic:spPr>
                </pic:pic>
              </a:graphicData>
            </a:graphic>
          </wp:anchor>
        </w:drawing>
      </w:r>
      <w:r>
        <w:rPr>
          <w:w w:val="105"/>
        </w:rPr>
        <w:t>Appendix A Recruitment &amp; data exclusions</w:t>
      </w:r>
    </w:p>
    <w:p>
      <w:pPr>
        <w:pStyle w:val="BodyText"/>
        <w:spacing w:before="10"/>
        <w:ind w:left="0"/>
        <w:rPr>
          <w:sz w:val="26"/>
        </w:rPr>
      </w:pPr>
    </w:p>
    <w:p>
      <w:pPr>
        <w:spacing w:line="412" w:lineRule="auto" w:before="0"/>
        <w:ind w:left="612" w:right="258" w:firstLine="7"/>
        <w:jc w:val="both"/>
        <w:rPr>
          <w:sz w:val="20"/>
        </w:rPr>
      </w:pPr>
      <w:r>
        <w:rPr>
          <w:rFonts w:ascii="Arial-BoldItalicMT"/>
          <w:b/>
          <w:i/>
          <w:w w:val="105"/>
          <w:sz w:val="20"/>
        </w:rPr>
        <w:t>Figure A1 </w:t>
      </w:r>
      <w:r>
        <w:rPr>
          <w:b/>
          <w:w w:val="105"/>
          <w:sz w:val="20"/>
        </w:rPr>
        <w:t>. </w:t>
      </w:r>
      <w:r>
        <w:rPr>
          <w:b/>
          <w:spacing w:val="-3"/>
          <w:w w:val="105"/>
          <w:sz w:val="20"/>
        </w:rPr>
        <w:t>Flow </w:t>
      </w:r>
      <w:r>
        <w:rPr>
          <w:b/>
          <w:w w:val="105"/>
          <w:sz w:val="20"/>
        </w:rPr>
        <w:t>diagram of recruitment and participant-level data exclusions. </w:t>
      </w:r>
      <w:r>
        <w:rPr>
          <w:w w:val="105"/>
          <w:sz w:val="20"/>
        </w:rPr>
        <w:t>There were 255 individuals recruited and assessed for eligibility across laboratory sites and online via personal communication. 34 participants were excluded after screening for not meeting the advertised inclusion/exclusion criteria and datasets were obtained from 221 participants.  The online sample was recruited </w:t>
      </w:r>
      <w:r>
        <w:rPr>
          <w:spacing w:val="-3"/>
          <w:w w:val="105"/>
          <w:sz w:val="20"/>
        </w:rPr>
        <w:t>by  </w:t>
      </w:r>
      <w:r>
        <w:rPr>
          <w:w w:val="105"/>
          <w:sz w:val="20"/>
        </w:rPr>
        <w:t>the University of Bath     and University of Exeter.  One participant was  excluded  for providing incomplete data and  220  datasets  were submitted for pre-processing and inspection. There were no participants with a mean reaction time on no-sginal trials </w:t>
      </w:r>
      <w:r>
        <w:rPr>
          <w:spacing w:val="-4"/>
          <w:w w:val="105"/>
          <w:sz w:val="20"/>
        </w:rPr>
        <w:t>(GoRT) </w:t>
      </w:r>
      <w:r>
        <w:rPr>
          <w:w w:val="105"/>
          <w:sz w:val="20"/>
        </w:rPr>
        <w:t>greater than three standard deviations (SDs) from the group mean and there were no cases of consistently missed (i.e., default option of 50) responses on </w:t>
      </w:r>
      <w:r>
        <w:rPr>
          <w:spacing w:val="2"/>
          <w:w w:val="105"/>
          <w:sz w:val="20"/>
        </w:rPr>
        <w:t>food </w:t>
      </w:r>
      <w:r>
        <w:rPr>
          <w:w w:val="105"/>
          <w:sz w:val="20"/>
        </w:rPr>
        <w:t>rating trials. Six participants had a percentage of errors in signal trials was greater than three SDs from the group mean and six participants also had a percentage of correct responses in no-signal trials </w:t>
      </w:r>
      <w:r>
        <w:rPr>
          <w:spacing w:val="-3"/>
          <w:w w:val="105"/>
          <w:sz w:val="20"/>
        </w:rPr>
        <w:t>lower </w:t>
      </w:r>
      <w:r>
        <w:rPr>
          <w:w w:val="105"/>
          <w:sz w:val="20"/>
        </w:rPr>
        <w:t>than 85%.  Please note that some participants  met more than one exclusion criterion.  50 participants were excluded as their percentage of errors in either   the pre- or post-training approach-avoidance task </w:t>
      </w:r>
      <w:r>
        <w:rPr>
          <w:spacing w:val="-4"/>
          <w:w w:val="105"/>
          <w:sz w:val="20"/>
        </w:rPr>
        <w:t>(AAT) </w:t>
      </w:r>
      <w:r>
        <w:rPr>
          <w:w w:val="105"/>
          <w:sz w:val="20"/>
        </w:rPr>
        <w:t>blocks was greater than 25%. The final sample consisted of 163</w:t>
      </w:r>
      <w:r>
        <w:rPr>
          <w:spacing w:val="41"/>
          <w:w w:val="105"/>
          <w:sz w:val="20"/>
        </w:rPr>
        <w:t> </w:t>
      </w:r>
      <w:r>
        <w:rPr>
          <w:w w:val="105"/>
          <w:sz w:val="20"/>
        </w:rPr>
        <w:t>participants.</w:t>
      </w:r>
    </w:p>
    <w:p>
      <w:pPr>
        <w:spacing w:after="0" w:line="412" w:lineRule="auto"/>
        <w:jc w:val="both"/>
        <w:rPr>
          <w:sz w:val="20"/>
        </w:rPr>
        <w:sectPr>
          <w:pgSz w:w="12240" w:h="15840"/>
          <w:pgMar w:header="649" w:footer="0" w:top="1320" w:bottom="280" w:left="820" w:right="1140"/>
        </w:sectPr>
      </w:pPr>
    </w:p>
    <w:p>
      <w:pPr>
        <w:pStyle w:val="BodyText"/>
        <w:spacing w:before="191"/>
        <w:ind w:left="2783" w:right="2463"/>
        <w:jc w:val="center"/>
      </w:pPr>
      <w:bookmarkStart w:name="_bookmark31" w:id="71"/>
      <w:bookmarkEnd w:id="71"/>
      <w:r>
        <w:rPr/>
      </w:r>
      <w:r>
        <w:rPr>
          <w:w w:val="105"/>
        </w:rPr>
        <w:t>Appendix B</w:t>
      </w:r>
    </w:p>
    <w:p>
      <w:pPr>
        <w:pStyle w:val="BodyText"/>
        <w:ind w:left="2783" w:right="2464"/>
        <w:jc w:val="center"/>
      </w:pPr>
      <w:r>
        <w:rPr>
          <w:w w:val="105"/>
        </w:rPr>
        <w:t>Sample characteristics &amp; questionnaire</w:t>
      </w:r>
      <w:r>
        <w:rPr>
          <w:spacing w:val="52"/>
          <w:w w:val="105"/>
        </w:rPr>
        <w:t> </w:t>
      </w:r>
      <w:r>
        <w:rPr>
          <w:w w:val="105"/>
        </w:rPr>
        <w:t>measures</w:t>
      </w:r>
    </w:p>
    <w:p>
      <w:pPr>
        <w:pStyle w:val="BodyText"/>
        <w:spacing w:before="9"/>
        <w:ind w:left="0"/>
        <w:rPr>
          <w:sz w:val="25"/>
        </w:rPr>
      </w:pPr>
    </w:p>
    <w:p>
      <w:pPr>
        <w:pStyle w:val="BodyText"/>
        <w:spacing w:line="415" w:lineRule="auto" w:before="145"/>
        <w:ind w:right="389"/>
      </w:pPr>
      <w:r>
        <w:rPr>
          <w:rFonts w:ascii="Arial" w:hAnsi="Arial"/>
          <w:w w:val="105"/>
          <w:sz w:val="12"/>
        </w:rPr>
        <w:t>785 </w:t>
      </w:r>
      <w:r>
        <w:rPr>
          <w:w w:val="105"/>
        </w:rPr>
        <w:t>All sample characteristics, apart from gender and hours since last meal, are presented in the</w:t>
      </w:r>
      <w:r>
        <w:rPr>
          <w:spacing w:val="63"/>
          <w:w w:val="105"/>
        </w:rPr>
        <w:t> </w:t>
      </w:r>
      <w:r>
        <w:rPr>
          <w:rFonts w:ascii="Arial" w:hAnsi="Arial"/>
          <w:w w:val="105"/>
          <w:sz w:val="12"/>
        </w:rPr>
        <w:t>786 </w:t>
      </w:r>
      <w:r>
        <w:rPr>
          <w:spacing w:val="-5"/>
          <w:w w:val="105"/>
        </w:rPr>
        <w:t>Table </w:t>
      </w:r>
      <w:hyperlink w:history="true" w:anchor="_bookmark33">
        <w:r>
          <w:rPr>
            <w:w w:val="105"/>
          </w:rPr>
          <w:t>B2 </w:t>
        </w:r>
      </w:hyperlink>
      <w:r>
        <w:rPr>
          <w:w w:val="105"/>
        </w:rPr>
        <w:t>together with total scores from </w:t>
      </w:r>
      <w:r>
        <w:rPr>
          <w:spacing w:val="-4"/>
          <w:w w:val="105"/>
        </w:rPr>
        <w:t>relevant </w:t>
      </w:r>
      <w:r>
        <w:rPr>
          <w:w w:val="105"/>
        </w:rPr>
        <w:t>questionnaire measures, as described in the </w:t>
      </w:r>
      <w:r>
        <w:rPr>
          <w:rFonts w:ascii="Arial" w:hAnsi="Arial"/>
          <w:w w:val="105"/>
          <w:sz w:val="12"/>
        </w:rPr>
        <w:t>787  </w:t>
      </w:r>
      <w:r>
        <w:rPr>
          <w:rFonts w:ascii="Arial" w:hAnsi="Arial"/>
          <w:spacing w:val="35"/>
          <w:w w:val="105"/>
          <w:sz w:val="12"/>
        </w:rPr>
        <w:t> </w:t>
      </w:r>
      <w:hyperlink w:history="true" w:anchor="_bookmark11">
        <w:r>
          <w:rPr>
            <w:i/>
            <w:w w:val="105"/>
          </w:rPr>
          <w:t>Survey &amp; Questionnaires </w:t>
        </w:r>
      </w:hyperlink>
      <w:r>
        <w:rPr>
          <w:w w:val="105"/>
        </w:rPr>
        <w:t>section.  Descriptive statistics of the questionnaire scores can </w:t>
      </w:r>
      <w:r>
        <w:rPr>
          <w:spacing w:val="3"/>
          <w:w w:val="105"/>
        </w:rPr>
        <w:t>be  </w:t>
      </w:r>
      <w:r>
        <w:rPr>
          <w:rFonts w:ascii="Arial" w:hAnsi="Arial"/>
          <w:w w:val="105"/>
          <w:sz w:val="12"/>
        </w:rPr>
        <w:t>788 </w:t>
      </w:r>
      <w:r>
        <w:rPr>
          <w:w w:val="105"/>
        </w:rPr>
        <w:t>found in </w:t>
      </w:r>
      <w:r>
        <w:rPr>
          <w:spacing w:val="-5"/>
          <w:w w:val="105"/>
        </w:rPr>
        <w:t>Table </w:t>
      </w:r>
      <w:hyperlink w:history="true" w:anchor="_bookmark32">
        <w:r>
          <w:rPr>
            <w:w w:val="105"/>
          </w:rPr>
          <w:t>B1.</w:t>
        </w:r>
      </w:hyperlink>
      <w:r>
        <w:rPr>
          <w:w w:val="105"/>
        </w:rPr>
        <w:t> Pearson’s </w:t>
      </w:r>
      <w:r>
        <w:rPr>
          <w:i/>
          <w:w w:val="105"/>
        </w:rPr>
        <w:t>r </w:t>
      </w:r>
      <w:r>
        <w:rPr>
          <w:w w:val="105"/>
        </w:rPr>
        <w:t>coefficients were conventionally interpreted as small,</w:t>
      </w:r>
      <w:r>
        <w:rPr>
          <w:spacing w:val="-42"/>
          <w:w w:val="105"/>
        </w:rPr>
        <w:t> </w:t>
      </w:r>
      <w:r>
        <w:rPr>
          <w:w w:val="105"/>
        </w:rPr>
        <w:t>medium </w:t>
      </w:r>
      <w:r>
        <w:rPr>
          <w:rFonts w:ascii="Arial" w:hAnsi="Arial"/>
          <w:w w:val="105"/>
          <w:sz w:val="12"/>
        </w:rPr>
        <w:t>789</w:t>
      </w:r>
      <w:r>
        <w:rPr>
          <w:rFonts w:ascii="Arial" w:hAnsi="Arial"/>
          <w:spacing w:val="15"/>
          <w:w w:val="105"/>
          <w:sz w:val="12"/>
        </w:rPr>
        <w:t> </w:t>
      </w:r>
      <w:r>
        <w:rPr>
          <w:w w:val="105"/>
        </w:rPr>
        <w:t>and</w:t>
      </w:r>
      <w:r>
        <w:rPr>
          <w:spacing w:val="10"/>
          <w:w w:val="105"/>
        </w:rPr>
        <w:t> </w:t>
      </w:r>
      <w:r>
        <w:rPr>
          <w:w w:val="105"/>
        </w:rPr>
        <w:t>large</w:t>
      </w:r>
      <w:r>
        <w:rPr>
          <w:spacing w:val="12"/>
          <w:w w:val="105"/>
        </w:rPr>
        <w:t> </w:t>
      </w:r>
      <w:r>
        <w:rPr>
          <w:w w:val="105"/>
        </w:rPr>
        <w:t>at</w:t>
      </w:r>
      <w:r>
        <w:rPr>
          <w:spacing w:val="11"/>
          <w:w w:val="105"/>
        </w:rPr>
        <w:t> </w:t>
      </w:r>
      <w:r>
        <w:rPr>
          <w:w w:val="105"/>
        </w:rPr>
        <w:t>0.10,</w:t>
      </w:r>
      <w:r>
        <w:rPr>
          <w:spacing w:val="10"/>
          <w:w w:val="105"/>
        </w:rPr>
        <w:t> </w:t>
      </w:r>
      <w:r>
        <w:rPr>
          <w:w w:val="105"/>
        </w:rPr>
        <w:t>0.30</w:t>
      </w:r>
      <w:r>
        <w:rPr>
          <w:spacing w:val="12"/>
          <w:w w:val="105"/>
        </w:rPr>
        <w:t> </w:t>
      </w:r>
      <w:r>
        <w:rPr>
          <w:w w:val="105"/>
        </w:rPr>
        <w:t>and</w:t>
      </w:r>
      <w:r>
        <w:rPr>
          <w:spacing w:val="11"/>
          <w:w w:val="105"/>
        </w:rPr>
        <w:t> </w:t>
      </w:r>
      <w:r>
        <w:rPr>
          <w:w w:val="105"/>
        </w:rPr>
        <w:t>0.50.</w:t>
      </w:r>
      <w:r>
        <w:rPr>
          <w:spacing w:val="35"/>
          <w:w w:val="105"/>
        </w:rPr>
        <w:t> </w:t>
      </w:r>
      <w:r>
        <w:rPr>
          <w:w w:val="105"/>
        </w:rPr>
        <w:t>As</w:t>
      </w:r>
      <w:r>
        <w:rPr>
          <w:spacing w:val="12"/>
          <w:w w:val="105"/>
        </w:rPr>
        <w:t> </w:t>
      </w:r>
      <w:r>
        <w:rPr>
          <w:w w:val="105"/>
        </w:rPr>
        <w:t>it</w:t>
      </w:r>
      <w:r>
        <w:rPr>
          <w:spacing w:val="10"/>
          <w:w w:val="105"/>
        </w:rPr>
        <w:t> </w:t>
      </w:r>
      <w:r>
        <w:rPr>
          <w:w w:val="105"/>
        </w:rPr>
        <w:t>would</w:t>
      </w:r>
      <w:r>
        <w:rPr>
          <w:spacing w:val="11"/>
          <w:w w:val="105"/>
        </w:rPr>
        <w:t> </w:t>
      </w:r>
      <w:r>
        <w:rPr>
          <w:spacing w:val="3"/>
          <w:w w:val="105"/>
        </w:rPr>
        <w:t>be</w:t>
      </w:r>
      <w:r>
        <w:rPr>
          <w:spacing w:val="12"/>
          <w:w w:val="105"/>
        </w:rPr>
        <w:t> </w:t>
      </w:r>
      <w:r>
        <w:rPr>
          <w:w w:val="105"/>
        </w:rPr>
        <w:t>expected</w:t>
      </w:r>
      <w:r>
        <w:rPr>
          <w:spacing w:val="11"/>
          <w:w w:val="105"/>
        </w:rPr>
        <w:t> </w:t>
      </w:r>
      <w:r>
        <w:rPr>
          <w:w w:val="105"/>
        </w:rPr>
        <w:t>for</w:t>
      </w:r>
      <w:r>
        <w:rPr>
          <w:spacing w:val="12"/>
          <w:w w:val="105"/>
        </w:rPr>
        <w:t> </w:t>
      </w:r>
      <w:r>
        <w:rPr>
          <w:w w:val="105"/>
        </w:rPr>
        <w:t>the</w:t>
      </w:r>
      <w:r>
        <w:rPr>
          <w:spacing w:val="11"/>
          <w:w w:val="105"/>
        </w:rPr>
        <w:t> </w:t>
      </w:r>
      <w:r>
        <w:rPr>
          <w:w w:val="105"/>
        </w:rPr>
        <w:t>Food</w:t>
      </w:r>
      <w:r>
        <w:rPr>
          <w:spacing w:val="12"/>
          <w:w w:val="105"/>
        </w:rPr>
        <w:t> </w:t>
      </w:r>
      <w:r>
        <w:rPr>
          <w:w w:val="105"/>
        </w:rPr>
        <w:t>Cravings</w:t>
      </w:r>
    </w:p>
    <w:p>
      <w:pPr>
        <w:pStyle w:val="BodyText"/>
        <w:spacing w:line="415" w:lineRule="auto" w:before="4"/>
        <w:ind w:right="525"/>
      </w:pPr>
      <w:r>
        <w:rPr>
          <w:rFonts w:ascii="Arial"/>
          <w:w w:val="105"/>
          <w:sz w:val="12"/>
        </w:rPr>
        <w:t>790</w:t>
      </w:r>
      <w:r>
        <w:rPr>
          <w:rFonts w:ascii="Arial"/>
          <w:spacing w:val="35"/>
          <w:w w:val="105"/>
          <w:sz w:val="12"/>
        </w:rPr>
        <w:t> </w:t>
      </w:r>
      <w:r>
        <w:rPr>
          <w:w w:val="105"/>
        </w:rPr>
        <w:t>Questionnaire </w:t>
      </w:r>
      <w:r>
        <w:rPr>
          <w:spacing w:val="-4"/>
          <w:w w:val="105"/>
        </w:rPr>
        <w:t>Trait- </w:t>
      </w:r>
      <w:r>
        <w:rPr>
          <w:w w:val="105"/>
        </w:rPr>
        <w:t>reduced (FCQ-T-r) measure, there </w:t>
      </w:r>
      <w:r>
        <w:rPr>
          <w:spacing w:val="-3"/>
          <w:w w:val="105"/>
        </w:rPr>
        <w:t>was </w:t>
      </w:r>
      <w:r>
        <w:rPr>
          <w:w w:val="105"/>
        </w:rPr>
        <w:t>a positive correlation, although  </w:t>
      </w:r>
      <w:r>
        <w:rPr>
          <w:rFonts w:ascii="Arial"/>
          <w:w w:val="105"/>
          <w:sz w:val="12"/>
        </w:rPr>
        <w:t>791      </w:t>
      </w:r>
      <w:r>
        <w:rPr>
          <w:w w:val="105"/>
        </w:rPr>
        <w:t>small, with BMI as well as medium-to-large positive correlations with total scores on the   </w:t>
      </w:r>
      <w:r>
        <w:rPr>
          <w:rFonts w:ascii="Arial"/>
          <w:w w:val="105"/>
          <w:sz w:val="12"/>
        </w:rPr>
        <w:t>792 </w:t>
      </w:r>
      <w:r>
        <w:rPr>
          <w:w w:val="105"/>
        </w:rPr>
        <w:t>Barratt Impulsivity Scale (BIS) and Perceived Stress Scale (PSS). </w:t>
      </w:r>
      <w:r>
        <w:rPr>
          <w:spacing w:val="-5"/>
          <w:w w:val="105"/>
        </w:rPr>
        <w:t>Trait </w:t>
      </w:r>
      <w:r>
        <w:rPr>
          <w:spacing w:val="3"/>
          <w:w w:val="105"/>
        </w:rPr>
        <w:t>food</w:t>
      </w:r>
      <w:r>
        <w:rPr>
          <w:spacing w:val="18"/>
          <w:w w:val="105"/>
        </w:rPr>
        <w:t> </w:t>
      </w:r>
      <w:r>
        <w:rPr>
          <w:w w:val="105"/>
        </w:rPr>
        <w:t>cravings</w:t>
      </w:r>
    </w:p>
    <w:p>
      <w:pPr>
        <w:pStyle w:val="BodyText"/>
        <w:spacing w:before="2"/>
      </w:pPr>
      <w:r>
        <w:rPr>
          <w:rFonts w:ascii="Arial"/>
          <w:w w:val="105"/>
          <w:sz w:val="12"/>
        </w:rPr>
        <w:t>793 </w:t>
      </w:r>
      <w:r>
        <w:rPr>
          <w:w w:val="105"/>
        </w:rPr>
        <w:t>negatively correlated with stop control, as measured by the Stop Control Scale (SCS) and</w:t>
      </w:r>
    </w:p>
    <w:p>
      <w:pPr>
        <w:pStyle w:val="BodyText"/>
      </w:pPr>
      <w:r>
        <w:rPr>
          <w:rFonts w:ascii="Arial"/>
          <w:w w:val="105"/>
          <w:sz w:val="12"/>
        </w:rPr>
        <w:t>794 </w:t>
      </w:r>
      <w:r>
        <w:rPr>
          <w:w w:val="105"/>
        </w:rPr>
        <w:t>the food subscale of the Delaying Gratification Inventory (DGI).</w:t>
      </w:r>
    </w:p>
    <w:p>
      <w:pPr>
        <w:spacing w:before="239"/>
        <w:ind w:left="620" w:right="0" w:firstLine="0"/>
        <w:jc w:val="left"/>
        <w:rPr>
          <w:b/>
          <w:sz w:val="20"/>
        </w:rPr>
      </w:pPr>
      <w:bookmarkStart w:name="_bookmark32" w:id="72"/>
      <w:bookmarkEnd w:id="72"/>
      <w:r>
        <w:rPr/>
      </w:r>
      <w:r>
        <w:rPr>
          <w:b/>
          <w:w w:val="115"/>
          <w:sz w:val="20"/>
        </w:rPr>
        <w:t>Table B1</w:t>
      </w:r>
    </w:p>
    <w:p>
      <w:pPr>
        <w:spacing w:before="166"/>
        <w:ind w:left="620" w:right="0" w:firstLine="0"/>
        <w:jc w:val="left"/>
        <w:rPr>
          <w:i/>
          <w:sz w:val="20"/>
        </w:rPr>
      </w:pPr>
      <w:r>
        <w:rPr>
          <w:i/>
          <w:w w:val="105"/>
          <w:sz w:val="20"/>
        </w:rPr>
        <w:t>Descriptive statistics of questionnaire scores from the final sample</w:t>
      </w:r>
    </w:p>
    <w:p>
      <w:pPr>
        <w:pStyle w:val="BodyText"/>
        <w:spacing w:before="8"/>
        <w:ind w:left="0"/>
        <w:rPr>
          <w:i/>
        </w:rPr>
      </w:pPr>
    </w:p>
    <w:tbl>
      <w:tblPr>
        <w:tblW w:w="0" w:type="auto"/>
        <w:jc w:val="left"/>
        <w:tblInd w:w="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45"/>
        <w:gridCol w:w="1712"/>
        <w:gridCol w:w="1178"/>
        <w:gridCol w:w="1217"/>
        <w:gridCol w:w="1226"/>
        <w:gridCol w:w="1367"/>
      </w:tblGrid>
      <w:tr>
        <w:trPr>
          <w:trHeight w:val="584" w:hRule="atLeast"/>
        </w:trPr>
        <w:tc>
          <w:tcPr>
            <w:tcW w:w="2245" w:type="dxa"/>
            <w:tcBorders>
              <w:top w:val="single" w:sz="8" w:space="0" w:color="000000"/>
              <w:bottom w:val="single" w:sz="4" w:space="0" w:color="000000"/>
            </w:tcBorders>
          </w:tcPr>
          <w:p>
            <w:pPr>
              <w:pStyle w:val="TableParagraph"/>
              <w:rPr>
                <w:sz w:val="22"/>
              </w:rPr>
            </w:pPr>
          </w:p>
        </w:tc>
        <w:tc>
          <w:tcPr>
            <w:tcW w:w="1712" w:type="dxa"/>
            <w:tcBorders>
              <w:top w:val="single" w:sz="8" w:space="0" w:color="000000"/>
              <w:bottom w:val="single" w:sz="4" w:space="0" w:color="000000"/>
            </w:tcBorders>
          </w:tcPr>
          <w:p>
            <w:pPr>
              <w:pStyle w:val="TableParagraph"/>
              <w:spacing w:before="177"/>
              <w:ind w:right="116"/>
              <w:jc w:val="right"/>
              <w:rPr>
                <w:sz w:val="24"/>
              </w:rPr>
            </w:pPr>
            <w:r>
              <w:rPr>
                <w:w w:val="110"/>
                <w:sz w:val="24"/>
              </w:rPr>
              <w:t>FCQ-T-r total</w:t>
            </w:r>
          </w:p>
        </w:tc>
        <w:tc>
          <w:tcPr>
            <w:tcW w:w="1178" w:type="dxa"/>
            <w:tcBorders>
              <w:top w:val="single" w:sz="8" w:space="0" w:color="000000"/>
              <w:bottom w:val="single" w:sz="4" w:space="0" w:color="000000"/>
            </w:tcBorders>
          </w:tcPr>
          <w:p>
            <w:pPr>
              <w:pStyle w:val="TableParagraph"/>
              <w:spacing w:before="177"/>
              <w:ind w:right="116"/>
              <w:jc w:val="right"/>
              <w:rPr>
                <w:sz w:val="24"/>
              </w:rPr>
            </w:pPr>
            <w:r>
              <w:rPr>
                <w:w w:val="110"/>
                <w:sz w:val="24"/>
              </w:rPr>
              <w:t>BIS total</w:t>
            </w:r>
          </w:p>
        </w:tc>
        <w:tc>
          <w:tcPr>
            <w:tcW w:w="1217" w:type="dxa"/>
            <w:tcBorders>
              <w:top w:val="single" w:sz="8" w:space="0" w:color="000000"/>
              <w:bottom w:val="single" w:sz="4" w:space="0" w:color="000000"/>
            </w:tcBorders>
          </w:tcPr>
          <w:p>
            <w:pPr>
              <w:pStyle w:val="TableParagraph"/>
              <w:spacing w:before="177"/>
              <w:ind w:right="114"/>
              <w:jc w:val="right"/>
              <w:rPr>
                <w:sz w:val="24"/>
              </w:rPr>
            </w:pPr>
            <w:r>
              <w:rPr>
                <w:w w:val="110"/>
                <w:sz w:val="24"/>
              </w:rPr>
              <w:t>PSS total</w:t>
            </w:r>
          </w:p>
        </w:tc>
        <w:tc>
          <w:tcPr>
            <w:tcW w:w="1226" w:type="dxa"/>
            <w:tcBorders>
              <w:top w:val="single" w:sz="8" w:space="0" w:color="000000"/>
              <w:bottom w:val="single" w:sz="4" w:space="0" w:color="000000"/>
            </w:tcBorders>
          </w:tcPr>
          <w:p>
            <w:pPr>
              <w:pStyle w:val="TableParagraph"/>
              <w:spacing w:before="177"/>
              <w:ind w:right="113"/>
              <w:jc w:val="right"/>
              <w:rPr>
                <w:sz w:val="24"/>
              </w:rPr>
            </w:pPr>
            <w:r>
              <w:rPr>
                <w:w w:val="110"/>
                <w:sz w:val="24"/>
              </w:rPr>
              <w:t>SCS total</w:t>
            </w:r>
          </w:p>
        </w:tc>
        <w:tc>
          <w:tcPr>
            <w:tcW w:w="1367" w:type="dxa"/>
            <w:tcBorders>
              <w:top w:val="single" w:sz="8" w:space="0" w:color="000000"/>
              <w:bottom w:val="single" w:sz="4" w:space="0" w:color="000000"/>
            </w:tcBorders>
          </w:tcPr>
          <w:p>
            <w:pPr>
              <w:pStyle w:val="TableParagraph"/>
              <w:spacing w:before="177"/>
              <w:ind w:right="111"/>
              <w:jc w:val="right"/>
              <w:rPr>
                <w:sz w:val="24"/>
              </w:rPr>
            </w:pPr>
            <w:r>
              <w:rPr>
                <w:sz w:val="24"/>
              </w:rPr>
              <w:t>DGI - food</w:t>
            </w:r>
          </w:p>
        </w:tc>
      </w:tr>
      <w:tr>
        <w:trPr>
          <w:trHeight w:val="538" w:hRule="atLeast"/>
        </w:trPr>
        <w:tc>
          <w:tcPr>
            <w:tcW w:w="2245" w:type="dxa"/>
            <w:tcBorders>
              <w:top w:val="single" w:sz="4" w:space="0" w:color="000000"/>
            </w:tcBorders>
          </w:tcPr>
          <w:p>
            <w:pPr>
              <w:pStyle w:val="TableParagraph"/>
              <w:spacing w:before="176"/>
              <w:ind w:left="119"/>
              <w:rPr>
                <w:sz w:val="24"/>
              </w:rPr>
            </w:pPr>
            <w:r>
              <w:rPr>
                <w:w w:val="105"/>
                <w:sz w:val="24"/>
              </w:rPr>
              <w:t>Mean</w:t>
            </w:r>
          </w:p>
        </w:tc>
        <w:tc>
          <w:tcPr>
            <w:tcW w:w="1712" w:type="dxa"/>
            <w:tcBorders>
              <w:top w:val="single" w:sz="4" w:space="0" w:color="000000"/>
            </w:tcBorders>
          </w:tcPr>
          <w:p>
            <w:pPr>
              <w:pStyle w:val="TableParagraph"/>
              <w:spacing w:before="176"/>
              <w:ind w:right="117"/>
              <w:jc w:val="right"/>
              <w:rPr>
                <w:sz w:val="24"/>
              </w:rPr>
            </w:pPr>
            <w:r>
              <w:rPr>
                <w:w w:val="95"/>
                <w:sz w:val="24"/>
              </w:rPr>
              <w:t>45.362</w:t>
            </w:r>
          </w:p>
        </w:tc>
        <w:tc>
          <w:tcPr>
            <w:tcW w:w="1178" w:type="dxa"/>
            <w:tcBorders>
              <w:top w:val="single" w:sz="4" w:space="0" w:color="000000"/>
            </w:tcBorders>
          </w:tcPr>
          <w:p>
            <w:pPr>
              <w:pStyle w:val="TableParagraph"/>
              <w:spacing w:before="176"/>
              <w:ind w:right="116"/>
              <w:jc w:val="right"/>
              <w:rPr>
                <w:sz w:val="24"/>
              </w:rPr>
            </w:pPr>
            <w:r>
              <w:rPr>
                <w:w w:val="95"/>
                <w:sz w:val="24"/>
              </w:rPr>
              <w:t>32.773</w:t>
            </w:r>
          </w:p>
        </w:tc>
        <w:tc>
          <w:tcPr>
            <w:tcW w:w="1217" w:type="dxa"/>
            <w:tcBorders>
              <w:top w:val="single" w:sz="4" w:space="0" w:color="000000"/>
            </w:tcBorders>
          </w:tcPr>
          <w:p>
            <w:pPr>
              <w:pStyle w:val="TableParagraph"/>
              <w:spacing w:before="176"/>
              <w:ind w:right="115"/>
              <w:jc w:val="right"/>
              <w:rPr>
                <w:sz w:val="24"/>
              </w:rPr>
            </w:pPr>
            <w:r>
              <w:rPr>
                <w:w w:val="95"/>
                <w:sz w:val="24"/>
              </w:rPr>
              <w:t>19.896</w:t>
            </w:r>
          </w:p>
        </w:tc>
        <w:tc>
          <w:tcPr>
            <w:tcW w:w="1226" w:type="dxa"/>
            <w:tcBorders>
              <w:top w:val="single" w:sz="4" w:space="0" w:color="000000"/>
            </w:tcBorders>
          </w:tcPr>
          <w:p>
            <w:pPr>
              <w:pStyle w:val="TableParagraph"/>
              <w:spacing w:before="176"/>
              <w:ind w:right="114"/>
              <w:jc w:val="right"/>
              <w:rPr>
                <w:sz w:val="24"/>
              </w:rPr>
            </w:pPr>
            <w:r>
              <w:rPr>
                <w:w w:val="95"/>
                <w:sz w:val="24"/>
              </w:rPr>
              <w:t>40.951</w:t>
            </w:r>
          </w:p>
        </w:tc>
        <w:tc>
          <w:tcPr>
            <w:tcW w:w="1367" w:type="dxa"/>
            <w:tcBorders>
              <w:top w:val="single" w:sz="4" w:space="0" w:color="000000"/>
            </w:tcBorders>
          </w:tcPr>
          <w:p>
            <w:pPr>
              <w:pStyle w:val="TableParagraph"/>
              <w:spacing w:before="176"/>
              <w:ind w:right="112"/>
              <w:jc w:val="right"/>
              <w:rPr>
                <w:sz w:val="24"/>
              </w:rPr>
            </w:pPr>
            <w:r>
              <w:rPr>
                <w:w w:val="95"/>
                <w:sz w:val="24"/>
              </w:rPr>
              <w:t>22.245</w:t>
            </w:r>
          </w:p>
        </w:tc>
      </w:tr>
      <w:tr>
        <w:trPr>
          <w:trHeight w:val="478" w:hRule="atLeast"/>
        </w:trPr>
        <w:tc>
          <w:tcPr>
            <w:tcW w:w="2245" w:type="dxa"/>
          </w:tcPr>
          <w:p>
            <w:pPr>
              <w:pStyle w:val="TableParagraph"/>
              <w:spacing w:before="116"/>
              <w:ind w:left="119"/>
              <w:rPr>
                <w:sz w:val="24"/>
              </w:rPr>
            </w:pPr>
            <w:r>
              <w:rPr>
                <w:w w:val="105"/>
                <w:sz w:val="24"/>
              </w:rPr>
              <w:t>Median</w:t>
            </w:r>
          </w:p>
        </w:tc>
        <w:tc>
          <w:tcPr>
            <w:tcW w:w="1712" w:type="dxa"/>
          </w:tcPr>
          <w:p>
            <w:pPr>
              <w:pStyle w:val="TableParagraph"/>
              <w:spacing w:before="116"/>
              <w:ind w:right="116"/>
              <w:jc w:val="right"/>
              <w:rPr>
                <w:sz w:val="24"/>
              </w:rPr>
            </w:pPr>
            <w:r>
              <w:rPr>
                <w:w w:val="95"/>
                <w:sz w:val="24"/>
              </w:rPr>
              <w:t>45.000</w:t>
            </w:r>
          </w:p>
        </w:tc>
        <w:tc>
          <w:tcPr>
            <w:tcW w:w="1178" w:type="dxa"/>
          </w:tcPr>
          <w:p>
            <w:pPr>
              <w:pStyle w:val="TableParagraph"/>
              <w:spacing w:before="116"/>
              <w:ind w:right="116"/>
              <w:jc w:val="right"/>
              <w:rPr>
                <w:sz w:val="24"/>
              </w:rPr>
            </w:pPr>
            <w:r>
              <w:rPr>
                <w:w w:val="95"/>
                <w:sz w:val="24"/>
              </w:rPr>
              <w:t>32.000</w:t>
            </w:r>
          </w:p>
        </w:tc>
        <w:tc>
          <w:tcPr>
            <w:tcW w:w="1217" w:type="dxa"/>
          </w:tcPr>
          <w:p>
            <w:pPr>
              <w:pStyle w:val="TableParagraph"/>
              <w:spacing w:before="116"/>
              <w:ind w:right="115"/>
              <w:jc w:val="right"/>
              <w:rPr>
                <w:sz w:val="24"/>
              </w:rPr>
            </w:pPr>
            <w:r>
              <w:rPr>
                <w:w w:val="95"/>
                <w:sz w:val="24"/>
              </w:rPr>
              <w:t>19.000</w:t>
            </w:r>
          </w:p>
        </w:tc>
        <w:tc>
          <w:tcPr>
            <w:tcW w:w="1226" w:type="dxa"/>
          </w:tcPr>
          <w:p>
            <w:pPr>
              <w:pStyle w:val="TableParagraph"/>
              <w:spacing w:before="116"/>
              <w:ind w:right="114"/>
              <w:jc w:val="right"/>
              <w:rPr>
                <w:sz w:val="24"/>
              </w:rPr>
            </w:pPr>
            <w:r>
              <w:rPr>
                <w:w w:val="95"/>
                <w:sz w:val="24"/>
              </w:rPr>
              <w:t>41.000</w:t>
            </w:r>
          </w:p>
        </w:tc>
        <w:tc>
          <w:tcPr>
            <w:tcW w:w="1367" w:type="dxa"/>
          </w:tcPr>
          <w:p>
            <w:pPr>
              <w:pStyle w:val="TableParagraph"/>
              <w:spacing w:before="116"/>
              <w:ind w:right="112"/>
              <w:jc w:val="right"/>
              <w:rPr>
                <w:sz w:val="24"/>
              </w:rPr>
            </w:pPr>
            <w:r>
              <w:rPr>
                <w:w w:val="95"/>
                <w:sz w:val="24"/>
              </w:rPr>
              <w:t>22.000</w:t>
            </w:r>
          </w:p>
        </w:tc>
      </w:tr>
      <w:tr>
        <w:trPr>
          <w:trHeight w:val="478" w:hRule="atLeast"/>
        </w:trPr>
        <w:tc>
          <w:tcPr>
            <w:tcW w:w="2245" w:type="dxa"/>
          </w:tcPr>
          <w:p>
            <w:pPr>
              <w:pStyle w:val="TableParagraph"/>
              <w:spacing w:before="116"/>
              <w:ind w:left="119"/>
              <w:rPr>
                <w:sz w:val="24"/>
              </w:rPr>
            </w:pPr>
            <w:r>
              <w:rPr>
                <w:w w:val="105"/>
                <w:sz w:val="24"/>
              </w:rPr>
              <w:t>Standard Deviation</w:t>
            </w:r>
          </w:p>
        </w:tc>
        <w:tc>
          <w:tcPr>
            <w:tcW w:w="1712" w:type="dxa"/>
          </w:tcPr>
          <w:p>
            <w:pPr>
              <w:pStyle w:val="TableParagraph"/>
              <w:spacing w:before="116"/>
              <w:ind w:right="117"/>
              <w:jc w:val="right"/>
              <w:rPr>
                <w:sz w:val="24"/>
              </w:rPr>
            </w:pPr>
            <w:r>
              <w:rPr>
                <w:w w:val="95"/>
                <w:sz w:val="24"/>
              </w:rPr>
              <w:t>9.997</w:t>
            </w:r>
          </w:p>
        </w:tc>
        <w:tc>
          <w:tcPr>
            <w:tcW w:w="1178" w:type="dxa"/>
          </w:tcPr>
          <w:p>
            <w:pPr>
              <w:pStyle w:val="TableParagraph"/>
              <w:spacing w:before="116"/>
              <w:ind w:right="116"/>
              <w:jc w:val="right"/>
              <w:rPr>
                <w:sz w:val="24"/>
              </w:rPr>
            </w:pPr>
            <w:r>
              <w:rPr>
                <w:w w:val="95"/>
                <w:sz w:val="24"/>
              </w:rPr>
              <w:t>5.751</w:t>
            </w:r>
          </w:p>
        </w:tc>
        <w:tc>
          <w:tcPr>
            <w:tcW w:w="1217" w:type="dxa"/>
          </w:tcPr>
          <w:p>
            <w:pPr>
              <w:pStyle w:val="TableParagraph"/>
              <w:spacing w:before="116"/>
              <w:ind w:right="115"/>
              <w:jc w:val="right"/>
              <w:rPr>
                <w:sz w:val="24"/>
              </w:rPr>
            </w:pPr>
            <w:r>
              <w:rPr>
                <w:w w:val="95"/>
                <w:sz w:val="24"/>
              </w:rPr>
              <w:t>6.298</w:t>
            </w:r>
          </w:p>
        </w:tc>
        <w:tc>
          <w:tcPr>
            <w:tcW w:w="1226" w:type="dxa"/>
          </w:tcPr>
          <w:p>
            <w:pPr>
              <w:pStyle w:val="TableParagraph"/>
              <w:spacing w:before="116"/>
              <w:ind w:right="114"/>
              <w:jc w:val="right"/>
              <w:rPr>
                <w:sz w:val="24"/>
              </w:rPr>
            </w:pPr>
            <w:r>
              <w:rPr>
                <w:w w:val="95"/>
                <w:sz w:val="24"/>
              </w:rPr>
              <w:t>7.665</w:t>
            </w:r>
          </w:p>
        </w:tc>
        <w:tc>
          <w:tcPr>
            <w:tcW w:w="1367" w:type="dxa"/>
          </w:tcPr>
          <w:p>
            <w:pPr>
              <w:pStyle w:val="TableParagraph"/>
              <w:spacing w:before="116"/>
              <w:ind w:right="112"/>
              <w:jc w:val="right"/>
              <w:rPr>
                <w:sz w:val="24"/>
              </w:rPr>
            </w:pPr>
            <w:r>
              <w:rPr>
                <w:w w:val="95"/>
                <w:sz w:val="24"/>
              </w:rPr>
              <w:t>4.677</w:t>
            </w:r>
          </w:p>
        </w:tc>
      </w:tr>
      <w:tr>
        <w:trPr>
          <w:trHeight w:val="478" w:hRule="atLeast"/>
        </w:trPr>
        <w:tc>
          <w:tcPr>
            <w:tcW w:w="2245" w:type="dxa"/>
          </w:tcPr>
          <w:p>
            <w:pPr>
              <w:pStyle w:val="TableParagraph"/>
              <w:spacing w:before="116"/>
              <w:ind w:left="119"/>
              <w:rPr>
                <w:sz w:val="24"/>
              </w:rPr>
            </w:pPr>
            <w:r>
              <w:rPr>
                <w:w w:val="105"/>
                <w:sz w:val="24"/>
              </w:rPr>
              <w:t>Minimum</w:t>
            </w:r>
          </w:p>
        </w:tc>
        <w:tc>
          <w:tcPr>
            <w:tcW w:w="1712" w:type="dxa"/>
          </w:tcPr>
          <w:p>
            <w:pPr>
              <w:pStyle w:val="TableParagraph"/>
              <w:spacing w:before="116"/>
              <w:ind w:right="118"/>
              <w:jc w:val="right"/>
              <w:rPr>
                <w:sz w:val="24"/>
              </w:rPr>
            </w:pPr>
            <w:r>
              <w:rPr>
                <w:w w:val="95"/>
                <w:sz w:val="24"/>
              </w:rPr>
              <w:t>20.000</w:t>
            </w:r>
          </w:p>
        </w:tc>
        <w:tc>
          <w:tcPr>
            <w:tcW w:w="1178" w:type="dxa"/>
          </w:tcPr>
          <w:p>
            <w:pPr>
              <w:pStyle w:val="TableParagraph"/>
              <w:spacing w:before="116"/>
              <w:ind w:right="116"/>
              <w:jc w:val="right"/>
              <w:rPr>
                <w:sz w:val="24"/>
              </w:rPr>
            </w:pPr>
            <w:r>
              <w:rPr>
                <w:w w:val="95"/>
                <w:sz w:val="24"/>
              </w:rPr>
              <w:t>21.000</w:t>
            </w:r>
          </w:p>
        </w:tc>
        <w:tc>
          <w:tcPr>
            <w:tcW w:w="1217" w:type="dxa"/>
          </w:tcPr>
          <w:p>
            <w:pPr>
              <w:pStyle w:val="TableParagraph"/>
              <w:spacing w:before="116"/>
              <w:ind w:right="115"/>
              <w:jc w:val="right"/>
              <w:rPr>
                <w:sz w:val="24"/>
              </w:rPr>
            </w:pPr>
            <w:r>
              <w:rPr>
                <w:w w:val="95"/>
                <w:sz w:val="24"/>
              </w:rPr>
              <w:t>4.000</w:t>
            </w:r>
          </w:p>
        </w:tc>
        <w:tc>
          <w:tcPr>
            <w:tcW w:w="1226" w:type="dxa"/>
          </w:tcPr>
          <w:p>
            <w:pPr>
              <w:pStyle w:val="TableParagraph"/>
              <w:spacing w:before="116"/>
              <w:ind w:right="114"/>
              <w:jc w:val="right"/>
              <w:rPr>
                <w:sz w:val="24"/>
              </w:rPr>
            </w:pPr>
            <w:r>
              <w:rPr>
                <w:w w:val="95"/>
                <w:sz w:val="24"/>
              </w:rPr>
              <w:t>20.000</w:t>
            </w:r>
          </w:p>
        </w:tc>
        <w:tc>
          <w:tcPr>
            <w:tcW w:w="1367" w:type="dxa"/>
          </w:tcPr>
          <w:p>
            <w:pPr>
              <w:pStyle w:val="TableParagraph"/>
              <w:spacing w:before="116"/>
              <w:ind w:right="112"/>
              <w:jc w:val="right"/>
              <w:rPr>
                <w:sz w:val="24"/>
              </w:rPr>
            </w:pPr>
            <w:r>
              <w:rPr>
                <w:w w:val="95"/>
                <w:sz w:val="24"/>
              </w:rPr>
              <w:t>10.000</w:t>
            </w:r>
          </w:p>
        </w:tc>
      </w:tr>
      <w:tr>
        <w:trPr>
          <w:trHeight w:val="524" w:hRule="atLeast"/>
        </w:trPr>
        <w:tc>
          <w:tcPr>
            <w:tcW w:w="2245" w:type="dxa"/>
            <w:tcBorders>
              <w:bottom w:val="single" w:sz="8" w:space="0" w:color="000000"/>
            </w:tcBorders>
          </w:tcPr>
          <w:p>
            <w:pPr>
              <w:pStyle w:val="TableParagraph"/>
              <w:spacing w:before="116"/>
              <w:ind w:left="119"/>
              <w:rPr>
                <w:sz w:val="24"/>
              </w:rPr>
            </w:pPr>
            <w:r>
              <w:rPr>
                <w:w w:val="105"/>
                <w:sz w:val="24"/>
              </w:rPr>
              <w:t>Maximum</w:t>
            </w:r>
          </w:p>
        </w:tc>
        <w:tc>
          <w:tcPr>
            <w:tcW w:w="1712" w:type="dxa"/>
            <w:tcBorders>
              <w:bottom w:val="single" w:sz="8" w:space="0" w:color="000000"/>
            </w:tcBorders>
          </w:tcPr>
          <w:p>
            <w:pPr>
              <w:pStyle w:val="TableParagraph"/>
              <w:spacing w:before="116"/>
              <w:ind w:right="116"/>
              <w:jc w:val="right"/>
              <w:rPr>
                <w:sz w:val="24"/>
              </w:rPr>
            </w:pPr>
            <w:r>
              <w:rPr>
                <w:w w:val="95"/>
                <w:sz w:val="24"/>
              </w:rPr>
              <w:t>70.000</w:t>
            </w:r>
          </w:p>
        </w:tc>
        <w:tc>
          <w:tcPr>
            <w:tcW w:w="1178" w:type="dxa"/>
            <w:tcBorders>
              <w:bottom w:val="single" w:sz="8" w:space="0" w:color="000000"/>
            </w:tcBorders>
          </w:tcPr>
          <w:p>
            <w:pPr>
              <w:pStyle w:val="TableParagraph"/>
              <w:spacing w:before="116"/>
              <w:ind w:right="116"/>
              <w:jc w:val="right"/>
              <w:rPr>
                <w:sz w:val="24"/>
              </w:rPr>
            </w:pPr>
            <w:r>
              <w:rPr>
                <w:w w:val="95"/>
                <w:sz w:val="24"/>
              </w:rPr>
              <w:t>51.000</w:t>
            </w:r>
          </w:p>
        </w:tc>
        <w:tc>
          <w:tcPr>
            <w:tcW w:w="1217" w:type="dxa"/>
            <w:tcBorders>
              <w:bottom w:val="single" w:sz="8" w:space="0" w:color="000000"/>
            </w:tcBorders>
          </w:tcPr>
          <w:p>
            <w:pPr>
              <w:pStyle w:val="TableParagraph"/>
              <w:spacing w:before="116"/>
              <w:ind w:right="115"/>
              <w:jc w:val="right"/>
              <w:rPr>
                <w:sz w:val="24"/>
              </w:rPr>
            </w:pPr>
            <w:r>
              <w:rPr>
                <w:w w:val="95"/>
                <w:sz w:val="24"/>
              </w:rPr>
              <w:t>38.000</w:t>
            </w:r>
          </w:p>
        </w:tc>
        <w:tc>
          <w:tcPr>
            <w:tcW w:w="1226" w:type="dxa"/>
            <w:tcBorders>
              <w:bottom w:val="single" w:sz="8" w:space="0" w:color="000000"/>
            </w:tcBorders>
          </w:tcPr>
          <w:p>
            <w:pPr>
              <w:pStyle w:val="TableParagraph"/>
              <w:spacing w:before="116"/>
              <w:ind w:right="113"/>
              <w:jc w:val="right"/>
              <w:rPr>
                <w:sz w:val="24"/>
              </w:rPr>
            </w:pPr>
            <w:r>
              <w:rPr>
                <w:w w:val="95"/>
                <w:sz w:val="24"/>
              </w:rPr>
              <w:t>57.000</w:t>
            </w:r>
          </w:p>
        </w:tc>
        <w:tc>
          <w:tcPr>
            <w:tcW w:w="1367" w:type="dxa"/>
            <w:tcBorders>
              <w:bottom w:val="single" w:sz="8" w:space="0" w:color="000000"/>
            </w:tcBorders>
          </w:tcPr>
          <w:p>
            <w:pPr>
              <w:pStyle w:val="TableParagraph"/>
              <w:spacing w:before="116"/>
              <w:ind w:right="112"/>
              <w:jc w:val="right"/>
              <w:rPr>
                <w:sz w:val="24"/>
              </w:rPr>
            </w:pPr>
            <w:r>
              <w:rPr>
                <w:w w:val="95"/>
                <w:sz w:val="24"/>
              </w:rPr>
              <w:t>34.000</w:t>
            </w:r>
          </w:p>
        </w:tc>
      </w:tr>
    </w:tbl>
    <w:p>
      <w:pPr>
        <w:spacing w:before="8"/>
        <w:ind w:left="608" w:right="0" w:firstLine="0"/>
        <w:jc w:val="left"/>
        <w:rPr>
          <w:sz w:val="20"/>
        </w:rPr>
      </w:pPr>
      <w:r>
        <w:rPr>
          <w:i/>
          <w:w w:val="105"/>
          <w:sz w:val="20"/>
        </w:rPr>
        <w:t>Note. </w:t>
      </w:r>
      <w:r>
        <w:rPr>
          <w:w w:val="105"/>
          <w:sz w:val="20"/>
        </w:rPr>
        <w:t>For descriptions and abbreviations, please see the </w:t>
      </w:r>
      <w:hyperlink w:history="true" w:anchor="_bookmark11">
        <w:r>
          <w:rPr>
            <w:i/>
            <w:w w:val="105"/>
            <w:sz w:val="20"/>
          </w:rPr>
          <w:t>Survey &amp; Questionnaires </w:t>
        </w:r>
      </w:hyperlink>
      <w:r>
        <w:rPr>
          <w:w w:val="105"/>
          <w:sz w:val="20"/>
        </w:rPr>
        <w:t>section.</w:t>
      </w:r>
    </w:p>
    <w:p>
      <w:pPr>
        <w:spacing w:after="0"/>
        <w:jc w:val="left"/>
        <w:rPr>
          <w:sz w:val="20"/>
        </w:rPr>
        <w:sectPr>
          <w:pgSz w:w="12240" w:h="15840"/>
          <w:pgMar w:header="649" w:footer="0" w:top="1320" w:bottom="280" w:left="820" w:right="1140"/>
        </w:sectPr>
      </w:pPr>
    </w:p>
    <w:p>
      <w:pPr>
        <w:spacing w:before="129"/>
        <w:ind w:left="620" w:right="0" w:firstLine="0"/>
        <w:jc w:val="left"/>
        <w:rPr>
          <w:b/>
          <w:sz w:val="20"/>
        </w:rPr>
      </w:pPr>
      <w:bookmarkStart w:name="_bookmark33" w:id="73"/>
      <w:bookmarkEnd w:id="73"/>
      <w:r>
        <w:rPr/>
      </w:r>
      <w:r>
        <w:rPr>
          <w:b/>
          <w:w w:val="115"/>
          <w:sz w:val="20"/>
        </w:rPr>
        <w:t>Table B2</w:t>
      </w:r>
    </w:p>
    <w:p>
      <w:pPr>
        <w:spacing w:before="165"/>
        <w:ind w:left="620" w:right="0" w:firstLine="0"/>
        <w:jc w:val="left"/>
        <w:rPr>
          <w:i/>
          <w:sz w:val="20"/>
        </w:rPr>
      </w:pPr>
      <w:r>
        <w:rPr>
          <w:i/>
          <w:w w:val="105"/>
          <w:sz w:val="20"/>
        </w:rPr>
        <w:t>Correlation matrix for sample characteristics and questionnaire measures</w:t>
      </w:r>
    </w:p>
    <w:p>
      <w:pPr>
        <w:pStyle w:val="BodyText"/>
        <w:spacing w:before="8" w:after="1"/>
        <w:ind w:left="0"/>
        <w:rPr>
          <w:i/>
        </w:rPr>
      </w:pPr>
    </w:p>
    <w:tbl>
      <w:tblPr>
        <w:tblW w:w="0" w:type="auto"/>
        <w:jc w:val="left"/>
        <w:tblInd w:w="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3"/>
        <w:gridCol w:w="1253"/>
        <w:gridCol w:w="851"/>
        <w:gridCol w:w="852"/>
        <w:gridCol w:w="891"/>
        <w:gridCol w:w="969"/>
        <w:gridCol w:w="969"/>
        <w:gridCol w:w="967"/>
        <w:gridCol w:w="916"/>
        <w:gridCol w:w="305"/>
        <w:gridCol w:w="116"/>
      </w:tblGrid>
      <w:tr>
        <w:trPr>
          <w:trHeight w:val="584" w:hRule="atLeast"/>
        </w:trPr>
        <w:tc>
          <w:tcPr>
            <w:tcW w:w="2726" w:type="dxa"/>
            <w:gridSpan w:val="2"/>
            <w:tcBorders>
              <w:top w:val="single" w:sz="8" w:space="0" w:color="000000"/>
              <w:bottom w:val="single" w:sz="4" w:space="0" w:color="000000"/>
            </w:tcBorders>
          </w:tcPr>
          <w:p>
            <w:pPr>
              <w:pStyle w:val="TableParagraph"/>
              <w:rPr>
                <w:sz w:val="22"/>
              </w:rPr>
            </w:pPr>
          </w:p>
        </w:tc>
        <w:tc>
          <w:tcPr>
            <w:tcW w:w="851" w:type="dxa"/>
            <w:tcBorders>
              <w:top w:val="single" w:sz="8" w:space="0" w:color="000000"/>
              <w:bottom w:val="single" w:sz="4" w:space="0" w:color="000000"/>
            </w:tcBorders>
          </w:tcPr>
          <w:p>
            <w:pPr>
              <w:pStyle w:val="TableParagraph"/>
              <w:spacing w:before="177"/>
              <w:ind w:right="118"/>
              <w:jc w:val="right"/>
              <w:rPr>
                <w:sz w:val="24"/>
              </w:rPr>
            </w:pPr>
            <w:r>
              <w:rPr>
                <w:sz w:val="24"/>
              </w:rPr>
              <w:t>1.</w:t>
            </w:r>
          </w:p>
        </w:tc>
        <w:tc>
          <w:tcPr>
            <w:tcW w:w="852" w:type="dxa"/>
            <w:tcBorders>
              <w:top w:val="single" w:sz="8" w:space="0" w:color="000000"/>
              <w:bottom w:val="single" w:sz="4" w:space="0" w:color="000000"/>
            </w:tcBorders>
          </w:tcPr>
          <w:p>
            <w:pPr>
              <w:pStyle w:val="TableParagraph"/>
              <w:spacing w:before="177"/>
              <w:ind w:right="120"/>
              <w:jc w:val="right"/>
              <w:rPr>
                <w:sz w:val="24"/>
              </w:rPr>
            </w:pPr>
            <w:r>
              <w:rPr>
                <w:sz w:val="24"/>
              </w:rPr>
              <w:t>2.</w:t>
            </w:r>
          </w:p>
        </w:tc>
        <w:tc>
          <w:tcPr>
            <w:tcW w:w="891" w:type="dxa"/>
            <w:tcBorders>
              <w:top w:val="single" w:sz="8" w:space="0" w:color="000000"/>
              <w:bottom w:val="single" w:sz="4" w:space="0" w:color="000000"/>
            </w:tcBorders>
          </w:tcPr>
          <w:p>
            <w:pPr>
              <w:pStyle w:val="TableParagraph"/>
              <w:spacing w:before="177"/>
              <w:ind w:right="122"/>
              <w:jc w:val="right"/>
              <w:rPr>
                <w:sz w:val="24"/>
              </w:rPr>
            </w:pPr>
            <w:r>
              <w:rPr>
                <w:sz w:val="24"/>
              </w:rPr>
              <w:t>3.</w:t>
            </w:r>
          </w:p>
        </w:tc>
        <w:tc>
          <w:tcPr>
            <w:tcW w:w="969" w:type="dxa"/>
            <w:tcBorders>
              <w:top w:val="single" w:sz="8" w:space="0" w:color="000000"/>
              <w:bottom w:val="single" w:sz="4" w:space="0" w:color="000000"/>
            </w:tcBorders>
          </w:tcPr>
          <w:p>
            <w:pPr>
              <w:pStyle w:val="TableParagraph"/>
              <w:spacing w:before="177"/>
              <w:ind w:right="123"/>
              <w:jc w:val="right"/>
              <w:rPr>
                <w:sz w:val="24"/>
              </w:rPr>
            </w:pPr>
            <w:r>
              <w:rPr>
                <w:sz w:val="24"/>
              </w:rPr>
              <w:t>4.</w:t>
            </w:r>
          </w:p>
        </w:tc>
        <w:tc>
          <w:tcPr>
            <w:tcW w:w="969" w:type="dxa"/>
            <w:tcBorders>
              <w:top w:val="single" w:sz="8" w:space="0" w:color="000000"/>
              <w:bottom w:val="single" w:sz="4" w:space="0" w:color="000000"/>
            </w:tcBorders>
          </w:tcPr>
          <w:p>
            <w:pPr>
              <w:pStyle w:val="TableParagraph"/>
              <w:spacing w:before="177"/>
              <w:ind w:right="125"/>
              <w:jc w:val="right"/>
              <w:rPr>
                <w:sz w:val="24"/>
              </w:rPr>
            </w:pPr>
            <w:r>
              <w:rPr>
                <w:sz w:val="24"/>
              </w:rPr>
              <w:t>5.</w:t>
            </w:r>
          </w:p>
        </w:tc>
        <w:tc>
          <w:tcPr>
            <w:tcW w:w="967" w:type="dxa"/>
            <w:tcBorders>
              <w:top w:val="single" w:sz="8" w:space="0" w:color="000000"/>
              <w:bottom w:val="single" w:sz="4" w:space="0" w:color="000000"/>
            </w:tcBorders>
          </w:tcPr>
          <w:p>
            <w:pPr>
              <w:pStyle w:val="TableParagraph"/>
              <w:spacing w:before="177"/>
              <w:ind w:right="125"/>
              <w:jc w:val="right"/>
              <w:rPr>
                <w:sz w:val="24"/>
              </w:rPr>
            </w:pPr>
            <w:r>
              <w:rPr>
                <w:sz w:val="24"/>
              </w:rPr>
              <w:t>6.</w:t>
            </w:r>
          </w:p>
        </w:tc>
        <w:tc>
          <w:tcPr>
            <w:tcW w:w="916" w:type="dxa"/>
            <w:tcBorders>
              <w:top w:val="single" w:sz="8" w:space="0" w:color="000000"/>
              <w:bottom w:val="single" w:sz="4" w:space="0" w:color="000000"/>
            </w:tcBorders>
          </w:tcPr>
          <w:p>
            <w:pPr>
              <w:pStyle w:val="TableParagraph"/>
              <w:spacing w:before="177"/>
              <w:ind w:right="125"/>
              <w:jc w:val="right"/>
              <w:rPr>
                <w:sz w:val="24"/>
              </w:rPr>
            </w:pPr>
            <w:r>
              <w:rPr>
                <w:sz w:val="24"/>
              </w:rPr>
              <w:t>7.</w:t>
            </w:r>
          </w:p>
        </w:tc>
        <w:tc>
          <w:tcPr>
            <w:tcW w:w="305" w:type="dxa"/>
            <w:tcBorders>
              <w:top w:val="single" w:sz="8" w:space="0" w:color="000000"/>
              <w:bottom w:val="single" w:sz="4" w:space="0" w:color="000000"/>
            </w:tcBorders>
          </w:tcPr>
          <w:p>
            <w:pPr>
              <w:pStyle w:val="TableParagraph"/>
              <w:spacing w:before="177"/>
              <w:ind w:right="9"/>
              <w:jc w:val="right"/>
              <w:rPr>
                <w:sz w:val="24"/>
              </w:rPr>
            </w:pPr>
            <w:r>
              <w:rPr>
                <w:sz w:val="24"/>
              </w:rPr>
              <w:t>8.</w:t>
            </w:r>
          </w:p>
        </w:tc>
        <w:tc>
          <w:tcPr>
            <w:tcW w:w="116" w:type="dxa"/>
            <w:tcBorders>
              <w:top w:val="single" w:sz="8" w:space="0" w:color="000000"/>
            </w:tcBorders>
          </w:tcPr>
          <w:p>
            <w:pPr>
              <w:pStyle w:val="TableParagraph"/>
              <w:rPr>
                <w:sz w:val="22"/>
              </w:rPr>
            </w:pPr>
          </w:p>
        </w:tc>
      </w:tr>
      <w:tr>
        <w:trPr>
          <w:trHeight w:val="538" w:hRule="atLeast"/>
        </w:trPr>
        <w:tc>
          <w:tcPr>
            <w:tcW w:w="1473" w:type="dxa"/>
            <w:tcBorders>
              <w:top w:val="single" w:sz="4" w:space="0" w:color="000000"/>
            </w:tcBorders>
          </w:tcPr>
          <w:p>
            <w:pPr>
              <w:pStyle w:val="TableParagraph"/>
              <w:spacing w:before="176"/>
              <w:ind w:left="119"/>
              <w:rPr>
                <w:sz w:val="24"/>
              </w:rPr>
            </w:pPr>
            <w:r>
              <w:rPr>
                <w:sz w:val="24"/>
              </w:rPr>
              <w:t>1</w:t>
            </w:r>
            <w:r>
              <w:rPr>
                <w:i/>
                <w:sz w:val="24"/>
              </w:rPr>
              <w:t>. </w:t>
            </w:r>
            <w:r>
              <w:rPr>
                <w:sz w:val="24"/>
              </w:rPr>
              <w:t>Age</w:t>
            </w:r>
          </w:p>
        </w:tc>
        <w:tc>
          <w:tcPr>
            <w:tcW w:w="1253" w:type="dxa"/>
            <w:tcBorders>
              <w:top w:val="single" w:sz="4" w:space="0" w:color="000000"/>
            </w:tcBorders>
          </w:tcPr>
          <w:p>
            <w:pPr>
              <w:pStyle w:val="TableParagraph"/>
              <w:spacing w:before="176"/>
              <w:ind w:right="140"/>
              <w:jc w:val="right"/>
              <w:rPr>
                <w:i/>
                <w:sz w:val="24"/>
              </w:rPr>
            </w:pPr>
            <w:r>
              <w:rPr>
                <w:i/>
                <w:w w:val="105"/>
                <w:sz w:val="24"/>
              </w:rPr>
              <w:t>r</w:t>
            </w:r>
          </w:p>
        </w:tc>
        <w:tc>
          <w:tcPr>
            <w:tcW w:w="851" w:type="dxa"/>
            <w:tcBorders>
              <w:top w:val="single" w:sz="4" w:space="0" w:color="000000"/>
            </w:tcBorders>
          </w:tcPr>
          <w:p>
            <w:pPr>
              <w:pStyle w:val="TableParagraph"/>
              <w:spacing w:before="176"/>
              <w:ind w:right="118"/>
              <w:jc w:val="right"/>
              <w:rPr>
                <w:sz w:val="24"/>
              </w:rPr>
            </w:pPr>
            <w:r>
              <w:rPr>
                <w:w w:val="97"/>
                <w:sz w:val="24"/>
              </w:rPr>
              <w:t>–</w:t>
            </w:r>
          </w:p>
        </w:tc>
        <w:tc>
          <w:tcPr>
            <w:tcW w:w="852" w:type="dxa"/>
            <w:tcBorders>
              <w:top w:val="single" w:sz="4" w:space="0" w:color="000000"/>
            </w:tcBorders>
          </w:tcPr>
          <w:p>
            <w:pPr>
              <w:pStyle w:val="TableParagraph"/>
              <w:rPr>
                <w:sz w:val="22"/>
              </w:rPr>
            </w:pPr>
          </w:p>
        </w:tc>
        <w:tc>
          <w:tcPr>
            <w:tcW w:w="891" w:type="dxa"/>
            <w:tcBorders>
              <w:top w:val="single" w:sz="4" w:space="0" w:color="000000"/>
            </w:tcBorders>
          </w:tcPr>
          <w:p>
            <w:pPr>
              <w:pStyle w:val="TableParagraph"/>
              <w:rPr>
                <w:sz w:val="22"/>
              </w:rPr>
            </w:pPr>
          </w:p>
        </w:tc>
        <w:tc>
          <w:tcPr>
            <w:tcW w:w="969" w:type="dxa"/>
            <w:tcBorders>
              <w:top w:val="single" w:sz="4" w:space="0" w:color="000000"/>
            </w:tcBorders>
          </w:tcPr>
          <w:p>
            <w:pPr>
              <w:pStyle w:val="TableParagraph"/>
              <w:rPr>
                <w:sz w:val="22"/>
              </w:rPr>
            </w:pPr>
          </w:p>
        </w:tc>
        <w:tc>
          <w:tcPr>
            <w:tcW w:w="969" w:type="dxa"/>
            <w:tcBorders>
              <w:top w:val="single" w:sz="4" w:space="0" w:color="000000"/>
            </w:tcBorders>
          </w:tcPr>
          <w:p>
            <w:pPr>
              <w:pStyle w:val="TableParagraph"/>
              <w:rPr>
                <w:sz w:val="22"/>
              </w:rPr>
            </w:pPr>
          </w:p>
        </w:tc>
        <w:tc>
          <w:tcPr>
            <w:tcW w:w="967" w:type="dxa"/>
            <w:tcBorders>
              <w:top w:val="single" w:sz="4" w:space="0" w:color="000000"/>
            </w:tcBorders>
          </w:tcPr>
          <w:p>
            <w:pPr>
              <w:pStyle w:val="TableParagraph"/>
              <w:rPr>
                <w:sz w:val="22"/>
              </w:rPr>
            </w:pPr>
          </w:p>
        </w:tc>
        <w:tc>
          <w:tcPr>
            <w:tcW w:w="916" w:type="dxa"/>
            <w:tcBorders>
              <w:top w:val="single" w:sz="4" w:space="0" w:color="000000"/>
            </w:tcBorders>
          </w:tcPr>
          <w:p>
            <w:pPr>
              <w:pStyle w:val="TableParagraph"/>
              <w:rPr>
                <w:sz w:val="22"/>
              </w:rPr>
            </w:pPr>
          </w:p>
        </w:tc>
        <w:tc>
          <w:tcPr>
            <w:tcW w:w="305" w:type="dxa"/>
            <w:tcBorders>
              <w:top w:val="single" w:sz="4" w:space="0" w:color="000000"/>
            </w:tcBorders>
          </w:tcPr>
          <w:p>
            <w:pPr>
              <w:pStyle w:val="TableParagraph"/>
              <w:rPr>
                <w:sz w:val="22"/>
              </w:rPr>
            </w:pPr>
          </w:p>
        </w:tc>
        <w:tc>
          <w:tcPr>
            <w:tcW w:w="116" w:type="dxa"/>
          </w:tcPr>
          <w:p>
            <w:pPr>
              <w:pStyle w:val="TableParagraph"/>
              <w:rPr>
                <w:sz w:val="22"/>
              </w:rPr>
            </w:pPr>
          </w:p>
        </w:tc>
      </w:tr>
      <w:tr>
        <w:trPr>
          <w:trHeight w:val="956" w:hRule="atLeast"/>
        </w:trPr>
        <w:tc>
          <w:tcPr>
            <w:tcW w:w="1473" w:type="dxa"/>
          </w:tcPr>
          <w:p>
            <w:pPr>
              <w:pStyle w:val="TableParagraph"/>
              <w:rPr>
                <w:sz w:val="22"/>
              </w:rPr>
            </w:pPr>
          </w:p>
        </w:tc>
        <w:tc>
          <w:tcPr>
            <w:tcW w:w="1253" w:type="dxa"/>
          </w:tcPr>
          <w:p>
            <w:pPr>
              <w:pStyle w:val="TableParagraph"/>
              <w:spacing w:before="114"/>
              <w:ind w:right="118"/>
              <w:jc w:val="right"/>
              <w:rPr>
                <w:sz w:val="24"/>
              </w:rPr>
            </w:pPr>
            <w:r>
              <w:rPr>
                <w:sz w:val="24"/>
              </w:rPr>
              <w:t>log(</w:t>
            </w:r>
            <w:r>
              <w:rPr>
                <w:i/>
                <w:sz w:val="24"/>
              </w:rPr>
              <w:t>BF </w:t>
            </w:r>
            <w:r>
              <w:rPr>
                <w:rFonts w:ascii="Arial"/>
                <w:sz w:val="24"/>
                <w:vertAlign w:val="subscript"/>
              </w:rPr>
              <w:t>10</w:t>
            </w:r>
            <w:r>
              <w:rPr>
                <w:sz w:val="24"/>
                <w:vertAlign w:val="baseline"/>
              </w:rPr>
              <w:t>)</w:t>
            </w:r>
          </w:p>
          <w:p>
            <w:pPr>
              <w:pStyle w:val="TableParagraph"/>
              <w:spacing w:before="202"/>
              <w:ind w:right="124"/>
              <w:jc w:val="right"/>
              <w:rPr>
                <w:i/>
                <w:sz w:val="24"/>
              </w:rPr>
            </w:pPr>
            <w:r>
              <w:rPr>
                <w:i/>
                <w:w w:val="99"/>
                <w:sz w:val="24"/>
              </w:rPr>
              <w:t>p</w:t>
            </w:r>
          </w:p>
        </w:tc>
        <w:tc>
          <w:tcPr>
            <w:tcW w:w="851" w:type="dxa"/>
          </w:tcPr>
          <w:p>
            <w:pPr>
              <w:pStyle w:val="TableParagraph"/>
              <w:spacing w:before="115"/>
              <w:ind w:right="118"/>
              <w:jc w:val="right"/>
              <w:rPr>
                <w:sz w:val="24"/>
              </w:rPr>
            </w:pPr>
            <w:r>
              <w:rPr>
                <w:w w:val="97"/>
                <w:sz w:val="24"/>
              </w:rPr>
              <w:t>–</w:t>
            </w:r>
          </w:p>
          <w:p>
            <w:pPr>
              <w:pStyle w:val="TableParagraph"/>
              <w:spacing w:before="202"/>
              <w:ind w:right="118"/>
              <w:jc w:val="right"/>
              <w:rPr>
                <w:sz w:val="24"/>
              </w:rPr>
            </w:pPr>
            <w:r>
              <w:rPr>
                <w:w w:val="97"/>
                <w:sz w:val="24"/>
              </w:rPr>
              <w:t>–</w:t>
            </w:r>
          </w:p>
        </w:tc>
        <w:tc>
          <w:tcPr>
            <w:tcW w:w="852" w:type="dxa"/>
          </w:tcPr>
          <w:p>
            <w:pPr>
              <w:pStyle w:val="TableParagraph"/>
              <w:rPr>
                <w:sz w:val="22"/>
              </w:rPr>
            </w:pPr>
          </w:p>
        </w:tc>
        <w:tc>
          <w:tcPr>
            <w:tcW w:w="891" w:type="dxa"/>
          </w:tcPr>
          <w:p>
            <w:pPr>
              <w:pStyle w:val="TableParagraph"/>
              <w:rPr>
                <w:sz w:val="22"/>
              </w:rPr>
            </w:pPr>
          </w:p>
        </w:tc>
        <w:tc>
          <w:tcPr>
            <w:tcW w:w="969" w:type="dxa"/>
          </w:tcPr>
          <w:p>
            <w:pPr>
              <w:pStyle w:val="TableParagraph"/>
              <w:rPr>
                <w:sz w:val="22"/>
              </w:rPr>
            </w:pPr>
          </w:p>
        </w:tc>
        <w:tc>
          <w:tcPr>
            <w:tcW w:w="969" w:type="dxa"/>
          </w:tcPr>
          <w:p>
            <w:pPr>
              <w:pStyle w:val="TableParagraph"/>
              <w:rPr>
                <w:sz w:val="22"/>
              </w:rPr>
            </w:pP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78" w:hRule="atLeast"/>
        </w:trPr>
        <w:tc>
          <w:tcPr>
            <w:tcW w:w="1473" w:type="dxa"/>
          </w:tcPr>
          <w:p>
            <w:pPr>
              <w:pStyle w:val="TableParagraph"/>
              <w:spacing w:before="115"/>
              <w:ind w:left="119"/>
              <w:rPr>
                <w:sz w:val="24"/>
              </w:rPr>
            </w:pPr>
            <w:r>
              <w:rPr>
                <w:w w:val="105"/>
                <w:sz w:val="24"/>
              </w:rPr>
              <w:t>2</w:t>
            </w:r>
            <w:r>
              <w:rPr>
                <w:i/>
                <w:w w:val="105"/>
                <w:sz w:val="24"/>
              </w:rPr>
              <w:t>. </w:t>
            </w:r>
            <w:r>
              <w:rPr>
                <w:w w:val="105"/>
                <w:sz w:val="24"/>
              </w:rPr>
              <w:t>Hunger</w:t>
            </w:r>
          </w:p>
        </w:tc>
        <w:tc>
          <w:tcPr>
            <w:tcW w:w="1253" w:type="dxa"/>
          </w:tcPr>
          <w:p>
            <w:pPr>
              <w:pStyle w:val="TableParagraph"/>
              <w:spacing w:before="115"/>
              <w:ind w:right="140"/>
              <w:jc w:val="right"/>
              <w:rPr>
                <w:i/>
                <w:sz w:val="24"/>
              </w:rPr>
            </w:pPr>
            <w:r>
              <w:rPr>
                <w:i/>
                <w:w w:val="105"/>
                <w:sz w:val="24"/>
              </w:rPr>
              <w:t>r</w:t>
            </w:r>
          </w:p>
        </w:tc>
        <w:tc>
          <w:tcPr>
            <w:tcW w:w="851" w:type="dxa"/>
          </w:tcPr>
          <w:p>
            <w:pPr>
              <w:pStyle w:val="TableParagraph"/>
              <w:spacing w:before="115"/>
              <w:ind w:right="117"/>
              <w:jc w:val="right"/>
              <w:rPr>
                <w:sz w:val="24"/>
              </w:rPr>
            </w:pPr>
            <w:r>
              <w:rPr>
                <w:w w:val="95"/>
                <w:sz w:val="24"/>
              </w:rPr>
              <w:t>-0.064</w:t>
            </w:r>
          </w:p>
        </w:tc>
        <w:tc>
          <w:tcPr>
            <w:tcW w:w="852" w:type="dxa"/>
          </w:tcPr>
          <w:p>
            <w:pPr>
              <w:pStyle w:val="TableParagraph"/>
              <w:spacing w:before="115"/>
              <w:ind w:right="119"/>
              <w:jc w:val="right"/>
              <w:rPr>
                <w:sz w:val="24"/>
              </w:rPr>
            </w:pPr>
            <w:r>
              <w:rPr>
                <w:w w:val="97"/>
                <w:sz w:val="24"/>
              </w:rPr>
              <w:t>–</w:t>
            </w:r>
          </w:p>
        </w:tc>
        <w:tc>
          <w:tcPr>
            <w:tcW w:w="891" w:type="dxa"/>
          </w:tcPr>
          <w:p>
            <w:pPr>
              <w:pStyle w:val="TableParagraph"/>
              <w:rPr>
                <w:sz w:val="22"/>
              </w:rPr>
            </w:pPr>
          </w:p>
        </w:tc>
        <w:tc>
          <w:tcPr>
            <w:tcW w:w="969" w:type="dxa"/>
          </w:tcPr>
          <w:p>
            <w:pPr>
              <w:pStyle w:val="TableParagraph"/>
              <w:rPr>
                <w:sz w:val="22"/>
              </w:rPr>
            </w:pPr>
          </w:p>
        </w:tc>
        <w:tc>
          <w:tcPr>
            <w:tcW w:w="969" w:type="dxa"/>
          </w:tcPr>
          <w:p>
            <w:pPr>
              <w:pStyle w:val="TableParagraph"/>
              <w:rPr>
                <w:sz w:val="22"/>
              </w:rPr>
            </w:pP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84" w:hRule="atLeast"/>
        </w:trPr>
        <w:tc>
          <w:tcPr>
            <w:tcW w:w="1473" w:type="dxa"/>
          </w:tcPr>
          <w:p>
            <w:pPr>
              <w:pStyle w:val="TableParagraph"/>
              <w:rPr>
                <w:sz w:val="22"/>
              </w:rPr>
            </w:pPr>
          </w:p>
        </w:tc>
        <w:tc>
          <w:tcPr>
            <w:tcW w:w="1253" w:type="dxa"/>
          </w:tcPr>
          <w:p>
            <w:pPr>
              <w:pStyle w:val="TableParagraph"/>
              <w:spacing w:before="114"/>
              <w:ind w:right="118"/>
              <w:jc w:val="right"/>
              <w:rPr>
                <w:sz w:val="24"/>
              </w:rPr>
            </w:pPr>
            <w:r>
              <w:rPr>
                <w:sz w:val="24"/>
              </w:rPr>
              <w:t>log(</w:t>
            </w:r>
            <w:r>
              <w:rPr>
                <w:i/>
                <w:sz w:val="24"/>
              </w:rPr>
              <w:t>BF </w:t>
            </w:r>
            <w:r>
              <w:rPr>
                <w:rFonts w:ascii="Arial"/>
                <w:sz w:val="24"/>
                <w:vertAlign w:val="subscript"/>
              </w:rPr>
              <w:t>10</w:t>
            </w:r>
            <w:r>
              <w:rPr>
                <w:sz w:val="24"/>
                <w:vertAlign w:val="baseline"/>
              </w:rPr>
              <w:t>)</w:t>
            </w:r>
          </w:p>
        </w:tc>
        <w:tc>
          <w:tcPr>
            <w:tcW w:w="851" w:type="dxa"/>
          </w:tcPr>
          <w:p>
            <w:pPr>
              <w:pStyle w:val="TableParagraph"/>
              <w:spacing w:before="115"/>
              <w:ind w:right="118"/>
              <w:jc w:val="right"/>
              <w:rPr>
                <w:sz w:val="24"/>
              </w:rPr>
            </w:pPr>
            <w:r>
              <w:rPr>
                <w:w w:val="95"/>
                <w:sz w:val="24"/>
              </w:rPr>
              <w:t>0.352</w:t>
            </w:r>
          </w:p>
        </w:tc>
        <w:tc>
          <w:tcPr>
            <w:tcW w:w="852" w:type="dxa"/>
          </w:tcPr>
          <w:p>
            <w:pPr>
              <w:pStyle w:val="TableParagraph"/>
              <w:spacing w:before="115"/>
              <w:ind w:right="119"/>
              <w:jc w:val="right"/>
              <w:rPr>
                <w:sz w:val="24"/>
              </w:rPr>
            </w:pPr>
            <w:r>
              <w:rPr>
                <w:w w:val="95"/>
                <w:sz w:val="24"/>
              </w:rPr>
              <w:t>-2.322</w:t>
            </w:r>
          </w:p>
        </w:tc>
        <w:tc>
          <w:tcPr>
            <w:tcW w:w="891" w:type="dxa"/>
          </w:tcPr>
          <w:p>
            <w:pPr>
              <w:pStyle w:val="TableParagraph"/>
              <w:spacing w:before="115"/>
              <w:ind w:right="121"/>
              <w:jc w:val="right"/>
              <w:rPr>
                <w:sz w:val="24"/>
              </w:rPr>
            </w:pPr>
            <w:r>
              <w:rPr>
                <w:w w:val="97"/>
                <w:sz w:val="24"/>
              </w:rPr>
              <w:t>–</w:t>
            </w:r>
          </w:p>
        </w:tc>
        <w:tc>
          <w:tcPr>
            <w:tcW w:w="969" w:type="dxa"/>
          </w:tcPr>
          <w:p>
            <w:pPr>
              <w:pStyle w:val="TableParagraph"/>
              <w:rPr>
                <w:sz w:val="22"/>
              </w:rPr>
            </w:pPr>
          </w:p>
        </w:tc>
        <w:tc>
          <w:tcPr>
            <w:tcW w:w="969" w:type="dxa"/>
          </w:tcPr>
          <w:p>
            <w:pPr>
              <w:pStyle w:val="TableParagraph"/>
              <w:rPr>
                <w:sz w:val="22"/>
              </w:rPr>
            </w:pP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71" w:hRule="atLeast"/>
        </w:trPr>
        <w:tc>
          <w:tcPr>
            <w:tcW w:w="1473" w:type="dxa"/>
          </w:tcPr>
          <w:p>
            <w:pPr>
              <w:pStyle w:val="TableParagraph"/>
              <w:rPr>
                <w:sz w:val="22"/>
              </w:rPr>
            </w:pPr>
          </w:p>
        </w:tc>
        <w:tc>
          <w:tcPr>
            <w:tcW w:w="1253" w:type="dxa"/>
          </w:tcPr>
          <w:p>
            <w:pPr>
              <w:pStyle w:val="TableParagraph"/>
              <w:spacing w:before="108"/>
              <w:ind w:right="124"/>
              <w:jc w:val="right"/>
              <w:rPr>
                <w:i/>
                <w:sz w:val="24"/>
              </w:rPr>
            </w:pPr>
            <w:r>
              <w:rPr>
                <w:i/>
                <w:w w:val="99"/>
                <w:sz w:val="24"/>
              </w:rPr>
              <w:t>p</w:t>
            </w:r>
          </w:p>
        </w:tc>
        <w:tc>
          <w:tcPr>
            <w:tcW w:w="851" w:type="dxa"/>
          </w:tcPr>
          <w:p>
            <w:pPr>
              <w:pStyle w:val="TableParagraph"/>
              <w:spacing w:before="108"/>
              <w:ind w:right="118"/>
              <w:jc w:val="right"/>
              <w:rPr>
                <w:sz w:val="24"/>
              </w:rPr>
            </w:pPr>
            <w:r>
              <w:rPr>
                <w:w w:val="95"/>
                <w:sz w:val="24"/>
              </w:rPr>
              <w:t>0.420</w:t>
            </w:r>
          </w:p>
        </w:tc>
        <w:tc>
          <w:tcPr>
            <w:tcW w:w="852" w:type="dxa"/>
          </w:tcPr>
          <w:p>
            <w:pPr>
              <w:pStyle w:val="TableParagraph"/>
              <w:spacing w:before="108"/>
              <w:ind w:right="120"/>
              <w:jc w:val="right"/>
              <w:rPr>
                <w:sz w:val="24"/>
              </w:rPr>
            </w:pPr>
            <w:r>
              <w:rPr>
                <w:w w:val="97"/>
                <w:sz w:val="24"/>
              </w:rPr>
              <w:t>–</w:t>
            </w:r>
          </w:p>
        </w:tc>
        <w:tc>
          <w:tcPr>
            <w:tcW w:w="891" w:type="dxa"/>
          </w:tcPr>
          <w:p>
            <w:pPr>
              <w:pStyle w:val="TableParagraph"/>
              <w:rPr>
                <w:sz w:val="22"/>
              </w:rPr>
            </w:pPr>
          </w:p>
        </w:tc>
        <w:tc>
          <w:tcPr>
            <w:tcW w:w="969" w:type="dxa"/>
          </w:tcPr>
          <w:p>
            <w:pPr>
              <w:pStyle w:val="TableParagraph"/>
              <w:rPr>
                <w:sz w:val="22"/>
              </w:rPr>
            </w:pPr>
          </w:p>
        </w:tc>
        <w:tc>
          <w:tcPr>
            <w:tcW w:w="969" w:type="dxa"/>
          </w:tcPr>
          <w:p>
            <w:pPr>
              <w:pStyle w:val="TableParagraph"/>
              <w:rPr>
                <w:sz w:val="22"/>
              </w:rPr>
            </w:pP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78" w:hRule="atLeast"/>
        </w:trPr>
        <w:tc>
          <w:tcPr>
            <w:tcW w:w="1473" w:type="dxa"/>
          </w:tcPr>
          <w:p>
            <w:pPr>
              <w:pStyle w:val="TableParagraph"/>
              <w:spacing w:before="115"/>
              <w:ind w:left="119"/>
              <w:rPr>
                <w:sz w:val="24"/>
              </w:rPr>
            </w:pPr>
            <w:r>
              <w:rPr>
                <w:w w:val="105"/>
                <w:sz w:val="24"/>
              </w:rPr>
              <w:t>3</w:t>
            </w:r>
            <w:r>
              <w:rPr>
                <w:i/>
                <w:w w:val="105"/>
                <w:sz w:val="24"/>
              </w:rPr>
              <w:t>. </w:t>
            </w:r>
            <w:r>
              <w:rPr>
                <w:w w:val="105"/>
                <w:sz w:val="24"/>
              </w:rPr>
              <w:t>BMI</w:t>
            </w:r>
          </w:p>
        </w:tc>
        <w:tc>
          <w:tcPr>
            <w:tcW w:w="1253" w:type="dxa"/>
          </w:tcPr>
          <w:p>
            <w:pPr>
              <w:pStyle w:val="TableParagraph"/>
              <w:spacing w:before="115"/>
              <w:ind w:right="140"/>
              <w:jc w:val="right"/>
              <w:rPr>
                <w:i/>
                <w:sz w:val="24"/>
              </w:rPr>
            </w:pPr>
            <w:r>
              <w:rPr>
                <w:i/>
                <w:w w:val="105"/>
                <w:sz w:val="24"/>
              </w:rPr>
              <w:t>r</w:t>
            </w:r>
          </w:p>
        </w:tc>
        <w:tc>
          <w:tcPr>
            <w:tcW w:w="851" w:type="dxa"/>
          </w:tcPr>
          <w:p>
            <w:pPr>
              <w:pStyle w:val="TableParagraph"/>
              <w:spacing w:before="115"/>
              <w:ind w:right="118"/>
              <w:jc w:val="right"/>
              <w:rPr>
                <w:sz w:val="24"/>
              </w:rPr>
            </w:pPr>
            <w:r>
              <w:rPr>
                <w:w w:val="95"/>
                <w:sz w:val="24"/>
              </w:rPr>
              <w:t>0.182</w:t>
            </w:r>
          </w:p>
        </w:tc>
        <w:tc>
          <w:tcPr>
            <w:tcW w:w="852" w:type="dxa"/>
          </w:tcPr>
          <w:p>
            <w:pPr>
              <w:pStyle w:val="TableParagraph"/>
              <w:spacing w:before="115"/>
              <w:ind w:right="120"/>
              <w:jc w:val="right"/>
              <w:rPr>
                <w:sz w:val="24"/>
              </w:rPr>
            </w:pPr>
            <w:r>
              <w:rPr>
                <w:w w:val="95"/>
                <w:sz w:val="24"/>
              </w:rPr>
              <w:t>0.001</w:t>
            </w:r>
          </w:p>
        </w:tc>
        <w:tc>
          <w:tcPr>
            <w:tcW w:w="891" w:type="dxa"/>
          </w:tcPr>
          <w:p>
            <w:pPr>
              <w:pStyle w:val="TableParagraph"/>
              <w:spacing w:before="115"/>
              <w:ind w:right="121"/>
              <w:jc w:val="right"/>
              <w:rPr>
                <w:sz w:val="24"/>
              </w:rPr>
            </w:pPr>
            <w:r>
              <w:rPr>
                <w:w w:val="97"/>
                <w:sz w:val="24"/>
              </w:rPr>
              <w:t>–</w:t>
            </w:r>
          </w:p>
        </w:tc>
        <w:tc>
          <w:tcPr>
            <w:tcW w:w="969" w:type="dxa"/>
          </w:tcPr>
          <w:p>
            <w:pPr>
              <w:pStyle w:val="TableParagraph"/>
              <w:rPr>
                <w:sz w:val="22"/>
              </w:rPr>
            </w:pPr>
          </w:p>
        </w:tc>
        <w:tc>
          <w:tcPr>
            <w:tcW w:w="969" w:type="dxa"/>
          </w:tcPr>
          <w:p>
            <w:pPr>
              <w:pStyle w:val="TableParagraph"/>
              <w:rPr>
                <w:sz w:val="22"/>
              </w:rPr>
            </w:pP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84" w:hRule="atLeast"/>
        </w:trPr>
        <w:tc>
          <w:tcPr>
            <w:tcW w:w="1473" w:type="dxa"/>
          </w:tcPr>
          <w:p>
            <w:pPr>
              <w:pStyle w:val="TableParagraph"/>
              <w:rPr>
                <w:sz w:val="22"/>
              </w:rPr>
            </w:pPr>
          </w:p>
        </w:tc>
        <w:tc>
          <w:tcPr>
            <w:tcW w:w="1253" w:type="dxa"/>
          </w:tcPr>
          <w:p>
            <w:pPr>
              <w:pStyle w:val="TableParagraph"/>
              <w:spacing w:before="114"/>
              <w:ind w:right="118"/>
              <w:jc w:val="right"/>
              <w:rPr>
                <w:sz w:val="24"/>
              </w:rPr>
            </w:pPr>
            <w:r>
              <w:rPr>
                <w:sz w:val="24"/>
              </w:rPr>
              <w:t>log(</w:t>
            </w:r>
            <w:r>
              <w:rPr>
                <w:i/>
                <w:sz w:val="24"/>
              </w:rPr>
              <w:t>BF </w:t>
            </w:r>
            <w:r>
              <w:rPr>
                <w:rFonts w:ascii="Arial"/>
                <w:sz w:val="24"/>
                <w:vertAlign w:val="subscript"/>
              </w:rPr>
              <w:t>10</w:t>
            </w:r>
            <w:r>
              <w:rPr>
                <w:sz w:val="24"/>
                <w:vertAlign w:val="baseline"/>
              </w:rPr>
              <w:t>)</w:t>
            </w:r>
          </w:p>
        </w:tc>
        <w:tc>
          <w:tcPr>
            <w:tcW w:w="851" w:type="dxa"/>
          </w:tcPr>
          <w:p>
            <w:pPr>
              <w:pStyle w:val="TableParagraph"/>
              <w:spacing w:before="115"/>
              <w:ind w:right="118"/>
              <w:jc w:val="right"/>
              <w:rPr>
                <w:sz w:val="24"/>
              </w:rPr>
            </w:pPr>
            <w:r>
              <w:rPr>
                <w:w w:val="95"/>
                <w:sz w:val="24"/>
              </w:rPr>
              <w:t>0.352</w:t>
            </w:r>
          </w:p>
        </w:tc>
        <w:tc>
          <w:tcPr>
            <w:tcW w:w="852" w:type="dxa"/>
          </w:tcPr>
          <w:p>
            <w:pPr>
              <w:pStyle w:val="TableParagraph"/>
              <w:spacing w:before="115"/>
              <w:ind w:right="119"/>
              <w:jc w:val="right"/>
              <w:rPr>
                <w:sz w:val="24"/>
              </w:rPr>
            </w:pPr>
            <w:r>
              <w:rPr>
                <w:w w:val="95"/>
                <w:sz w:val="24"/>
              </w:rPr>
              <w:t>-2.322</w:t>
            </w:r>
          </w:p>
        </w:tc>
        <w:tc>
          <w:tcPr>
            <w:tcW w:w="891" w:type="dxa"/>
          </w:tcPr>
          <w:p>
            <w:pPr>
              <w:pStyle w:val="TableParagraph"/>
              <w:spacing w:before="115"/>
              <w:ind w:right="121"/>
              <w:jc w:val="right"/>
              <w:rPr>
                <w:sz w:val="24"/>
              </w:rPr>
            </w:pPr>
            <w:r>
              <w:rPr>
                <w:w w:val="97"/>
                <w:sz w:val="24"/>
              </w:rPr>
              <w:t>–</w:t>
            </w:r>
          </w:p>
        </w:tc>
        <w:tc>
          <w:tcPr>
            <w:tcW w:w="969" w:type="dxa"/>
          </w:tcPr>
          <w:p>
            <w:pPr>
              <w:pStyle w:val="TableParagraph"/>
              <w:rPr>
                <w:sz w:val="22"/>
              </w:rPr>
            </w:pPr>
          </w:p>
        </w:tc>
        <w:tc>
          <w:tcPr>
            <w:tcW w:w="969" w:type="dxa"/>
          </w:tcPr>
          <w:p>
            <w:pPr>
              <w:pStyle w:val="TableParagraph"/>
              <w:rPr>
                <w:sz w:val="22"/>
              </w:rPr>
            </w:pP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71" w:hRule="atLeast"/>
        </w:trPr>
        <w:tc>
          <w:tcPr>
            <w:tcW w:w="1473" w:type="dxa"/>
          </w:tcPr>
          <w:p>
            <w:pPr>
              <w:pStyle w:val="TableParagraph"/>
              <w:rPr>
                <w:sz w:val="22"/>
              </w:rPr>
            </w:pPr>
          </w:p>
        </w:tc>
        <w:tc>
          <w:tcPr>
            <w:tcW w:w="1253" w:type="dxa"/>
          </w:tcPr>
          <w:p>
            <w:pPr>
              <w:pStyle w:val="TableParagraph"/>
              <w:spacing w:before="108"/>
              <w:ind w:right="124"/>
              <w:jc w:val="right"/>
              <w:rPr>
                <w:i/>
                <w:sz w:val="24"/>
              </w:rPr>
            </w:pPr>
            <w:r>
              <w:rPr>
                <w:i/>
                <w:w w:val="99"/>
                <w:sz w:val="24"/>
              </w:rPr>
              <w:t>p</w:t>
            </w:r>
          </w:p>
        </w:tc>
        <w:tc>
          <w:tcPr>
            <w:tcW w:w="851" w:type="dxa"/>
          </w:tcPr>
          <w:p>
            <w:pPr>
              <w:pStyle w:val="TableParagraph"/>
              <w:spacing w:before="108"/>
              <w:ind w:right="118"/>
              <w:jc w:val="right"/>
              <w:rPr>
                <w:sz w:val="24"/>
              </w:rPr>
            </w:pPr>
            <w:r>
              <w:rPr>
                <w:w w:val="95"/>
                <w:sz w:val="24"/>
              </w:rPr>
              <w:t>0.020</w:t>
            </w:r>
          </w:p>
        </w:tc>
        <w:tc>
          <w:tcPr>
            <w:tcW w:w="852" w:type="dxa"/>
          </w:tcPr>
          <w:p>
            <w:pPr>
              <w:pStyle w:val="TableParagraph"/>
              <w:spacing w:before="108"/>
              <w:ind w:right="120"/>
              <w:jc w:val="right"/>
              <w:rPr>
                <w:sz w:val="24"/>
              </w:rPr>
            </w:pPr>
            <w:r>
              <w:rPr>
                <w:w w:val="95"/>
                <w:sz w:val="24"/>
              </w:rPr>
              <w:t>0.987</w:t>
            </w:r>
          </w:p>
        </w:tc>
        <w:tc>
          <w:tcPr>
            <w:tcW w:w="891" w:type="dxa"/>
          </w:tcPr>
          <w:p>
            <w:pPr>
              <w:pStyle w:val="TableParagraph"/>
              <w:spacing w:before="108"/>
              <w:ind w:right="121"/>
              <w:jc w:val="right"/>
              <w:rPr>
                <w:sz w:val="24"/>
              </w:rPr>
            </w:pPr>
            <w:r>
              <w:rPr>
                <w:w w:val="97"/>
                <w:sz w:val="24"/>
              </w:rPr>
              <w:t>–</w:t>
            </w:r>
          </w:p>
        </w:tc>
        <w:tc>
          <w:tcPr>
            <w:tcW w:w="969" w:type="dxa"/>
          </w:tcPr>
          <w:p>
            <w:pPr>
              <w:pStyle w:val="TableParagraph"/>
              <w:rPr>
                <w:sz w:val="22"/>
              </w:rPr>
            </w:pPr>
          </w:p>
        </w:tc>
        <w:tc>
          <w:tcPr>
            <w:tcW w:w="969" w:type="dxa"/>
          </w:tcPr>
          <w:p>
            <w:pPr>
              <w:pStyle w:val="TableParagraph"/>
              <w:rPr>
                <w:sz w:val="22"/>
              </w:rPr>
            </w:pP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78" w:hRule="atLeast"/>
        </w:trPr>
        <w:tc>
          <w:tcPr>
            <w:tcW w:w="1473" w:type="dxa"/>
          </w:tcPr>
          <w:p>
            <w:pPr>
              <w:pStyle w:val="TableParagraph"/>
              <w:spacing w:before="115"/>
              <w:ind w:left="119"/>
              <w:rPr>
                <w:sz w:val="24"/>
              </w:rPr>
            </w:pPr>
            <w:r>
              <w:rPr>
                <w:w w:val="105"/>
                <w:sz w:val="24"/>
              </w:rPr>
              <w:t>4</w:t>
            </w:r>
            <w:r>
              <w:rPr>
                <w:i/>
                <w:w w:val="105"/>
                <w:sz w:val="24"/>
              </w:rPr>
              <w:t>. </w:t>
            </w:r>
            <w:r>
              <w:rPr>
                <w:w w:val="105"/>
                <w:sz w:val="24"/>
              </w:rPr>
              <w:t>FCQ-T-r</w:t>
            </w:r>
          </w:p>
        </w:tc>
        <w:tc>
          <w:tcPr>
            <w:tcW w:w="1253" w:type="dxa"/>
          </w:tcPr>
          <w:p>
            <w:pPr>
              <w:pStyle w:val="TableParagraph"/>
              <w:spacing w:before="115"/>
              <w:ind w:right="140"/>
              <w:jc w:val="right"/>
              <w:rPr>
                <w:i/>
                <w:sz w:val="24"/>
              </w:rPr>
            </w:pPr>
            <w:r>
              <w:rPr>
                <w:i/>
                <w:w w:val="105"/>
                <w:sz w:val="24"/>
              </w:rPr>
              <w:t>r</w:t>
            </w:r>
          </w:p>
        </w:tc>
        <w:tc>
          <w:tcPr>
            <w:tcW w:w="851" w:type="dxa"/>
          </w:tcPr>
          <w:p>
            <w:pPr>
              <w:pStyle w:val="TableParagraph"/>
              <w:spacing w:before="115"/>
              <w:ind w:right="117"/>
              <w:jc w:val="right"/>
              <w:rPr>
                <w:sz w:val="24"/>
              </w:rPr>
            </w:pPr>
            <w:r>
              <w:rPr>
                <w:w w:val="95"/>
                <w:sz w:val="24"/>
              </w:rPr>
              <w:t>-0.098</w:t>
            </w:r>
          </w:p>
        </w:tc>
        <w:tc>
          <w:tcPr>
            <w:tcW w:w="852" w:type="dxa"/>
          </w:tcPr>
          <w:p>
            <w:pPr>
              <w:pStyle w:val="TableParagraph"/>
              <w:spacing w:before="115"/>
              <w:ind w:right="119"/>
              <w:jc w:val="right"/>
              <w:rPr>
                <w:sz w:val="24"/>
              </w:rPr>
            </w:pPr>
            <w:r>
              <w:rPr>
                <w:w w:val="95"/>
                <w:sz w:val="24"/>
              </w:rPr>
              <w:t>0.203</w:t>
            </w:r>
          </w:p>
        </w:tc>
        <w:tc>
          <w:tcPr>
            <w:tcW w:w="891" w:type="dxa"/>
          </w:tcPr>
          <w:p>
            <w:pPr>
              <w:pStyle w:val="TableParagraph"/>
              <w:spacing w:before="115"/>
              <w:ind w:right="121"/>
              <w:jc w:val="right"/>
              <w:rPr>
                <w:sz w:val="24"/>
              </w:rPr>
            </w:pPr>
            <w:r>
              <w:rPr>
                <w:w w:val="95"/>
                <w:sz w:val="24"/>
              </w:rPr>
              <w:t>0.246*</w:t>
            </w:r>
          </w:p>
        </w:tc>
        <w:tc>
          <w:tcPr>
            <w:tcW w:w="969" w:type="dxa"/>
          </w:tcPr>
          <w:p>
            <w:pPr>
              <w:pStyle w:val="TableParagraph"/>
              <w:spacing w:before="115"/>
              <w:ind w:right="122"/>
              <w:jc w:val="right"/>
              <w:rPr>
                <w:sz w:val="24"/>
              </w:rPr>
            </w:pPr>
            <w:r>
              <w:rPr>
                <w:w w:val="97"/>
                <w:sz w:val="24"/>
              </w:rPr>
              <w:t>–</w:t>
            </w:r>
          </w:p>
        </w:tc>
        <w:tc>
          <w:tcPr>
            <w:tcW w:w="969" w:type="dxa"/>
          </w:tcPr>
          <w:p>
            <w:pPr>
              <w:pStyle w:val="TableParagraph"/>
              <w:rPr>
                <w:sz w:val="22"/>
              </w:rPr>
            </w:pP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84" w:hRule="atLeast"/>
        </w:trPr>
        <w:tc>
          <w:tcPr>
            <w:tcW w:w="1473" w:type="dxa"/>
          </w:tcPr>
          <w:p>
            <w:pPr>
              <w:pStyle w:val="TableParagraph"/>
              <w:rPr>
                <w:sz w:val="22"/>
              </w:rPr>
            </w:pPr>
          </w:p>
        </w:tc>
        <w:tc>
          <w:tcPr>
            <w:tcW w:w="1253" w:type="dxa"/>
          </w:tcPr>
          <w:p>
            <w:pPr>
              <w:pStyle w:val="TableParagraph"/>
              <w:spacing w:before="114"/>
              <w:ind w:right="118"/>
              <w:jc w:val="right"/>
              <w:rPr>
                <w:sz w:val="24"/>
              </w:rPr>
            </w:pPr>
            <w:r>
              <w:rPr>
                <w:sz w:val="24"/>
              </w:rPr>
              <w:t>log(</w:t>
            </w:r>
            <w:r>
              <w:rPr>
                <w:i/>
                <w:sz w:val="24"/>
              </w:rPr>
              <w:t>BF </w:t>
            </w:r>
            <w:r>
              <w:rPr>
                <w:rFonts w:ascii="Arial"/>
                <w:sz w:val="24"/>
                <w:vertAlign w:val="subscript"/>
              </w:rPr>
              <w:t>10</w:t>
            </w:r>
            <w:r>
              <w:rPr>
                <w:sz w:val="24"/>
                <w:vertAlign w:val="baseline"/>
              </w:rPr>
              <w:t>)</w:t>
            </w:r>
          </w:p>
        </w:tc>
        <w:tc>
          <w:tcPr>
            <w:tcW w:w="851" w:type="dxa"/>
          </w:tcPr>
          <w:p>
            <w:pPr>
              <w:pStyle w:val="TableParagraph"/>
              <w:spacing w:before="115"/>
              <w:ind w:right="117"/>
              <w:jc w:val="right"/>
              <w:rPr>
                <w:sz w:val="24"/>
              </w:rPr>
            </w:pPr>
            <w:r>
              <w:rPr>
                <w:w w:val="95"/>
                <w:sz w:val="24"/>
              </w:rPr>
              <w:t>-1.554</w:t>
            </w:r>
          </w:p>
        </w:tc>
        <w:tc>
          <w:tcPr>
            <w:tcW w:w="852" w:type="dxa"/>
          </w:tcPr>
          <w:p>
            <w:pPr>
              <w:pStyle w:val="TableParagraph"/>
              <w:spacing w:before="115"/>
              <w:ind w:right="119"/>
              <w:jc w:val="right"/>
              <w:rPr>
                <w:sz w:val="24"/>
              </w:rPr>
            </w:pPr>
            <w:r>
              <w:rPr>
                <w:w w:val="95"/>
                <w:sz w:val="24"/>
              </w:rPr>
              <w:t>1.034</w:t>
            </w:r>
          </w:p>
        </w:tc>
        <w:tc>
          <w:tcPr>
            <w:tcW w:w="891" w:type="dxa"/>
          </w:tcPr>
          <w:p>
            <w:pPr>
              <w:pStyle w:val="TableParagraph"/>
              <w:spacing w:before="115"/>
              <w:ind w:right="121"/>
              <w:jc w:val="right"/>
              <w:rPr>
                <w:sz w:val="24"/>
              </w:rPr>
            </w:pPr>
            <w:r>
              <w:rPr>
                <w:w w:val="95"/>
                <w:sz w:val="24"/>
              </w:rPr>
              <w:t>2.655</w:t>
            </w:r>
          </w:p>
        </w:tc>
        <w:tc>
          <w:tcPr>
            <w:tcW w:w="969" w:type="dxa"/>
          </w:tcPr>
          <w:p>
            <w:pPr>
              <w:pStyle w:val="TableParagraph"/>
              <w:spacing w:before="115"/>
              <w:ind w:right="122"/>
              <w:jc w:val="right"/>
              <w:rPr>
                <w:sz w:val="24"/>
              </w:rPr>
            </w:pPr>
            <w:r>
              <w:rPr>
                <w:w w:val="97"/>
                <w:sz w:val="24"/>
              </w:rPr>
              <w:t>–</w:t>
            </w:r>
          </w:p>
        </w:tc>
        <w:tc>
          <w:tcPr>
            <w:tcW w:w="969" w:type="dxa"/>
          </w:tcPr>
          <w:p>
            <w:pPr>
              <w:pStyle w:val="TableParagraph"/>
              <w:rPr>
                <w:sz w:val="22"/>
              </w:rPr>
            </w:pP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71" w:hRule="atLeast"/>
        </w:trPr>
        <w:tc>
          <w:tcPr>
            <w:tcW w:w="1473" w:type="dxa"/>
          </w:tcPr>
          <w:p>
            <w:pPr>
              <w:pStyle w:val="TableParagraph"/>
              <w:rPr>
                <w:sz w:val="22"/>
              </w:rPr>
            </w:pPr>
          </w:p>
        </w:tc>
        <w:tc>
          <w:tcPr>
            <w:tcW w:w="1253" w:type="dxa"/>
          </w:tcPr>
          <w:p>
            <w:pPr>
              <w:pStyle w:val="TableParagraph"/>
              <w:spacing w:before="108"/>
              <w:ind w:right="124"/>
              <w:jc w:val="right"/>
              <w:rPr>
                <w:i/>
                <w:sz w:val="24"/>
              </w:rPr>
            </w:pPr>
            <w:r>
              <w:rPr>
                <w:i/>
                <w:w w:val="99"/>
                <w:sz w:val="24"/>
              </w:rPr>
              <w:t>p</w:t>
            </w:r>
          </w:p>
        </w:tc>
        <w:tc>
          <w:tcPr>
            <w:tcW w:w="851" w:type="dxa"/>
          </w:tcPr>
          <w:p>
            <w:pPr>
              <w:pStyle w:val="TableParagraph"/>
              <w:spacing w:before="108"/>
              <w:ind w:right="118"/>
              <w:jc w:val="right"/>
              <w:rPr>
                <w:sz w:val="24"/>
              </w:rPr>
            </w:pPr>
            <w:r>
              <w:rPr>
                <w:w w:val="95"/>
                <w:sz w:val="24"/>
              </w:rPr>
              <w:t>0.213</w:t>
            </w:r>
          </w:p>
        </w:tc>
        <w:tc>
          <w:tcPr>
            <w:tcW w:w="852" w:type="dxa"/>
          </w:tcPr>
          <w:p>
            <w:pPr>
              <w:pStyle w:val="TableParagraph"/>
              <w:spacing w:before="108"/>
              <w:ind w:right="120"/>
              <w:jc w:val="right"/>
              <w:rPr>
                <w:sz w:val="24"/>
              </w:rPr>
            </w:pPr>
            <w:r>
              <w:rPr>
                <w:w w:val="95"/>
                <w:sz w:val="24"/>
              </w:rPr>
              <w:t>0.009</w:t>
            </w:r>
          </w:p>
        </w:tc>
        <w:tc>
          <w:tcPr>
            <w:tcW w:w="891" w:type="dxa"/>
          </w:tcPr>
          <w:p>
            <w:pPr>
              <w:pStyle w:val="TableParagraph"/>
              <w:spacing w:before="108"/>
              <w:ind w:right="122"/>
              <w:jc w:val="right"/>
              <w:rPr>
                <w:sz w:val="24"/>
              </w:rPr>
            </w:pPr>
            <w:r>
              <w:rPr>
                <w:w w:val="95"/>
                <w:sz w:val="24"/>
              </w:rPr>
              <w:t>0.002</w:t>
            </w:r>
          </w:p>
        </w:tc>
        <w:tc>
          <w:tcPr>
            <w:tcW w:w="969" w:type="dxa"/>
          </w:tcPr>
          <w:p>
            <w:pPr>
              <w:pStyle w:val="TableParagraph"/>
              <w:spacing w:before="108"/>
              <w:ind w:right="123"/>
              <w:jc w:val="right"/>
              <w:rPr>
                <w:sz w:val="24"/>
              </w:rPr>
            </w:pPr>
            <w:r>
              <w:rPr>
                <w:w w:val="97"/>
                <w:sz w:val="24"/>
              </w:rPr>
              <w:t>–</w:t>
            </w:r>
          </w:p>
        </w:tc>
        <w:tc>
          <w:tcPr>
            <w:tcW w:w="969" w:type="dxa"/>
          </w:tcPr>
          <w:p>
            <w:pPr>
              <w:pStyle w:val="TableParagraph"/>
              <w:rPr>
                <w:sz w:val="22"/>
              </w:rPr>
            </w:pP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78" w:hRule="atLeast"/>
        </w:trPr>
        <w:tc>
          <w:tcPr>
            <w:tcW w:w="1473" w:type="dxa"/>
          </w:tcPr>
          <w:p>
            <w:pPr>
              <w:pStyle w:val="TableParagraph"/>
              <w:spacing w:before="115"/>
              <w:ind w:left="119"/>
              <w:rPr>
                <w:sz w:val="24"/>
              </w:rPr>
            </w:pPr>
            <w:r>
              <w:rPr>
                <w:sz w:val="24"/>
              </w:rPr>
              <w:t>5</w:t>
            </w:r>
            <w:r>
              <w:rPr>
                <w:i/>
                <w:sz w:val="24"/>
              </w:rPr>
              <w:t>. </w:t>
            </w:r>
            <w:r>
              <w:rPr>
                <w:sz w:val="24"/>
              </w:rPr>
              <w:t>BIS</w:t>
            </w:r>
          </w:p>
        </w:tc>
        <w:tc>
          <w:tcPr>
            <w:tcW w:w="1253" w:type="dxa"/>
          </w:tcPr>
          <w:p>
            <w:pPr>
              <w:pStyle w:val="TableParagraph"/>
              <w:spacing w:before="115"/>
              <w:ind w:right="140"/>
              <w:jc w:val="right"/>
              <w:rPr>
                <w:i/>
                <w:sz w:val="24"/>
              </w:rPr>
            </w:pPr>
            <w:r>
              <w:rPr>
                <w:i/>
                <w:w w:val="105"/>
                <w:sz w:val="24"/>
              </w:rPr>
              <w:t>r</w:t>
            </w:r>
          </w:p>
        </w:tc>
        <w:tc>
          <w:tcPr>
            <w:tcW w:w="851" w:type="dxa"/>
          </w:tcPr>
          <w:p>
            <w:pPr>
              <w:pStyle w:val="TableParagraph"/>
              <w:spacing w:before="115"/>
              <w:ind w:right="117"/>
              <w:jc w:val="right"/>
              <w:rPr>
                <w:sz w:val="24"/>
              </w:rPr>
            </w:pPr>
            <w:r>
              <w:rPr>
                <w:w w:val="95"/>
                <w:sz w:val="24"/>
              </w:rPr>
              <w:t>-0.089</w:t>
            </w:r>
          </w:p>
        </w:tc>
        <w:tc>
          <w:tcPr>
            <w:tcW w:w="852" w:type="dxa"/>
          </w:tcPr>
          <w:p>
            <w:pPr>
              <w:pStyle w:val="TableParagraph"/>
              <w:spacing w:before="115"/>
              <w:ind w:right="119"/>
              <w:jc w:val="right"/>
              <w:rPr>
                <w:sz w:val="24"/>
              </w:rPr>
            </w:pPr>
            <w:r>
              <w:rPr>
                <w:w w:val="95"/>
                <w:sz w:val="24"/>
              </w:rPr>
              <w:t>0.129</w:t>
            </w:r>
          </w:p>
        </w:tc>
        <w:tc>
          <w:tcPr>
            <w:tcW w:w="891" w:type="dxa"/>
          </w:tcPr>
          <w:p>
            <w:pPr>
              <w:pStyle w:val="TableParagraph"/>
              <w:spacing w:before="115"/>
              <w:ind w:right="121"/>
              <w:jc w:val="right"/>
              <w:rPr>
                <w:sz w:val="24"/>
              </w:rPr>
            </w:pPr>
            <w:r>
              <w:rPr>
                <w:w w:val="95"/>
                <w:sz w:val="24"/>
              </w:rPr>
              <w:t>0.161</w:t>
            </w:r>
          </w:p>
        </w:tc>
        <w:tc>
          <w:tcPr>
            <w:tcW w:w="969" w:type="dxa"/>
          </w:tcPr>
          <w:p>
            <w:pPr>
              <w:pStyle w:val="TableParagraph"/>
              <w:spacing w:before="115"/>
              <w:ind w:right="122"/>
              <w:jc w:val="right"/>
              <w:rPr>
                <w:sz w:val="24"/>
              </w:rPr>
            </w:pPr>
            <w:r>
              <w:rPr>
                <w:w w:val="95"/>
                <w:sz w:val="24"/>
              </w:rPr>
              <w:t>0.491*</w:t>
            </w:r>
          </w:p>
        </w:tc>
        <w:tc>
          <w:tcPr>
            <w:tcW w:w="969" w:type="dxa"/>
          </w:tcPr>
          <w:p>
            <w:pPr>
              <w:pStyle w:val="TableParagraph"/>
              <w:spacing w:before="115"/>
              <w:ind w:right="124"/>
              <w:jc w:val="right"/>
              <w:rPr>
                <w:sz w:val="24"/>
              </w:rPr>
            </w:pPr>
            <w:r>
              <w:rPr>
                <w:w w:val="97"/>
                <w:sz w:val="24"/>
              </w:rPr>
              <w:t>–</w:t>
            </w: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84" w:hRule="atLeast"/>
        </w:trPr>
        <w:tc>
          <w:tcPr>
            <w:tcW w:w="1473" w:type="dxa"/>
          </w:tcPr>
          <w:p>
            <w:pPr>
              <w:pStyle w:val="TableParagraph"/>
              <w:rPr>
                <w:sz w:val="22"/>
              </w:rPr>
            </w:pPr>
          </w:p>
        </w:tc>
        <w:tc>
          <w:tcPr>
            <w:tcW w:w="1253" w:type="dxa"/>
          </w:tcPr>
          <w:p>
            <w:pPr>
              <w:pStyle w:val="TableParagraph"/>
              <w:spacing w:before="114"/>
              <w:ind w:right="118"/>
              <w:jc w:val="right"/>
              <w:rPr>
                <w:sz w:val="24"/>
              </w:rPr>
            </w:pPr>
            <w:r>
              <w:rPr>
                <w:sz w:val="24"/>
              </w:rPr>
              <w:t>log(</w:t>
            </w:r>
            <w:r>
              <w:rPr>
                <w:i/>
                <w:sz w:val="24"/>
              </w:rPr>
              <w:t>BF </w:t>
            </w:r>
            <w:r>
              <w:rPr>
                <w:rFonts w:ascii="Arial"/>
                <w:sz w:val="24"/>
                <w:vertAlign w:val="subscript"/>
              </w:rPr>
              <w:t>10</w:t>
            </w:r>
            <w:r>
              <w:rPr>
                <w:sz w:val="24"/>
                <w:vertAlign w:val="baseline"/>
              </w:rPr>
              <w:t>)</w:t>
            </w:r>
          </w:p>
        </w:tc>
        <w:tc>
          <w:tcPr>
            <w:tcW w:w="851" w:type="dxa"/>
          </w:tcPr>
          <w:p>
            <w:pPr>
              <w:pStyle w:val="TableParagraph"/>
              <w:spacing w:before="115"/>
              <w:ind w:right="117"/>
              <w:jc w:val="right"/>
              <w:rPr>
                <w:sz w:val="24"/>
              </w:rPr>
            </w:pPr>
            <w:r>
              <w:rPr>
                <w:w w:val="95"/>
                <w:sz w:val="24"/>
              </w:rPr>
              <w:t>-1.690</w:t>
            </w:r>
          </w:p>
        </w:tc>
        <w:tc>
          <w:tcPr>
            <w:tcW w:w="852" w:type="dxa"/>
          </w:tcPr>
          <w:p>
            <w:pPr>
              <w:pStyle w:val="TableParagraph"/>
              <w:spacing w:before="115"/>
              <w:ind w:right="118"/>
              <w:jc w:val="right"/>
              <w:rPr>
                <w:sz w:val="24"/>
              </w:rPr>
            </w:pPr>
            <w:r>
              <w:rPr>
                <w:w w:val="95"/>
                <w:sz w:val="24"/>
              </w:rPr>
              <w:t>-0.991</w:t>
            </w:r>
          </w:p>
        </w:tc>
        <w:tc>
          <w:tcPr>
            <w:tcW w:w="891" w:type="dxa"/>
          </w:tcPr>
          <w:p>
            <w:pPr>
              <w:pStyle w:val="TableParagraph"/>
              <w:spacing w:before="115"/>
              <w:ind w:right="119"/>
              <w:jc w:val="right"/>
              <w:rPr>
                <w:sz w:val="24"/>
              </w:rPr>
            </w:pPr>
            <w:r>
              <w:rPr>
                <w:w w:val="95"/>
                <w:sz w:val="24"/>
              </w:rPr>
              <w:t>-0.245</w:t>
            </w:r>
          </w:p>
        </w:tc>
        <w:tc>
          <w:tcPr>
            <w:tcW w:w="969" w:type="dxa"/>
          </w:tcPr>
          <w:p>
            <w:pPr>
              <w:pStyle w:val="TableParagraph"/>
              <w:spacing w:before="115"/>
              <w:ind w:right="120"/>
              <w:jc w:val="right"/>
              <w:rPr>
                <w:sz w:val="24"/>
              </w:rPr>
            </w:pPr>
            <w:r>
              <w:rPr>
                <w:w w:val="95"/>
                <w:sz w:val="24"/>
              </w:rPr>
              <w:t>19.572</w:t>
            </w:r>
          </w:p>
        </w:tc>
        <w:tc>
          <w:tcPr>
            <w:tcW w:w="969" w:type="dxa"/>
          </w:tcPr>
          <w:p>
            <w:pPr>
              <w:pStyle w:val="TableParagraph"/>
              <w:spacing w:before="115"/>
              <w:ind w:right="122"/>
              <w:jc w:val="right"/>
              <w:rPr>
                <w:sz w:val="24"/>
              </w:rPr>
            </w:pPr>
            <w:r>
              <w:rPr>
                <w:w w:val="97"/>
                <w:sz w:val="24"/>
              </w:rPr>
              <w:t>–</w:t>
            </w: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71" w:hRule="atLeast"/>
        </w:trPr>
        <w:tc>
          <w:tcPr>
            <w:tcW w:w="1473" w:type="dxa"/>
          </w:tcPr>
          <w:p>
            <w:pPr>
              <w:pStyle w:val="TableParagraph"/>
              <w:rPr>
                <w:sz w:val="22"/>
              </w:rPr>
            </w:pPr>
          </w:p>
        </w:tc>
        <w:tc>
          <w:tcPr>
            <w:tcW w:w="1253" w:type="dxa"/>
          </w:tcPr>
          <w:p>
            <w:pPr>
              <w:pStyle w:val="TableParagraph"/>
              <w:spacing w:before="108"/>
              <w:ind w:right="124"/>
              <w:jc w:val="right"/>
              <w:rPr>
                <w:i/>
                <w:sz w:val="24"/>
              </w:rPr>
            </w:pPr>
            <w:r>
              <w:rPr>
                <w:i/>
                <w:w w:val="99"/>
                <w:sz w:val="24"/>
              </w:rPr>
              <w:t>p</w:t>
            </w:r>
          </w:p>
        </w:tc>
        <w:tc>
          <w:tcPr>
            <w:tcW w:w="851" w:type="dxa"/>
          </w:tcPr>
          <w:p>
            <w:pPr>
              <w:pStyle w:val="TableParagraph"/>
              <w:spacing w:before="108"/>
              <w:ind w:right="118"/>
              <w:jc w:val="right"/>
              <w:rPr>
                <w:sz w:val="24"/>
              </w:rPr>
            </w:pPr>
            <w:r>
              <w:rPr>
                <w:w w:val="95"/>
                <w:sz w:val="24"/>
              </w:rPr>
              <w:t>0.259</w:t>
            </w:r>
          </w:p>
        </w:tc>
        <w:tc>
          <w:tcPr>
            <w:tcW w:w="852" w:type="dxa"/>
          </w:tcPr>
          <w:p>
            <w:pPr>
              <w:pStyle w:val="TableParagraph"/>
              <w:spacing w:before="108"/>
              <w:ind w:right="120"/>
              <w:jc w:val="right"/>
              <w:rPr>
                <w:sz w:val="24"/>
              </w:rPr>
            </w:pPr>
            <w:r>
              <w:rPr>
                <w:w w:val="95"/>
                <w:sz w:val="24"/>
              </w:rPr>
              <w:t>0.101</w:t>
            </w:r>
          </w:p>
        </w:tc>
        <w:tc>
          <w:tcPr>
            <w:tcW w:w="891" w:type="dxa"/>
          </w:tcPr>
          <w:p>
            <w:pPr>
              <w:pStyle w:val="TableParagraph"/>
              <w:spacing w:before="108"/>
              <w:ind w:right="122"/>
              <w:jc w:val="right"/>
              <w:rPr>
                <w:sz w:val="24"/>
              </w:rPr>
            </w:pPr>
            <w:r>
              <w:rPr>
                <w:w w:val="95"/>
                <w:sz w:val="24"/>
              </w:rPr>
              <w:t>0.041</w:t>
            </w:r>
          </w:p>
        </w:tc>
        <w:tc>
          <w:tcPr>
            <w:tcW w:w="969" w:type="dxa"/>
          </w:tcPr>
          <w:p>
            <w:pPr>
              <w:pStyle w:val="TableParagraph"/>
              <w:spacing w:before="108"/>
              <w:ind w:right="123"/>
              <w:jc w:val="right"/>
              <w:rPr>
                <w:sz w:val="24"/>
              </w:rPr>
            </w:pPr>
            <w:r>
              <w:rPr>
                <w:i/>
                <w:w w:val="105"/>
                <w:sz w:val="24"/>
              </w:rPr>
              <w:t>&lt; </w:t>
            </w:r>
            <w:r>
              <w:rPr>
                <w:w w:val="105"/>
                <w:sz w:val="24"/>
              </w:rPr>
              <w:t>.001</w:t>
            </w:r>
          </w:p>
        </w:tc>
        <w:tc>
          <w:tcPr>
            <w:tcW w:w="969" w:type="dxa"/>
          </w:tcPr>
          <w:p>
            <w:pPr>
              <w:pStyle w:val="TableParagraph"/>
              <w:spacing w:before="108"/>
              <w:ind w:right="124"/>
              <w:jc w:val="right"/>
              <w:rPr>
                <w:sz w:val="24"/>
              </w:rPr>
            </w:pPr>
            <w:r>
              <w:rPr>
                <w:w w:val="97"/>
                <w:sz w:val="24"/>
              </w:rPr>
              <w:t>–</w:t>
            </w:r>
          </w:p>
        </w:tc>
        <w:tc>
          <w:tcPr>
            <w:tcW w:w="967" w:type="dxa"/>
          </w:tcPr>
          <w:p>
            <w:pPr>
              <w:pStyle w:val="TableParagraph"/>
              <w:rPr>
                <w:sz w:val="22"/>
              </w:rPr>
            </w:pP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78" w:hRule="atLeast"/>
        </w:trPr>
        <w:tc>
          <w:tcPr>
            <w:tcW w:w="1473" w:type="dxa"/>
          </w:tcPr>
          <w:p>
            <w:pPr>
              <w:pStyle w:val="TableParagraph"/>
              <w:spacing w:before="115"/>
              <w:ind w:left="119"/>
              <w:rPr>
                <w:sz w:val="24"/>
              </w:rPr>
            </w:pPr>
            <w:r>
              <w:rPr>
                <w:w w:val="105"/>
                <w:sz w:val="24"/>
              </w:rPr>
              <w:t>6</w:t>
            </w:r>
            <w:r>
              <w:rPr>
                <w:i/>
                <w:w w:val="105"/>
                <w:sz w:val="24"/>
              </w:rPr>
              <w:t>. </w:t>
            </w:r>
            <w:r>
              <w:rPr>
                <w:w w:val="105"/>
                <w:sz w:val="24"/>
              </w:rPr>
              <w:t>PSS</w:t>
            </w:r>
          </w:p>
        </w:tc>
        <w:tc>
          <w:tcPr>
            <w:tcW w:w="1253" w:type="dxa"/>
          </w:tcPr>
          <w:p>
            <w:pPr>
              <w:pStyle w:val="TableParagraph"/>
              <w:spacing w:before="115"/>
              <w:ind w:right="140"/>
              <w:jc w:val="right"/>
              <w:rPr>
                <w:i/>
                <w:sz w:val="24"/>
              </w:rPr>
            </w:pPr>
            <w:r>
              <w:rPr>
                <w:i/>
                <w:w w:val="105"/>
                <w:sz w:val="24"/>
              </w:rPr>
              <w:t>r</w:t>
            </w:r>
          </w:p>
        </w:tc>
        <w:tc>
          <w:tcPr>
            <w:tcW w:w="851" w:type="dxa"/>
          </w:tcPr>
          <w:p>
            <w:pPr>
              <w:pStyle w:val="TableParagraph"/>
              <w:spacing w:before="115"/>
              <w:ind w:right="117"/>
              <w:jc w:val="right"/>
              <w:rPr>
                <w:sz w:val="24"/>
              </w:rPr>
            </w:pPr>
            <w:r>
              <w:rPr>
                <w:w w:val="95"/>
                <w:sz w:val="24"/>
              </w:rPr>
              <w:t>-0.138</w:t>
            </w:r>
          </w:p>
        </w:tc>
        <w:tc>
          <w:tcPr>
            <w:tcW w:w="852" w:type="dxa"/>
          </w:tcPr>
          <w:p>
            <w:pPr>
              <w:pStyle w:val="TableParagraph"/>
              <w:spacing w:before="115"/>
              <w:ind w:right="119"/>
              <w:jc w:val="right"/>
              <w:rPr>
                <w:sz w:val="24"/>
              </w:rPr>
            </w:pPr>
            <w:r>
              <w:rPr>
                <w:w w:val="95"/>
                <w:sz w:val="24"/>
              </w:rPr>
              <w:t>0.040</w:t>
            </w:r>
          </w:p>
        </w:tc>
        <w:tc>
          <w:tcPr>
            <w:tcW w:w="891" w:type="dxa"/>
          </w:tcPr>
          <w:p>
            <w:pPr>
              <w:pStyle w:val="TableParagraph"/>
              <w:spacing w:before="115"/>
              <w:ind w:right="121"/>
              <w:jc w:val="right"/>
              <w:rPr>
                <w:sz w:val="24"/>
              </w:rPr>
            </w:pPr>
            <w:r>
              <w:rPr>
                <w:w w:val="95"/>
                <w:sz w:val="24"/>
              </w:rPr>
              <w:t>0.125</w:t>
            </w:r>
          </w:p>
        </w:tc>
        <w:tc>
          <w:tcPr>
            <w:tcW w:w="969" w:type="dxa"/>
          </w:tcPr>
          <w:p>
            <w:pPr>
              <w:pStyle w:val="TableParagraph"/>
              <w:spacing w:before="115"/>
              <w:ind w:right="122"/>
              <w:jc w:val="right"/>
              <w:rPr>
                <w:sz w:val="24"/>
              </w:rPr>
            </w:pPr>
            <w:r>
              <w:rPr>
                <w:w w:val="95"/>
                <w:sz w:val="24"/>
              </w:rPr>
              <w:t>0.462*</w:t>
            </w:r>
          </w:p>
        </w:tc>
        <w:tc>
          <w:tcPr>
            <w:tcW w:w="969" w:type="dxa"/>
          </w:tcPr>
          <w:p>
            <w:pPr>
              <w:pStyle w:val="TableParagraph"/>
              <w:spacing w:before="115"/>
              <w:ind w:right="124"/>
              <w:jc w:val="right"/>
              <w:rPr>
                <w:sz w:val="24"/>
              </w:rPr>
            </w:pPr>
            <w:r>
              <w:rPr>
                <w:w w:val="95"/>
                <w:sz w:val="24"/>
              </w:rPr>
              <w:t>0.316*</w:t>
            </w:r>
          </w:p>
        </w:tc>
        <w:tc>
          <w:tcPr>
            <w:tcW w:w="967" w:type="dxa"/>
          </w:tcPr>
          <w:p>
            <w:pPr>
              <w:pStyle w:val="TableParagraph"/>
              <w:spacing w:before="115"/>
              <w:ind w:right="123"/>
              <w:jc w:val="right"/>
              <w:rPr>
                <w:sz w:val="24"/>
              </w:rPr>
            </w:pPr>
            <w:r>
              <w:rPr>
                <w:w w:val="97"/>
                <w:sz w:val="24"/>
              </w:rPr>
              <w:t>–</w:t>
            </w: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84" w:hRule="atLeast"/>
        </w:trPr>
        <w:tc>
          <w:tcPr>
            <w:tcW w:w="1473" w:type="dxa"/>
          </w:tcPr>
          <w:p>
            <w:pPr>
              <w:pStyle w:val="TableParagraph"/>
              <w:rPr>
                <w:sz w:val="22"/>
              </w:rPr>
            </w:pPr>
          </w:p>
        </w:tc>
        <w:tc>
          <w:tcPr>
            <w:tcW w:w="1253" w:type="dxa"/>
          </w:tcPr>
          <w:p>
            <w:pPr>
              <w:pStyle w:val="TableParagraph"/>
              <w:spacing w:before="114"/>
              <w:ind w:right="118"/>
              <w:jc w:val="right"/>
              <w:rPr>
                <w:sz w:val="24"/>
              </w:rPr>
            </w:pPr>
            <w:r>
              <w:rPr>
                <w:sz w:val="24"/>
              </w:rPr>
              <w:t>log(</w:t>
            </w:r>
            <w:r>
              <w:rPr>
                <w:i/>
                <w:sz w:val="24"/>
              </w:rPr>
              <w:t>BF </w:t>
            </w:r>
            <w:r>
              <w:rPr>
                <w:rFonts w:ascii="Arial"/>
                <w:sz w:val="24"/>
                <w:vertAlign w:val="subscript"/>
              </w:rPr>
              <w:t>10</w:t>
            </w:r>
            <w:r>
              <w:rPr>
                <w:sz w:val="24"/>
                <w:vertAlign w:val="baseline"/>
              </w:rPr>
              <w:t>)</w:t>
            </w:r>
          </w:p>
        </w:tc>
        <w:tc>
          <w:tcPr>
            <w:tcW w:w="851" w:type="dxa"/>
          </w:tcPr>
          <w:p>
            <w:pPr>
              <w:pStyle w:val="TableParagraph"/>
              <w:spacing w:before="115"/>
              <w:ind w:right="117"/>
              <w:jc w:val="right"/>
              <w:rPr>
                <w:sz w:val="24"/>
              </w:rPr>
            </w:pPr>
            <w:r>
              <w:rPr>
                <w:w w:val="95"/>
                <w:sz w:val="24"/>
              </w:rPr>
              <w:t>-0.782</w:t>
            </w:r>
          </w:p>
        </w:tc>
        <w:tc>
          <w:tcPr>
            <w:tcW w:w="852" w:type="dxa"/>
          </w:tcPr>
          <w:p>
            <w:pPr>
              <w:pStyle w:val="TableParagraph"/>
              <w:spacing w:before="115"/>
              <w:ind w:right="118"/>
              <w:jc w:val="right"/>
              <w:rPr>
                <w:sz w:val="24"/>
              </w:rPr>
            </w:pPr>
            <w:r>
              <w:rPr>
                <w:w w:val="95"/>
                <w:sz w:val="24"/>
              </w:rPr>
              <w:t>-2.195</w:t>
            </w:r>
          </w:p>
        </w:tc>
        <w:tc>
          <w:tcPr>
            <w:tcW w:w="891" w:type="dxa"/>
          </w:tcPr>
          <w:p>
            <w:pPr>
              <w:pStyle w:val="TableParagraph"/>
              <w:spacing w:before="115"/>
              <w:ind w:right="119"/>
              <w:jc w:val="right"/>
              <w:rPr>
                <w:sz w:val="24"/>
              </w:rPr>
            </w:pPr>
            <w:r>
              <w:rPr>
                <w:w w:val="95"/>
                <w:sz w:val="24"/>
              </w:rPr>
              <w:t>-1.067</w:t>
            </w:r>
          </w:p>
        </w:tc>
        <w:tc>
          <w:tcPr>
            <w:tcW w:w="969" w:type="dxa"/>
          </w:tcPr>
          <w:p>
            <w:pPr>
              <w:pStyle w:val="TableParagraph"/>
              <w:spacing w:before="115"/>
              <w:ind w:right="120"/>
              <w:jc w:val="right"/>
              <w:rPr>
                <w:sz w:val="24"/>
              </w:rPr>
            </w:pPr>
            <w:r>
              <w:rPr>
                <w:w w:val="95"/>
                <w:sz w:val="24"/>
              </w:rPr>
              <w:t>16.754</w:t>
            </w:r>
          </w:p>
        </w:tc>
        <w:tc>
          <w:tcPr>
            <w:tcW w:w="969" w:type="dxa"/>
          </w:tcPr>
          <w:p>
            <w:pPr>
              <w:pStyle w:val="TableParagraph"/>
              <w:spacing w:before="115"/>
              <w:ind w:right="122"/>
              <w:jc w:val="right"/>
              <w:rPr>
                <w:sz w:val="24"/>
              </w:rPr>
            </w:pPr>
            <w:r>
              <w:rPr>
                <w:w w:val="95"/>
                <w:sz w:val="24"/>
              </w:rPr>
              <w:t>6.043</w:t>
            </w:r>
          </w:p>
        </w:tc>
        <w:tc>
          <w:tcPr>
            <w:tcW w:w="967" w:type="dxa"/>
          </w:tcPr>
          <w:p>
            <w:pPr>
              <w:pStyle w:val="TableParagraph"/>
              <w:spacing w:before="115"/>
              <w:ind w:right="121"/>
              <w:jc w:val="right"/>
              <w:rPr>
                <w:sz w:val="24"/>
              </w:rPr>
            </w:pPr>
            <w:r>
              <w:rPr>
                <w:w w:val="97"/>
                <w:sz w:val="24"/>
              </w:rPr>
              <w:t>–</w:t>
            </w: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71" w:hRule="atLeast"/>
        </w:trPr>
        <w:tc>
          <w:tcPr>
            <w:tcW w:w="1473" w:type="dxa"/>
          </w:tcPr>
          <w:p>
            <w:pPr>
              <w:pStyle w:val="TableParagraph"/>
              <w:rPr>
                <w:sz w:val="22"/>
              </w:rPr>
            </w:pPr>
          </w:p>
        </w:tc>
        <w:tc>
          <w:tcPr>
            <w:tcW w:w="1253" w:type="dxa"/>
          </w:tcPr>
          <w:p>
            <w:pPr>
              <w:pStyle w:val="TableParagraph"/>
              <w:spacing w:before="108"/>
              <w:ind w:right="124"/>
              <w:jc w:val="right"/>
              <w:rPr>
                <w:i/>
                <w:sz w:val="24"/>
              </w:rPr>
            </w:pPr>
            <w:r>
              <w:rPr>
                <w:i/>
                <w:w w:val="99"/>
                <w:sz w:val="24"/>
              </w:rPr>
              <w:t>p</w:t>
            </w:r>
          </w:p>
        </w:tc>
        <w:tc>
          <w:tcPr>
            <w:tcW w:w="851" w:type="dxa"/>
          </w:tcPr>
          <w:p>
            <w:pPr>
              <w:pStyle w:val="TableParagraph"/>
              <w:spacing w:before="108"/>
              <w:ind w:right="118"/>
              <w:jc w:val="right"/>
              <w:rPr>
                <w:sz w:val="24"/>
              </w:rPr>
            </w:pPr>
            <w:r>
              <w:rPr>
                <w:w w:val="95"/>
                <w:sz w:val="24"/>
              </w:rPr>
              <w:t>0.078</w:t>
            </w:r>
          </w:p>
        </w:tc>
        <w:tc>
          <w:tcPr>
            <w:tcW w:w="852" w:type="dxa"/>
          </w:tcPr>
          <w:p>
            <w:pPr>
              <w:pStyle w:val="TableParagraph"/>
              <w:spacing w:before="108"/>
              <w:ind w:right="120"/>
              <w:jc w:val="right"/>
              <w:rPr>
                <w:sz w:val="24"/>
              </w:rPr>
            </w:pPr>
            <w:r>
              <w:rPr>
                <w:w w:val="95"/>
                <w:sz w:val="24"/>
              </w:rPr>
              <w:t>0.611</w:t>
            </w:r>
          </w:p>
        </w:tc>
        <w:tc>
          <w:tcPr>
            <w:tcW w:w="891" w:type="dxa"/>
          </w:tcPr>
          <w:p>
            <w:pPr>
              <w:pStyle w:val="TableParagraph"/>
              <w:spacing w:before="108"/>
              <w:ind w:right="122"/>
              <w:jc w:val="right"/>
              <w:rPr>
                <w:sz w:val="24"/>
              </w:rPr>
            </w:pPr>
            <w:r>
              <w:rPr>
                <w:w w:val="95"/>
                <w:sz w:val="24"/>
              </w:rPr>
              <w:t>0.111</w:t>
            </w:r>
          </w:p>
        </w:tc>
        <w:tc>
          <w:tcPr>
            <w:tcW w:w="969" w:type="dxa"/>
          </w:tcPr>
          <w:p>
            <w:pPr>
              <w:pStyle w:val="TableParagraph"/>
              <w:spacing w:before="108"/>
              <w:ind w:right="123"/>
              <w:jc w:val="right"/>
              <w:rPr>
                <w:sz w:val="24"/>
              </w:rPr>
            </w:pPr>
            <w:r>
              <w:rPr>
                <w:i/>
                <w:w w:val="105"/>
                <w:sz w:val="24"/>
              </w:rPr>
              <w:t>&lt; </w:t>
            </w:r>
            <w:r>
              <w:rPr>
                <w:w w:val="105"/>
                <w:sz w:val="24"/>
              </w:rPr>
              <w:t>.001</w:t>
            </w:r>
          </w:p>
        </w:tc>
        <w:tc>
          <w:tcPr>
            <w:tcW w:w="969" w:type="dxa"/>
          </w:tcPr>
          <w:p>
            <w:pPr>
              <w:pStyle w:val="TableParagraph"/>
              <w:spacing w:before="108"/>
              <w:ind w:right="124"/>
              <w:jc w:val="right"/>
              <w:rPr>
                <w:sz w:val="24"/>
              </w:rPr>
            </w:pPr>
            <w:r>
              <w:rPr>
                <w:i/>
                <w:w w:val="105"/>
                <w:sz w:val="24"/>
              </w:rPr>
              <w:t>&lt; </w:t>
            </w:r>
            <w:r>
              <w:rPr>
                <w:w w:val="105"/>
                <w:sz w:val="24"/>
              </w:rPr>
              <w:t>.001</w:t>
            </w:r>
          </w:p>
        </w:tc>
        <w:tc>
          <w:tcPr>
            <w:tcW w:w="967" w:type="dxa"/>
          </w:tcPr>
          <w:p>
            <w:pPr>
              <w:pStyle w:val="TableParagraph"/>
              <w:spacing w:before="108"/>
              <w:ind w:right="123"/>
              <w:jc w:val="right"/>
              <w:rPr>
                <w:sz w:val="24"/>
              </w:rPr>
            </w:pPr>
            <w:r>
              <w:rPr>
                <w:w w:val="97"/>
                <w:sz w:val="24"/>
              </w:rPr>
              <w:t>–</w:t>
            </w:r>
          </w:p>
        </w:tc>
        <w:tc>
          <w:tcPr>
            <w:tcW w:w="916" w:type="dxa"/>
          </w:tcPr>
          <w:p>
            <w:pPr>
              <w:pStyle w:val="TableParagraph"/>
              <w:rPr>
                <w:sz w:val="22"/>
              </w:rPr>
            </w:pPr>
          </w:p>
        </w:tc>
        <w:tc>
          <w:tcPr>
            <w:tcW w:w="305" w:type="dxa"/>
          </w:tcPr>
          <w:p>
            <w:pPr>
              <w:pStyle w:val="TableParagraph"/>
              <w:rPr>
                <w:sz w:val="22"/>
              </w:rPr>
            </w:pPr>
          </w:p>
        </w:tc>
        <w:tc>
          <w:tcPr>
            <w:tcW w:w="116" w:type="dxa"/>
          </w:tcPr>
          <w:p>
            <w:pPr>
              <w:pStyle w:val="TableParagraph"/>
              <w:rPr>
                <w:sz w:val="22"/>
              </w:rPr>
            </w:pPr>
          </w:p>
        </w:tc>
      </w:tr>
      <w:tr>
        <w:trPr>
          <w:trHeight w:val="478" w:hRule="atLeast"/>
        </w:trPr>
        <w:tc>
          <w:tcPr>
            <w:tcW w:w="1473" w:type="dxa"/>
          </w:tcPr>
          <w:p>
            <w:pPr>
              <w:pStyle w:val="TableParagraph"/>
              <w:spacing w:before="115"/>
              <w:ind w:left="119"/>
              <w:rPr>
                <w:sz w:val="24"/>
              </w:rPr>
            </w:pPr>
            <w:r>
              <w:rPr>
                <w:sz w:val="24"/>
              </w:rPr>
              <w:t>7</w:t>
            </w:r>
            <w:r>
              <w:rPr>
                <w:i/>
                <w:sz w:val="24"/>
              </w:rPr>
              <w:t>. </w:t>
            </w:r>
            <w:r>
              <w:rPr>
                <w:sz w:val="24"/>
              </w:rPr>
              <w:t>SCS</w:t>
            </w:r>
          </w:p>
        </w:tc>
        <w:tc>
          <w:tcPr>
            <w:tcW w:w="1253" w:type="dxa"/>
          </w:tcPr>
          <w:p>
            <w:pPr>
              <w:pStyle w:val="TableParagraph"/>
              <w:spacing w:before="115"/>
              <w:ind w:right="140"/>
              <w:jc w:val="right"/>
              <w:rPr>
                <w:i/>
                <w:sz w:val="24"/>
              </w:rPr>
            </w:pPr>
            <w:r>
              <w:rPr>
                <w:i/>
                <w:w w:val="105"/>
                <w:sz w:val="24"/>
              </w:rPr>
              <w:t>r</w:t>
            </w:r>
          </w:p>
        </w:tc>
        <w:tc>
          <w:tcPr>
            <w:tcW w:w="851" w:type="dxa"/>
          </w:tcPr>
          <w:p>
            <w:pPr>
              <w:pStyle w:val="TableParagraph"/>
              <w:spacing w:before="115"/>
              <w:ind w:right="118"/>
              <w:jc w:val="right"/>
              <w:rPr>
                <w:sz w:val="24"/>
              </w:rPr>
            </w:pPr>
            <w:r>
              <w:rPr>
                <w:w w:val="95"/>
                <w:sz w:val="24"/>
              </w:rPr>
              <w:t>0.176</w:t>
            </w:r>
          </w:p>
        </w:tc>
        <w:tc>
          <w:tcPr>
            <w:tcW w:w="852" w:type="dxa"/>
          </w:tcPr>
          <w:p>
            <w:pPr>
              <w:pStyle w:val="TableParagraph"/>
              <w:spacing w:before="115"/>
              <w:ind w:right="119"/>
              <w:jc w:val="right"/>
              <w:rPr>
                <w:sz w:val="24"/>
              </w:rPr>
            </w:pPr>
            <w:r>
              <w:rPr>
                <w:w w:val="95"/>
                <w:sz w:val="24"/>
              </w:rPr>
              <w:t>-0.085</w:t>
            </w:r>
          </w:p>
        </w:tc>
        <w:tc>
          <w:tcPr>
            <w:tcW w:w="891" w:type="dxa"/>
          </w:tcPr>
          <w:p>
            <w:pPr>
              <w:pStyle w:val="TableParagraph"/>
              <w:spacing w:before="115"/>
              <w:ind w:right="120"/>
              <w:jc w:val="right"/>
              <w:rPr>
                <w:sz w:val="24"/>
              </w:rPr>
            </w:pPr>
            <w:r>
              <w:rPr>
                <w:w w:val="95"/>
                <w:sz w:val="24"/>
              </w:rPr>
              <w:t>-0.122</w:t>
            </w:r>
          </w:p>
        </w:tc>
        <w:tc>
          <w:tcPr>
            <w:tcW w:w="969" w:type="dxa"/>
          </w:tcPr>
          <w:p>
            <w:pPr>
              <w:pStyle w:val="TableParagraph"/>
              <w:spacing w:before="115"/>
              <w:ind w:right="120"/>
              <w:jc w:val="right"/>
              <w:rPr>
                <w:sz w:val="24"/>
              </w:rPr>
            </w:pPr>
            <w:r>
              <w:rPr>
                <w:w w:val="95"/>
                <w:sz w:val="24"/>
              </w:rPr>
              <w:t>-0.374*</w:t>
            </w:r>
          </w:p>
        </w:tc>
        <w:tc>
          <w:tcPr>
            <w:tcW w:w="969" w:type="dxa"/>
          </w:tcPr>
          <w:p>
            <w:pPr>
              <w:pStyle w:val="TableParagraph"/>
              <w:spacing w:before="115"/>
              <w:ind w:right="121"/>
              <w:jc w:val="right"/>
              <w:rPr>
                <w:sz w:val="24"/>
              </w:rPr>
            </w:pPr>
            <w:r>
              <w:rPr>
                <w:w w:val="95"/>
                <w:sz w:val="24"/>
              </w:rPr>
              <w:t>-0.721*</w:t>
            </w:r>
          </w:p>
        </w:tc>
        <w:tc>
          <w:tcPr>
            <w:tcW w:w="967" w:type="dxa"/>
          </w:tcPr>
          <w:p>
            <w:pPr>
              <w:pStyle w:val="TableParagraph"/>
              <w:spacing w:before="115"/>
              <w:ind w:right="119"/>
              <w:jc w:val="right"/>
              <w:rPr>
                <w:sz w:val="24"/>
              </w:rPr>
            </w:pPr>
            <w:r>
              <w:rPr>
                <w:w w:val="95"/>
                <w:sz w:val="24"/>
              </w:rPr>
              <w:t>-0.260*</w:t>
            </w:r>
          </w:p>
        </w:tc>
        <w:tc>
          <w:tcPr>
            <w:tcW w:w="916" w:type="dxa"/>
          </w:tcPr>
          <w:p>
            <w:pPr>
              <w:pStyle w:val="TableParagraph"/>
              <w:spacing w:before="115"/>
              <w:ind w:right="119"/>
              <w:jc w:val="right"/>
              <w:rPr>
                <w:sz w:val="24"/>
              </w:rPr>
            </w:pPr>
            <w:r>
              <w:rPr>
                <w:w w:val="97"/>
                <w:sz w:val="24"/>
              </w:rPr>
              <w:t>–</w:t>
            </w:r>
          </w:p>
        </w:tc>
        <w:tc>
          <w:tcPr>
            <w:tcW w:w="305" w:type="dxa"/>
          </w:tcPr>
          <w:p>
            <w:pPr>
              <w:pStyle w:val="TableParagraph"/>
              <w:rPr>
                <w:sz w:val="22"/>
              </w:rPr>
            </w:pPr>
          </w:p>
        </w:tc>
        <w:tc>
          <w:tcPr>
            <w:tcW w:w="116" w:type="dxa"/>
          </w:tcPr>
          <w:p>
            <w:pPr>
              <w:pStyle w:val="TableParagraph"/>
              <w:rPr>
                <w:sz w:val="22"/>
              </w:rPr>
            </w:pPr>
          </w:p>
        </w:tc>
      </w:tr>
      <w:tr>
        <w:trPr>
          <w:trHeight w:val="484" w:hRule="atLeast"/>
        </w:trPr>
        <w:tc>
          <w:tcPr>
            <w:tcW w:w="1473" w:type="dxa"/>
          </w:tcPr>
          <w:p>
            <w:pPr>
              <w:pStyle w:val="TableParagraph"/>
              <w:rPr>
                <w:sz w:val="22"/>
              </w:rPr>
            </w:pPr>
          </w:p>
        </w:tc>
        <w:tc>
          <w:tcPr>
            <w:tcW w:w="1253" w:type="dxa"/>
          </w:tcPr>
          <w:p>
            <w:pPr>
              <w:pStyle w:val="TableParagraph"/>
              <w:spacing w:before="114"/>
              <w:ind w:right="118"/>
              <w:jc w:val="right"/>
              <w:rPr>
                <w:sz w:val="24"/>
              </w:rPr>
            </w:pPr>
            <w:r>
              <w:rPr>
                <w:sz w:val="24"/>
              </w:rPr>
              <w:t>log(</w:t>
            </w:r>
            <w:r>
              <w:rPr>
                <w:i/>
                <w:sz w:val="24"/>
              </w:rPr>
              <w:t>BF </w:t>
            </w:r>
            <w:r>
              <w:rPr>
                <w:rFonts w:ascii="Arial"/>
                <w:sz w:val="24"/>
                <w:vertAlign w:val="subscript"/>
              </w:rPr>
              <w:t>10</w:t>
            </w:r>
            <w:r>
              <w:rPr>
                <w:sz w:val="24"/>
                <w:vertAlign w:val="baseline"/>
              </w:rPr>
              <w:t>)</w:t>
            </w:r>
          </w:p>
        </w:tc>
        <w:tc>
          <w:tcPr>
            <w:tcW w:w="851" w:type="dxa"/>
          </w:tcPr>
          <w:p>
            <w:pPr>
              <w:pStyle w:val="TableParagraph"/>
              <w:spacing w:before="115"/>
              <w:ind w:right="118"/>
              <w:jc w:val="right"/>
              <w:rPr>
                <w:sz w:val="24"/>
              </w:rPr>
            </w:pPr>
            <w:r>
              <w:rPr>
                <w:w w:val="95"/>
                <w:sz w:val="24"/>
              </w:rPr>
              <w:t>0.181</w:t>
            </w:r>
          </w:p>
        </w:tc>
        <w:tc>
          <w:tcPr>
            <w:tcW w:w="852" w:type="dxa"/>
          </w:tcPr>
          <w:p>
            <w:pPr>
              <w:pStyle w:val="TableParagraph"/>
              <w:spacing w:before="115"/>
              <w:ind w:right="119"/>
              <w:jc w:val="right"/>
              <w:rPr>
                <w:sz w:val="24"/>
              </w:rPr>
            </w:pPr>
            <w:r>
              <w:rPr>
                <w:w w:val="95"/>
                <w:sz w:val="24"/>
              </w:rPr>
              <w:t>-1.747</w:t>
            </w:r>
          </w:p>
        </w:tc>
        <w:tc>
          <w:tcPr>
            <w:tcW w:w="891" w:type="dxa"/>
          </w:tcPr>
          <w:p>
            <w:pPr>
              <w:pStyle w:val="TableParagraph"/>
              <w:spacing w:before="115"/>
              <w:ind w:right="120"/>
              <w:jc w:val="right"/>
              <w:rPr>
                <w:sz w:val="24"/>
              </w:rPr>
            </w:pPr>
            <w:r>
              <w:rPr>
                <w:w w:val="95"/>
                <w:sz w:val="24"/>
              </w:rPr>
              <w:t>-1.133</w:t>
            </w:r>
          </w:p>
        </w:tc>
        <w:tc>
          <w:tcPr>
            <w:tcW w:w="969" w:type="dxa"/>
          </w:tcPr>
          <w:p>
            <w:pPr>
              <w:pStyle w:val="TableParagraph"/>
              <w:spacing w:before="115"/>
              <w:ind w:right="121"/>
              <w:jc w:val="right"/>
              <w:rPr>
                <w:sz w:val="24"/>
              </w:rPr>
            </w:pPr>
            <w:r>
              <w:rPr>
                <w:w w:val="95"/>
                <w:sz w:val="24"/>
              </w:rPr>
              <w:t>9.630</w:t>
            </w:r>
          </w:p>
        </w:tc>
        <w:tc>
          <w:tcPr>
            <w:tcW w:w="969" w:type="dxa"/>
          </w:tcPr>
          <w:p>
            <w:pPr>
              <w:pStyle w:val="TableParagraph"/>
              <w:spacing w:before="115"/>
              <w:ind w:right="123"/>
              <w:jc w:val="right"/>
              <w:rPr>
                <w:sz w:val="24"/>
              </w:rPr>
            </w:pPr>
            <w:r>
              <w:rPr>
                <w:w w:val="95"/>
                <w:sz w:val="24"/>
              </w:rPr>
              <w:t>56.042</w:t>
            </w:r>
          </w:p>
        </w:tc>
        <w:tc>
          <w:tcPr>
            <w:tcW w:w="967" w:type="dxa"/>
          </w:tcPr>
          <w:p>
            <w:pPr>
              <w:pStyle w:val="TableParagraph"/>
              <w:spacing w:before="115"/>
              <w:ind w:right="123"/>
              <w:jc w:val="right"/>
              <w:rPr>
                <w:sz w:val="24"/>
              </w:rPr>
            </w:pPr>
            <w:r>
              <w:rPr>
                <w:w w:val="95"/>
                <w:sz w:val="24"/>
              </w:rPr>
              <w:t>3.247</w:t>
            </w:r>
          </w:p>
        </w:tc>
        <w:tc>
          <w:tcPr>
            <w:tcW w:w="916" w:type="dxa"/>
          </w:tcPr>
          <w:p>
            <w:pPr>
              <w:pStyle w:val="TableParagraph"/>
              <w:spacing w:before="115"/>
              <w:ind w:right="123"/>
              <w:jc w:val="right"/>
              <w:rPr>
                <w:sz w:val="24"/>
              </w:rPr>
            </w:pPr>
            <w:r>
              <w:rPr>
                <w:w w:val="97"/>
                <w:sz w:val="24"/>
              </w:rPr>
              <w:t>–</w:t>
            </w:r>
          </w:p>
        </w:tc>
        <w:tc>
          <w:tcPr>
            <w:tcW w:w="305" w:type="dxa"/>
          </w:tcPr>
          <w:p>
            <w:pPr>
              <w:pStyle w:val="TableParagraph"/>
              <w:rPr>
                <w:sz w:val="22"/>
              </w:rPr>
            </w:pPr>
          </w:p>
        </w:tc>
        <w:tc>
          <w:tcPr>
            <w:tcW w:w="116" w:type="dxa"/>
          </w:tcPr>
          <w:p>
            <w:pPr>
              <w:pStyle w:val="TableParagraph"/>
              <w:rPr>
                <w:sz w:val="22"/>
              </w:rPr>
            </w:pPr>
          </w:p>
        </w:tc>
      </w:tr>
      <w:tr>
        <w:trPr>
          <w:trHeight w:val="471" w:hRule="atLeast"/>
        </w:trPr>
        <w:tc>
          <w:tcPr>
            <w:tcW w:w="1473" w:type="dxa"/>
          </w:tcPr>
          <w:p>
            <w:pPr>
              <w:pStyle w:val="TableParagraph"/>
              <w:rPr>
                <w:sz w:val="22"/>
              </w:rPr>
            </w:pPr>
          </w:p>
        </w:tc>
        <w:tc>
          <w:tcPr>
            <w:tcW w:w="1253" w:type="dxa"/>
          </w:tcPr>
          <w:p>
            <w:pPr>
              <w:pStyle w:val="TableParagraph"/>
              <w:spacing w:before="108"/>
              <w:ind w:right="124"/>
              <w:jc w:val="right"/>
              <w:rPr>
                <w:i/>
                <w:sz w:val="24"/>
              </w:rPr>
            </w:pPr>
            <w:r>
              <w:rPr>
                <w:i/>
                <w:w w:val="99"/>
                <w:sz w:val="24"/>
              </w:rPr>
              <w:t>p</w:t>
            </w:r>
          </w:p>
        </w:tc>
        <w:tc>
          <w:tcPr>
            <w:tcW w:w="851" w:type="dxa"/>
          </w:tcPr>
          <w:p>
            <w:pPr>
              <w:pStyle w:val="TableParagraph"/>
              <w:spacing w:before="108"/>
              <w:ind w:right="118"/>
              <w:jc w:val="right"/>
              <w:rPr>
                <w:sz w:val="24"/>
              </w:rPr>
            </w:pPr>
            <w:r>
              <w:rPr>
                <w:w w:val="95"/>
                <w:sz w:val="24"/>
              </w:rPr>
              <w:t>0.025</w:t>
            </w:r>
          </w:p>
        </w:tc>
        <w:tc>
          <w:tcPr>
            <w:tcW w:w="852" w:type="dxa"/>
          </w:tcPr>
          <w:p>
            <w:pPr>
              <w:pStyle w:val="TableParagraph"/>
              <w:spacing w:before="108"/>
              <w:ind w:right="120"/>
              <w:jc w:val="right"/>
              <w:rPr>
                <w:sz w:val="24"/>
              </w:rPr>
            </w:pPr>
            <w:r>
              <w:rPr>
                <w:w w:val="95"/>
                <w:sz w:val="24"/>
              </w:rPr>
              <w:t>0.281</w:t>
            </w:r>
          </w:p>
        </w:tc>
        <w:tc>
          <w:tcPr>
            <w:tcW w:w="891" w:type="dxa"/>
          </w:tcPr>
          <w:p>
            <w:pPr>
              <w:pStyle w:val="TableParagraph"/>
              <w:spacing w:before="108"/>
              <w:ind w:right="122"/>
              <w:jc w:val="right"/>
              <w:rPr>
                <w:sz w:val="24"/>
              </w:rPr>
            </w:pPr>
            <w:r>
              <w:rPr>
                <w:w w:val="95"/>
                <w:sz w:val="24"/>
              </w:rPr>
              <w:t>0.121</w:t>
            </w:r>
          </w:p>
        </w:tc>
        <w:tc>
          <w:tcPr>
            <w:tcW w:w="969" w:type="dxa"/>
          </w:tcPr>
          <w:p>
            <w:pPr>
              <w:pStyle w:val="TableParagraph"/>
              <w:spacing w:before="108"/>
              <w:ind w:right="123"/>
              <w:jc w:val="right"/>
              <w:rPr>
                <w:sz w:val="24"/>
              </w:rPr>
            </w:pPr>
            <w:r>
              <w:rPr>
                <w:i/>
                <w:w w:val="105"/>
                <w:sz w:val="24"/>
              </w:rPr>
              <w:t>&lt; </w:t>
            </w:r>
            <w:r>
              <w:rPr>
                <w:w w:val="105"/>
                <w:sz w:val="24"/>
              </w:rPr>
              <w:t>.001</w:t>
            </w:r>
          </w:p>
        </w:tc>
        <w:tc>
          <w:tcPr>
            <w:tcW w:w="969" w:type="dxa"/>
          </w:tcPr>
          <w:p>
            <w:pPr>
              <w:pStyle w:val="TableParagraph"/>
              <w:spacing w:before="108"/>
              <w:ind w:right="124"/>
              <w:jc w:val="right"/>
              <w:rPr>
                <w:sz w:val="24"/>
              </w:rPr>
            </w:pPr>
            <w:r>
              <w:rPr>
                <w:i/>
                <w:w w:val="105"/>
                <w:sz w:val="24"/>
              </w:rPr>
              <w:t>&lt; </w:t>
            </w:r>
            <w:r>
              <w:rPr>
                <w:w w:val="105"/>
                <w:sz w:val="24"/>
              </w:rPr>
              <w:t>.001</w:t>
            </w:r>
          </w:p>
        </w:tc>
        <w:tc>
          <w:tcPr>
            <w:tcW w:w="967" w:type="dxa"/>
          </w:tcPr>
          <w:p>
            <w:pPr>
              <w:pStyle w:val="TableParagraph"/>
              <w:spacing w:before="108"/>
              <w:ind w:right="124"/>
              <w:jc w:val="right"/>
              <w:rPr>
                <w:sz w:val="24"/>
              </w:rPr>
            </w:pPr>
            <w:r>
              <w:rPr>
                <w:i/>
                <w:w w:val="105"/>
                <w:sz w:val="24"/>
              </w:rPr>
              <w:t>&lt; </w:t>
            </w:r>
            <w:r>
              <w:rPr>
                <w:w w:val="105"/>
                <w:sz w:val="24"/>
              </w:rPr>
              <w:t>.001</w:t>
            </w:r>
          </w:p>
        </w:tc>
        <w:tc>
          <w:tcPr>
            <w:tcW w:w="916" w:type="dxa"/>
          </w:tcPr>
          <w:p>
            <w:pPr>
              <w:pStyle w:val="TableParagraph"/>
              <w:spacing w:before="108"/>
              <w:ind w:right="124"/>
              <w:jc w:val="right"/>
              <w:rPr>
                <w:sz w:val="24"/>
              </w:rPr>
            </w:pPr>
            <w:r>
              <w:rPr>
                <w:w w:val="97"/>
                <w:sz w:val="24"/>
              </w:rPr>
              <w:t>–</w:t>
            </w:r>
          </w:p>
        </w:tc>
        <w:tc>
          <w:tcPr>
            <w:tcW w:w="305" w:type="dxa"/>
          </w:tcPr>
          <w:p>
            <w:pPr>
              <w:pStyle w:val="TableParagraph"/>
              <w:rPr>
                <w:sz w:val="22"/>
              </w:rPr>
            </w:pPr>
          </w:p>
        </w:tc>
        <w:tc>
          <w:tcPr>
            <w:tcW w:w="116" w:type="dxa"/>
          </w:tcPr>
          <w:p>
            <w:pPr>
              <w:pStyle w:val="TableParagraph"/>
              <w:rPr>
                <w:sz w:val="22"/>
              </w:rPr>
            </w:pPr>
          </w:p>
        </w:tc>
      </w:tr>
      <w:tr>
        <w:trPr>
          <w:trHeight w:val="478" w:hRule="atLeast"/>
        </w:trPr>
        <w:tc>
          <w:tcPr>
            <w:tcW w:w="1473" w:type="dxa"/>
          </w:tcPr>
          <w:p>
            <w:pPr>
              <w:pStyle w:val="TableParagraph"/>
              <w:spacing w:before="115"/>
              <w:ind w:left="119"/>
              <w:rPr>
                <w:sz w:val="24"/>
              </w:rPr>
            </w:pPr>
            <w:r>
              <w:rPr>
                <w:sz w:val="24"/>
              </w:rPr>
              <w:t>8</w:t>
            </w:r>
            <w:r>
              <w:rPr>
                <w:i/>
                <w:sz w:val="24"/>
              </w:rPr>
              <w:t>. </w:t>
            </w:r>
            <w:r>
              <w:rPr>
                <w:sz w:val="24"/>
              </w:rPr>
              <w:t>DGI-food</w:t>
            </w:r>
          </w:p>
        </w:tc>
        <w:tc>
          <w:tcPr>
            <w:tcW w:w="1253" w:type="dxa"/>
          </w:tcPr>
          <w:p>
            <w:pPr>
              <w:pStyle w:val="TableParagraph"/>
              <w:spacing w:before="115"/>
              <w:ind w:right="140"/>
              <w:jc w:val="right"/>
              <w:rPr>
                <w:i/>
                <w:sz w:val="24"/>
              </w:rPr>
            </w:pPr>
            <w:r>
              <w:rPr>
                <w:i/>
                <w:w w:val="105"/>
                <w:sz w:val="24"/>
              </w:rPr>
              <w:t>r</w:t>
            </w:r>
          </w:p>
        </w:tc>
        <w:tc>
          <w:tcPr>
            <w:tcW w:w="851" w:type="dxa"/>
          </w:tcPr>
          <w:p>
            <w:pPr>
              <w:pStyle w:val="TableParagraph"/>
              <w:spacing w:before="115"/>
              <w:ind w:right="118"/>
              <w:jc w:val="right"/>
              <w:rPr>
                <w:sz w:val="24"/>
              </w:rPr>
            </w:pPr>
            <w:r>
              <w:rPr>
                <w:w w:val="95"/>
                <w:sz w:val="24"/>
              </w:rPr>
              <w:t>0.075</w:t>
            </w:r>
          </w:p>
        </w:tc>
        <w:tc>
          <w:tcPr>
            <w:tcW w:w="852" w:type="dxa"/>
          </w:tcPr>
          <w:p>
            <w:pPr>
              <w:pStyle w:val="TableParagraph"/>
              <w:spacing w:before="115"/>
              <w:ind w:right="119"/>
              <w:jc w:val="right"/>
              <w:rPr>
                <w:sz w:val="24"/>
              </w:rPr>
            </w:pPr>
            <w:r>
              <w:rPr>
                <w:w w:val="95"/>
                <w:sz w:val="24"/>
              </w:rPr>
              <w:t>-0.161</w:t>
            </w:r>
          </w:p>
        </w:tc>
        <w:tc>
          <w:tcPr>
            <w:tcW w:w="891" w:type="dxa"/>
          </w:tcPr>
          <w:p>
            <w:pPr>
              <w:pStyle w:val="TableParagraph"/>
              <w:spacing w:before="115"/>
              <w:ind w:right="120"/>
              <w:jc w:val="right"/>
              <w:rPr>
                <w:sz w:val="24"/>
              </w:rPr>
            </w:pPr>
            <w:r>
              <w:rPr>
                <w:w w:val="95"/>
                <w:sz w:val="24"/>
              </w:rPr>
              <w:t>-0.189</w:t>
            </w:r>
          </w:p>
        </w:tc>
        <w:tc>
          <w:tcPr>
            <w:tcW w:w="969" w:type="dxa"/>
          </w:tcPr>
          <w:p>
            <w:pPr>
              <w:pStyle w:val="TableParagraph"/>
              <w:spacing w:before="115"/>
              <w:ind w:right="120"/>
              <w:jc w:val="right"/>
              <w:rPr>
                <w:sz w:val="24"/>
              </w:rPr>
            </w:pPr>
            <w:r>
              <w:rPr>
                <w:w w:val="95"/>
                <w:sz w:val="24"/>
              </w:rPr>
              <w:t>-0.612*</w:t>
            </w:r>
          </w:p>
        </w:tc>
        <w:tc>
          <w:tcPr>
            <w:tcW w:w="969" w:type="dxa"/>
          </w:tcPr>
          <w:p>
            <w:pPr>
              <w:pStyle w:val="TableParagraph"/>
              <w:spacing w:before="115"/>
              <w:ind w:right="121"/>
              <w:jc w:val="right"/>
              <w:rPr>
                <w:sz w:val="24"/>
              </w:rPr>
            </w:pPr>
            <w:r>
              <w:rPr>
                <w:w w:val="95"/>
                <w:sz w:val="24"/>
              </w:rPr>
              <w:t>-0.433*</w:t>
            </w:r>
          </w:p>
        </w:tc>
        <w:tc>
          <w:tcPr>
            <w:tcW w:w="967" w:type="dxa"/>
          </w:tcPr>
          <w:p>
            <w:pPr>
              <w:pStyle w:val="TableParagraph"/>
              <w:spacing w:before="115"/>
              <w:ind w:right="119"/>
              <w:jc w:val="right"/>
              <w:rPr>
                <w:sz w:val="24"/>
              </w:rPr>
            </w:pPr>
            <w:r>
              <w:rPr>
                <w:w w:val="95"/>
                <w:sz w:val="24"/>
              </w:rPr>
              <w:t>-0.226</w:t>
            </w:r>
          </w:p>
        </w:tc>
        <w:tc>
          <w:tcPr>
            <w:tcW w:w="916" w:type="dxa"/>
          </w:tcPr>
          <w:p>
            <w:pPr>
              <w:pStyle w:val="TableParagraph"/>
              <w:spacing w:before="115"/>
              <w:ind w:right="120"/>
              <w:jc w:val="right"/>
              <w:rPr>
                <w:sz w:val="24"/>
              </w:rPr>
            </w:pPr>
            <w:r>
              <w:rPr>
                <w:w w:val="95"/>
                <w:sz w:val="24"/>
              </w:rPr>
              <w:t>0.376*</w:t>
            </w:r>
          </w:p>
        </w:tc>
        <w:tc>
          <w:tcPr>
            <w:tcW w:w="305" w:type="dxa"/>
          </w:tcPr>
          <w:p>
            <w:pPr>
              <w:pStyle w:val="TableParagraph"/>
              <w:spacing w:before="115"/>
              <w:ind w:right="4"/>
              <w:jc w:val="right"/>
              <w:rPr>
                <w:sz w:val="24"/>
              </w:rPr>
            </w:pPr>
            <w:r>
              <w:rPr>
                <w:w w:val="97"/>
                <w:sz w:val="24"/>
              </w:rPr>
              <w:t>–</w:t>
            </w:r>
          </w:p>
        </w:tc>
        <w:tc>
          <w:tcPr>
            <w:tcW w:w="116" w:type="dxa"/>
          </w:tcPr>
          <w:p>
            <w:pPr>
              <w:pStyle w:val="TableParagraph"/>
              <w:rPr>
                <w:sz w:val="22"/>
              </w:rPr>
            </w:pPr>
          </w:p>
        </w:tc>
      </w:tr>
      <w:tr>
        <w:trPr>
          <w:trHeight w:val="484" w:hRule="atLeast"/>
        </w:trPr>
        <w:tc>
          <w:tcPr>
            <w:tcW w:w="1473" w:type="dxa"/>
          </w:tcPr>
          <w:p>
            <w:pPr>
              <w:pStyle w:val="TableParagraph"/>
              <w:rPr>
                <w:sz w:val="22"/>
              </w:rPr>
            </w:pPr>
          </w:p>
        </w:tc>
        <w:tc>
          <w:tcPr>
            <w:tcW w:w="1253" w:type="dxa"/>
          </w:tcPr>
          <w:p>
            <w:pPr>
              <w:pStyle w:val="TableParagraph"/>
              <w:spacing w:before="114"/>
              <w:ind w:right="118"/>
              <w:jc w:val="right"/>
              <w:rPr>
                <w:sz w:val="24"/>
              </w:rPr>
            </w:pPr>
            <w:r>
              <w:rPr>
                <w:sz w:val="24"/>
              </w:rPr>
              <w:t>log(</w:t>
            </w:r>
            <w:r>
              <w:rPr>
                <w:i/>
                <w:sz w:val="24"/>
              </w:rPr>
              <w:t>BF </w:t>
            </w:r>
            <w:r>
              <w:rPr>
                <w:rFonts w:ascii="Arial"/>
                <w:sz w:val="24"/>
                <w:vertAlign w:val="subscript"/>
              </w:rPr>
              <w:t>10</w:t>
            </w:r>
            <w:r>
              <w:rPr>
                <w:sz w:val="24"/>
                <w:vertAlign w:val="baseline"/>
              </w:rPr>
              <w:t>)</w:t>
            </w:r>
          </w:p>
        </w:tc>
        <w:tc>
          <w:tcPr>
            <w:tcW w:w="851" w:type="dxa"/>
          </w:tcPr>
          <w:p>
            <w:pPr>
              <w:pStyle w:val="TableParagraph"/>
              <w:spacing w:before="115"/>
              <w:ind w:right="117"/>
              <w:jc w:val="right"/>
              <w:rPr>
                <w:sz w:val="24"/>
              </w:rPr>
            </w:pPr>
            <w:r>
              <w:rPr>
                <w:w w:val="95"/>
                <w:sz w:val="24"/>
              </w:rPr>
              <w:t>-1.878</w:t>
            </w:r>
          </w:p>
        </w:tc>
        <w:tc>
          <w:tcPr>
            <w:tcW w:w="852" w:type="dxa"/>
          </w:tcPr>
          <w:p>
            <w:pPr>
              <w:pStyle w:val="TableParagraph"/>
              <w:spacing w:before="115"/>
              <w:ind w:right="118"/>
              <w:jc w:val="right"/>
              <w:rPr>
                <w:sz w:val="24"/>
              </w:rPr>
            </w:pPr>
            <w:r>
              <w:rPr>
                <w:w w:val="95"/>
                <w:sz w:val="24"/>
              </w:rPr>
              <w:t>-0.237</w:t>
            </w:r>
          </w:p>
        </w:tc>
        <w:tc>
          <w:tcPr>
            <w:tcW w:w="891" w:type="dxa"/>
          </w:tcPr>
          <w:p>
            <w:pPr>
              <w:pStyle w:val="TableParagraph"/>
              <w:spacing w:before="115"/>
              <w:ind w:right="120"/>
              <w:jc w:val="right"/>
              <w:rPr>
                <w:sz w:val="24"/>
              </w:rPr>
            </w:pPr>
            <w:r>
              <w:rPr>
                <w:w w:val="95"/>
                <w:sz w:val="24"/>
              </w:rPr>
              <w:t>0.577</w:t>
            </w:r>
          </w:p>
        </w:tc>
        <w:tc>
          <w:tcPr>
            <w:tcW w:w="969" w:type="dxa"/>
          </w:tcPr>
          <w:p>
            <w:pPr>
              <w:pStyle w:val="TableParagraph"/>
              <w:spacing w:before="115"/>
              <w:ind w:right="121"/>
              <w:jc w:val="right"/>
              <w:rPr>
                <w:sz w:val="24"/>
              </w:rPr>
            </w:pPr>
            <w:r>
              <w:rPr>
                <w:w w:val="95"/>
                <w:sz w:val="24"/>
              </w:rPr>
              <w:t>35.070</w:t>
            </w:r>
          </w:p>
        </w:tc>
        <w:tc>
          <w:tcPr>
            <w:tcW w:w="969" w:type="dxa"/>
          </w:tcPr>
          <w:p>
            <w:pPr>
              <w:pStyle w:val="TableParagraph"/>
              <w:spacing w:before="115"/>
              <w:ind w:right="123"/>
              <w:jc w:val="right"/>
              <w:rPr>
                <w:sz w:val="24"/>
              </w:rPr>
            </w:pPr>
            <w:r>
              <w:rPr>
                <w:w w:val="95"/>
                <w:sz w:val="24"/>
              </w:rPr>
              <w:t>14.168</w:t>
            </w:r>
          </w:p>
        </w:tc>
        <w:tc>
          <w:tcPr>
            <w:tcW w:w="967" w:type="dxa"/>
          </w:tcPr>
          <w:p>
            <w:pPr>
              <w:pStyle w:val="TableParagraph"/>
              <w:spacing w:before="115"/>
              <w:ind w:right="122"/>
              <w:jc w:val="right"/>
              <w:rPr>
                <w:sz w:val="24"/>
              </w:rPr>
            </w:pPr>
            <w:r>
              <w:rPr>
                <w:w w:val="95"/>
                <w:sz w:val="24"/>
              </w:rPr>
              <w:t>1.849</w:t>
            </w:r>
          </w:p>
        </w:tc>
        <w:tc>
          <w:tcPr>
            <w:tcW w:w="916" w:type="dxa"/>
          </w:tcPr>
          <w:p>
            <w:pPr>
              <w:pStyle w:val="TableParagraph"/>
              <w:spacing w:before="115"/>
              <w:ind w:right="123"/>
              <w:jc w:val="right"/>
              <w:rPr>
                <w:sz w:val="24"/>
              </w:rPr>
            </w:pPr>
            <w:r>
              <w:rPr>
                <w:w w:val="95"/>
                <w:sz w:val="24"/>
              </w:rPr>
              <w:t>9.777</w:t>
            </w:r>
          </w:p>
        </w:tc>
        <w:tc>
          <w:tcPr>
            <w:tcW w:w="305" w:type="dxa"/>
          </w:tcPr>
          <w:p>
            <w:pPr>
              <w:pStyle w:val="TableParagraph"/>
              <w:spacing w:before="115"/>
              <w:ind w:right="7"/>
              <w:jc w:val="right"/>
              <w:rPr>
                <w:sz w:val="24"/>
              </w:rPr>
            </w:pPr>
            <w:r>
              <w:rPr>
                <w:w w:val="97"/>
                <w:sz w:val="24"/>
              </w:rPr>
              <w:t>–</w:t>
            </w:r>
          </w:p>
        </w:tc>
        <w:tc>
          <w:tcPr>
            <w:tcW w:w="116" w:type="dxa"/>
          </w:tcPr>
          <w:p>
            <w:pPr>
              <w:pStyle w:val="TableParagraph"/>
              <w:rPr>
                <w:sz w:val="22"/>
              </w:rPr>
            </w:pPr>
          </w:p>
        </w:tc>
      </w:tr>
      <w:tr>
        <w:trPr>
          <w:trHeight w:val="516" w:hRule="atLeast"/>
        </w:trPr>
        <w:tc>
          <w:tcPr>
            <w:tcW w:w="1473" w:type="dxa"/>
            <w:tcBorders>
              <w:bottom w:val="single" w:sz="8" w:space="0" w:color="000000"/>
            </w:tcBorders>
          </w:tcPr>
          <w:p>
            <w:pPr>
              <w:pStyle w:val="TableParagraph"/>
              <w:rPr>
                <w:sz w:val="22"/>
              </w:rPr>
            </w:pPr>
          </w:p>
        </w:tc>
        <w:tc>
          <w:tcPr>
            <w:tcW w:w="1253" w:type="dxa"/>
            <w:tcBorders>
              <w:bottom w:val="single" w:sz="8" w:space="0" w:color="000000"/>
            </w:tcBorders>
          </w:tcPr>
          <w:p>
            <w:pPr>
              <w:pStyle w:val="TableParagraph"/>
              <w:spacing w:before="108"/>
              <w:ind w:right="124"/>
              <w:jc w:val="right"/>
              <w:rPr>
                <w:i/>
                <w:sz w:val="24"/>
              </w:rPr>
            </w:pPr>
            <w:r>
              <w:rPr>
                <w:i/>
                <w:w w:val="99"/>
                <w:sz w:val="24"/>
              </w:rPr>
              <w:t>p</w:t>
            </w:r>
          </w:p>
        </w:tc>
        <w:tc>
          <w:tcPr>
            <w:tcW w:w="851" w:type="dxa"/>
            <w:tcBorders>
              <w:bottom w:val="single" w:sz="8" w:space="0" w:color="000000"/>
            </w:tcBorders>
          </w:tcPr>
          <w:p>
            <w:pPr>
              <w:pStyle w:val="TableParagraph"/>
              <w:spacing w:before="108"/>
              <w:ind w:right="118"/>
              <w:jc w:val="right"/>
              <w:rPr>
                <w:sz w:val="24"/>
              </w:rPr>
            </w:pPr>
            <w:r>
              <w:rPr>
                <w:w w:val="95"/>
                <w:sz w:val="24"/>
              </w:rPr>
              <w:t>0.343</w:t>
            </w:r>
          </w:p>
        </w:tc>
        <w:tc>
          <w:tcPr>
            <w:tcW w:w="852" w:type="dxa"/>
            <w:tcBorders>
              <w:bottom w:val="single" w:sz="8" w:space="0" w:color="000000"/>
            </w:tcBorders>
          </w:tcPr>
          <w:p>
            <w:pPr>
              <w:pStyle w:val="TableParagraph"/>
              <w:spacing w:before="108"/>
              <w:ind w:right="120"/>
              <w:jc w:val="right"/>
              <w:rPr>
                <w:sz w:val="24"/>
              </w:rPr>
            </w:pPr>
            <w:r>
              <w:rPr>
                <w:w w:val="95"/>
                <w:sz w:val="24"/>
              </w:rPr>
              <w:t>0.040</w:t>
            </w:r>
          </w:p>
        </w:tc>
        <w:tc>
          <w:tcPr>
            <w:tcW w:w="891" w:type="dxa"/>
            <w:tcBorders>
              <w:bottom w:val="single" w:sz="8" w:space="0" w:color="000000"/>
            </w:tcBorders>
          </w:tcPr>
          <w:p>
            <w:pPr>
              <w:pStyle w:val="TableParagraph"/>
              <w:spacing w:before="108"/>
              <w:ind w:right="122"/>
              <w:jc w:val="right"/>
              <w:rPr>
                <w:sz w:val="24"/>
              </w:rPr>
            </w:pPr>
            <w:r>
              <w:rPr>
                <w:w w:val="95"/>
                <w:sz w:val="24"/>
              </w:rPr>
              <w:t>0.016</w:t>
            </w:r>
          </w:p>
        </w:tc>
        <w:tc>
          <w:tcPr>
            <w:tcW w:w="969" w:type="dxa"/>
            <w:tcBorders>
              <w:bottom w:val="single" w:sz="8" w:space="0" w:color="000000"/>
            </w:tcBorders>
          </w:tcPr>
          <w:p>
            <w:pPr>
              <w:pStyle w:val="TableParagraph"/>
              <w:spacing w:before="108"/>
              <w:ind w:right="123"/>
              <w:jc w:val="right"/>
              <w:rPr>
                <w:sz w:val="24"/>
              </w:rPr>
            </w:pPr>
            <w:r>
              <w:rPr>
                <w:i/>
                <w:w w:val="105"/>
                <w:sz w:val="24"/>
              </w:rPr>
              <w:t>&lt; </w:t>
            </w:r>
            <w:r>
              <w:rPr>
                <w:w w:val="105"/>
                <w:sz w:val="24"/>
              </w:rPr>
              <w:t>.001</w:t>
            </w:r>
          </w:p>
        </w:tc>
        <w:tc>
          <w:tcPr>
            <w:tcW w:w="969" w:type="dxa"/>
            <w:tcBorders>
              <w:bottom w:val="single" w:sz="8" w:space="0" w:color="000000"/>
            </w:tcBorders>
          </w:tcPr>
          <w:p>
            <w:pPr>
              <w:pStyle w:val="TableParagraph"/>
              <w:spacing w:before="108"/>
              <w:ind w:right="124"/>
              <w:jc w:val="right"/>
              <w:rPr>
                <w:sz w:val="24"/>
              </w:rPr>
            </w:pPr>
            <w:r>
              <w:rPr>
                <w:i/>
                <w:w w:val="105"/>
                <w:sz w:val="24"/>
              </w:rPr>
              <w:t>&lt; </w:t>
            </w:r>
            <w:r>
              <w:rPr>
                <w:w w:val="105"/>
                <w:sz w:val="24"/>
              </w:rPr>
              <w:t>.001</w:t>
            </w:r>
          </w:p>
        </w:tc>
        <w:tc>
          <w:tcPr>
            <w:tcW w:w="967" w:type="dxa"/>
            <w:tcBorders>
              <w:bottom w:val="single" w:sz="8" w:space="0" w:color="000000"/>
            </w:tcBorders>
          </w:tcPr>
          <w:p>
            <w:pPr>
              <w:pStyle w:val="TableParagraph"/>
              <w:spacing w:before="108"/>
              <w:ind w:right="124"/>
              <w:jc w:val="right"/>
              <w:rPr>
                <w:sz w:val="24"/>
              </w:rPr>
            </w:pPr>
            <w:r>
              <w:rPr>
                <w:w w:val="95"/>
                <w:sz w:val="24"/>
              </w:rPr>
              <w:t>0.004</w:t>
            </w:r>
          </w:p>
        </w:tc>
        <w:tc>
          <w:tcPr>
            <w:tcW w:w="916" w:type="dxa"/>
            <w:tcBorders>
              <w:bottom w:val="single" w:sz="8" w:space="0" w:color="000000"/>
            </w:tcBorders>
          </w:tcPr>
          <w:p>
            <w:pPr>
              <w:pStyle w:val="TableParagraph"/>
              <w:spacing w:before="108"/>
              <w:ind w:right="124"/>
              <w:jc w:val="right"/>
              <w:rPr>
                <w:sz w:val="24"/>
              </w:rPr>
            </w:pPr>
            <w:r>
              <w:rPr>
                <w:i/>
                <w:w w:val="105"/>
                <w:sz w:val="24"/>
              </w:rPr>
              <w:t>&lt; </w:t>
            </w:r>
            <w:r>
              <w:rPr>
                <w:w w:val="105"/>
                <w:sz w:val="24"/>
              </w:rPr>
              <w:t>.001</w:t>
            </w:r>
          </w:p>
        </w:tc>
        <w:tc>
          <w:tcPr>
            <w:tcW w:w="305" w:type="dxa"/>
            <w:tcBorders>
              <w:bottom w:val="single" w:sz="8" w:space="0" w:color="000000"/>
            </w:tcBorders>
          </w:tcPr>
          <w:p>
            <w:pPr>
              <w:pStyle w:val="TableParagraph"/>
              <w:spacing w:before="108"/>
              <w:ind w:right="8"/>
              <w:jc w:val="right"/>
              <w:rPr>
                <w:sz w:val="24"/>
              </w:rPr>
            </w:pPr>
            <w:r>
              <w:rPr>
                <w:w w:val="97"/>
                <w:sz w:val="24"/>
              </w:rPr>
              <w:t>–</w:t>
            </w:r>
          </w:p>
        </w:tc>
        <w:tc>
          <w:tcPr>
            <w:tcW w:w="116" w:type="dxa"/>
            <w:tcBorders>
              <w:bottom w:val="single" w:sz="8" w:space="0" w:color="000000"/>
            </w:tcBorders>
          </w:tcPr>
          <w:p>
            <w:pPr>
              <w:pStyle w:val="TableParagraph"/>
              <w:rPr>
                <w:sz w:val="22"/>
              </w:rPr>
            </w:pPr>
          </w:p>
        </w:tc>
      </w:tr>
    </w:tbl>
    <w:p>
      <w:pPr>
        <w:spacing w:line="398" w:lineRule="auto" w:before="28"/>
        <w:ind w:left="620" w:right="0" w:hanging="12"/>
        <w:jc w:val="left"/>
        <w:rPr>
          <w:sz w:val="20"/>
        </w:rPr>
      </w:pPr>
      <w:r>
        <w:rPr>
          <w:i/>
          <w:w w:val="110"/>
          <w:sz w:val="20"/>
        </w:rPr>
        <w:t>Note.</w:t>
      </w:r>
      <w:r>
        <w:rPr>
          <w:i/>
          <w:spacing w:val="-2"/>
          <w:w w:val="110"/>
          <w:sz w:val="20"/>
        </w:rPr>
        <w:t> </w:t>
      </w:r>
      <w:r>
        <w:rPr>
          <w:w w:val="110"/>
          <w:sz w:val="20"/>
        </w:rPr>
        <w:t>Age</w:t>
      </w:r>
      <w:r>
        <w:rPr>
          <w:spacing w:val="-15"/>
          <w:w w:val="110"/>
          <w:sz w:val="20"/>
        </w:rPr>
        <w:t> </w:t>
      </w:r>
      <w:r>
        <w:rPr>
          <w:w w:val="110"/>
          <w:sz w:val="20"/>
        </w:rPr>
        <w:t>was</w:t>
      </w:r>
      <w:r>
        <w:rPr>
          <w:spacing w:val="-15"/>
          <w:w w:val="110"/>
          <w:sz w:val="20"/>
        </w:rPr>
        <w:t> </w:t>
      </w:r>
      <w:r>
        <w:rPr>
          <w:w w:val="110"/>
          <w:sz w:val="20"/>
        </w:rPr>
        <w:t>self-reported</w:t>
      </w:r>
      <w:r>
        <w:rPr>
          <w:spacing w:val="-15"/>
          <w:w w:val="110"/>
          <w:sz w:val="20"/>
        </w:rPr>
        <w:t> </w:t>
      </w:r>
      <w:r>
        <w:rPr>
          <w:w w:val="110"/>
          <w:sz w:val="20"/>
        </w:rPr>
        <w:t>in</w:t>
      </w:r>
      <w:r>
        <w:rPr>
          <w:spacing w:val="-15"/>
          <w:w w:val="110"/>
          <w:sz w:val="20"/>
        </w:rPr>
        <w:t> </w:t>
      </w:r>
      <w:r>
        <w:rPr>
          <w:w w:val="110"/>
          <w:sz w:val="20"/>
        </w:rPr>
        <w:t>years</w:t>
      </w:r>
      <w:r>
        <w:rPr>
          <w:spacing w:val="-15"/>
          <w:w w:val="110"/>
          <w:sz w:val="20"/>
        </w:rPr>
        <w:t> </w:t>
      </w:r>
      <w:r>
        <w:rPr>
          <w:w w:val="110"/>
          <w:sz w:val="20"/>
        </w:rPr>
        <w:t>and</w:t>
      </w:r>
      <w:r>
        <w:rPr>
          <w:spacing w:val="-15"/>
          <w:w w:val="110"/>
          <w:sz w:val="20"/>
        </w:rPr>
        <w:t> </w:t>
      </w:r>
      <w:r>
        <w:rPr>
          <w:w w:val="110"/>
          <w:sz w:val="20"/>
        </w:rPr>
        <w:t>hunger</w:t>
      </w:r>
      <w:r>
        <w:rPr>
          <w:spacing w:val="-15"/>
          <w:w w:val="110"/>
          <w:sz w:val="20"/>
        </w:rPr>
        <w:t> </w:t>
      </w:r>
      <w:r>
        <w:rPr>
          <w:w w:val="110"/>
          <w:sz w:val="20"/>
        </w:rPr>
        <w:t>ratings</w:t>
      </w:r>
      <w:r>
        <w:rPr>
          <w:spacing w:val="-15"/>
          <w:w w:val="110"/>
          <w:sz w:val="20"/>
        </w:rPr>
        <w:t> </w:t>
      </w:r>
      <w:r>
        <w:rPr>
          <w:w w:val="110"/>
          <w:sz w:val="20"/>
        </w:rPr>
        <w:t>ranged</w:t>
      </w:r>
      <w:r>
        <w:rPr>
          <w:spacing w:val="-15"/>
          <w:w w:val="110"/>
          <w:sz w:val="20"/>
        </w:rPr>
        <w:t> </w:t>
      </w:r>
      <w:r>
        <w:rPr>
          <w:w w:val="110"/>
          <w:sz w:val="20"/>
        </w:rPr>
        <w:t>from</w:t>
      </w:r>
      <w:r>
        <w:rPr>
          <w:spacing w:val="-15"/>
          <w:w w:val="110"/>
          <w:sz w:val="20"/>
        </w:rPr>
        <w:t> </w:t>
      </w:r>
      <w:r>
        <w:rPr>
          <w:w w:val="110"/>
          <w:sz w:val="20"/>
        </w:rPr>
        <w:t>1="Not</w:t>
      </w:r>
      <w:r>
        <w:rPr>
          <w:spacing w:val="-15"/>
          <w:w w:val="110"/>
          <w:sz w:val="20"/>
        </w:rPr>
        <w:t> </w:t>
      </w:r>
      <w:r>
        <w:rPr>
          <w:w w:val="110"/>
          <w:sz w:val="20"/>
        </w:rPr>
        <w:t>at</w:t>
      </w:r>
      <w:r>
        <w:rPr>
          <w:spacing w:val="-15"/>
          <w:w w:val="110"/>
          <w:sz w:val="20"/>
        </w:rPr>
        <w:t> </w:t>
      </w:r>
      <w:r>
        <w:rPr>
          <w:w w:val="110"/>
          <w:sz w:val="20"/>
        </w:rPr>
        <w:t>all"</w:t>
      </w:r>
      <w:r>
        <w:rPr>
          <w:spacing w:val="-15"/>
          <w:w w:val="110"/>
          <w:sz w:val="20"/>
        </w:rPr>
        <w:t> </w:t>
      </w:r>
      <w:r>
        <w:rPr>
          <w:w w:val="110"/>
          <w:sz w:val="20"/>
        </w:rPr>
        <w:t>to</w:t>
      </w:r>
      <w:r>
        <w:rPr>
          <w:spacing w:val="-15"/>
          <w:w w:val="110"/>
          <w:sz w:val="20"/>
        </w:rPr>
        <w:t> </w:t>
      </w:r>
      <w:r>
        <w:rPr>
          <w:w w:val="110"/>
          <w:sz w:val="20"/>
        </w:rPr>
        <w:t>9="Very".</w:t>
      </w:r>
      <w:r>
        <w:rPr>
          <w:spacing w:val="-1"/>
          <w:w w:val="110"/>
          <w:sz w:val="20"/>
        </w:rPr>
        <w:t> </w:t>
      </w:r>
      <w:r>
        <w:rPr>
          <w:w w:val="110"/>
          <w:sz w:val="20"/>
        </w:rPr>
        <w:t>Body-mass index (BMI; kg/m</w:t>
      </w:r>
      <w:r>
        <w:rPr>
          <w:rFonts w:ascii="Arial"/>
          <w:w w:val="110"/>
          <w:position w:val="7"/>
          <w:sz w:val="14"/>
        </w:rPr>
        <w:t>2</w:t>
      </w:r>
      <w:r>
        <w:rPr>
          <w:w w:val="110"/>
          <w:sz w:val="20"/>
        </w:rPr>
        <w:t>); * Supported correlations at </w:t>
      </w:r>
      <w:r>
        <w:rPr>
          <w:i/>
          <w:w w:val="110"/>
          <w:sz w:val="20"/>
        </w:rPr>
        <w:t>BF </w:t>
      </w:r>
      <w:r>
        <w:rPr>
          <w:rFonts w:ascii="Arial"/>
          <w:spacing w:val="4"/>
          <w:w w:val="110"/>
          <w:sz w:val="20"/>
          <w:vertAlign w:val="subscript"/>
        </w:rPr>
        <w:t>10</w:t>
      </w:r>
      <w:r>
        <w:rPr>
          <w:rFonts w:ascii="Arial"/>
          <w:spacing w:val="4"/>
          <w:w w:val="110"/>
          <w:sz w:val="20"/>
          <w:vertAlign w:val="baseline"/>
        </w:rPr>
        <w:t> </w:t>
      </w:r>
      <w:r>
        <w:rPr>
          <w:w w:val="110"/>
          <w:sz w:val="20"/>
          <w:vertAlign w:val="baseline"/>
        </w:rPr>
        <w:t>&gt;</w:t>
      </w:r>
      <w:r>
        <w:rPr>
          <w:spacing w:val="54"/>
          <w:w w:val="110"/>
          <w:sz w:val="20"/>
          <w:vertAlign w:val="baseline"/>
        </w:rPr>
        <w:t> </w:t>
      </w:r>
      <w:r>
        <w:rPr>
          <w:w w:val="110"/>
          <w:sz w:val="20"/>
          <w:vertAlign w:val="baseline"/>
        </w:rPr>
        <w:t>10</w:t>
      </w:r>
    </w:p>
    <w:p>
      <w:pPr>
        <w:spacing w:after="0" w:line="398" w:lineRule="auto"/>
        <w:jc w:val="left"/>
        <w:rPr>
          <w:sz w:val="20"/>
        </w:rPr>
        <w:sectPr>
          <w:pgSz w:w="12240" w:h="15840"/>
          <w:pgMar w:header="649" w:footer="0" w:top="1320" w:bottom="280" w:left="820" w:right="1140"/>
        </w:sectPr>
      </w:pPr>
    </w:p>
    <w:p>
      <w:pPr>
        <w:tabs>
          <w:tab w:pos="4670" w:val="left" w:leader="none"/>
        </w:tabs>
        <w:spacing w:before="191"/>
        <w:ind w:left="230" w:right="0" w:firstLine="0"/>
        <w:jc w:val="left"/>
        <w:rPr>
          <w:b/>
          <w:sz w:val="24"/>
        </w:rPr>
      </w:pPr>
      <w:r>
        <w:rPr>
          <w:rFonts w:ascii="Arial"/>
          <w:w w:val="110"/>
          <w:sz w:val="12"/>
        </w:rPr>
        <w:t>795</w:t>
        <w:tab/>
      </w:r>
      <w:bookmarkStart w:name="References" w:id="74"/>
      <w:bookmarkEnd w:id="74"/>
      <w:r>
        <w:rPr>
          <w:rFonts w:ascii="Arial"/>
          <w:w w:val="110"/>
          <w:sz w:val="12"/>
        </w:rPr>
      </w:r>
      <w:r>
        <w:rPr>
          <w:b/>
          <w:w w:val="110"/>
          <w:sz w:val="24"/>
        </w:rPr>
        <w:t>References</w:t>
      </w:r>
    </w:p>
    <w:p>
      <w:pPr>
        <w:pStyle w:val="BodyText"/>
        <w:spacing w:before="0"/>
        <w:ind w:left="0"/>
        <w:rPr>
          <w:b/>
          <w:sz w:val="20"/>
        </w:rPr>
      </w:pPr>
    </w:p>
    <w:p>
      <w:pPr>
        <w:pStyle w:val="BodyText"/>
        <w:spacing w:before="10"/>
        <w:ind w:left="0"/>
        <w:rPr>
          <w:b/>
          <w:sz w:val="28"/>
        </w:rPr>
      </w:pPr>
    </w:p>
    <w:p>
      <w:pPr>
        <w:pStyle w:val="BodyText"/>
        <w:spacing w:before="145"/>
      </w:pPr>
      <w:r>
        <w:rPr>
          <w:rFonts w:ascii="Arial"/>
          <w:w w:val="105"/>
          <w:sz w:val="12"/>
        </w:rPr>
        <w:t>796 </w:t>
      </w:r>
      <w:r>
        <w:rPr>
          <w:w w:val="105"/>
        </w:rPr>
        <w:t>Adams, R. C., Lawrence, N. S., Verbruggen, F., &amp; Chambers, C. D. (2017). Training</w:t>
      </w:r>
    </w:p>
    <w:p>
      <w:pPr>
        <w:pStyle w:val="BodyText"/>
        <w:tabs>
          <w:tab w:pos="1339" w:val="left" w:leader="none"/>
        </w:tabs>
      </w:pPr>
      <w:r>
        <w:rPr>
          <w:rFonts w:ascii="Arial"/>
          <w:sz w:val="12"/>
        </w:rPr>
        <w:t>797</w:t>
        <w:tab/>
      </w:r>
      <w:r>
        <w:rPr/>
        <w:t>response</w:t>
      </w:r>
      <w:r>
        <w:rPr>
          <w:spacing w:val="24"/>
        </w:rPr>
        <w:t> </w:t>
      </w:r>
      <w:r>
        <w:rPr/>
        <w:t>inhibition</w:t>
      </w:r>
      <w:r>
        <w:rPr>
          <w:spacing w:val="25"/>
        </w:rPr>
        <w:t> </w:t>
      </w:r>
      <w:r>
        <w:rPr/>
        <w:t>to</w:t>
      </w:r>
      <w:r>
        <w:rPr>
          <w:spacing w:val="24"/>
        </w:rPr>
        <w:t> </w:t>
      </w:r>
      <w:r>
        <w:rPr/>
        <w:t>reduce</w:t>
      </w:r>
      <w:r>
        <w:rPr>
          <w:spacing w:val="25"/>
        </w:rPr>
        <w:t> </w:t>
      </w:r>
      <w:r>
        <w:rPr>
          <w:spacing w:val="3"/>
        </w:rPr>
        <w:t>food</w:t>
      </w:r>
      <w:r>
        <w:rPr>
          <w:spacing w:val="24"/>
        </w:rPr>
        <w:t> </w:t>
      </w:r>
      <w:r>
        <w:rPr/>
        <w:t>consumption:</w:t>
      </w:r>
      <w:r>
        <w:rPr>
          <w:spacing w:val="55"/>
        </w:rPr>
        <w:t> </w:t>
      </w:r>
      <w:r>
        <w:rPr/>
        <w:t>Mechanisms,</w:t>
      </w:r>
      <w:r>
        <w:rPr>
          <w:spacing w:val="24"/>
        </w:rPr>
        <w:t> </w:t>
      </w:r>
      <w:r>
        <w:rPr/>
        <w:t>stimulus</w:t>
      </w:r>
      <w:r>
        <w:rPr>
          <w:spacing w:val="25"/>
        </w:rPr>
        <w:t> </w:t>
      </w:r>
      <w:r>
        <w:rPr/>
        <w:t>specificity</w:t>
      </w:r>
      <w:r>
        <w:rPr>
          <w:spacing w:val="24"/>
        </w:rPr>
        <w:t> </w:t>
      </w:r>
      <w:r>
        <w:rPr/>
        <w:t>and</w:t>
      </w:r>
    </w:p>
    <w:p>
      <w:pPr>
        <w:tabs>
          <w:tab w:pos="1339" w:val="left" w:leader="none"/>
        </w:tabs>
        <w:spacing w:before="203"/>
        <w:ind w:left="230" w:right="0" w:firstLine="0"/>
        <w:jc w:val="left"/>
        <w:rPr>
          <w:sz w:val="24"/>
        </w:rPr>
      </w:pPr>
      <w:r>
        <w:rPr>
          <w:rFonts w:ascii="Arial" w:hAnsi="Arial"/>
          <w:w w:val="105"/>
          <w:sz w:val="12"/>
        </w:rPr>
        <w:t>798</w:t>
        <w:tab/>
      </w:r>
      <w:r>
        <w:rPr>
          <w:w w:val="105"/>
          <w:sz w:val="24"/>
        </w:rPr>
        <w:t>appropriate training protocols. </w:t>
      </w:r>
      <w:r>
        <w:rPr>
          <w:i/>
          <w:spacing w:val="-3"/>
          <w:w w:val="105"/>
          <w:sz w:val="24"/>
        </w:rPr>
        <w:t>Appetite</w:t>
      </w:r>
      <w:r>
        <w:rPr>
          <w:spacing w:val="-3"/>
          <w:w w:val="105"/>
          <w:sz w:val="24"/>
        </w:rPr>
        <w:t>, </w:t>
      </w:r>
      <w:r>
        <w:rPr>
          <w:i/>
          <w:w w:val="105"/>
          <w:sz w:val="24"/>
        </w:rPr>
        <w:t>109</w:t>
      </w:r>
      <w:r>
        <w:rPr>
          <w:w w:val="105"/>
          <w:sz w:val="24"/>
        </w:rPr>
        <w:t>,</w:t>
      </w:r>
      <w:r>
        <w:rPr>
          <w:spacing w:val="38"/>
          <w:w w:val="105"/>
          <w:sz w:val="24"/>
        </w:rPr>
        <w:t> </w:t>
      </w:r>
      <w:r>
        <w:rPr>
          <w:w w:val="105"/>
          <w:sz w:val="24"/>
        </w:rPr>
        <w:t>11–23.</w:t>
      </w:r>
    </w:p>
    <w:p>
      <w:pPr>
        <w:pStyle w:val="BodyText"/>
        <w:tabs>
          <w:tab w:pos="1339" w:val="left" w:leader="none"/>
        </w:tabs>
      </w:pPr>
      <w:r>
        <w:rPr>
          <w:rFonts w:ascii="Arial"/>
          <w:w w:val="105"/>
          <w:sz w:val="12"/>
        </w:rPr>
        <w:t>799</w:t>
        <w:tab/>
      </w:r>
      <w:hyperlink r:id="rId14">
        <w:r>
          <w:rPr>
            <w:w w:val="105"/>
          </w:rPr>
          <w:t>https://doi.org/10.1016/j.appet.2016.11.014</w:t>
        </w:r>
      </w:hyperlink>
    </w:p>
    <w:p>
      <w:pPr>
        <w:pStyle w:val="BodyText"/>
        <w:spacing w:before="6"/>
        <w:ind w:left="0"/>
        <w:rPr>
          <w:sz w:val="29"/>
        </w:rPr>
      </w:pPr>
    </w:p>
    <w:p>
      <w:pPr>
        <w:pStyle w:val="BodyText"/>
        <w:tabs>
          <w:tab w:pos="1296" w:val="left" w:leader="none"/>
          <w:tab w:pos="1339" w:val="left" w:leader="none"/>
        </w:tabs>
        <w:spacing w:line="415" w:lineRule="auto" w:before="145"/>
        <w:ind w:right="256"/>
        <w:jc w:val="both"/>
      </w:pPr>
      <w:r>
        <w:rPr>
          <w:rFonts w:ascii="Arial"/>
          <w:w w:val="105"/>
          <w:sz w:val="12"/>
        </w:rPr>
        <w:t>800 </w:t>
      </w:r>
      <w:r>
        <w:rPr>
          <w:w w:val="105"/>
        </w:rPr>
        <w:t>Allen, M., Poggiali, D., Whitaker, K., Marshall, T., &amp; Kievit, R. (2019). Raincloud plots:</w:t>
      </w:r>
      <w:r>
        <w:rPr>
          <w:spacing w:val="63"/>
          <w:w w:val="105"/>
        </w:rPr>
        <w:t> </w:t>
      </w:r>
      <w:r>
        <w:rPr>
          <w:w w:val="105"/>
        </w:rPr>
        <w:t>A </w:t>
      </w:r>
      <w:r>
        <w:rPr>
          <w:rFonts w:ascii="Arial"/>
          <w:w w:val="105"/>
          <w:sz w:val="12"/>
        </w:rPr>
        <w:t>801</w:t>
        <w:tab/>
        <w:tab/>
      </w:r>
      <w:r>
        <w:rPr>
          <w:w w:val="105"/>
        </w:rPr>
        <w:t>multi-platform tool for robust data visualization [version 1; peer review: 2 approved]. </w:t>
      </w:r>
      <w:r>
        <w:rPr>
          <w:rFonts w:ascii="Arial"/>
          <w:w w:val="105"/>
          <w:sz w:val="12"/>
        </w:rPr>
        <w:t>802</w:t>
        <w:tab/>
      </w:r>
      <w:r>
        <w:rPr>
          <w:i/>
          <w:w w:val="105"/>
        </w:rPr>
        <w:t>Wellcome </w:t>
      </w:r>
      <w:r>
        <w:rPr>
          <w:i/>
          <w:spacing w:val="-3"/>
          <w:w w:val="105"/>
        </w:rPr>
        <w:t>Open </w:t>
      </w:r>
      <w:r>
        <w:rPr>
          <w:i/>
          <w:spacing w:val="-5"/>
          <w:w w:val="105"/>
        </w:rPr>
        <w:t>Research</w:t>
      </w:r>
      <w:r>
        <w:rPr>
          <w:spacing w:val="-5"/>
          <w:w w:val="105"/>
        </w:rPr>
        <w:t>, </w:t>
      </w:r>
      <w:r>
        <w:rPr>
          <w:i/>
          <w:w w:val="105"/>
        </w:rPr>
        <w:t>4 </w:t>
      </w:r>
      <w:r>
        <w:rPr>
          <w:w w:val="105"/>
        </w:rPr>
        <w:t>(63).</w:t>
      </w:r>
      <w:r>
        <w:rPr>
          <w:spacing w:val="41"/>
          <w:w w:val="105"/>
        </w:rPr>
        <w:t> </w:t>
      </w:r>
      <w:hyperlink r:id="rId15">
        <w:r>
          <w:rPr>
            <w:w w:val="105"/>
          </w:rPr>
          <w:t>https://doi.org/10.12688/wellcomeopenres.15191.1</w:t>
        </w:r>
      </w:hyperlink>
    </w:p>
    <w:p>
      <w:pPr>
        <w:pStyle w:val="BodyText"/>
        <w:spacing w:before="2"/>
        <w:ind w:left="0"/>
        <w:rPr>
          <w:sz w:val="12"/>
        </w:rPr>
      </w:pPr>
    </w:p>
    <w:p>
      <w:pPr>
        <w:pStyle w:val="BodyText"/>
        <w:spacing w:before="145"/>
      </w:pPr>
      <w:r>
        <w:rPr>
          <w:rFonts w:ascii="Arial"/>
          <w:w w:val="105"/>
          <w:sz w:val="12"/>
        </w:rPr>
        <w:t>803 </w:t>
      </w:r>
      <w:r>
        <w:rPr>
          <w:w w:val="105"/>
        </w:rPr>
        <w:t>Allen, M., Poggiali, D., Whitaker, K., Marshall, T. R., &amp; Kievit, R. (2018).</w:t>
      </w:r>
      <w:r>
        <w:rPr>
          <w:spacing w:val="59"/>
          <w:w w:val="105"/>
        </w:rPr>
        <w:t> </w:t>
      </w:r>
      <w:r>
        <w:rPr>
          <w:w w:val="105"/>
        </w:rPr>
        <w:t>RainCloudPlots</w:t>
      </w:r>
    </w:p>
    <w:p>
      <w:pPr>
        <w:pStyle w:val="BodyText"/>
        <w:tabs>
          <w:tab w:pos="1339" w:val="left" w:leader="none"/>
        </w:tabs>
      </w:pPr>
      <w:r>
        <w:rPr>
          <w:rFonts w:ascii="Arial"/>
          <w:w w:val="105"/>
          <w:sz w:val="12"/>
        </w:rPr>
        <w:t>804</w:t>
        <w:tab/>
      </w:r>
      <w:r>
        <w:rPr>
          <w:w w:val="105"/>
        </w:rPr>
        <w:t>tutorials and codebase. Zenodo.</w:t>
      </w:r>
      <w:r>
        <w:rPr>
          <w:spacing w:val="57"/>
          <w:w w:val="105"/>
        </w:rPr>
        <w:t> </w:t>
      </w:r>
      <w:hyperlink r:id="rId16">
        <w:r>
          <w:rPr>
            <w:w w:val="105"/>
          </w:rPr>
          <w:t>https://doi.org/10.5281/zenodo.1402959</w:t>
        </w:r>
      </w:hyperlink>
    </w:p>
    <w:p>
      <w:pPr>
        <w:pStyle w:val="BodyText"/>
        <w:spacing w:before="6"/>
        <w:ind w:left="0"/>
        <w:rPr>
          <w:sz w:val="29"/>
        </w:rPr>
      </w:pPr>
    </w:p>
    <w:p>
      <w:pPr>
        <w:pStyle w:val="BodyText"/>
        <w:spacing w:before="146"/>
      </w:pPr>
      <w:r>
        <w:rPr>
          <w:rFonts w:ascii="Arial"/>
          <w:w w:val="105"/>
          <w:sz w:val="12"/>
        </w:rPr>
        <w:t>805 </w:t>
      </w:r>
      <w:r>
        <w:rPr>
          <w:w w:val="105"/>
        </w:rPr>
        <w:t>Allom, V., Mullan, B., &amp; Hagger, M. (2016). Does inhibitory control training improve health</w:t>
      </w:r>
    </w:p>
    <w:p>
      <w:pPr>
        <w:tabs>
          <w:tab w:pos="1339" w:val="left" w:leader="none"/>
        </w:tabs>
        <w:spacing w:before="202"/>
        <w:ind w:left="230" w:right="0" w:firstLine="0"/>
        <w:jc w:val="left"/>
        <w:rPr>
          <w:sz w:val="24"/>
        </w:rPr>
      </w:pPr>
      <w:r>
        <w:rPr>
          <w:rFonts w:ascii="Arial" w:hAnsi="Arial"/>
          <w:w w:val="105"/>
          <w:sz w:val="12"/>
        </w:rPr>
        <w:t>806</w:t>
        <w:tab/>
      </w:r>
      <w:r>
        <w:rPr>
          <w:w w:val="105"/>
          <w:sz w:val="24"/>
        </w:rPr>
        <w:t>behaviour? A meta-analysis. </w:t>
      </w:r>
      <w:r>
        <w:rPr>
          <w:i/>
          <w:spacing w:val="-3"/>
          <w:w w:val="105"/>
          <w:sz w:val="24"/>
        </w:rPr>
        <w:t>Health </w:t>
      </w:r>
      <w:r>
        <w:rPr>
          <w:i/>
          <w:w w:val="105"/>
          <w:sz w:val="24"/>
        </w:rPr>
        <w:t>Psychol. </w:t>
      </w:r>
      <w:r>
        <w:rPr>
          <w:i/>
          <w:spacing w:val="-3"/>
          <w:w w:val="105"/>
          <w:sz w:val="24"/>
        </w:rPr>
        <w:t>Rev.</w:t>
      </w:r>
      <w:r>
        <w:rPr>
          <w:spacing w:val="-3"/>
          <w:w w:val="105"/>
          <w:sz w:val="24"/>
        </w:rPr>
        <w:t>, </w:t>
      </w:r>
      <w:r>
        <w:rPr>
          <w:i/>
          <w:w w:val="105"/>
          <w:sz w:val="24"/>
        </w:rPr>
        <w:t>10 </w:t>
      </w:r>
      <w:r>
        <w:rPr>
          <w:w w:val="105"/>
          <w:sz w:val="24"/>
        </w:rPr>
        <w:t>(2),</w:t>
      </w:r>
      <w:r>
        <w:rPr>
          <w:spacing w:val="11"/>
          <w:w w:val="105"/>
          <w:sz w:val="24"/>
        </w:rPr>
        <w:t> </w:t>
      </w:r>
      <w:r>
        <w:rPr>
          <w:w w:val="105"/>
          <w:sz w:val="24"/>
        </w:rPr>
        <w:t>168–186.</w:t>
      </w:r>
    </w:p>
    <w:p>
      <w:pPr>
        <w:pStyle w:val="BodyText"/>
        <w:tabs>
          <w:tab w:pos="1339" w:val="left" w:leader="none"/>
        </w:tabs>
      </w:pPr>
      <w:r>
        <w:rPr>
          <w:rFonts w:ascii="Arial"/>
          <w:sz w:val="12"/>
        </w:rPr>
        <w:t>807</w:t>
        <w:tab/>
      </w:r>
      <w:hyperlink r:id="rId17">
        <w:r>
          <w:rPr/>
          <w:t>https://doi.org/10.1080/17437199.2015.1051078</w:t>
        </w:r>
      </w:hyperlink>
    </w:p>
    <w:p>
      <w:pPr>
        <w:pStyle w:val="BodyText"/>
        <w:spacing w:before="6"/>
        <w:ind w:left="0"/>
        <w:rPr>
          <w:sz w:val="29"/>
        </w:rPr>
      </w:pPr>
    </w:p>
    <w:p>
      <w:pPr>
        <w:pStyle w:val="BodyText"/>
        <w:tabs>
          <w:tab w:pos="1326" w:val="left" w:leader="none"/>
        </w:tabs>
        <w:spacing w:line="415" w:lineRule="auto" w:before="146"/>
        <w:ind w:right="298"/>
        <w:jc w:val="both"/>
      </w:pPr>
      <w:r>
        <w:rPr>
          <w:rFonts w:ascii="Arial" w:hAnsi="Arial"/>
          <w:w w:val="105"/>
          <w:sz w:val="12"/>
        </w:rPr>
        <w:t>808 </w:t>
      </w:r>
      <w:r>
        <w:rPr>
          <w:w w:val="105"/>
        </w:rPr>
        <w:t>Aulbach, M. B., Knittle, K., &amp; Haukkala, A. (2019).</w:t>
      </w:r>
      <w:r>
        <w:rPr>
          <w:spacing w:val="63"/>
          <w:w w:val="105"/>
        </w:rPr>
        <w:t> </w:t>
      </w:r>
      <w:r>
        <w:rPr>
          <w:w w:val="105"/>
        </w:rPr>
        <w:t>Implicit process </w:t>
      </w:r>
      <w:r>
        <w:rPr>
          <w:spacing w:val="-3"/>
          <w:w w:val="105"/>
        </w:rPr>
        <w:t>interventions </w:t>
      </w:r>
      <w:r>
        <w:rPr>
          <w:w w:val="105"/>
        </w:rPr>
        <w:t>in eating </w:t>
      </w:r>
      <w:r>
        <w:rPr>
          <w:rFonts w:ascii="Arial" w:hAnsi="Arial"/>
          <w:w w:val="105"/>
          <w:sz w:val="12"/>
        </w:rPr>
        <w:t>809</w:t>
        <w:tab/>
      </w:r>
      <w:r>
        <w:rPr>
          <w:w w:val="105"/>
        </w:rPr>
        <w:t>behaviour: A meta-analysis examining mediators and moderators. </w:t>
      </w:r>
      <w:r>
        <w:rPr>
          <w:i/>
          <w:spacing w:val="-3"/>
          <w:w w:val="105"/>
        </w:rPr>
        <w:t>Health </w:t>
      </w:r>
      <w:r>
        <w:rPr>
          <w:i/>
          <w:w w:val="105"/>
        </w:rPr>
        <w:t>Psychology </w:t>
      </w:r>
      <w:r>
        <w:rPr>
          <w:rFonts w:ascii="Arial" w:hAnsi="Arial"/>
          <w:w w:val="105"/>
          <w:sz w:val="12"/>
        </w:rPr>
        <w:t>810</w:t>
        <w:tab/>
      </w:r>
      <w:r>
        <w:rPr>
          <w:i/>
          <w:w w:val="105"/>
        </w:rPr>
        <w:t>Review</w:t>
      </w:r>
      <w:r>
        <w:rPr>
          <w:w w:val="105"/>
        </w:rPr>
        <w:t>, </w:t>
      </w:r>
      <w:r>
        <w:rPr>
          <w:i/>
          <w:w w:val="105"/>
        </w:rPr>
        <w:t>13 </w:t>
      </w:r>
      <w:r>
        <w:rPr>
          <w:w w:val="105"/>
        </w:rPr>
        <w:t>(2), 179–208.</w:t>
      </w:r>
      <w:r>
        <w:rPr>
          <w:spacing w:val="10"/>
          <w:w w:val="105"/>
        </w:rPr>
        <w:t> </w:t>
      </w:r>
      <w:hyperlink r:id="rId18">
        <w:r>
          <w:rPr>
            <w:w w:val="105"/>
          </w:rPr>
          <w:t>https://doi.org/10.1080/17437199.2019.1571933</w:t>
        </w:r>
      </w:hyperlink>
    </w:p>
    <w:p>
      <w:pPr>
        <w:pStyle w:val="BodyText"/>
        <w:spacing w:before="1"/>
        <w:ind w:left="0"/>
        <w:rPr>
          <w:sz w:val="12"/>
        </w:rPr>
      </w:pPr>
    </w:p>
    <w:p>
      <w:pPr>
        <w:pStyle w:val="BodyText"/>
        <w:spacing w:before="146"/>
      </w:pPr>
      <w:r>
        <w:rPr>
          <w:rFonts w:ascii="Arial" w:hAnsi="Arial"/>
          <w:w w:val="105"/>
          <w:sz w:val="12"/>
        </w:rPr>
        <w:t>811 </w:t>
      </w:r>
      <w:r>
        <w:rPr>
          <w:w w:val="105"/>
        </w:rPr>
        <w:t>Bartholdy, S., Dalton, B., O’Daly, O. G., Campbell, I. C., &amp; Schmidt, U. (2016). A</w:t>
      </w:r>
    </w:p>
    <w:p>
      <w:pPr>
        <w:pStyle w:val="BodyText"/>
        <w:tabs>
          <w:tab w:pos="1339" w:val="left" w:leader="none"/>
        </w:tabs>
      </w:pPr>
      <w:r>
        <w:rPr>
          <w:rFonts w:ascii="Arial"/>
          <w:w w:val="105"/>
          <w:sz w:val="12"/>
        </w:rPr>
        <w:t>812</w:t>
        <w:tab/>
      </w:r>
      <w:r>
        <w:rPr>
          <w:w w:val="105"/>
        </w:rPr>
        <w:t>systematic</w:t>
      </w:r>
      <w:r>
        <w:rPr>
          <w:spacing w:val="13"/>
          <w:w w:val="105"/>
        </w:rPr>
        <w:t> </w:t>
      </w:r>
      <w:r>
        <w:rPr>
          <w:w w:val="105"/>
        </w:rPr>
        <w:t>review</w:t>
      </w:r>
      <w:r>
        <w:rPr>
          <w:spacing w:val="13"/>
          <w:w w:val="105"/>
        </w:rPr>
        <w:t> </w:t>
      </w:r>
      <w:r>
        <w:rPr>
          <w:w w:val="105"/>
        </w:rPr>
        <w:t>of</w:t>
      </w:r>
      <w:r>
        <w:rPr>
          <w:spacing w:val="13"/>
          <w:w w:val="105"/>
        </w:rPr>
        <w:t> </w:t>
      </w:r>
      <w:r>
        <w:rPr>
          <w:w w:val="105"/>
        </w:rPr>
        <w:t>the</w:t>
      </w:r>
      <w:r>
        <w:rPr>
          <w:spacing w:val="12"/>
          <w:w w:val="105"/>
        </w:rPr>
        <w:t> </w:t>
      </w:r>
      <w:r>
        <w:rPr>
          <w:w w:val="105"/>
        </w:rPr>
        <w:t>relationship</w:t>
      </w:r>
      <w:r>
        <w:rPr>
          <w:spacing w:val="13"/>
          <w:w w:val="105"/>
        </w:rPr>
        <w:t> </w:t>
      </w:r>
      <w:r>
        <w:rPr>
          <w:w w:val="105"/>
        </w:rPr>
        <w:t>between</w:t>
      </w:r>
      <w:r>
        <w:rPr>
          <w:spacing w:val="13"/>
          <w:w w:val="105"/>
        </w:rPr>
        <w:t> </w:t>
      </w:r>
      <w:r>
        <w:rPr>
          <w:w w:val="105"/>
        </w:rPr>
        <w:t>eating,</w:t>
      </w:r>
      <w:r>
        <w:rPr>
          <w:spacing w:val="13"/>
          <w:w w:val="105"/>
        </w:rPr>
        <w:t> </w:t>
      </w:r>
      <w:r>
        <w:rPr>
          <w:spacing w:val="-3"/>
          <w:w w:val="105"/>
        </w:rPr>
        <w:t>weight</w:t>
      </w:r>
      <w:r>
        <w:rPr>
          <w:spacing w:val="14"/>
          <w:w w:val="105"/>
        </w:rPr>
        <w:t> </w:t>
      </w:r>
      <w:r>
        <w:rPr>
          <w:w w:val="105"/>
        </w:rPr>
        <w:t>and</w:t>
      </w:r>
      <w:r>
        <w:rPr>
          <w:spacing w:val="12"/>
          <w:w w:val="105"/>
        </w:rPr>
        <w:t> </w:t>
      </w:r>
      <w:r>
        <w:rPr>
          <w:w w:val="105"/>
        </w:rPr>
        <w:t>inhibitory</w:t>
      </w:r>
      <w:r>
        <w:rPr>
          <w:spacing w:val="13"/>
          <w:w w:val="105"/>
        </w:rPr>
        <w:t> </w:t>
      </w:r>
      <w:r>
        <w:rPr>
          <w:w w:val="105"/>
        </w:rPr>
        <w:t>control</w:t>
      </w:r>
    </w:p>
    <w:p>
      <w:pPr>
        <w:tabs>
          <w:tab w:pos="1339" w:val="left" w:leader="none"/>
        </w:tabs>
        <w:spacing w:before="202"/>
        <w:ind w:left="230" w:right="0" w:firstLine="0"/>
        <w:jc w:val="left"/>
        <w:rPr>
          <w:sz w:val="24"/>
        </w:rPr>
      </w:pPr>
      <w:r>
        <w:rPr>
          <w:rFonts w:ascii="Arial" w:hAnsi="Arial"/>
          <w:w w:val="105"/>
          <w:sz w:val="12"/>
        </w:rPr>
        <w:t>813</w:t>
        <w:tab/>
      </w:r>
      <w:r>
        <w:rPr>
          <w:w w:val="105"/>
          <w:sz w:val="24"/>
        </w:rPr>
        <w:t>using the stop signal task. </w:t>
      </w:r>
      <w:r>
        <w:rPr>
          <w:i/>
          <w:w w:val="105"/>
          <w:sz w:val="24"/>
        </w:rPr>
        <w:t>Neurosci. Biobehav. </w:t>
      </w:r>
      <w:r>
        <w:rPr>
          <w:i/>
          <w:spacing w:val="-3"/>
          <w:w w:val="105"/>
          <w:sz w:val="24"/>
        </w:rPr>
        <w:t>Rev.</w:t>
      </w:r>
      <w:r>
        <w:rPr>
          <w:spacing w:val="-3"/>
          <w:w w:val="105"/>
          <w:sz w:val="24"/>
        </w:rPr>
        <w:t>, </w:t>
      </w:r>
      <w:r>
        <w:rPr>
          <w:i/>
          <w:w w:val="105"/>
          <w:sz w:val="24"/>
        </w:rPr>
        <w:t>64</w:t>
      </w:r>
      <w:r>
        <w:rPr>
          <w:w w:val="105"/>
          <w:sz w:val="24"/>
        </w:rPr>
        <w:t>,</w:t>
      </w:r>
      <w:r>
        <w:rPr>
          <w:spacing w:val="11"/>
          <w:w w:val="105"/>
          <w:sz w:val="24"/>
        </w:rPr>
        <w:t> </w:t>
      </w:r>
      <w:r>
        <w:rPr>
          <w:w w:val="105"/>
          <w:sz w:val="24"/>
        </w:rPr>
        <w:t>35–62.</w:t>
      </w:r>
    </w:p>
    <w:p>
      <w:pPr>
        <w:pStyle w:val="BodyText"/>
        <w:tabs>
          <w:tab w:pos="1339" w:val="left" w:leader="none"/>
        </w:tabs>
      </w:pPr>
      <w:r>
        <w:rPr>
          <w:rFonts w:ascii="Arial"/>
          <w:w w:val="105"/>
          <w:sz w:val="12"/>
        </w:rPr>
        <w:t>814</w:t>
        <w:tab/>
      </w:r>
      <w:hyperlink r:id="rId19">
        <w:r>
          <w:rPr>
            <w:w w:val="105"/>
          </w:rPr>
          <w:t>https://doi.org/10.1016/j.neubiorev.2016.02.010</w:t>
        </w:r>
      </w:hyperlink>
    </w:p>
    <w:p>
      <w:pPr>
        <w:pStyle w:val="BodyText"/>
        <w:spacing w:before="6"/>
        <w:ind w:left="0"/>
        <w:rPr>
          <w:sz w:val="29"/>
        </w:rPr>
      </w:pPr>
    </w:p>
    <w:p>
      <w:pPr>
        <w:pStyle w:val="BodyText"/>
        <w:spacing w:before="146"/>
      </w:pPr>
      <w:r>
        <w:rPr>
          <w:rFonts w:ascii="Arial"/>
          <w:w w:val="105"/>
          <w:sz w:val="12"/>
        </w:rPr>
        <w:t>815 </w:t>
      </w:r>
      <w:r>
        <w:rPr>
          <w:w w:val="105"/>
        </w:rPr>
        <w:t>Becker, D., Jostmann, N. B., Wiers, R. W., &amp; Holland, R. W. (2015). Approach avoidance</w:t>
      </w:r>
    </w:p>
    <w:p>
      <w:pPr>
        <w:pStyle w:val="BodyText"/>
        <w:tabs>
          <w:tab w:pos="1339" w:val="left" w:leader="none"/>
        </w:tabs>
      </w:pPr>
      <w:r>
        <w:rPr>
          <w:rFonts w:ascii="Arial"/>
          <w:sz w:val="12"/>
        </w:rPr>
        <w:t>816</w:t>
        <w:tab/>
      </w:r>
      <w:r>
        <w:rPr/>
        <w:t>training</w:t>
      </w:r>
      <w:r>
        <w:rPr>
          <w:spacing w:val="31"/>
        </w:rPr>
        <w:t> </w:t>
      </w:r>
      <w:r>
        <w:rPr/>
        <w:t>in</w:t>
      </w:r>
      <w:r>
        <w:rPr>
          <w:spacing w:val="33"/>
        </w:rPr>
        <w:t> </w:t>
      </w:r>
      <w:r>
        <w:rPr/>
        <w:t>the</w:t>
      </w:r>
      <w:r>
        <w:rPr>
          <w:spacing w:val="32"/>
        </w:rPr>
        <w:t> </w:t>
      </w:r>
      <w:r>
        <w:rPr/>
        <w:t>eating</w:t>
      </w:r>
      <w:r>
        <w:rPr>
          <w:spacing w:val="33"/>
        </w:rPr>
        <w:t> </w:t>
      </w:r>
      <w:r>
        <w:rPr/>
        <w:t>domain:</w:t>
      </w:r>
      <w:r>
        <w:rPr>
          <w:spacing w:val="3"/>
        </w:rPr>
        <w:t> </w:t>
      </w:r>
      <w:r>
        <w:rPr>
          <w:spacing w:val="-3"/>
        </w:rPr>
        <w:t>Testing</w:t>
      </w:r>
      <w:r>
        <w:rPr>
          <w:spacing w:val="33"/>
        </w:rPr>
        <w:t> </w:t>
      </w:r>
      <w:r>
        <w:rPr/>
        <w:t>the</w:t>
      </w:r>
      <w:r>
        <w:rPr>
          <w:spacing w:val="32"/>
        </w:rPr>
        <w:t> </w:t>
      </w:r>
      <w:r>
        <w:rPr/>
        <w:t>effectiveness</w:t>
      </w:r>
      <w:r>
        <w:rPr>
          <w:spacing w:val="33"/>
        </w:rPr>
        <w:t> </w:t>
      </w:r>
      <w:r>
        <w:rPr/>
        <w:t>across</w:t>
      </w:r>
      <w:r>
        <w:rPr>
          <w:spacing w:val="33"/>
        </w:rPr>
        <w:t> </w:t>
      </w:r>
      <w:r>
        <w:rPr/>
        <w:t>three</w:t>
      </w:r>
      <w:r>
        <w:rPr>
          <w:spacing w:val="31"/>
        </w:rPr>
        <w:t> </w:t>
      </w:r>
      <w:r>
        <w:rPr/>
        <w:t>single</w:t>
      </w:r>
      <w:r>
        <w:rPr>
          <w:spacing w:val="33"/>
        </w:rPr>
        <w:t> </w:t>
      </w:r>
      <w:r>
        <w:rPr/>
        <w:t>session</w:t>
      </w:r>
    </w:p>
    <w:p>
      <w:pPr>
        <w:pStyle w:val="BodyText"/>
        <w:tabs>
          <w:tab w:pos="1339" w:val="left" w:leader="none"/>
        </w:tabs>
      </w:pPr>
      <w:r>
        <w:rPr>
          <w:rFonts w:ascii="Arial" w:hAnsi="Arial"/>
          <w:w w:val="105"/>
          <w:sz w:val="12"/>
        </w:rPr>
        <w:t>817</w:t>
        <w:tab/>
      </w:r>
      <w:r>
        <w:rPr>
          <w:w w:val="105"/>
        </w:rPr>
        <w:t>studies. </w:t>
      </w:r>
      <w:r>
        <w:rPr>
          <w:i/>
          <w:spacing w:val="-3"/>
          <w:w w:val="105"/>
        </w:rPr>
        <w:t>Appetite</w:t>
      </w:r>
      <w:r>
        <w:rPr>
          <w:spacing w:val="-3"/>
          <w:w w:val="105"/>
        </w:rPr>
        <w:t>, </w:t>
      </w:r>
      <w:r>
        <w:rPr>
          <w:i/>
          <w:w w:val="105"/>
        </w:rPr>
        <w:t>85 </w:t>
      </w:r>
      <w:r>
        <w:rPr>
          <w:w w:val="105"/>
        </w:rPr>
        <w:t>(June 2015), 58–65.</w:t>
      </w:r>
      <w:r>
        <w:rPr>
          <w:spacing w:val="17"/>
          <w:w w:val="105"/>
        </w:rPr>
        <w:t> </w:t>
      </w:r>
      <w:hyperlink r:id="rId20">
        <w:r>
          <w:rPr>
            <w:w w:val="105"/>
          </w:rPr>
          <w:t>https://doi.org/10.1016/j.appet.2014.11.017</w:t>
        </w:r>
      </w:hyperlink>
    </w:p>
    <w:p>
      <w:pPr>
        <w:spacing w:after="0"/>
        <w:sectPr>
          <w:pgSz w:w="12240" w:h="15840"/>
          <w:pgMar w:header="649" w:footer="0" w:top="1320" w:bottom="280" w:left="820" w:right="1140"/>
        </w:sectPr>
      </w:pPr>
    </w:p>
    <w:p>
      <w:pPr>
        <w:pStyle w:val="BodyText"/>
        <w:spacing w:before="8"/>
        <w:ind w:left="0"/>
        <w:rPr>
          <w:sz w:val="12"/>
        </w:rPr>
      </w:pPr>
    </w:p>
    <w:tbl>
      <w:tblPr>
        <w:tblW w:w="0" w:type="auto"/>
        <w:jc w:val="left"/>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0"/>
        <w:gridCol w:w="9532"/>
      </w:tblGrid>
      <w:tr>
        <w:trPr>
          <w:trHeight w:val="407" w:hRule="atLeast"/>
        </w:trPr>
        <w:tc>
          <w:tcPr>
            <w:tcW w:w="340" w:type="dxa"/>
          </w:tcPr>
          <w:p>
            <w:pPr>
              <w:pStyle w:val="TableParagraph"/>
              <w:spacing w:before="157"/>
              <w:ind w:left="50"/>
              <w:rPr>
                <w:rFonts w:ascii="Arial"/>
                <w:sz w:val="12"/>
              </w:rPr>
            </w:pPr>
            <w:r>
              <w:rPr>
                <w:rFonts w:ascii="Arial"/>
                <w:sz w:val="12"/>
              </w:rPr>
              <w:t>818</w:t>
            </w:r>
          </w:p>
        </w:tc>
        <w:tc>
          <w:tcPr>
            <w:tcW w:w="9532" w:type="dxa"/>
          </w:tcPr>
          <w:p>
            <w:pPr>
              <w:pStyle w:val="TableParagraph"/>
              <w:spacing w:before="45"/>
              <w:ind w:left="99"/>
              <w:rPr>
                <w:sz w:val="24"/>
              </w:rPr>
            </w:pPr>
            <w:r>
              <w:rPr>
                <w:w w:val="105"/>
                <w:sz w:val="24"/>
              </w:rPr>
              <w:t>Benjamin, D. J., Berger, J. O., Johannesson, M., Nosek, B. A., Wagenmakers, E.-J., Berk,</w:t>
            </w:r>
          </w:p>
        </w:tc>
      </w:tr>
      <w:tr>
        <w:trPr>
          <w:trHeight w:val="479" w:hRule="atLeast"/>
        </w:trPr>
        <w:tc>
          <w:tcPr>
            <w:tcW w:w="340" w:type="dxa"/>
          </w:tcPr>
          <w:p>
            <w:pPr>
              <w:pStyle w:val="TableParagraph"/>
              <w:spacing w:before="9"/>
              <w:rPr>
                <w:sz w:val="19"/>
              </w:rPr>
            </w:pPr>
          </w:p>
          <w:p>
            <w:pPr>
              <w:pStyle w:val="TableParagraph"/>
              <w:ind w:left="50"/>
              <w:rPr>
                <w:rFonts w:ascii="Arial"/>
                <w:sz w:val="12"/>
              </w:rPr>
            </w:pPr>
            <w:r>
              <w:rPr>
                <w:rFonts w:ascii="Arial"/>
                <w:sz w:val="12"/>
              </w:rPr>
              <w:t>819</w:t>
            </w:r>
          </w:p>
        </w:tc>
        <w:tc>
          <w:tcPr>
            <w:tcW w:w="9532" w:type="dxa"/>
          </w:tcPr>
          <w:p>
            <w:pPr>
              <w:pStyle w:val="TableParagraph"/>
              <w:spacing w:before="116"/>
              <w:ind w:left="819"/>
              <w:rPr>
                <w:i/>
                <w:sz w:val="24"/>
              </w:rPr>
            </w:pPr>
            <w:r>
              <w:rPr>
                <w:w w:val="105"/>
                <w:sz w:val="24"/>
              </w:rPr>
              <w:t>R., . . . Johnson, V. E. (2017). Redefine statistical significance. </w:t>
            </w:r>
            <w:r>
              <w:rPr>
                <w:i/>
                <w:w w:val="105"/>
                <w:sz w:val="24"/>
              </w:rPr>
              <w:t>Nat. Hum. Behav.</w:t>
            </w:r>
          </w:p>
        </w:tc>
      </w:tr>
      <w:tr>
        <w:trPr>
          <w:trHeight w:val="600" w:hRule="atLeast"/>
        </w:trPr>
        <w:tc>
          <w:tcPr>
            <w:tcW w:w="340" w:type="dxa"/>
          </w:tcPr>
          <w:p>
            <w:pPr>
              <w:pStyle w:val="TableParagraph"/>
              <w:spacing w:before="8"/>
              <w:rPr>
                <w:sz w:val="19"/>
              </w:rPr>
            </w:pPr>
          </w:p>
          <w:p>
            <w:pPr>
              <w:pStyle w:val="TableParagraph"/>
              <w:ind w:left="50"/>
              <w:rPr>
                <w:rFonts w:ascii="Arial"/>
                <w:sz w:val="12"/>
              </w:rPr>
            </w:pPr>
            <w:r>
              <w:rPr>
                <w:rFonts w:ascii="Arial"/>
                <w:sz w:val="12"/>
              </w:rPr>
              <w:t>820</w:t>
            </w:r>
          </w:p>
        </w:tc>
        <w:tc>
          <w:tcPr>
            <w:tcW w:w="9532" w:type="dxa"/>
          </w:tcPr>
          <w:p>
            <w:pPr>
              <w:pStyle w:val="TableParagraph"/>
              <w:spacing w:before="115"/>
              <w:ind w:left="819"/>
              <w:rPr>
                <w:sz w:val="24"/>
              </w:rPr>
            </w:pPr>
            <w:hyperlink r:id="rId21">
              <w:r>
                <w:rPr>
                  <w:w w:val="105"/>
                  <w:sz w:val="24"/>
                </w:rPr>
                <w:t>https://doi.org/10.1038/s41562-017-0189-z</w:t>
              </w:r>
            </w:hyperlink>
          </w:p>
        </w:tc>
      </w:tr>
      <w:tr>
        <w:trPr>
          <w:trHeight w:val="601" w:hRule="atLeast"/>
        </w:trPr>
        <w:tc>
          <w:tcPr>
            <w:tcW w:w="340" w:type="dxa"/>
          </w:tcPr>
          <w:p>
            <w:pPr>
              <w:pStyle w:val="TableParagraph"/>
              <w:rPr>
                <w:sz w:val="18"/>
              </w:rPr>
            </w:pPr>
          </w:p>
          <w:p>
            <w:pPr>
              <w:pStyle w:val="TableParagraph"/>
              <w:spacing w:before="144"/>
              <w:ind w:left="50"/>
              <w:rPr>
                <w:rFonts w:ascii="Arial"/>
                <w:sz w:val="12"/>
              </w:rPr>
            </w:pPr>
            <w:r>
              <w:rPr>
                <w:rFonts w:ascii="Arial"/>
                <w:sz w:val="12"/>
              </w:rPr>
              <w:t>821</w:t>
            </w:r>
          </w:p>
        </w:tc>
        <w:tc>
          <w:tcPr>
            <w:tcW w:w="9532" w:type="dxa"/>
          </w:tcPr>
          <w:p>
            <w:pPr>
              <w:pStyle w:val="TableParagraph"/>
              <w:spacing w:before="239"/>
              <w:ind w:left="99"/>
              <w:rPr>
                <w:sz w:val="24"/>
              </w:rPr>
            </w:pPr>
            <w:r>
              <w:rPr>
                <w:w w:val="105"/>
                <w:sz w:val="24"/>
              </w:rPr>
              <w:t>Bradley, B., Field, M., Healy, H., &amp; Mogg, K. (2008). Do the affective properties of</w:t>
            </w:r>
          </w:p>
        </w:tc>
      </w:tr>
      <w:tr>
        <w:trPr>
          <w:trHeight w:val="478" w:hRule="atLeast"/>
        </w:trPr>
        <w:tc>
          <w:tcPr>
            <w:tcW w:w="340" w:type="dxa"/>
          </w:tcPr>
          <w:p>
            <w:pPr>
              <w:pStyle w:val="TableParagraph"/>
              <w:spacing w:before="9"/>
              <w:rPr>
                <w:sz w:val="19"/>
              </w:rPr>
            </w:pPr>
          </w:p>
          <w:p>
            <w:pPr>
              <w:pStyle w:val="TableParagraph"/>
              <w:ind w:left="50"/>
              <w:rPr>
                <w:rFonts w:ascii="Arial"/>
                <w:sz w:val="12"/>
              </w:rPr>
            </w:pPr>
            <w:r>
              <w:rPr>
                <w:rFonts w:ascii="Arial"/>
                <w:sz w:val="12"/>
              </w:rPr>
              <w:t>822</w:t>
            </w:r>
          </w:p>
        </w:tc>
        <w:tc>
          <w:tcPr>
            <w:tcW w:w="9532" w:type="dxa"/>
          </w:tcPr>
          <w:p>
            <w:pPr>
              <w:pStyle w:val="TableParagraph"/>
              <w:spacing w:before="116"/>
              <w:ind w:right="47"/>
              <w:jc w:val="right"/>
              <w:rPr>
                <w:sz w:val="24"/>
              </w:rPr>
            </w:pPr>
            <w:r>
              <w:rPr>
                <w:w w:val="105"/>
                <w:sz w:val="24"/>
              </w:rPr>
              <w:t>smoking-related cues influence attentional and approach biases in cigarette smokers?</w:t>
            </w:r>
          </w:p>
        </w:tc>
      </w:tr>
      <w:tr>
        <w:trPr>
          <w:trHeight w:val="479" w:hRule="atLeast"/>
        </w:trPr>
        <w:tc>
          <w:tcPr>
            <w:tcW w:w="340" w:type="dxa"/>
          </w:tcPr>
          <w:p>
            <w:pPr>
              <w:pStyle w:val="TableParagraph"/>
              <w:spacing w:before="9"/>
              <w:rPr>
                <w:sz w:val="19"/>
              </w:rPr>
            </w:pPr>
          </w:p>
          <w:p>
            <w:pPr>
              <w:pStyle w:val="TableParagraph"/>
              <w:ind w:left="50"/>
              <w:rPr>
                <w:rFonts w:ascii="Arial"/>
                <w:sz w:val="12"/>
              </w:rPr>
            </w:pPr>
            <w:r>
              <w:rPr>
                <w:rFonts w:ascii="Arial"/>
                <w:sz w:val="12"/>
              </w:rPr>
              <w:t>823</w:t>
            </w:r>
          </w:p>
        </w:tc>
        <w:tc>
          <w:tcPr>
            <w:tcW w:w="9532" w:type="dxa"/>
          </w:tcPr>
          <w:p>
            <w:pPr>
              <w:pStyle w:val="TableParagraph"/>
              <w:spacing w:before="116"/>
              <w:ind w:left="803"/>
              <w:rPr>
                <w:sz w:val="24"/>
              </w:rPr>
            </w:pPr>
            <w:r>
              <w:rPr>
                <w:i/>
                <w:sz w:val="24"/>
              </w:rPr>
              <w:t>Journal of Psychopharmacology</w:t>
            </w:r>
            <w:r>
              <w:rPr>
                <w:sz w:val="24"/>
              </w:rPr>
              <w:t>, </w:t>
            </w:r>
            <w:r>
              <w:rPr>
                <w:i/>
                <w:sz w:val="24"/>
              </w:rPr>
              <w:t>22 </w:t>
            </w:r>
            <w:r>
              <w:rPr>
                <w:sz w:val="24"/>
              </w:rPr>
              <w:t>(7),</w:t>
            </w:r>
            <w:r>
              <w:rPr>
                <w:spacing w:val="56"/>
                <w:sz w:val="24"/>
              </w:rPr>
              <w:t> </w:t>
            </w:r>
            <w:r>
              <w:rPr>
                <w:sz w:val="24"/>
              </w:rPr>
              <w:t>737–745.</w:t>
            </w:r>
          </w:p>
        </w:tc>
      </w:tr>
      <w:tr>
        <w:trPr>
          <w:trHeight w:val="600" w:hRule="atLeast"/>
        </w:trPr>
        <w:tc>
          <w:tcPr>
            <w:tcW w:w="340" w:type="dxa"/>
          </w:tcPr>
          <w:p>
            <w:pPr>
              <w:pStyle w:val="TableParagraph"/>
              <w:spacing w:before="8"/>
              <w:rPr>
                <w:sz w:val="19"/>
              </w:rPr>
            </w:pPr>
          </w:p>
          <w:p>
            <w:pPr>
              <w:pStyle w:val="TableParagraph"/>
              <w:ind w:left="50"/>
              <w:rPr>
                <w:rFonts w:ascii="Arial"/>
                <w:sz w:val="12"/>
              </w:rPr>
            </w:pPr>
            <w:r>
              <w:rPr>
                <w:rFonts w:ascii="Arial"/>
                <w:sz w:val="12"/>
              </w:rPr>
              <w:t>824</w:t>
            </w:r>
          </w:p>
        </w:tc>
        <w:tc>
          <w:tcPr>
            <w:tcW w:w="9532" w:type="dxa"/>
          </w:tcPr>
          <w:p>
            <w:pPr>
              <w:pStyle w:val="TableParagraph"/>
              <w:spacing w:before="115"/>
              <w:ind w:left="819"/>
              <w:rPr>
                <w:sz w:val="24"/>
              </w:rPr>
            </w:pPr>
            <w:hyperlink r:id="rId22">
              <w:r>
                <w:rPr>
                  <w:w w:val="105"/>
                  <w:sz w:val="24"/>
                </w:rPr>
                <w:t>https://doi.org/10.1177/0269881107083844</w:t>
              </w:r>
            </w:hyperlink>
          </w:p>
        </w:tc>
      </w:tr>
      <w:tr>
        <w:trPr>
          <w:trHeight w:val="601" w:hRule="atLeast"/>
        </w:trPr>
        <w:tc>
          <w:tcPr>
            <w:tcW w:w="340" w:type="dxa"/>
          </w:tcPr>
          <w:p>
            <w:pPr>
              <w:pStyle w:val="TableParagraph"/>
              <w:rPr>
                <w:sz w:val="18"/>
              </w:rPr>
            </w:pPr>
          </w:p>
          <w:p>
            <w:pPr>
              <w:pStyle w:val="TableParagraph"/>
              <w:spacing w:before="144"/>
              <w:ind w:left="50"/>
              <w:rPr>
                <w:rFonts w:ascii="Arial"/>
                <w:sz w:val="12"/>
              </w:rPr>
            </w:pPr>
            <w:r>
              <w:rPr>
                <w:rFonts w:ascii="Arial"/>
                <w:sz w:val="12"/>
              </w:rPr>
              <w:t>825</w:t>
            </w:r>
          </w:p>
        </w:tc>
        <w:tc>
          <w:tcPr>
            <w:tcW w:w="9532" w:type="dxa"/>
          </w:tcPr>
          <w:p>
            <w:pPr>
              <w:pStyle w:val="TableParagraph"/>
              <w:spacing w:before="239"/>
              <w:ind w:left="99"/>
              <w:rPr>
                <w:sz w:val="24"/>
              </w:rPr>
            </w:pPr>
            <w:r>
              <w:rPr>
                <w:w w:val="110"/>
                <w:sz w:val="24"/>
              </w:rPr>
              <w:t>Brignell, C., Griffiths, T., Bradley, B. P., &amp; Mogg, K. (2009). Attentional and approach</w:t>
            </w:r>
          </w:p>
        </w:tc>
      </w:tr>
      <w:tr>
        <w:trPr>
          <w:trHeight w:val="479" w:hRule="atLeast"/>
        </w:trPr>
        <w:tc>
          <w:tcPr>
            <w:tcW w:w="340" w:type="dxa"/>
          </w:tcPr>
          <w:p>
            <w:pPr>
              <w:pStyle w:val="TableParagraph"/>
              <w:spacing w:before="9"/>
              <w:rPr>
                <w:sz w:val="19"/>
              </w:rPr>
            </w:pPr>
          </w:p>
          <w:p>
            <w:pPr>
              <w:pStyle w:val="TableParagraph"/>
              <w:ind w:left="50"/>
              <w:rPr>
                <w:rFonts w:ascii="Arial"/>
                <w:sz w:val="12"/>
              </w:rPr>
            </w:pPr>
            <w:r>
              <w:rPr>
                <w:rFonts w:ascii="Arial"/>
                <w:sz w:val="12"/>
              </w:rPr>
              <w:t>826</w:t>
            </w:r>
          </w:p>
        </w:tc>
        <w:tc>
          <w:tcPr>
            <w:tcW w:w="9532" w:type="dxa"/>
          </w:tcPr>
          <w:p>
            <w:pPr>
              <w:pStyle w:val="TableParagraph"/>
              <w:spacing w:before="116"/>
              <w:ind w:right="89"/>
              <w:jc w:val="right"/>
              <w:rPr>
                <w:sz w:val="24"/>
              </w:rPr>
            </w:pPr>
            <w:r>
              <w:rPr>
                <w:sz w:val="24"/>
              </w:rPr>
              <w:t>biases for pictorial food cues. Influence of external eating. </w:t>
            </w:r>
            <w:r>
              <w:rPr>
                <w:i/>
                <w:sz w:val="24"/>
              </w:rPr>
              <w:t>Appetite</w:t>
            </w:r>
            <w:r>
              <w:rPr>
                <w:sz w:val="24"/>
              </w:rPr>
              <w:t>, </w:t>
            </w:r>
            <w:r>
              <w:rPr>
                <w:i/>
                <w:sz w:val="24"/>
              </w:rPr>
              <w:t>52 </w:t>
            </w:r>
            <w:r>
              <w:rPr>
                <w:sz w:val="24"/>
              </w:rPr>
              <w:t>(2), 299–306.</w:t>
            </w:r>
          </w:p>
        </w:tc>
      </w:tr>
      <w:tr>
        <w:trPr>
          <w:trHeight w:val="600" w:hRule="atLeast"/>
        </w:trPr>
        <w:tc>
          <w:tcPr>
            <w:tcW w:w="340" w:type="dxa"/>
          </w:tcPr>
          <w:p>
            <w:pPr>
              <w:pStyle w:val="TableParagraph"/>
              <w:spacing w:before="8"/>
              <w:rPr>
                <w:sz w:val="19"/>
              </w:rPr>
            </w:pPr>
          </w:p>
          <w:p>
            <w:pPr>
              <w:pStyle w:val="TableParagraph"/>
              <w:ind w:left="50"/>
              <w:rPr>
                <w:rFonts w:ascii="Arial"/>
                <w:sz w:val="12"/>
              </w:rPr>
            </w:pPr>
            <w:r>
              <w:rPr>
                <w:rFonts w:ascii="Arial"/>
                <w:sz w:val="12"/>
              </w:rPr>
              <w:t>827</w:t>
            </w:r>
          </w:p>
        </w:tc>
        <w:tc>
          <w:tcPr>
            <w:tcW w:w="9532" w:type="dxa"/>
          </w:tcPr>
          <w:p>
            <w:pPr>
              <w:pStyle w:val="TableParagraph"/>
              <w:spacing w:before="115"/>
              <w:ind w:left="819"/>
              <w:rPr>
                <w:sz w:val="24"/>
              </w:rPr>
            </w:pPr>
            <w:hyperlink r:id="rId23">
              <w:r>
                <w:rPr>
                  <w:w w:val="110"/>
                  <w:sz w:val="24"/>
                </w:rPr>
                <w:t>https://doi.org/10.1016/j.appet.2008.10.007</w:t>
              </w:r>
            </w:hyperlink>
          </w:p>
        </w:tc>
      </w:tr>
      <w:tr>
        <w:trPr>
          <w:trHeight w:val="601" w:hRule="atLeast"/>
        </w:trPr>
        <w:tc>
          <w:tcPr>
            <w:tcW w:w="340" w:type="dxa"/>
          </w:tcPr>
          <w:p>
            <w:pPr>
              <w:pStyle w:val="TableParagraph"/>
              <w:rPr>
                <w:sz w:val="18"/>
              </w:rPr>
            </w:pPr>
          </w:p>
          <w:p>
            <w:pPr>
              <w:pStyle w:val="TableParagraph"/>
              <w:spacing w:before="144"/>
              <w:ind w:left="50"/>
              <w:rPr>
                <w:rFonts w:ascii="Arial"/>
                <w:sz w:val="12"/>
              </w:rPr>
            </w:pPr>
            <w:r>
              <w:rPr>
                <w:rFonts w:ascii="Arial"/>
                <w:sz w:val="12"/>
              </w:rPr>
              <w:t>828</w:t>
            </w:r>
          </w:p>
        </w:tc>
        <w:tc>
          <w:tcPr>
            <w:tcW w:w="9532" w:type="dxa"/>
          </w:tcPr>
          <w:p>
            <w:pPr>
              <w:pStyle w:val="TableParagraph"/>
              <w:spacing w:before="239"/>
              <w:ind w:left="99"/>
              <w:rPr>
                <w:sz w:val="24"/>
              </w:rPr>
            </w:pPr>
            <w:r>
              <w:rPr>
                <w:w w:val="105"/>
                <w:sz w:val="24"/>
              </w:rPr>
              <w:t>Brockmeyer, T., Hahn, C., Reetz, C., Schmidt, U., &amp; Friederich, H. C. (2015). Approach</w:t>
            </w:r>
          </w:p>
        </w:tc>
      </w:tr>
      <w:tr>
        <w:trPr>
          <w:trHeight w:val="479" w:hRule="atLeast"/>
        </w:trPr>
        <w:tc>
          <w:tcPr>
            <w:tcW w:w="340" w:type="dxa"/>
          </w:tcPr>
          <w:p>
            <w:pPr>
              <w:pStyle w:val="TableParagraph"/>
              <w:spacing w:before="9"/>
              <w:rPr>
                <w:sz w:val="19"/>
              </w:rPr>
            </w:pPr>
          </w:p>
          <w:p>
            <w:pPr>
              <w:pStyle w:val="TableParagraph"/>
              <w:ind w:left="50"/>
              <w:rPr>
                <w:rFonts w:ascii="Arial"/>
                <w:sz w:val="12"/>
              </w:rPr>
            </w:pPr>
            <w:r>
              <w:rPr>
                <w:rFonts w:ascii="Arial"/>
                <w:sz w:val="12"/>
              </w:rPr>
              <w:t>829</w:t>
            </w:r>
          </w:p>
        </w:tc>
        <w:tc>
          <w:tcPr>
            <w:tcW w:w="9532" w:type="dxa"/>
          </w:tcPr>
          <w:p>
            <w:pPr>
              <w:pStyle w:val="TableParagraph"/>
              <w:spacing w:before="116"/>
              <w:ind w:left="819"/>
              <w:rPr>
                <w:i/>
                <w:sz w:val="24"/>
              </w:rPr>
            </w:pPr>
            <w:r>
              <w:rPr>
                <w:w w:val="105"/>
                <w:sz w:val="24"/>
              </w:rPr>
              <w:t>Bias Modification in Food Craving - A Proof-of-Concept Study. </w:t>
            </w:r>
            <w:r>
              <w:rPr>
                <w:i/>
                <w:w w:val="105"/>
                <w:sz w:val="24"/>
              </w:rPr>
              <w:t>Eur. Eat. Disord.</w:t>
            </w:r>
          </w:p>
        </w:tc>
      </w:tr>
      <w:tr>
        <w:trPr>
          <w:trHeight w:val="601" w:hRule="atLeast"/>
        </w:trPr>
        <w:tc>
          <w:tcPr>
            <w:tcW w:w="340" w:type="dxa"/>
          </w:tcPr>
          <w:p>
            <w:pPr>
              <w:pStyle w:val="TableParagraph"/>
              <w:spacing w:before="8"/>
              <w:rPr>
                <w:sz w:val="19"/>
              </w:rPr>
            </w:pPr>
          </w:p>
          <w:p>
            <w:pPr>
              <w:pStyle w:val="TableParagraph"/>
              <w:ind w:left="50"/>
              <w:rPr>
                <w:rFonts w:ascii="Arial"/>
                <w:sz w:val="12"/>
              </w:rPr>
            </w:pPr>
            <w:r>
              <w:rPr>
                <w:rFonts w:ascii="Arial"/>
                <w:sz w:val="12"/>
              </w:rPr>
              <w:t>830</w:t>
            </w:r>
          </w:p>
        </w:tc>
        <w:tc>
          <w:tcPr>
            <w:tcW w:w="9532" w:type="dxa"/>
          </w:tcPr>
          <w:p>
            <w:pPr>
              <w:pStyle w:val="TableParagraph"/>
              <w:spacing w:before="115"/>
              <w:ind w:left="806"/>
              <w:rPr>
                <w:sz w:val="24"/>
              </w:rPr>
            </w:pPr>
            <w:r>
              <w:rPr>
                <w:i/>
                <w:w w:val="105"/>
                <w:sz w:val="24"/>
              </w:rPr>
              <w:t>Rev.</w:t>
            </w:r>
            <w:r>
              <w:rPr>
                <w:w w:val="105"/>
                <w:sz w:val="24"/>
              </w:rPr>
              <w:t>, </w:t>
            </w:r>
            <w:r>
              <w:rPr>
                <w:i/>
                <w:w w:val="105"/>
                <w:sz w:val="24"/>
              </w:rPr>
              <w:t>23 </w:t>
            </w:r>
            <w:r>
              <w:rPr>
                <w:w w:val="105"/>
                <w:sz w:val="24"/>
              </w:rPr>
              <w:t>(5), 352–360. </w:t>
            </w:r>
            <w:hyperlink r:id="rId24">
              <w:r>
                <w:rPr>
                  <w:w w:val="105"/>
                  <w:sz w:val="24"/>
                </w:rPr>
                <w:t>https://doi.org/10.1002/erv.2382</w:t>
              </w:r>
            </w:hyperlink>
          </w:p>
        </w:tc>
      </w:tr>
      <w:tr>
        <w:trPr>
          <w:trHeight w:val="600" w:hRule="atLeast"/>
        </w:trPr>
        <w:tc>
          <w:tcPr>
            <w:tcW w:w="340" w:type="dxa"/>
          </w:tcPr>
          <w:p>
            <w:pPr>
              <w:pStyle w:val="TableParagraph"/>
              <w:rPr>
                <w:sz w:val="18"/>
              </w:rPr>
            </w:pPr>
          </w:p>
          <w:p>
            <w:pPr>
              <w:pStyle w:val="TableParagraph"/>
              <w:spacing w:before="143"/>
              <w:ind w:left="50"/>
              <w:rPr>
                <w:rFonts w:ascii="Arial"/>
                <w:sz w:val="12"/>
              </w:rPr>
            </w:pPr>
            <w:r>
              <w:rPr>
                <w:rFonts w:ascii="Arial"/>
                <w:sz w:val="12"/>
              </w:rPr>
              <w:t>831</w:t>
            </w:r>
          </w:p>
        </w:tc>
        <w:tc>
          <w:tcPr>
            <w:tcW w:w="9532" w:type="dxa"/>
          </w:tcPr>
          <w:p>
            <w:pPr>
              <w:pStyle w:val="TableParagraph"/>
              <w:spacing w:before="238"/>
              <w:ind w:left="99"/>
              <w:rPr>
                <w:sz w:val="24"/>
              </w:rPr>
            </w:pPr>
            <w:r>
              <w:rPr>
                <w:w w:val="105"/>
                <w:sz w:val="24"/>
              </w:rPr>
              <w:t>Button, K. S., Ioannidis, J. P. A., Mokrysz, C., Nosek, B. A., Flint, J., Robinson, E. S. J., &amp;</w:t>
            </w:r>
          </w:p>
        </w:tc>
      </w:tr>
      <w:tr>
        <w:trPr>
          <w:trHeight w:val="478" w:hRule="atLeast"/>
        </w:trPr>
        <w:tc>
          <w:tcPr>
            <w:tcW w:w="340" w:type="dxa"/>
          </w:tcPr>
          <w:p>
            <w:pPr>
              <w:pStyle w:val="TableParagraph"/>
              <w:spacing w:before="9"/>
              <w:rPr>
                <w:sz w:val="19"/>
              </w:rPr>
            </w:pPr>
          </w:p>
          <w:p>
            <w:pPr>
              <w:pStyle w:val="TableParagraph"/>
              <w:ind w:left="50"/>
              <w:rPr>
                <w:rFonts w:ascii="Arial"/>
                <w:sz w:val="12"/>
              </w:rPr>
            </w:pPr>
            <w:r>
              <w:rPr>
                <w:rFonts w:ascii="Arial"/>
                <w:sz w:val="12"/>
              </w:rPr>
              <w:t>832</w:t>
            </w:r>
          </w:p>
        </w:tc>
        <w:tc>
          <w:tcPr>
            <w:tcW w:w="9532" w:type="dxa"/>
          </w:tcPr>
          <w:p>
            <w:pPr>
              <w:pStyle w:val="TableParagraph"/>
              <w:spacing w:before="116"/>
              <w:ind w:left="819"/>
              <w:rPr>
                <w:sz w:val="24"/>
              </w:rPr>
            </w:pPr>
            <w:r>
              <w:rPr>
                <w:w w:val="105"/>
                <w:sz w:val="24"/>
              </w:rPr>
              <w:t>Munafò, M. R. (2013). Power failure: Why small sample size undermines the</w:t>
            </w:r>
          </w:p>
        </w:tc>
      </w:tr>
      <w:tr>
        <w:trPr>
          <w:trHeight w:val="479" w:hRule="atLeast"/>
        </w:trPr>
        <w:tc>
          <w:tcPr>
            <w:tcW w:w="340" w:type="dxa"/>
          </w:tcPr>
          <w:p>
            <w:pPr>
              <w:pStyle w:val="TableParagraph"/>
              <w:spacing w:before="9"/>
              <w:rPr>
                <w:sz w:val="19"/>
              </w:rPr>
            </w:pPr>
          </w:p>
          <w:p>
            <w:pPr>
              <w:pStyle w:val="TableParagraph"/>
              <w:ind w:left="50"/>
              <w:rPr>
                <w:rFonts w:ascii="Arial"/>
                <w:sz w:val="12"/>
              </w:rPr>
            </w:pPr>
            <w:r>
              <w:rPr>
                <w:rFonts w:ascii="Arial"/>
                <w:sz w:val="12"/>
              </w:rPr>
              <w:t>833</w:t>
            </w:r>
          </w:p>
        </w:tc>
        <w:tc>
          <w:tcPr>
            <w:tcW w:w="9532" w:type="dxa"/>
          </w:tcPr>
          <w:p>
            <w:pPr>
              <w:pStyle w:val="TableParagraph"/>
              <w:spacing w:before="116"/>
              <w:ind w:left="819"/>
              <w:rPr>
                <w:sz w:val="24"/>
              </w:rPr>
            </w:pPr>
            <w:r>
              <w:rPr>
                <w:w w:val="105"/>
                <w:sz w:val="24"/>
              </w:rPr>
              <w:t>reliability of neuroscience. </w:t>
            </w:r>
            <w:r>
              <w:rPr>
                <w:i/>
                <w:w w:val="105"/>
                <w:sz w:val="24"/>
              </w:rPr>
              <w:t>Nat. Rev. Neurosci.</w:t>
            </w:r>
            <w:r>
              <w:rPr>
                <w:w w:val="105"/>
                <w:sz w:val="24"/>
              </w:rPr>
              <w:t>, </w:t>
            </w:r>
            <w:r>
              <w:rPr>
                <w:i/>
                <w:w w:val="105"/>
                <w:sz w:val="24"/>
              </w:rPr>
              <w:t>14 </w:t>
            </w:r>
            <w:r>
              <w:rPr>
                <w:w w:val="105"/>
                <w:sz w:val="24"/>
              </w:rPr>
              <w:t>(5), 365–376.</w:t>
            </w:r>
          </w:p>
        </w:tc>
      </w:tr>
      <w:tr>
        <w:trPr>
          <w:trHeight w:val="600" w:hRule="atLeast"/>
        </w:trPr>
        <w:tc>
          <w:tcPr>
            <w:tcW w:w="340" w:type="dxa"/>
          </w:tcPr>
          <w:p>
            <w:pPr>
              <w:pStyle w:val="TableParagraph"/>
              <w:spacing w:before="8"/>
              <w:rPr>
                <w:sz w:val="19"/>
              </w:rPr>
            </w:pPr>
          </w:p>
          <w:p>
            <w:pPr>
              <w:pStyle w:val="TableParagraph"/>
              <w:ind w:left="50"/>
              <w:rPr>
                <w:rFonts w:ascii="Arial"/>
                <w:sz w:val="12"/>
              </w:rPr>
            </w:pPr>
            <w:r>
              <w:rPr>
                <w:rFonts w:ascii="Arial"/>
                <w:sz w:val="12"/>
              </w:rPr>
              <w:t>834</w:t>
            </w:r>
          </w:p>
        </w:tc>
        <w:tc>
          <w:tcPr>
            <w:tcW w:w="9532" w:type="dxa"/>
          </w:tcPr>
          <w:p>
            <w:pPr>
              <w:pStyle w:val="TableParagraph"/>
              <w:spacing w:before="115"/>
              <w:ind w:left="819"/>
              <w:rPr>
                <w:sz w:val="24"/>
              </w:rPr>
            </w:pPr>
            <w:hyperlink r:id="rId25">
              <w:r>
                <w:rPr>
                  <w:w w:val="110"/>
                  <w:sz w:val="24"/>
                </w:rPr>
                <w:t>https://doi.org/10.1038/nrn3475</w:t>
              </w:r>
            </w:hyperlink>
          </w:p>
        </w:tc>
      </w:tr>
      <w:tr>
        <w:trPr>
          <w:trHeight w:val="602" w:hRule="atLeast"/>
        </w:trPr>
        <w:tc>
          <w:tcPr>
            <w:tcW w:w="340" w:type="dxa"/>
          </w:tcPr>
          <w:p>
            <w:pPr>
              <w:pStyle w:val="TableParagraph"/>
              <w:rPr>
                <w:sz w:val="18"/>
              </w:rPr>
            </w:pPr>
          </w:p>
          <w:p>
            <w:pPr>
              <w:pStyle w:val="TableParagraph"/>
              <w:spacing w:before="144"/>
              <w:ind w:left="50"/>
              <w:rPr>
                <w:rFonts w:ascii="Arial"/>
                <w:sz w:val="12"/>
              </w:rPr>
            </w:pPr>
            <w:r>
              <w:rPr>
                <w:rFonts w:ascii="Arial"/>
                <w:sz w:val="12"/>
              </w:rPr>
              <w:t>835</w:t>
            </w:r>
          </w:p>
        </w:tc>
        <w:tc>
          <w:tcPr>
            <w:tcW w:w="9532" w:type="dxa"/>
          </w:tcPr>
          <w:p>
            <w:pPr>
              <w:pStyle w:val="TableParagraph"/>
              <w:spacing w:before="239"/>
              <w:ind w:left="99"/>
              <w:rPr>
                <w:sz w:val="24"/>
              </w:rPr>
            </w:pPr>
            <w:r>
              <w:rPr>
                <w:w w:val="105"/>
                <w:sz w:val="24"/>
              </w:rPr>
              <w:t>Cameron, A. C., &amp; Trivedi, P. K. (2005). </w:t>
            </w:r>
            <w:r>
              <w:rPr>
                <w:i/>
                <w:w w:val="105"/>
                <w:sz w:val="24"/>
              </w:rPr>
              <w:t>Microeconometrics: Methods and Applications</w:t>
            </w:r>
            <w:r>
              <w:rPr>
                <w:w w:val="105"/>
                <w:sz w:val="24"/>
              </w:rPr>
              <w:t>.</w:t>
            </w:r>
          </w:p>
        </w:tc>
      </w:tr>
      <w:tr>
        <w:trPr>
          <w:trHeight w:val="406" w:hRule="atLeast"/>
        </w:trPr>
        <w:tc>
          <w:tcPr>
            <w:tcW w:w="340" w:type="dxa"/>
          </w:tcPr>
          <w:p>
            <w:pPr>
              <w:pStyle w:val="TableParagraph"/>
              <w:spacing w:before="8"/>
              <w:rPr>
                <w:sz w:val="19"/>
              </w:rPr>
            </w:pPr>
          </w:p>
          <w:p>
            <w:pPr>
              <w:pStyle w:val="TableParagraph"/>
              <w:ind w:left="50"/>
              <w:rPr>
                <w:rFonts w:ascii="Arial"/>
                <w:sz w:val="12"/>
              </w:rPr>
            </w:pPr>
            <w:r>
              <w:rPr>
                <w:rFonts w:ascii="Arial"/>
                <w:sz w:val="12"/>
              </w:rPr>
              <w:t>836</w:t>
            </w:r>
          </w:p>
        </w:tc>
        <w:tc>
          <w:tcPr>
            <w:tcW w:w="9532" w:type="dxa"/>
          </w:tcPr>
          <w:p>
            <w:pPr>
              <w:pStyle w:val="TableParagraph"/>
              <w:spacing w:line="271" w:lineRule="exact" w:before="115"/>
              <w:ind w:left="819"/>
              <w:rPr>
                <w:sz w:val="24"/>
              </w:rPr>
            </w:pPr>
            <w:r>
              <w:rPr>
                <w:w w:val="105"/>
                <w:sz w:val="24"/>
              </w:rPr>
              <w:t>Cambridge, New York: Cambridge University Press.</w:t>
            </w:r>
          </w:p>
        </w:tc>
      </w:tr>
    </w:tbl>
    <w:p>
      <w:pPr>
        <w:pStyle w:val="BodyText"/>
        <w:spacing w:before="0"/>
        <w:ind w:left="0"/>
        <w:rPr>
          <w:sz w:val="25"/>
        </w:rPr>
      </w:pPr>
    </w:p>
    <w:p>
      <w:pPr>
        <w:spacing w:before="146"/>
        <w:ind w:left="230" w:right="0" w:firstLine="0"/>
        <w:jc w:val="left"/>
        <w:rPr>
          <w:sz w:val="24"/>
        </w:rPr>
      </w:pPr>
      <w:r>
        <w:rPr>
          <w:rFonts w:ascii="Arial"/>
          <w:w w:val="105"/>
          <w:sz w:val="12"/>
        </w:rPr>
        <w:t>837 </w:t>
      </w:r>
      <w:r>
        <w:rPr>
          <w:w w:val="105"/>
          <w:sz w:val="24"/>
        </w:rPr>
        <w:t>Cameron, A. C., &amp; Trivedi, P. K. (2009). </w:t>
      </w:r>
      <w:r>
        <w:rPr>
          <w:i/>
          <w:w w:val="105"/>
          <w:sz w:val="24"/>
        </w:rPr>
        <w:t>Microeconometrics Using Stata</w:t>
      </w:r>
      <w:r>
        <w:rPr>
          <w:w w:val="105"/>
          <w:sz w:val="24"/>
        </w:rPr>
        <w:t>. College Station,</w:t>
      </w:r>
    </w:p>
    <w:p>
      <w:pPr>
        <w:pStyle w:val="BodyText"/>
        <w:tabs>
          <w:tab w:pos="1331" w:val="left" w:leader="none"/>
        </w:tabs>
      </w:pPr>
      <w:r>
        <w:rPr>
          <w:rFonts w:ascii="Arial"/>
          <w:w w:val="105"/>
          <w:sz w:val="12"/>
        </w:rPr>
        <w:t>838</w:t>
        <w:tab/>
      </w:r>
      <w:r>
        <w:rPr>
          <w:w w:val="105"/>
        </w:rPr>
        <w:t>TX: Stata</w:t>
      </w:r>
      <w:r>
        <w:rPr>
          <w:spacing w:val="31"/>
          <w:w w:val="105"/>
        </w:rPr>
        <w:t> </w:t>
      </w:r>
      <w:r>
        <w:rPr>
          <w:w w:val="105"/>
        </w:rPr>
        <w:t>Press.</w:t>
      </w:r>
    </w:p>
    <w:p>
      <w:pPr>
        <w:pStyle w:val="BodyText"/>
        <w:spacing w:before="4"/>
        <w:ind w:left="0"/>
        <w:rPr>
          <w:sz w:val="26"/>
        </w:rPr>
      </w:pPr>
    </w:p>
    <w:p>
      <w:pPr>
        <w:pStyle w:val="BodyText"/>
        <w:spacing w:before="145"/>
      </w:pPr>
      <w:r>
        <w:rPr>
          <w:rFonts w:ascii="Arial"/>
          <w:w w:val="105"/>
          <w:sz w:val="12"/>
        </w:rPr>
        <w:t>839 </w:t>
      </w:r>
      <w:r>
        <w:rPr>
          <w:w w:val="105"/>
        </w:rPr>
        <w:t>Carbine, K. A., Lindsey, H. M., Rodeback, R. E., &amp; Larson, M. J. (2019). Quantifying</w:t>
      </w:r>
    </w:p>
    <w:p>
      <w:pPr>
        <w:pStyle w:val="BodyText"/>
        <w:tabs>
          <w:tab w:pos="1339" w:val="left" w:leader="none"/>
        </w:tabs>
      </w:pPr>
      <w:r>
        <w:rPr>
          <w:rFonts w:ascii="Arial"/>
          <w:sz w:val="12"/>
        </w:rPr>
        <w:t>840</w:t>
        <w:tab/>
      </w:r>
      <w:r>
        <w:rPr/>
        <w:t>evidential</w:t>
      </w:r>
      <w:r>
        <w:rPr>
          <w:spacing w:val="23"/>
        </w:rPr>
        <w:t> </w:t>
      </w:r>
      <w:r>
        <w:rPr>
          <w:spacing w:val="-4"/>
        </w:rPr>
        <w:t>value</w:t>
      </w:r>
      <w:r>
        <w:rPr>
          <w:spacing w:val="24"/>
        </w:rPr>
        <w:t> </w:t>
      </w:r>
      <w:r>
        <w:rPr/>
        <w:t>and</w:t>
      </w:r>
      <w:r>
        <w:rPr>
          <w:spacing w:val="24"/>
        </w:rPr>
        <w:t> </w:t>
      </w:r>
      <w:r>
        <w:rPr/>
        <w:t>selective</w:t>
      </w:r>
      <w:r>
        <w:rPr>
          <w:spacing w:val="24"/>
        </w:rPr>
        <w:t> </w:t>
      </w:r>
      <w:r>
        <w:rPr/>
        <w:t>reporting</w:t>
      </w:r>
      <w:r>
        <w:rPr>
          <w:spacing w:val="24"/>
        </w:rPr>
        <w:t> </w:t>
      </w:r>
      <w:r>
        <w:rPr/>
        <w:t>in</w:t>
      </w:r>
      <w:r>
        <w:rPr>
          <w:spacing w:val="23"/>
        </w:rPr>
        <w:t> </w:t>
      </w:r>
      <w:r>
        <w:rPr/>
        <w:t>recent</w:t>
      </w:r>
      <w:r>
        <w:rPr>
          <w:spacing w:val="24"/>
        </w:rPr>
        <w:t> </w:t>
      </w:r>
      <w:r>
        <w:rPr/>
        <w:t>and</w:t>
      </w:r>
      <w:r>
        <w:rPr>
          <w:spacing w:val="24"/>
        </w:rPr>
        <w:t> </w:t>
      </w:r>
      <w:r>
        <w:rPr/>
        <w:t>10-year</w:t>
      </w:r>
      <w:r>
        <w:rPr>
          <w:spacing w:val="24"/>
        </w:rPr>
        <w:t> </w:t>
      </w:r>
      <w:r>
        <w:rPr/>
        <w:t>past</w:t>
      </w:r>
      <w:r>
        <w:rPr>
          <w:spacing w:val="24"/>
        </w:rPr>
        <w:t> </w:t>
      </w:r>
      <w:r>
        <w:rPr/>
        <w:t>psychophysiological</w:t>
      </w:r>
    </w:p>
    <w:p>
      <w:pPr>
        <w:tabs>
          <w:tab w:pos="1339" w:val="left" w:leader="none"/>
        </w:tabs>
        <w:spacing w:before="202"/>
        <w:ind w:left="230" w:right="0" w:firstLine="0"/>
        <w:jc w:val="left"/>
        <w:rPr>
          <w:i/>
          <w:sz w:val="24"/>
        </w:rPr>
      </w:pPr>
      <w:r>
        <w:rPr>
          <w:rFonts w:ascii="Arial"/>
          <w:w w:val="105"/>
          <w:sz w:val="12"/>
        </w:rPr>
        <w:t>841</w:t>
        <w:tab/>
      </w:r>
      <w:r>
        <w:rPr>
          <w:w w:val="105"/>
          <w:sz w:val="24"/>
        </w:rPr>
        <w:t>literature: A pre-registered P-curve analysis. </w:t>
      </w:r>
      <w:r>
        <w:rPr>
          <w:i/>
          <w:w w:val="105"/>
          <w:sz w:val="24"/>
        </w:rPr>
        <w:t>International Journal</w:t>
      </w:r>
      <w:r>
        <w:rPr>
          <w:i/>
          <w:spacing w:val="-26"/>
          <w:w w:val="105"/>
          <w:sz w:val="24"/>
        </w:rPr>
        <w:t> </w:t>
      </w:r>
      <w:r>
        <w:rPr>
          <w:i/>
          <w:w w:val="105"/>
          <w:sz w:val="24"/>
        </w:rPr>
        <w:t>of</w:t>
      </w:r>
    </w:p>
    <w:p>
      <w:pPr>
        <w:spacing w:after="0"/>
        <w:jc w:val="left"/>
        <w:rPr>
          <w:sz w:val="24"/>
        </w:rPr>
        <w:sectPr>
          <w:pgSz w:w="12240" w:h="15840"/>
          <w:pgMar w:header="649" w:footer="0" w:top="1320" w:bottom="280" w:left="820" w:right="1140"/>
        </w:sectPr>
      </w:pPr>
    </w:p>
    <w:p>
      <w:pPr>
        <w:tabs>
          <w:tab w:pos="1326" w:val="left" w:leader="none"/>
        </w:tabs>
        <w:spacing w:before="191"/>
        <w:ind w:left="230" w:right="0" w:firstLine="0"/>
        <w:jc w:val="left"/>
        <w:rPr>
          <w:sz w:val="24"/>
        </w:rPr>
      </w:pPr>
      <w:r>
        <w:rPr>
          <w:rFonts w:ascii="Arial" w:hAnsi="Arial"/>
          <w:w w:val="105"/>
          <w:sz w:val="12"/>
        </w:rPr>
        <w:t>842</w:t>
        <w:tab/>
      </w:r>
      <w:r>
        <w:rPr>
          <w:i/>
          <w:w w:val="105"/>
          <w:sz w:val="24"/>
        </w:rPr>
        <w:t>Psychophysiology</w:t>
      </w:r>
      <w:r>
        <w:rPr>
          <w:w w:val="105"/>
          <w:sz w:val="24"/>
        </w:rPr>
        <w:t>, </w:t>
      </w:r>
      <w:r>
        <w:rPr>
          <w:i/>
          <w:w w:val="105"/>
          <w:sz w:val="24"/>
        </w:rPr>
        <w:t>142</w:t>
      </w:r>
      <w:r>
        <w:rPr>
          <w:w w:val="105"/>
          <w:sz w:val="24"/>
        </w:rPr>
        <w:t>, 33–49.</w:t>
      </w:r>
      <w:r>
        <w:rPr>
          <w:spacing w:val="46"/>
          <w:w w:val="105"/>
          <w:sz w:val="24"/>
        </w:rPr>
        <w:t> </w:t>
      </w:r>
      <w:hyperlink r:id="rId26">
        <w:r>
          <w:rPr>
            <w:w w:val="105"/>
            <w:sz w:val="24"/>
          </w:rPr>
          <w:t>https://doi.org/10.1016/j.ijpsycho.2019.06.004</w:t>
        </w:r>
      </w:hyperlink>
    </w:p>
    <w:p>
      <w:pPr>
        <w:pStyle w:val="BodyText"/>
        <w:spacing w:before="0"/>
        <w:ind w:left="0"/>
        <w:rPr>
          <w:sz w:val="20"/>
        </w:rPr>
      </w:pPr>
    </w:p>
    <w:p>
      <w:pPr>
        <w:tabs>
          <w:tab w:pos="1323" w:val="left" w:leader="none"/>
        </w:tabs>
        <w:spacing w:line="415" w:lineRule="auto" w:before="287"/>
        <w:ind w:left="230" w:right="275" w:firstLine="0"/>
        <w:jc w:val="both"/>
        <w:rPr>
          <w:sz w:val="24"/>
        </w:rPr>
      </w:pPr>
      <w:r>
        <w:rPr>
          <w:rFonts w:ascii="Arial" w:hAnsi="Arial"/>
          <w:w w:val="105"/>
          <w:sz w:val="12"/>
        </w:rPr>
        <w:t>843 </w:t>
      </w:r>
      <w:r>
        <w:rPr>
          <w:w w:val="105"/>
          <w:sz w:val="24"/>
        </w:rPr>
        <w:t>Chen, Z., </w:t>
      </w:r>
      <w:r>
        <w:rPr>
          <w:spacing w:val="-3"/>
          <w:w w:val="105"/>
          <w:sz w:val="24"/>
        </w:rPr>
        <w:t>Veling, </w:t>
      </w:r>
      <w:r>
        <w:rPr>
          <w:w w:val="105"/>
          <w:sz w:val="24"/>
        </w:rPr>
        <w:t>H., Dijksterhuis, A., &amp; Holland, R. W. (2016). </w:t>
      </w:r>
      <w:r>
        <w:rPr>
          <w:spacing w:val="-3"/>
          <w:w w:val="105"/>
          <w:sz w:val="24"/>
        </w:rPr>
        <w:t>How </w:t>
      </w:r>
      <w:r>
        <w:rPr>
          <w:w w:val="105"/>
          <w:sz w:val="24"/>
        </w:rPr>
        <w:t>does not responding to </w:t>
      </w:r>
      <w:r>
        <w:rPr>
          <w:rFonts w:ascii="Arial" w:hAnsi="Arial"/>
          <w:w w:val="105"/>
          <w:sz w:val="12"/>
        </w:rPr>
        <w:t>844</w:t>
        <w:tab/>
      </w:r>
      <w:r>
        <w:rPr>
          <w:w w:val="105"/>
          <w:sz w:val="24"/>
        </w:rPr>
        <w:t>appetitive stimuli cause devaluation: </w:t>
      </w:r>
      <w:r>
        <w:rPr>
          <w:spacing w:val="-3"/>
          <w:w w:val="105"/>
          <w:sz w:val="24"/>
        </w:rPr>
        <w:t>Evaluative </w:t>
      </w:r>
      <w:r>
        <w:rPr>
          <w:w w:val="105"/>
          <w:sz w:val="24"/>
        </w:rPr>
        <w:t>conditioning or response inhibition? </w:t>
      </w:r>
      <w:r>
        <w:rPr>
          <w:rFonts w:ascii="Arial" w:hAnsi="Arial"/>
          <w:w w:val="105"/>
          <w:sz w:val="12"/>
        </w:rPr>
        <w:t>845</w:t>
        <w:tab/>
      </w:r>
      <w:r>
        <w:rPr>
          <w:i/>
          <w:w w:val="105"/>
          <w:sz w:val="24"/>
        </w:rPr>
        <w:t>Journal of Experimental Psychology: </w:t>
      </w:r>
      <w:r>
        <w:rPr>
          <w:i/>
          <w:spacing w:val="-3"/>
          <w:w w:val="105"/>
          <w:sz w:val="24"/>
        </w:rPr>
        <w:t>General</w:t>
      </w:r>
      <w:r>
        <w:rPr>
          <w:spacing w:val="-3"/>
          <w:w w:val="105"/>
          <w:sz w:val="24"/>
        </w:rPr>
        <w:t>, </w:t>
      </w:r>
      <w:r>
        <w:rPr>
          <w:i/>
          <w:w w:val="105"/>
          <w:sz w:val="24"/>
        </w:rPr>
        <w:t>145 </w:t>
      </w:r>
      <w:r>
        <w:rPr>
          <w:w w:val="105"/>
          <w:sz w:val="24"/>
        </w:rPr>
        <w:t>(12),</w:t>
      </w:r>
      <w:r>
        <w:rPr>
          <w:spacing w:val="-9"/>
          <w:w w:val="105"/>
          <w:sz w:val="24"/>
        </w:rPr>
        <w:t> </w:t>
      </w:r>
      <w:r>
        <w:rPr>
          <w:w w:val="105"/>
          <w:sz w:val="24"/>
        </w:rPr>
        <w:t>1687–1701.</w:t>
      </w:r>
    </w:p>
    <w:p>
      <w:pPr>
        <w:pStyle w:val="BodyText"/>
        <w:tabs>
          <w:tab w:pos="1339" w:val="left" w:leader="none"/>
        </w:tabs>
        <w:spacing w:before="2"/>
        <w:jc w:val="both"/>
      </w:pPr>
      <w:r>
        <w:rPr>
          <w:rFonts w:ascii="Arial"/>
          <w:w w:val="105"/>
          <w:sz w:val="12"/>
        </w:rPr>
        <w:t>846</w:t>
        <w:tab/>
      </w:r>
      <w:hyperlink r:id="rId27">
        <w:r>
          <w:rPr>
            <w:w w:val="105"/>
          </w:rPr>
          <w:t>https://doi.org/10.1037/xge0000236</w:t>
        </w:r>
      </w:hyperlink>
    </w:p>
    <w:p>
      <w:pPr>
        <w:pStyle w:val="BodyText"/>
        <w:spacing w:before="0"/>
        <w:ind w:left="0"/>
        <w:rPr>
          <w:sz w:val="20"/>
        </w:rPr>
      </w:pPr>
    </w:p>
    <w:p>
      <w:pPr>
        <w:pStyle w:val="BodyText"/>
        <w:spacing w:before="287"/>
      </w:pPr>
      <w:r>
        <w:rPr>
          <w:rFonts w:ascii="Arial"/>
          <w:w w:val="105"/>
          <w:sz w:val="12"/>
        </w:rPr>
        <w:t>847 </w:t>
      </w:r>
      <w:r>
        <w:rPr>
          <w:w w:val="105"/>
        </w:rPr>
        <w:t>Cohen, S., Kamarck, T., &amp; Mermelstein, R. (1983). A global measure of perceived stress.</w:t>
      </w:r>
    </w:p>
    <w:p>
      <w:pPr>
        <w:tabs>
          <w:tab w:pos="1323" w:val="left" w:leader="none"/>
        </w:tabs>
        <w:spacing w:before="202"/>
        <w:ind w:left="230" w:right="0" w:firstLine="0"/>
        <w:jc w:val="left"/>
        <w:rPr>
          <w:sz w:val="24"/>
        </w:rPr>
      </w:pPr>
      <w:r>
        <w:rPr>
          <w:rFonts w:ascii="Arial" w:hAnsi="Arial"/>
          <w:w w:val="105"/>
          <w:sz w:val="12"/>
        </w:rPr>
        <w:t>848</w:t>
        <w:tab/>
      </w:r>
      <w:r>
        <w:rPr>
          <w:i/>
          <w:w w:val="105"/>
          <w:sz w:val="24"/>
        </w:rPr>
        <w:t>Journal of </w:t>
      </w:r>
      <w:r>
        <w:rPr>
          <w:i/>
          <w:spacing w:val="-3"/>
          <w:w w:val="105"/>
          <w:sz w:val="24"/>
        </w:rPr>
        <w:t>Health </w:t>
      </w:r>
      <w:r>
        <w:rPr>
          <w:i/>
          <w:w w:val="105"/>
          <w:sz w:val="24"/>
        </w:rPr>
        <w:t>and Social Behavior</w:t>
      </w:r>
      <w:r>
        <w:rPr>
          <w:w w:val="105"/>
          <w:sz w:val="24"/>
        </w:rPr>
        <w:t>, </w:t>
      </w:r>
      <w:r>
        <w:rPr>
          <w:i/>
          <w:w w:val="105"/>
          <w:sz w:val="24"/>
        </w:rPr>
        <w:t>24 </w:t>
      </w:r>
      <w:r>
        <w:rPr>
          <w:w w:val="105"/>
          <w:sz w:val="24"/>
        </w:rPr>
        <w:t>(4),</w:t>
      </w:r>
      <w:r>
        <w:rPr>
          <w:spacing w:val="15"/>
          <w:w w:val="105"/>
          <w:sz w:val="24"/>
        </w:rPr>
        <w:t> </w:t>
      </w:r>
      <w:r>
        <w:rPr>
          <w:w w:val="105"/>
          <w:sz w:val="24"/>
        </w:rPr>
        <w:t>385–396.</w:t>
      </w:r>
    </w:p>
    <w:p>
      <w:pPr>
        <w:pStyle w:val="BodyText"/>
        <w:spacing w:before="0"/>
        <w:ind w:left="0"/>
        <w:rPr>
          <w:sz w:val="20"/>
        </w:rPr>
      </w:pPr>
    </w:p>
    <w:p>
      <w:pPr>
        <w:pStyle w:val="BodyText"/>
        <w:spacing w:before="287"/>
      </w:pPr>
      <w:r>
        <w:rPr>
          <w:rFonts w:ascii="Arial"/>
          <w:w w:val="105"/>
          <w:sz w:val="12"/>
        </w:rPr>
        <w:t>849 </w:t>
      </w:r>
      <w:r>
        <w:rPr>
          <w:w w:val="105"/>
        </w:rPr>
        <w:t>De Boer, B. J., van Hooft, E. A. J., &amp; Bakker, A. B. (2011). Stop and start control: A</w:t>
      </w:r>
    </w:p>
    <w:p>
      <w:pPr>
        <w:tabs>
          <w:tab w:pos="1339" w:val="left" w:leader="none"/>
        </w:tabs>
        <w:spacing w:before="202"/>
        <w:ind w:left="230" w:right="0" w:firstLine="0"/>
        <w:jc w:val="left"/>
        <w:rPr>
          <w:sz w:val="24"/>
        </w:rPr>
      </w:pPr>
      <w:r>
        <w:rPr>
          <w:rFonts w:ascii="Arial" w:hAnsi="Arial"/>
          <w:w w:val="105"/>
          <w:sz w:val="12"/>
        </w:rPr>
        <w:t>850</w:t>
        <w:tab/>
      </w:r>
      <w:r>
        <w:rPr>
          <w:w w:val="105"/>
          <w:sz w:val="24"/>
        </w:rPr>
        <w:t>distinction within self-control. </w:t>
      </w:r>
      <w:r>
        <w:rPr>
          <w:i/>
          <w:spacing w:val="-5"/>
          <w:w w:val="105"/>
          <w:sz w:val="24"/>
        </w:rPr>
        <w:t>European </w:t>
      </w:r>
      <w:r>
        <w:rPr>
          <w:i/>
          <w:w w:val="105"/>
          <w:sz w:val="24"/>
        </w:rPr>
        <w:t>Journal of Personality</w:t>
      </w:r>
      <w:r>
        <w:rPr>
          <w:w w:val="105"/>
          <w:sz w:val="24"/>
        </w:rPr>
        <w:t>, </w:t>
      </w:r>
      <w:r>
        <w:rPr>
          <w:i/>
          <w:w w:val="105"/>
          <w:sz w:val="24"/>
        </w:rPr>
        <w:t>25 </w:t>
      </w:r>
      <w:r>
        <w:rPr>
          <w:w w:val="105"/>
          <w:sz w:val="24"/>
        </w:rPr>
        <w:t>(5),</w:t>
      </w:r>
      <w:r>
        <w:rPr>
          <w:spacing w:val="7"/>
          <w:w w:val="105"/>
          <w:sz w:val="24"/>
        </w:rPr>
        <w:t> </w:t>
      </w:r>
      <w:r>
        <w:rPr>
          <w:w w:val="105"/>
          <w:sz w:val="24"/>
        </w:rPr>
        <w:t>349–362.</w:t>
      </w:r>
    </w:p>
    <w:p>
      <w:pPr>
        <w:pStyle w:val="BodyText"/>
        <w:tabs>
          <w:tab w:pos="1339" w:val="left" w:leader="none"/>
        </w:tabs>
      </w:pPr>
      <w:r>
        <w:rPr>
          <w:rFonts w:ascii="Arial"/>
          <w:w w:val="105"/>
          <w:sz w:val="12"/>
        </w:rPr>
        <w:t>851</w:t>
        <w:tab/>
      </w:r>
      <w:hyperlink r:id="rId28">
        <w:r>
          <w:rPr>
            <w:w w:val="105"/>
          </w:rPr>
          <w:t>https://doi.org/10.1002/per.796</w:t>
        </w:r>
      </w:hyperlink>
    </w:p>
    <w:p>
      <w:pPr>
        <w:pStyle w:val="BodyText"/>
        <w:spacing w:before="0"/>
        <w:ind w:left="0"/>
        <w:rPr>
          <w:sz w:val="20"/>
        </w:rPr>
      </w:pPr>
    </w:p>
    <w:p>
      <w:pPr>
        <w:pStyle w:val="BodyText"/>
        <w:spacing w:before="0"/>
        <w:ind w:left="0"/>
        <w:rPr>
          <w:sz w:val="21"/>
        </w:rPr>
      </w:pPr>
    </w:p>
    <w:tbl>
      <w:tblPr>
        <w:tblW w:w="0" w:type="auto"/>
        <w:jc w:val="left"/>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1"/>
        <w:gridCol w:w="9158"/>
      </w:tblGrid>
      <w:tr>
        <w:trPr>
          <w:trHeight w:val="407" w:hRule="atLeast"/>
        </w:trPr>
        <w:tc>
          <w:tcPr>
            <w:tcW w:w="9849" w:type="dxa"/>
            <w:gridSpan w:val="2"/>
          </w:tcPr>
          <w:p>
            <w:pPr>
              <w:pStyle w:val="TableParagraph"/>
              <w:spacing w:before="45"/>
              <w:ind w:left="50"/>
              <w:rPr>
                <w:sz w:val="24"/>
              </w:rPr>
            </w:pPr>
            <w:r>
              <w:rPr>
                <w:rFonts w:ascii="Arial"/>
                <w:w w:val="105"/>
                <w:sz w:val="12"/>
              </w:rPr>
              <w:t>852 </w:t>
            </w:r>
            <w:r>
              <w:rPr>
                <w:w w:val="105"/>
                <w:sz w:val="24"/>
              </w:rPr>
              <w:t>Dickson, H., Kavanagh, D. J., &amp; MacLeod, C. (2016). The pulling power of chocolate:</w:t>
            </w:r>
          </w:p>
        </w:tc>
      </w:tr>
      <w:tr>
        <w:trPr>
          <w:trHeight w:val="479" w:hRule="atLeast"/>
        </w:trPr>
        <w:tc>
          <w:tcPr>
            <w:tcW w:w="691" w:type="dxa"/>
          </w:tcPr>
          <w:p>
            <w:pPr>
              <w:pStyle w:val="TableParagraph"/>
              <w:spacing w:before="9"/>
              <w:rPr>
                <w:sz w:val="19"/>
              </w:rPr>
            </w:pPr>
          </w:p>
          <w:p>
            <w:pPr>
              <w:pStyle w:val="TableParagraph"/>
              <w:ind w:left="50"/>
              <w:rPr>
                <w:rFonts w:ascii="Arial"/>
                <w:sz w:val="12"/>
              </w:rPr>
            </w:pPr>
            <w:r>
              <w:rPr>
                <w:rFonts w:ascii="Arial"/>
                <w:sz w:val="12"/>
              </w:rPr>
              <w:t>853</w:t>
            </w:r>
          </w:p>
        </w:tc>
        <w:tc>
          <w:tcPr>
            <w:tcW w:w="9158" w:type="dxa"/>
          </w:tcPr>
          <w:p>
            <w:pPr>
              <w:pStyle w:val="TableParagraph"/>
              <w:spacing w:before="116"/>
              <w:ind w:left="468"/>
              <w:rPr>
                <w:sz w:val="24"/>
              </w:rPr>
            </w:pPr>
            <w:r>
              <w:rPr>
                <w:w w:val="105"/>
                <w:sz w:val="24"/>
              </w:rPr>
              <w:t>Effects of approach-avoidance training on approach bias and consumption.</w:t>
            </w:r>
            <w:r>
              <w:rPr>
                <w:spacing w:val="58"/>
                <w:w w:val="105"/>
                <w:sz w:val="24"/>
              </w:rPr>
              <w:t> </w:t>
            </w:r>
            <w:r>
              <w:rPr>
                <w:i/>
                <w:spacing w:val="-3"/>
                <w:w w:val="105"/>
                <w:sz w:val="24"/>
              </w:rPr>
              <w:t>Appetite</w:t>
            </w:r>
            <w:r>
              <w:rPr>
                <w:spacing w:val="-3"/>
                <w:w w:val="105"/>
                <w:sz w:val="24"/>
              </w:rPr>
              <w:t>,</w:t>
            </w:r>
          </w:p>
        </w:tc>
      </w:tr>
      <w:tr>
        <w:trPr>
          <w:trHeight w:val="635" w:hRule="atLeast"/>
        </w:trPr>
        <w:tc>
          <w:tcPr>
            <w:tcW w:w="691" w:type="dxa"/>
          </w:tcPr>
          <w:p>
            <w:pPr>
              <w:pStyle w:val="TableParagraph"/>
              <w:spacing w:before="8"/>
              <w:rPr>
                <w:sz w:val="19"/>
              </w:rPr>
            </w:pPr>
          </w:p>
          <w:p>
            <w:pPr>
              <w:pStyle w:val="TableParagraph"/>
              <w:ind w:left="50"/>
              <w:rPr>
                <w:rFonts w:ascii="Arial"/>
                <w:sz w:val="12"/>
              </w:rPr>
            </w:pPr>
            <w:r>
              <w:rPr>
                <w:rFonts w:ascii="Arial"/>
                <w:sz w:val="12"/>
              </w:rPr>
              <w:t>854</w:t>
            </w:r>
          </w:p>
        </w:tc>
        <w:tc>
          <w:tcPr>
            <w:tcW w:w="9158" w:type="dxa"/>
          </w:tcPr>
          <w:p>
            <w:pPr>
              <w:pStyle w:val="TableParagraph"/>
              <w:spacing w:before="115"/>
              <w:ind w:left="450"/>
              <w:rPr>
                <w:sz w:val="24"/>
              </w:rPr>
            </w:pPr>
            <w:r>
              <w:rPr>
                <w:i/>
                <w:w w:val="105"/>
                <w:sz w:val="24"/>
              </w:rPr>
              <w:t>99</w:t>
            </w:r>
            <w:r>
              <w:rPr>
                <w:w w:val="105"/>
                <w:sz w:val="24"/>
              </w:rPr>
              <w:t>, 46–51.</w:t>
            </w:r>
            <w:r>
              <w:rPr>
                <w:spacing w:val="55"/>
                <w:w w:val="105"/>
                <w:sz w:val="24"/>
              </w:rPr>
              <w:t> </w:t>
            </w:r>
            <w:hyperlink r:id="rId29">
              <w:r>
                <w:rPr>
                  <w:w w:val="105"/>
                  <w:sz w:val="24"/>
                </w:rPr>
                <w:t>https://doi.org/10.1016/j.appet.2015.12.026</w:t>
              </w:r>
            </w:hyperlink>
          </w:p>
        </w:tc>
      </w:tr>
      <w:tr>
        <w:trPr>
          <w:trHeight w:val="634" w:hRule="atLeast"/>
        </w:trPr>
        <w:tc>
          <w:tcPr>
            <w:tcW w:w="9849" w:type="dxa"/>
            <w:gridSpan w:val="2"/>
          </w:tcPr>
          <w:p>
            <w:pPr>
              <w:pStyle w:val="TableParagraph"/>
              <w:spacing w:before="272"/>
              <w:ind w:left="50"/>
              <w:rPr>
                <w:sz w:val="24"/>
              </w:rPr>
            </w:pPr>
            <w:r>
              <w:rPr>
                <w:rFonts w:ascii="Arial"/>
                <w:w w:val="105"/>
                <w:sz w:val="12"/>
              </w:rPr>
              <w:t>855 </w:t>
            </w:r>
            <w:r>
              <w:rPr>
                <w:w w:val="105"/>
                <w:sz w:val="24"/>
              </w:rPr>
              <w:t>Faul, F., Erdfelder, E., Buchner, A., &amp; Lang, A.-G. (2009). Statistical power analyses using</w:t>
            </w:r>
          </w:p>
        </w:tc>
      </w:tr>
      <w:tr>
        <w:trPr>
          <w:trHeight w:val="479" w:hRule="atLeast"/>
        </w:trPr>
        <w:tc>
          <w:tcPr>
            <w:tcW w:w="691" w:type="dxa"/>
          </w:tcPr>
          <w:p>
            <w:pPr>
              <w:pStyle w:val="TableParagraph"/>
              <w:spacing w:before="9"/>
              <w:rPr>
                <w:sz w:val="19"/>
              </w:rPr>
            </w:pPr>
          </w:p>
          <w:p>
            <w:pPr>
              <w:pStyle w:val="TableParagraph"/>
              <w:ind w:left="50"/>
              <w:rPr>
                <w:rFonts w:ascii="Arial"/>
                <w:sz w:val="12"/>
              </w:rPr>
            </w:pPr>
            <w:r>
              <w:rPr>
                <w:rFonts w:ascii="Arial"/>
                <w:sz w:val="12"/>
              </w:rPr>
              <w:t>856</w:t>
            </w:r>
          </w:p>
        </w:tc>
        <w:tc>
          <w:tcPr>
            <w:tcW w:w="9158" w:type="dxa"/>
          </w:tcPr>
          <w:p>
            <w:pPr>
              <w:pStyle w:val="TableParagraph"/>
              <w:spacing w:before="116"/>
              <w:ind w:left="468"/>
              <w:rPr>
                <w:sz w:val="24"/>
              </w:rPr>
            </w:pPr>
            <w:r>
              <w:rPr>
                <w:w w:val="105"/>
                <w:sz w:val="24"/>
              </w:rPr>
              <w:t>G*Power 3.1: Tests for correlation and regression analyses. </w:t>
            </w:r>
            <w:r>
              <w:rPr>
                <w:i/>
                <w:w w:val="105"/>
                <w:sz w:val="24"/>
              </w:rPr>
              <w:t>Behav. Res. Methods</w:t>
            </w:r>
            <w:r>
              <w:rPr>
                <w:w w:val="105"/>
                <w:sz w:val="24"/>
              </w:rPr>
              <w:t>,</w:t>
            </w:r>
          </w:p>
        </w:tc>
      </w:tr>
      <w:tr>
        <w:trPr>
          <w:trHeight w:val="408" w:hRule="atLeast"/>
        </w:trPr>
        <w:tc>
          <w:tcPr>
            <w:tcW w:w="691" w:type="dxa"/>
          </w:tcPr>
          <w:p>
            <w:pPr>
              <w:pStyle w:val="TableParagraph"/>
              <w:spacing w:before="8"/>
              <w:rPr>
                <w:sz w:val="19"/>
              </w:rPr>
            </w:pPr>
          </w:p>
          <w:p>
            <w:pPr>
              <w:pStyle w:val="TableParagraph"/>
              <w:ind w:left="50"/>
              <w:rPr>
                <w:rFonts w:ascii="Arial"/>
                <w:sz w:val="12"/>
              </w:rPr>
            </w:pPr>
            <w:r>
              <w:rPr>
                <w:rFonts w:ascii="Arial"/>
                <w:sz w:val="12"/>
              </w:rPr>
              <w:t>857</w:t>
            </w:r>
          </w:p>
        </w:tc>
        <w:tc>
          <w:tcPr>
            <w:tcW w:w="9158" w:type="dxa"/>
          </w:tcPr>
          <w:p>
            <w:pPr>
              <w:pStyle w:val="TableParagraph"/>
              <w:spacing w:line="273" w:lineRule="exact" w:before="115"/>
              <w:ind w:left="453"/>
              <w:rPr>
                <w:sz w:val="24"/>
              </w:rPr>
            </w:pPr>
            <w:r>
              <w:rPr>
                <w:i/>
                <w:w w:val="105"/>
                <w:sz w:val="24"/>
              </w:rPr>
              <w:t>41 </w:t>
            </w:r>
            <w:r>
              <w:rPr>
                <w:w w:val="105"/>
                <w:sz w:val="24"/>
              </w:rPr>
              <w:t>(4), 1149–1160. </w:t>
            </w:r>
            <w:hyperlink r:id="rId30">
              <w:r>
                <w:rPr>
                  <w:w w:val="105"/>
                  <w:sz w:val="24"/>
                </w:rPr>
                <w:t>https://doi.org/10.3758/BRM.41.4.1149</w:t>
              </w:r>
            </w:hyperlink>
          </w:p>
        </w:tc>
      </w:tr>
    </w:tbl>
    <w:p>
      <w:pPr>
        <w:pStyle w:val="BodyText"/>
        <w:spacing w:before="0"/>
        <w:ind w:left="0"/>
        <w:rPr>
          <w:sz w:val="20"/>
        </w:rPr>
      </w:pPr>
    </w:p>
    <w:p>
      <w:pPr>
        <w:pStyle w:val="BodyText"/>
        <w:spacing w:before="269"/>
      </w:pPr>
      <w:r>
        <w:rPr>
          <w:rFonts w:ascii="Arial"/>
          <w:sz w:val="12"/>
        </w:rPr>
        <w:t>858 </w:t>
      </w:r>
      <w:r>
        <w:rPr/>
        <w:t>Field, M., Eastwood, B., Bradley, B. P., &amp; Mogg, K. (2006). Selective processing of cannabis</w:t>
      </w:r>
    </w:p>
    <w:p>
      <w:pPr>
        <w:tabs>
          <w:tab w:pos="1339" w:val="left" w:leader="none"/>
        </w:tabs>
        <w:spacing w:before="202"/>
        <w:ind w:left="230" w:right="0" w:firstLine="0"/>
        <w:jc w:val="left"/>
        <w:rPr>
          <w:sz w:val="24"/>
        </w:rPr>
      </w:pPr>
      <w:r>
        <w:rPr>
          <w:rFonts w:ascii="Arial" w:hAnsi="Arial"/>
          <w:w w:val="105"/>
          <w:sz w:val="12"/>
        </w:rPr>
        <w:t>859</w:t>
        <w:tab/>
      </w:r>
      <w:r>
        <w:rPr>
          <w:w w:val="105"/>
          <w:sz w:val="24"/>
        </w:rPr>
        <w:t>cues in regular cannabis users. </w:t>
      </w:r>
      <w:r>
        <w:rPr>
          <w:i/>
          <w:w w:val="105"/>
          <w:sz w:val="24"/>
        </w:rPr>
        <w:t>Drug and </w:t>
      </w:r>
      <w:r>
        <w:rPr>
          <w:i/>
          <w:spacing w:val="-3"/>
          <w:w w:val="105"/>
          <w:sz w:val="24"/>
        </w:rPr>
        <w:t>Alcohol Dependence</w:t>
      </w:r>
      <w:r>
        <w:rPr>
          <w:spacing w:val="-3"/>
          <w:w w:val="105"/>
          <w:sz w:val="24"/>
        </w:rPr>
        <w:t>, </w:t>
      </w:r>
      <w:r>
        <w:rPr>
          <w:i/>
          <w:w w:val="105"/>
          <w:sz w:val="24"/>
        </w:rPr>
        <w:t>85 </w:t>
      </w:r>
      <w:r>
        <w:rPr>
          <w:w w:val="105"/>
          <w:sz w:val="24"/>
        </w:rPr>
        <w:t>(1),</w:t>
      </w:r>
      <w:r>
        <w:rPr>
          <w:spacing w:val="35"/>
          <w:w w:val="105"/>
          <w:sz w:val="24"/>
        </w:rPr>
        <w:t> </w:t>
      </w:r>
      <w:r>
        <w:rPr>
          <w:w w:val="105"/>
          <w:sz w:val="24"/>
        </w:rPr>
        <w:t>75–82.</w:t>
      </w:r>
    </w:p>
    <w:p>
      <w:pPr>
        <w:pStyle w:val="BodyText"/>
        <w:tabs>
          <w:tab w:pos="1339" w:val="left" w:leader="none"/>
        </w:tabs>
        <w:spacing w:before="203"/>
      </w:pPr>
      <w:r>
        <w:rPr>
          <w:rFonts w:ascii="Arial"/>
          <w:w w:val="105"/>
          <w:sz w:val="12"/>
        </w:rPr>
        <w:t>860</w:t>
        <w:tab/>
      </w:r>
      <w:hyperlink r:id="rId31">
        <w:r>
          <w:rPr>
            <w:w w:val="105"/>
          </w:rPr>
          <w:t>https://doi.org/10.1016/j.drugalcdep.2006.03.018</w:t>
        </w:r>
      </w:hyperlink>
    </w:p>
    <w:p>
      <w:pPr>
        <w:pStyle w:val="BodyText"/>
        <w:spacing w:before="0"/>
        <w:ind w:left="0"/>
        <w:rPr>
          <w:sz w:val="20"/>
        </w:rPr>
      </w:pPr>
    </w:p>
    <w:p>
      <w:pPr>
        <w:pStyle w:val="BodyText"/>
        <w:tabs>
          <w:tab w:pos="1333" w:val="left" w:leader="none"/>
        </w:tabs>
        <w:spacing w:line="415" w:lineRule="auto" w:before="286"/>
        <w:ind w:right="299"/>
      </w:pPr>
      <w:r>
        <w:rPr>
          <w:rFonts w:ascii="Arial" w:hAnsi="Arial"/>
          <w:w w:val="105"/>
          <w:sz w:val="12"/>
        </w:rPr>
        <w:t>861 </w:t>
      </w:r>
      <w:r>
        <w:rPr>
          <w:rFonts w:ascii="Arial" w:hAnsi="Arial"/>
          <w:spacing w:val="35"/>
          <w:w w:val="105"/>
          <w:sz w:val="12"/>
        </w:rPr>
        <w:t> </w:t>
      </w:r>
      <w:r>
        <w:rPr>
          <w:w w:val="105"/>
        </w:rPr>
        <w:t>Guerrieri, R., Nederkoorn, C., Stankiewicz, K., Alberts, H., Geschwind, N., Martijn, C., &amp;  </w:t>
      </w:r>
      <w:r>
        <w:rPr>
          <w:rFonts w:ascii="Arial" w:hAnsi="Arial"/>
          <w:w w:val="105"/>
          <w:sz w:val="12"/>
        </w:rPr>
        <w:t>862</w:t>
        <w:tab/>
      </w:r>
      <w:r>
        <w:rPr>
          <w:w w:val="105"/>
        </w:rPr>
        <w:t>Jansen, A. (2007). The influence of trait and induced state impulsivity on </w:t>
      </w:r>
      <w:r>
        <w:rPr>
          <w:spacing w:val="3"/>
          <w:w w:val="105"/>
        </w:rPr>
        <w:t>food </w:t>
      </w:r>
      <w:r>
        <w:rPr>
          <w:spacing w:val="-3"/>
          <w:w w:val="105"/>
        </w:rPr>
        <w:t>intake </w:t>
      </w:r>
      <w:r>
        <w:rPr>
          <w:rFonts w:ascii="Arial" w:hAnsi="Arial"/>
          <w:w w:val="105"/>
          <w:sz w:val="12"/>
        </w:rPr>
        <w:t>863</w:t>
        <w:tab/>
      </w:r>
      <w:r>
        <w:rPr>
          <w:w w:val="105"/>
        </w:rPr>
        <w:t>in normal-weight healthy women. </w:t>
      </w:r>
      <w:r>
        <w:rPr>
          <w:i/>
          <w:spacing w:val="-3"/>
          <w:w w:val="105"/>
        </w:rPr>
        <w:t>Appetite</w:t>
      </w:r>
      <w:r>
        <w:rPr>
          <w:spacing w:val="-3"/>
          <w:w w:val="105"/>
        </w:rPr>
        <w:t>, </w:t>
      </w:r>
      <w:r>
        <w:rPr>
          <w:i/>
          <w:w w:val="105"/>
        </w:rPr>
        <w:t>49 </w:t>
      </w:r>
      <w:r>
        <w:rPr>
          <w:w w:val="105"/>
        </w:rPr>
        <w:t>(1),</w:t>
      </w:r>
      <w:r>
        <w:rPr>
          <w:spacing w:val="6"/>
          <w:w w:val="105"/>
        </w:rPr>
        <w:t> </w:t>
      </w:r>
      <w:r>
        <w:rPr>
          <w:w w:val="105"/>
        </w:rPr>
        <w:t>66–73.</w:t>
      </w:r>
    </w:p>
    <w:p>
      <w:pPr>
        <w:pStyle w:val="BodyText"/>
        <w:tabs>
          <w:tab w:pos="1339" w:val="left" w:leader="none"/>
        </w:tabs>
        <w:spacing w:before="2"/>
      </w:pPr>
      <w:r>
        <w:rPr>
          <w:rFonts w:ascii="Arial"/>
          <w:w w:val="105"/>
          <w:sz w:val="12"/>
        </w:rPr>
        <w:t>864</w:t>
        <w:tab/>
      </w:r>
      <w:hyperlink r:id="rId32">
        <w:r>
          <w:rPr>
            <w:w w:val="105"/>
          </w:rPr>
          <w:t>https://doi.org/10.1016/j.appet.2006.11.008</w:t>
        </w:r>
      </w:hyperlink>
    </w:p>
    <w:p>
      <w:pPr>
        <w:spacing w:after="0"/>
        <w:sectPr>
          <w:pgSz w:w="12240" w:h="15840"/>
          <w:pgMar w:header="649" w:footer="0" w:top="1320" w:bottom="280" w:left="820" w:right="1140"/>
        </w:sectPr>
      </w:pPr>
    </w:p>
    <w:p>
      <w:pPr>
        <w:pStyle w:val="BodyText"/>
        <w:spacing w:before="8"/>
        <w:ind w:left="0"/>
        <w:rPr>
          <w:sz w:val="12"/>
        </w:rPr>
      </w:pPr>
    </w:p>
    <w:tbl>
      <w:tblPr>
        <w:tblW w:w="0" w:type="auto"/>
        <w:jc w:val="left"/>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2"/>
        <w:gridCol w:w="8926"/>
      </w:tblGrid>
      <w:tr>
        <w:trPr>
          <w:trHeight w:val="407" w:hRule="atLeast"/>
        </w:trPr>
        <w:tc>
          <w:tcPr>
            <w:tcW w:w="9618" w:type="dxa"/>
            <w:gridSpan w:val="2"/>
          </w:tcPr>
          <w:p>
            <w:pPr>
              <w:pStyle w:val="TableParagraph"/>
              <w:spacing w:before="45"/>
              <w:ind w:left="50"/>
              <w:rPr>
                <w:sz w:val="24"/>
              </w:rPr>
            </w:pPr>
            <w:r>
              <w:rPr>
                <w:rFonts w:ascii="Arial"/>
                <w:w w:val="105"/>
                <w:sz w:val="12"/>
              </w:rPr>
              <w:t>865 </w:t>
            </w:r>
            <w:r>
              <w:rPr>
                <w:w w:val="105"/>
                <w:sz w:val="24"/>
              </w:rPr>
              <w:t>Hall, P. A. (2012). Executive control resources and frequency of fatty food consumption:</w:t>
            </w:r>
          </w:p>
        </w:tc>
      </w:tr>
      <w:tr>
        <w:trPr>
          <w:trHeight w:val="479" w:hRule="atLeast"/>
        </w:trPr>
        <w:tc>
          <w:tcPr>
            <w:tcW w:w="692" w:type="dxa"/>
          </w:tcPr>
          <w:p>
            <w:pPr>
              <w:pStyle w:val="TableParagraph"/>
              <w:spacing w:before="9"/>
              <w:rPr>
                <w:sz w:val="19"/>
              </w:rPr>
            </w:pPr>
          </w:p>
          <w:p>
            <w:pPr>
              <w:pStyle w:val="TableParagraph"/>
              <w:ind w:left="50"/>
              <w:rPr>
                <w:rFonts w:ascii="Arial"/>
                <w:sz w:val="12"/>
              </w:rPr>
            </w:pPr>
            <w:r>
              <w:rPr>
                <w:rFonts w:ascii="Arial"/>
                <w:sz w:val="12"/>
              </w:rPr>
              <w:t>866</w:t>
            </w:r>
          </w:p>
        </w:tc>
        <w:tc>
          <w:tcPr>
            <w:tcW w:w="8926" w:type="dxa"/>
          </w:tcPr>
          <w:p>
            <w:pPr>
              <w:pStyle w:val="TableParagraph"/>
              <w:spacing w:before="116"/>
              <w:ind w:left="467"/>
              <w:rPr>
                <w:i/>
                <w:sz w:val="24"/>
              </w:rPr>
            </w:pPr>
            <w:r>
              <w:rPr>
                <w:w w:val="105"/>
                <w:sz w:val="24"/>
              </w:rPr>
              <w:t>Findings from an age-stratified community sample. </w:t>
            </w:r>
            <w:r>
              <w:rPr>
                <w:i/>
                <w:w w:val="105"/>
                <w:sz w:val="24"/>
              </w:rPr>
              <w:t>Health Psychology: Official</w:t>
            </w:r>
          </w:p>
        </w:tc>
      </w:tr>
      <w:tr>
        <w:trPr>
          <w:trHeight w:val="478" w:hRule="atLeast"/>
        </w:trPr>
        <w:tc>
          <w:tcPr>
            <w:tcW w:w="692" w:type="dxa"/>
          </w:tcPr>
          <w:p>
            <w:pPr>
              <w:pStyle w:val="TableParagraph"/>
              <w:spacing w:before="8"/>
              <w:rPr>
                <w:sz w:val="19"/>
              </w:rPr>
            </w:pPr>
          </w:p>
          <w:p>
            <w:pPr>
              <w:pStyle w:val="TableParagraph"/>
              <w:ind w:left="50"/>
              <w:rPr>
                <w:rFonts w:ascii="Arial"/>
                <w:sz w:val="12"/>
              </w:rPr>
            </w:pPr>
            <w:r>
              <w:rPr>
                <w:rFonts w:ascii="Arial"/>
                <w:sz w:val="12"/>
              </w:rPr>
              <w:t>867</w:t>
            </w:r>
          </w:p>
        </w:tc>
        <w:tc>
          <w:tcPr>
            <w:tcW w:w="8926" w:type="dxa"/>
          </w:tcPr>
          <w:p>
            <w:pPr>
              <w:pStyle w:val="TableParagraph"/>
              <w:spacing w:before="115"/>
              <w:ind w:left="451"/>
              <w:rPr>
                <w:sz w:val="24"/>
              </w:rPr>
            </w:pPr>
            <w:r>
              <w:rPr>
                <w:i/>
                <w:w w:val="105"/>
                <w:sz w:val="24"/>
              </w:rPr>
              <w:t>Journal of the Division of Health Psychology, American Psychological Association</w:t>
            </w:r>
            <w:r>
              <w:rPr>
                <w:w w:val="105"/>
                <w:sz w:val="24"/>
              </w:rPr>
              <w:t>,</w:t>
            </w:r>
          </w:p>
        </w:tc>
      </w:tr>
      <w:tr>
        <w:trPr>
          <w:trHeight w:val="635" w:hRule="atLeast"/>
        </w:trPr>
        <w:tc>
          <w:tcPr>
            <w:tcW w:w="692" w:type="dxa"/>
          </w:tcPr>
          <w:p>
            <w:pPr>
              <w:pStyle w:val="TableParagraph"/>
              <w:spacing w:before="8"/>
              <w:rPr>
                <w:sz w:val="19"/>
              </w:rPr>
            </w:pPr>
          </w:p>
          <w:p>
            <w:pPr>
              <w:pStyle w:val="TableParagraph"/>
              <w:ind w:left="50"/>
              <w:rPr>
                <w:rFonts w:ascii="Arial"/>
                <w:sz w:val="12"/>
              </w:rPr>
            </w:pPr>
            <w:r>
              <w:rPr>
                <w:rFonts w:ascii="Arial"/>
                <w:sz w:val="12"/>
              </w:rPr>
              <w:t>868</w:t>
            </w:r>
          </w:p>
        </w:tc>
        <w:tc>
          <w:tcPr>
            <w:tcW w:w="8926" w:type="dxa"/>
          </w:tcPr>
          <w:p>
            <w:pPr>
              <w:pStyle w:val="TableParagraph"/>
              <w:spacing w:before="115"/>
              <w:ind w:left="451"/>
              <w:rPr>
                <w:sz w:val="24"/>
              </w:rPr>
            </w:pPr>
            <w:r>
              <w:rPr>
                <w:i/>
                <w:w w:val="105"/>
                <w:sz w:val="24"/>
              </w:rPr>
              <w:t>31 </w:t>
            </w:r>
            <w:r>
              <w:rPr>
                <w:w w:val="105"/>
                <w:sz w:val="24"/>
              </w:rPr>
              <w:t>(2), 235–241. </w:t>
            </w:r>
            <w:hyperlink r:id="rId33">
              <w:r>
                <w:rPr>
                  <w:w w:val="105"/>
                  <w:sz w:val="24"/>
                </w:rPr>
                <w:t>https://doi.org/10.1037/a0025407</w:t>
              </w:r>
            </w:hyperlink>
          </w:p>
        </w:tc>
      </w:tr>
      <w:tr>
        <w:trPr>
          <w:trHeight w:val="634" w:hRule="atLeast"/>
        </w:trPr>
        <w:tc>
          <w:tcPr>
            <w:tcW w:w="692" w:type="dxa"/>
          </w:tcPr>
          <w:p>
            <w:pPr>
              <w:pStyle w:val="TableParagraph"/>
              <w:spacing w:before="272"/>
              <w:ind w:left="50" w:right="-44"/>
              <w:rPr>
                <w:sz w:val="24"/>
              </w:rPr>
            </w:pPr>
            <w:r>
              <w:rPr>
                <w:rFonts w:ascii="Arial"/>
                <w:sz w:val="12"/>
              </w:rPr>
              <w:t>869</w:t>
            </w:r>
            <w:r>
              <w:rPr>
                <w:rFonts w:ascii="Arial"/>
                <w:spacing w:val="3"/>
                <w:sz w:val="12"/>
              </w:rPr>
              <w:t> </w:t>
            </w:r>
            <w:r>
              <w:rPr>
                <w:spacing w:val="-9"/>
                <w:sz w:val="24"/>
              </w:rPr>
              <w:t>Ha</w:t>
            </w:r>
          </w:p>
        </w:tc>
        <w:tc>
          <w:tcPr>
            <w:tcW w:w="8926" w:type="dxa"/>
          </w:tcPr>
          <w:p>
            <w:pPr>
              <w:pStyle w:val="TableParagraph"/>
              <w:spacing w:before="272"/>
              <w:ind w:left="33"/>
              <w:rPr>
                <w:sz w:val="24"/>
              </w:rPr>
            </w:pPr>
            <w:r>
              <w:rPr>
                <w:w w:val="105"/>
                <w:sz w:val="24"/>
              </w:rPr>
              <w:t>vermans, R. C. (2013). Pavlovian Craving and Overeating: A Conditioned Incentive</w:t>
            </w:r>
          </w:p>
        </w:tc>
      </w:tr>
      <w:tr>
        <w:trPr>
          <w:trHeight w:val="479" w:hRule="atLeast"/>
        </w:trPr>
        <w:tc>
          <w:tcPr>
            <w:tcW w:w="692" w:type="dxa"/>
          </w:tcPr>
          <w:p>
            <w:pPr>
              <w:pStyle w:val="TableParagraph"/>
              <w:spacing w:before="9"/>
              <w:rPr>
                <w:sz w:val="19"/>
              </w:rPr>
            </w:pPr>
          </w:p>
          <w:p>
            <w:pPr>
              <w:pStyle w:val="TableParagraph"/>
              <w:ind w:left="50"/>
              <w:rPr>
                <w:rFonts w:ascii="Arial"/>
                <w:sz w:val="12"/>
              </w:rPr>
            </w:pPr>
            <w:r>
              <w:rPr>
                <w:rFonts w:ascii="Arial"/>
                <w:sz w:val="12"/>
              </w:rPr>
              <w:t>870</w:t>
            </w:r>
          </w:p>
        </w:tc>
        <w:tc>
          <w:tcPr>
            <w:tcW w:w="8926" w:type="dxa"/>
          </w:tcPr>
          <w:p>
            <w:pPr>
              <w:pStyle w:val="TableParagraph"/>
              <w:spacing w:before="116"/>
              <w:ind w:left="467"/>
              <w:rPr>
                <w:sz w:val="24"/>
              </w:rPr>
            </w:pPr>
            <w:r>
              <w:rPr>
                <w:w w:val="105"/>
                <w:sz w:val="24"/>
              </w:rPr>
              <w:t>Model. </w:t>
            </w:r>
            <w:r>
              <w:rPr>
                <w:i/>
                <w:w w:val="105"/>
                <w:sz w:val="24"/>
              </w:rPr>
              <w:t>Current Obesity Reports</w:t>
            </w:r>
            <w:r>
              <w:rPr>
                <w:w w:val="105"/>
                <w:sz w:val="24"/>
              </w:rPr>
              <w:t>, </w:t>
            </w:r>
            <w:r>
              <w:rPr>
                <w:i/>
                <w:w w:val="105"/>
                <w:sz w:val="24"/>
              </w:rPr>
              <w:t>2 </w:t>
            </w:r>
            <w:r>
              <w:rPr>
                <w:w w:val="105"/>
                <w:sz w:val="24"/>
              </w:rPr>
              <w:t>(2), 165–170.</w:t>
            </w:r>
          </w:p>
        </w:tc>
      </w:tr>
      <w:tr>
        <w:trPr>
          <w:trHeight w:val="406" w:hRule="atLeast"/>
        </w:trPr>
        <w:tc>
          <w:tcPr>
            <w:tcW w:w="692" w:type="dxa"/>
          </w:tcPr>
          <w:p>
            <w:pPr>
              <w:pStyle w:val="TableParagraph"/>
              <w:spacing w:before="8"/>
              <w:rPr>
                <w:sz w:val="19"/>
              </w:rPr>
            </w:pPr>
          </w:p>
          <w:p>
            <w:pPr>
              <w:pStyle w:val="TableParagraph"/>
              <w:ind w:left="50"/>
              <w:rPr>
                <w:rFonts w:ascii="Arial"/>
                <w:sz w:val="12"/>
              </w:rPr>
            </w:pPr>
            <w:r>
              <w:rPr>
                <w:rFonts w:ascii="Arial"/>
                <w:sz w:val="12"/>
              </w:rPr>
              <w:t>871</w:t>
            </w:r>
          </w:p>
        </w:tc>
        <w:tc>
          <w:tcPr>
            <w:tcW w:w="8926" w:type="dxa"/>
          </w:tcPr>
          <w:p>
            <w:pPr>
              <w:pStyle w:val="TableParagraph"/>
              <w:spacing w:line="271" w:lineRule="exact" w:before="115"/>
              <w:ind w:left="467"/>
              <w:rPr>
                <w:sz w:val="24"/>
              </w:rPr>
            </w:pPr>
            <w:hyperlink r:id="rId34">
              <w:r>
                <w:rPr>
                  <w:w w:val="105"/>
                  <w:sz w:val="24"/>
                </w:rPr>
                <w:t>https://doi.org/10.1007/s13679-013-0053-z</w:t>
              </w:r>
            </w:hyperlink>
          </w:p>
        </w:tc>
      </w:tr>
    </w:tbl>
    <w:p>
      <w:pPr>
        <w:pStyle w:val="BodyText"/>
        <w:spacing w:before="0"/>
        <w:ind w:left="0"/>
        <w:rPr>
          <w:sz w:val="20"/>
        </w:rPr>
      </w:pPr>
    </w:p>
    <w:p>
      <w:pPr>
        <w:pStyle w:val="BodyText"/>
        <w:spacing w:before="271"/>
      </w:pPr>
      <w:r>
        <w:rPr>
          <w:rFonts w:ascii="Arial"/>
          <w:w w:val="105"/>
          <w:sz w:val="12"/>
        </w:rPr>
        <w:t>872 </w:t>
      </w:r>
      <w:r>
        <w:rPr>
          <w:w w:val="105"/>
        </w:rPr>
        <w:t>Hoerger, M., Quirk, S. W., &amp; Weed, N. C. (2011). Development and validation of the</w:t>
      </w:r>
    </w:p>
    <w:p>
      <w:pPr>
        <w:tabs>
          <w:tab w:pos="1339" w:val="left" w:leader="none"/>
        </w:tabs>
        <w:spacing w:before="203"/>
        <w:ind w:left="230" w:right="0" w:firstLine="0"/>
        <w:jc w:val="left"/>
        <w:rPr>
          <w:sz w:val="24"/>
        </w:rPr>
      </w:pPr>
      <w:r>
        <w:rPr>
          <w:rFonts w:ascii="Arial" w:hAnsi="Arial"/>
          <w:sz w:val="12"/>
        </w:rPr>
        <w:t>873</w:t>
        <w:tab/>
      </w:r>
      <w:r>
        <w:rPr>
          <w:sz w:val="24"/>
        </w:rPr>
        <w:t>Delaying Gratification </w:t>
      </w:r>
      <w:r>
        <w:rPr>
          <w:spacing w:val="-5"/>
          <w:sz w:val="24"/>
        </w:rPr>
        <w:t>Inventory. </w:t>
      </w:r>
      <w:r>
        <w:rPr>
          <w:i/>
          <w:sz w:val="24"/>
        </w:rPr>
        <w:t>Psychological Assessment</w:t>
      </w:r>
      <w:r>
        <w:rPr>
          <w:sz w:val="24"/>
        </w:rPr>
        <w:t>, </w:t>
      </w:r>
      <w:r>
        <w:rPr>
          <w:i/>
          <w:sz w:val="24"/>
        </w:rPr>
        <w:t>23 </w:t>
      </w:r>
      <w:r>
        <w:rPr>
          <w:sz w:val="24"/>
        </w:rPr>
        <w:t>(3),</w:t>
      </w:r>
      <w:r>
        <w:rPr>
          <w:spacing w:val="1"/>
          <w:sz w:val="24"/>
        </w:rPr>
        <w:t> </w:t>
      </w:r>
      <w:r>
        <w:rPr>
          <w:sz w:val="24"/>
        </w:rPr>
        <w:t>725–738.</w:t>
      </w:r>
    </w:p>
    <w:p>
      <w:pPr>
        <w:pStyle w:val="BodyText"/>
        <w:tabs>
          <w:tab w:pos="1339" w:val="left" w:leader="none"/>
        </w:tabs>
      </w:pPr>
      <w:r>
        <w:rPr>
          <w:rFonts w:ascii="Arial"/>
          <w:w w:val="105"/>
          <w:sz w:val="12"/>
        </w:rPr>
        <w:t>874</w:t>
        <w:tab/>
      </w:r>
      <w:hyperlink r:id="rId35">
        <w:r>
          <w:rPr>
            <w:w w:val="105"/>
          </w:rPr>
          <w:t>https://doi.org/10.1037/a0023286</w:t>
        </w:r>
      </w:hyperlink>
    </w:p>
    <w:p>
      <w:pPr>
        <w:pStyle w:val="BodyText"/>
        <w:spacing w:before="0"/>
        <w:ind w:left="0"/>
        <w:rPr>
          <w:sz w:val="20"/>
        </w:rPr>
      </w:pPr>
    </w:p>
    <w:p>
      <w:pPr>
        <w:pStyle w:val="BodyText"/>
        <w:spacing w:before="286"/>
      </w:pPr>
      <w:r>
        <w:rPr>
          <w:rFonts w:ascii="Arial"/>
          <w:w w:val="105"/>
          <w:sz w:val="12"/>
        </w:rPr>
        <w:t>875      </w:t>
      </w:r>
      <w:r>
        <w:rPr>
          <w:w w:val="105"/>
        </w:rPr>
        <w:t>Houben, K., &amp; Jansen, A. (2011).  </w:t>
      </w:r>
      <w:r>
        <w:rPr>
          <w:spacing w:val="-4"/>
          <w:w w:val="105"/>
        </w:rPr>
        <w:t>Training </w:t>
      </w:r>
      <w:r>
        <w:rPr>
          <w:w w:val="105"/>
        </w:rPr>
        <w:t>inhibitory control.  A recipe for resisting</w:t>
      </w:r>
      <w:r>
        <w:rPr>
          <w:spacing w:val="29"/>
          <w:w w:val="105"/>
        </w:rPr>
        <w:t> </w:t>
      </w:r>
      <w:r>
        <w:rPr>
          <w:w w:val="105"/>
        </w:rPr>
        <w:t>sweet</w:t>
      </w:r>
    </w:p>
    <w:p>
      <w:pPr>
        <w:pStyle w:val="BodyText"/>
        <w:tabs>
          <w:tab w:pos="1339" w:val="left" w:leader="none"/>
        </w:tabs>
        <w:spacing w:before="203"/>
      </w:pPr>
      <w:r>
        <w:rPr>
          <w:rFonts w:ascii="Arial" w:hAnsi="Arial"/>
          <w:w w:val="105"/>
          <w:sz w:val="12"/>
        </w:rPr>
        <w:t>876</w:t>
        <w:tab/>
      </w:r>
      <w:r>
        <w:rPr>
          <w:w w:val="105"/>
        </w:rPr>
        <w:t>temptations.  </w:t>
      </w:r>
      <w:r>
        <w:rPr>
          <w:i/>
          <w:spacing w:val="-3"/>
          <w:w w:val="105"/>
        </w:rPr>
        <w:t>Appetite</w:t>
      </w:r>
      <w:r>
        <w:rPr>
          <w:spacing w:val="-3"/>
          <w:w w:val="105"/>
        </w:rPr>
        <w:t>,  </w:t>
      </w:r>
      <w:r>
        <w:rPr>
          <w:i/>
          <w:w w:val="105"/>
        </w:rPr>
        <w:t>56 </w:t>
      </w:r>
      <w:r>
        <w:rPr>
          <w:w w:val="105"/>
        </w:rPr>
        <w:t>(2), 345–349.</w:t>
      </w:r>
      <w:r>
        <w:rPr>
          <w:spacing w:val="33"/>
          <w:w w:val="105"/>
        </w:rPr>
        <w:t> </w:t>
      </w:r>
      <w:hyperlink r:id="rId36">
        <w:r>
          <w:rPr>
            <w:w w:val="105"/>
          </w:rPr>
          <w:t>https://doi.org/10.1016/j.appet.2010.12.017</w:t>
        </w:r>
      </w:hyperlink>
    </w:p>
    <w:p>
      <w:pPr>
        <w:pStyle w:val="BodyText"/>
        <w:spacing w:before="0"/>
        <w:ind w:left="0"/>
        <w:rPr>
          <w:sz w:val="20"/>
        </w:rPr>
      </w:pPr>
    </w:p>
    <w:p>
      <w:pPr>
        <w:pStyle w:val="BodyText"/>
        <w:spacing w:before="286"/>
      </w:pPr>
      <w:r>
        <w:rPr>
          <w:rFonts w:ascii="Arial"/>
          <w:sz w:val="12"/>
        </w:rPr>
        <w:t>877 </w:t>
      </w:r>
      <w:r>
        <w:rPr/>
        <w:t>Houben, K., &amp; Jansen, A. (2015). Chocolate equals stop: Chocolate-specific inhibition</w:t>
      </w:r>
    </w:p>
    <w:p>
      <w:pPr>
        <w:pStyle w:val="BodyText"/>
        <w:tabs>
          <w:tab w:pos="1339" w:val="left" w:leader="none"/>
        </w:tabs>
      </w:pPr>
      <w:r>
        <w:rPr>
          <w:rFonts w:ascii="Arial"/>
          <w:w w:val="105"/>
          <w:sz w:val="12"/>
        </w:rPr>
        <w:t>878</w:t>
        <w:tab/>
      </w:r>
      <w:r>
        <w:rPr>
          <w:w w:val="105"/>
        </w:rPr>
        <w:t>training</w:t>
      </w:r>
      <w:r>
        <w:rPr>
          <w:spacing w:val="12"/>
          <w:w w:val="105"/>
        </w:rPr>
        <w:t> </w:t>
      </w:r>
      <w:r>
        <w:rPr>
          <w:w w:val="105"/>
        </w:rPr>
        <w:t>reduces</w:t>
      </w:r>
      <w:r>
        <w:rPr>
          <w:spacing w:val="13"/>
          <w:w w:val="105"/>
        </w:rPr>
        <w:t> </w:t>
      </w:r>
      <w:r>
        <w:rPr>
          <w:w w:val="105"/>
        </w:rPr>
        <w:t>chocolate</w:t>
      </w:r>
      <w:r>
        <w:rPr>
          <w:spacing w:val="14"/>
          <w:w w:val="105"/>
        </w:rPr>
        <w:t> </w:t>
      </w:r>
      <w:r>
        <w:rPr>
          <w:spacing w:val="-3"/>
          <w:w w:val="105"/>
        </w:rPr>
        <w:t>intake</w:t>
      </w:r>
      <w:r>
        <w:rPr>
          <w:spacing w:val="13"/>
          <w:w w:val="105"/>
        </w:rPr>
        <w:t> </w:t>
      </w:r>
      <w:r>
        <w:rPr>
          <w:w w:val="105"/>
        </w:rPr>
        <w:t>and</w:t>
      </w:r>
      <w:r>
        <w:rPr>
          <w:spacing w:val="13"/>
          <w:w w:val="105"/>
        </w:rPr>
        <w:t> </w:t>
      </w:r>
      <w:r>
        <w:rPr>
          <w:w w:val="105"/>
        </w:rPr>
        <w:t>go</w:t>
      </w:r>
      <w:r>
        <w:rPr>
          <w:spacing w:val="12"/>
          <w:w w:val="105"/>
        </w:rPr>
        <w:t> </w:t>
      </w:r>
      <w:r>
        <w:rPr>
          <w:w w:val="105"/>
        </w:rPr>
        <w:t>associations</w:t>
      </w:r>
      <w:r>
        <w:rPr>
          <w:spacing w:val="14"/>
          <w:w w:val="105"/>
        </w:rPr>
        <w:t> </w:t>
      </w:r>
      <w:r>
        <w:rPr>
          <w:w w:val="105"/>
        </w:rPr>
        <w:t>with</w:t>
      </w:r>
      <w:r>
        <w:rPr>
          <w:spacing w:val="13"/>
          <w:w w:val="105"/>
        </w:rPr>
        <w:t> </w:t>
      </w:r>
      <w:r>
        <w:rPr>
          <w:w w:val="105"/>
        </w:rPr>
        <w:t>chocolate.</w:t>
      </w:r>
      <w:r>
        <w:rPr>
          <w:spacing w:val="39"/>
          <w:w w:val="105"/>
        </w:rPr>
        <w:t> </w:t>
      </w:r>
      <w:r>
        <w:rPr>
          <w:i/>
          <w:spacing w:val="-3"/>
          <w:w w:val="105"/>
        </w:rPr>
        <w:t>Appetite</w:t>
      </w:r>
      <w:r>
        <w:rPr>
          <w:spacing w:val="-3"/>
          <w:w w:val="105"/>
        </w:rPr>
        <w:t>,</w:t>
      </w:r>
      <w:r>
        <w:rPr>
          <w:spacing w:val="14"/>
          <w:w w:val="105"/>
        </w:rPr>
        <w:t> </w:t>
      </w:r>
      <w:r>
        <w:rPr>
          <w:i/>
          <w:w w:val="105"/>
        </w:rPr>
        <w:t>87</w:t>
      </w:r>
      <w:r>
        <w:rPr>
          <w:w w:val="105"/>
        </w:rPr>
        <w:t>,</w:t>
      </w:r>
    </w:p>
    <w:p>
      <w:pPr>
        <w:pStyle w:val="BodyText"/>
        <w:tabs>
          <w:tab w:pos="1334" w:val="left" w:leader="none"/>
        </w:tabs>
        <w:spacing w:before="203"/>
      </w:pPr>
      <w:r>
        <w:rPr>
          <w:rFonts w:ascii="Arial" w:hAnsi="Arial"/>
          <w:w w:val="105"/>
          <w:sz w:val="12"/>
        </w:rPr>
        <w:t>879</w:t>
        <w:tab/>
      </w:r>
      <w:r>
        <w:rPr>
          <w:w w:val="105"/>
        </w:rPr>
        <w:t>318–323.</w:t>
      </w:r>
      <w:r>
        <w:rPr>
          <w:spacing w:val="40"/>
          <w:w w:val="105"/>
        </w:rPr>
        <w:t> </w:t>
      </w:r>
      <w:hyperlink r:id="rId37">
        <w:r>
          <w:rPr>
            <w:w w:val="105"/>
          </w:rPr>
          <w:t>https://doi.org/10.1016/j.appet.2015.01.005</w:t>
        </w:r>
      </w:hyperlink>
    </w:p>
    <w:p>
      <w:pPr>
        <w:pStyle w:val="BodyText"/>
        <w:spacing w:before="0"/>
        <w:ind w:left="0"/>
        <w:rPr>
          <w:sz w:val="20"/>
        </w:rPr>
      </w:pPr>
    </w:p>
    <w:p>
      <w:pPr>
        <w:pStyle w:val="BodyText"/>
        <w:tabs>
          <w:tab w:pos="1331" w:val="left" w:leader="none"/>
        </w:tabs>
        <w:spacing w:line="415" w:lineRule="auto" w:before="286"/>
        <w:ind w:right="301"/>
        <w:jc w:val="both"/>
      </w:pPr>
      <w:r>
        <w:rPr>
          <w:rFonts w:ascii="Arial" w:hAnsi="Arial"/>
          <w:w w:val="105"/>
          <w:sz w:val="12"/>
        </w:rPr>
        <w:t>880</w:t>
      </w:r>
      <w:r>
        <w:rPr>
          <w:rFonts w:ascii="Arial" w:hAnsi="Arial"/>
          <w:spacing w:val="35"/>
          <w:w w:val="105"/>
          <w:sz w:val="12"/>
        </w:rPr>
        <w:t> </w:t>
      </w:r>
      <w:r>
        <w:rPr>
          <w:w w:val="105"/>
        </w:rPr>
        <w:t>Houben, K., Nederkoorn, C., &amp; Jansen, A. (2012).  </w:t>
      </w:r>
      <w:r>
        <w:rPr>
          <w:spacing w:val="-5"/>
          <w:w w:val="105"/>
        </w:rPr>
        <w:t>Too  </w:t>
      </w:r>
      <w:r>
        <w:rPr>
          <w:w w:val="105"/>
        </w:rPr>
        <w:t>tempting to resist?  </w:t>
      </w:r>
      <w:r>
        <w:rPr>
          <w:spacing w:val="-3"/>
          <w:w w:val="105"/>
        </w:rPr>
        <w:t>Past </w:t>
      </w:r>
      <w:r>
        <w:rPr>
          <w:w w:val="105"/>
        </w:rPr>
        <w:t>success at  </w:t>
      </w:r>
      <w:r>
        <w:rPr>
          <w:rFonts w:ascii="Arial" w:hAnsi="Arial"/>
          <w:w w:val="105"/>
          <w:sz w:val="12"/>
        </w:rPr>
        <w:t>881</w:t>
        <w:tab/>
      </w:r>
      <w:r>
        <w:rPr>
          <w:spacing w:val="-3"/>
          <w:w w:val="105"/>
        </w:rPr>
        <w:t>weight </w:t>
      </w:r>
      <w:r>
        <w:rPr>
          <w:w w:val="105"/>
        </w:rPr>
        <w:t>control rather than dietary restraint determines exposure-induced disinhibited </w:t>
      </w:r>
      <w:r>
        <w:rPr>
          <w:rFonts w:ascii="Arial" w:hAnsi="Arial"/>
          <w:w w:val="105"/>
          <w:sz w:val="12"/>
        </w:rPr>
        <w:t>882</w:t>
        <w:tab/>
      </w:r>
      <w:r>
        <w:rPr>
          <w:w w:val="105"/>
        </w:rPr>
        <w:t>eating. </w:t>
      </w:r>
      <w:r>
        <w:rPr>
          <w:i/>
          <w:spacing w:val="-3"/>
          <w:w w:val="105"/>
        </w:rPr>
        <w:t>Appetite</w:t>
      </w:r>
      <w:r>
        <w:rPr>
          <w:spacing w:val="-3"/>
          <w:w w:val="105"/>
        </w:rPr>
        <w:t>, </w:t>
      </w:r>
      <w:r>
        <w:rPr>
          <w:i/>
          <w:w w:val="105"/>
        </w:rPr>
        <w:t>59 </w:t>
      </w:r>
      <w:r>
        <w:rPr>
          <w:w w:val="105"/>
        </w:rPr>
        <w:t>(2), 550–555.</w:t>
      </w:r>
      <w:r>
        <w:rPr>
          <w:spacing w:val="-26"/>
          <w:w w:val="105"/>
        </w:rPr>
        <w:t> </w:t>
      </w:r>
      <w:hyperlink r:id="rId38">
        <w:r>
          <w:rPr>
            <w:w w:val="105"/>
          </w:rPr>
          <w:t>https://doi.org/10.1016/j.appet.2012.07.004</w:t>
        </w:r>
      </w:hyperlink>
    </w:p>
    <w:p>
      <w:pPr>
        <w:pStyle w:val="BodyText"/>
        <w:spacing w:before="10"/>
        <w:ind w:left="0"/>
        <w:rPr>
          <w:sz w:val="14"/>
        </w:rPr>
      </w:pPr>
    </w:p>
    <w:p>
      <w:pPr>
        <w:pStyle w:val="BodyText"/>
        <w:spacing w:before="146"/>
      </w:pPr>
      <w:r>
        <w:rPr>
          <w:rFonts w:ascii="Arial"/>
          <w:w w:val="105"/>
          <w:sz w:val="12"/>
        </w:rPr>
        <w:t>883 </w:t>
      </w:r>
      <w:r>
        <w:rPr>
          <w:w w:val="105"/>
        </w:rPr>
        <w:t>Jasinska, A. J., Yasuda, M., Burant, C. F., Gregor, N., Khatri, S., Sweet, M., &amp; Falk, E. B.</w:t>
      </w:r>
    </w:p>
    <w:p>
      <w:pPr>
        <w:pStyle w:val="BodyText"/>
        <w:tabs>
          <w:tab w:pos="1312" w:val="left" w:leader="none"/>
        </w:tabs>
      </w:pPr>
      <w:r>
        <w:rPr>
          <w:rFonts w:ascii="Arial"/>
          <w:w w:val="105"/>
          <w:sz w:val="12"/>
        </w:rPr>
        <w:t>884</w:t>
        <w:tab/>
      </w:r>
      <w:r>
        <w:rPr>
          <w:w w:val="105"/>
        </w:rPr>
        <w:t>(2012). Impulsivity and inhibitory control deficits are associated with</w:t>
      </w:r>
      <w:r>
        <w:rPr>
          <w:spacing w:val="26"/>
          <w:w w:val="105"/>
        </w:rPr>
        <w:t> </w:t>
      </w:r>
      <w:r>
        <w:rPr>
          <w:w w:val="105"/>
        </w:rPr>
        <w:t>unhealthy</w:t>
      </w:r>
    </w:p>
    <w:p>
      <w:pPr>
        <w:tabs>
          <w:tab w:pos="1339" w:val="left" w:leader="none"/>
        </w:tabs>
        <w:spacing w:before="202"/>
        <w:ind w:left="230" w:right="0" w:firstLine="0"/>
        <w:jc w:val="left"/>
        <w:rPr>
          <w:sz w:val="24"/>
        </w:rPr>
      </w:pPr>
      <w:r>
        <w:rPr>
          <w:rFonts w:ascii="Arial" w:hAnsi="Arial"/>
          <w:w w:val="105"/>
          <w:sz w:val="12"/>
        </w:rPr>
        <w:t>885</w:t>
        <w:tab/>
      </w:r>
      <w:r>
        <w:rPr>
          <w:w w:val="105"/>
          <w:sz w:val="24"/>
        </w:rPr>
        <w:t>eating in young adults. </w:t>
      </w:r>
      <w:r>
        <w:rPr>
          <w:i/>
          <w:spacing w:val="-3"/>
          <w:w w:val="105"/>
          <w:sz w:val="24"/>
        </w:rPr>
        <w:t>Appetite</w:t>
      </w:r>
      <w:r>
        <w:rPr>
          <w:spacing w:val="-3"/>
          <w:w w:val="105"/>
          <w:sz w:val="24"/>
        </w:rPr>
        <w:t>, </w:t>
      </w:r>
      <w:r>
        <w:rPr>
          <w:i/>
          <w:w w:val="105"/>
          <w:sz w:val="24"/>
        </w:rPr>
        <w:t>59 </w:t>
      </w:r>
      <w:r>
        <w:rPr>
          <w:w w:val="105"/>
          <w:sz w:val="24"/>
        </w:rPr>
        <w:t>(3),</w:t>
      </w:r>
      <w:r>
        <w:rPr>
          <w:spacing w:val="18"/>
          <w:w w:val="105"/>
          <w:sz w:val="24"/>
        </w:rPr>
        <w:t> </w:t>
      </w:r>
      <w:r>
        <w:rPr>
          <w:w w:val="105"/>
          <w:sz w:val="24"/>
        </w:rPr>
        <w:t>738–747.</w:t>
      </w:r>
    </w:p>
    <w:p>
      <w:pPr>
        <w:pStyle w:val="BodyText"/>
        <w:tabs>
          <w:tab w:pos="1339" w:val="left" w:leader="none"/>
        </w:tabs>
        <w:spacing w:before="203"/>
      </w:pPr>
      <w:r>
        <w:rPr>
          <w:rFonts w:ascii="Arial"/>
          <w:w w:val="105"/>
          <w:sz w:val="12"/>
        </w:rPr>
        <w:t>886</w:t>
        <w:tab/>
      </w:r>
      <w:hyperlink r:id="rId39">
        <w:r>
          <w:rPr>
            <w:w w:val="105"/>
          </w:rPr>
          <w:t>https://doi.org/10.1016/j.appet.2012.08.001</w:t>
        </w:r>
      </w:hyperlink>
    </w:p>
    <w:p>
      <w:pPr>
        <w:pStyle w:val="BodyText"/>
        <w:spacing w:before="0"/>
        <w:ind w:left="0"/>
        <w:rPr>
          <w:sz w:val="20"/>
        </w:rPr>
      </w:pPr>
    </w:p>
    <w:p>
      <w:pPr>
        <w:pStyle w:val="BodyText"/>
        <w:spacing w:before="286"/>
      </w:pPr>
      <w:r>
        <w:rPr>
          <w:rFonts w:ascii="Arial"/>
          <w:w w:val="105"/>
          <w:sz w:val="12"/>
        </w:rPr>
        <w:t>887 </w:t>
      </w:r>
      <w:r>
        <w:rPr>
          <w:w w:val="105"/>
        </w:rPr>
        <w:t>JASP Team. (2018). JASP (Version 0.10.0)[Computer software].</w:t>
      </w:r>
    </w:p>
    <w:p>
      <w:pPr>
        <w:spacing w:after="0"/>
        <w:sectPr>
          <w:pgSz w:w="12240" w:h="15840"/>
          <w:pgMar w:header="649" w:footer="0" w:top="1320" w:bottom="280" w:left="820" w:right="1140"/>
        </w:sectPr>
      </w:pPr>
    </w:p>
    <w:p>
      <w:pPr>
        <w:pStyle w:val="BodyText"/>
        <w:spacing w:before="191"/>
      </w:pPr>
      <w:r>
        <w:rPr>
          <w:rFonts w:ascii="Arial"/>
          <w:w w:val="105"/>
          <w:sz w:val="12"/>
        </w:rPr>
        <w:t>888 </w:t>
      </w:r>
      <w:r>
        <w:rPr>
          <w:w w:val="105"/>
        </w:rPr>
        <w:t>Jones, A., Di Lemma, L. C., Robinson, E., Christiansen, P., Nolan, S., Tudur-Smith, C., &amp;</w:t>
      </w:r>
    </w:p>
    <w:p>
      <w:pPr>
        <w:pStyle w:val="BodyText"/>
        <w:tabs>
          <w:tab w:pos="1339" w:val="left" w:leader="none"/>
        </w:tabs>
      </w:pPr>
      <w:r>
        <w:rPr>
          <w:rFonts w:ascii="Arial"/>
          <w:w w:val="105"/>
          <w:sz w:val="12"/>
        </w:rPr>
        <w:t>889</w:t>
        <w:tab/>
      </w:r>
      <w:r>
        <w:rPr>
          <w:w w:val="105"/>
        </w:rPr>
        <w:t>Field, M. (2016). Inhibitory control training for appetitive behaviour change:</w:t>
      </w:r>
      <w:r>
        <w:rPr>
          <w:spacing w:val="57"/>
          <w:w w:val="105"/>
        </w:rPr>
        <w:t> </w:t>
      </w:r>
      <w:r>
        <w:rPr>
          <w:w w:val="105"/>
        </w:rPr>
        <w:t>A</w:t>
      </w:r>
    </w:p>
    <w:p>
      <w:pPr>
        <w:pStyle w:val="BodyText"/>
        <w:tabs>
          <w:tab w:pos="1339" w:val="left" w:leader="none"/>
        </w:tabs>
        <w:spacing w:before="203"/>
      </w:pPr>
      <w:r>
        <w:rPr>
          <w:rFonts w:ascii="Arial"/>
          <w:sz w:val="12"/>
        </w:rPr>
        <w:t>890</w:t>
        <w:tab/>
      </w:r>
      <w:r>
        <w:rPr/>
        <w:t>meta-analytic investigation of mechanisms of action and moderators of</w:t>
      </w:r>
      <w:r>
        <w:rPr>
          <w:spacing w:val="45"/>
        </w:rPr>
        <w:t> </w:t>
      </w:r>
      <w:r>
        <w:rPr/>
        <w:t>effectiveness.</w:t>
      </w:r>
    </w:p>
    <w:p>
      <w:pPr>
        <w:pStyle w:val="BodyText"/>
        <w:spacing w:before="7"/>
        <w:ind w:left="0"/>
        <w:rPr>
          <w:sz w:val="13"/>
        </w:rPr>
      </w:pPr>
    </w:p>
    <w:tbl>
      <w:tblPr>
        <w:tblW w:w="0" w:type="auto"/>
        <w:jc w:val="left"/>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0"/>
        <w:gridCol w:w="9182"/>
      </w:tblGrid>
      <w:tr>
        <w:trPr>
          <w:trHeight w:val="565" w:hRule="atLeast"/>
        </w:trPr>
        <w:tc>
          <w:tcPr>
            <w:tcW w:w="340" w:type="dxa"/>
          </w:tcPr>
          <w:p>
            <w:pPr>
              <w:pStyle w:val="TableParagraph"/>
              <w:spacing w:before="157"/>
              <w:ind w:left="50"/>
              <w:rPr>
                <w:rFonts w:ascii="Arial"/>
                <w:sz w:val="12"/>
              </w:rPr>
            </w:pPr>
            <w:r>
              <w:rPr>
                <w:rFonts w:ascii="Arial"/>
                <w:sz w:val="12"/>
              </w:rPr>
              <w:t>891</w:t>
            </w:r>
          </w:p>
        </w:tc>
        <w:tc>
          <w:tcPr>
            <w:tcW w:w="9182" w:type="dxa"/>
          </w:tcPr>
          <w:p>
            <w:pPr>
              <w:pStyle w:val="TableParagraph"/>
              <w:spacing w:before="45"/>
              <w:ind w:left="802"/>
              <w:rPr>
                <w:sz w:val="24"/>
              </w:rPr>
            </w:pPr>
            <w:r>
              <w:rPr>
                <w:i/>
                <w:w w:val="105"/>
                <w:sz w:val="24"/>
              </w:rPr>
              <w:t>Appetite</w:t>
            </w:r>
            <w:r>
              <w:rPr>
                <w:w w:val="105"/>
                <w:sz w:val="24"/>
              </w:rPr>
              <w:t>, </w:t>
            </w:r>
            <w:r>
              <w:rPr>
                <w:i/>
                <w:w w:val="105"/>
                <w:sz w:val="24"/>
              </w:rPr>
              <w:t>97</w:t>
            </w:r>
            <w:r>
              <w:rPr>
                <w:w w:val="105"/>
                <w:sz w:val="24"/>
              </w:rPr>
              <w:t>, 16–28. </w:t>
            </w:r>
            <w:hyperlink r:id="rId40">
              <w:r>
                <w:rPr>
                  <w:w w:val="105"/>
                  <w:sz w:val="24"/>
                </w:rPr>
                <w:t>https://doi.org/10.1016/j.appet.2015.11.013</w:t>
              </w:r>
            </w:hyperlink>
          </w:p>
        </w:tc>
      </w:tr>
      <w:tr>
        <w:trPr>
          <w:trHeight w:val="634" w:hRule="atLeast"/>
        </w:trPr>
        <w:tc>
          <w:tcPr>
            <w:tcW w:w="340" w:type="dxa"/>
          </w:tcPr>
          <w:p>
            <w:pPr>
              <w:pStyle w:val="TableParagraph"/>
              <w:rPr>
                <w:sz w:val="18"/>
              </w:rPr>
            </w:pPr>
          </w:p>
          <w:p>
            <w:pPr>
              <w:pStyle w:val="TableParagraph"/>
              <w:spacing w:before="4"/>
              <w:rPr>
                <w:sz w:val="15"/>
              </w:rPr>
            </w:pPr>
          </w:p>
          <w:p>
            <w:pPr>
              <w:pStyle w:val="TableParagraph"/>
              <w:ind w:left="50"/>
              <w:rPr>
                <w:rFonts w:ascii="Arial"/>
                <w:sz w:val="12"/>
              </w:rPr>
            </w:pPr>
            <w:r>
              <w:rPr>
                <w:rFonts w:ascii="Arial"/>
                <w:sz w:val="12"/>
              </w:rPr>
              <w:t>892</w:t>
            </w:r>
          </w:p>
        </w:tc>
        <w:tc>
          <w:tcPr>
            <w:tcW w:w="9182" w:type="dxa"/>
          </w:tcPr>
          <w:p>
            <w:pPr>
              <w:pStyle w:val="TableParagraph"/>
              <w:spacing w:before="272"/>
              <w:ind w:left="99"/>
              <w:rPr>
                <w:sz w:val="24"/>
              </w:rPr>
            </w:pPr>
            <w:r>
              <w:rPr>
                <w:w w:val="105"/>
                <w:sz w:val="24"/>
              </w:rPr>
              <w:t>Jones, A., Hardman, C. A., Lawrence, N., &amp; Field, M. (2018). Cognitive training as a</w:t>
            </w:r>
          </w:p>
        </w:tc>
      </w:tr>
      <w:tr>
        <w:trPr>
          <w:trHeight w:val="407" w:hRule="atLeast"/>
        </w:trPr>
        <w:tc>
          <w:tcPr>
            <w:tcW w:w="340" w:type="dxa"/>
          </w:tcPr>
          <w:p>
            <w:pPr>
              <w:pStyle w:val="TableParagraph"/>
              <w:spacing w:before="9"/>
              <w:rPr>
                <w:sz w:val="19"/>
              </w:rPr>
            </w:pPr>
          </w:p>
          <w:p>
            <w:pPr>
              <w:pStyle w:val="TableParagraph"/>
              <w:ind w:left="50"/>
              <w:rPr>
                <w:rFonts w:ascii="Arial"/>
                <w:sz w:val="12"/>
              </w:rPr>
            </w:pPr>
            <w:r>
              <w:rPr>
                <w:rFonts w:ascii="Arial"/>
                <w:sz w:val="12"/>
              </w:rPr>
              <w:t>893</w:t>
            </w:r>
          </w:p>
        </w:tc>
        <w:tc>
          <w:tcPr>
            <w:tcW w:w="9182" w:type="dxa"/>
          </w:tcPr>
          <w:p>
            <w:pPr>
              <w:pStyle w:val="TableParagraph"/>
              <w:spacing w:line="271" w:lineRule="exact" w:before="116"/>
              <w:ind w:left="819"/>
              <w:rPr>
                <w:sz w:val="24"/>
              </w:rPr>
            </w:pPr>
            <w:r>
              <w:rPr>
                <w:w w:val="105"/>
                <w:sz w:val="24"/>
              </w:rPr>
              <w:t>potential treatment for overweight and obesity: A critical review of the evidence.</w:t>
            </w:r>
          </w:p>
        </w:tc>
      </w:tr>
    </w:tbl>
    <w:p>
      <w:pPr>
        <w:tabs>
          <w:tab w:pos="1322" w:val="left" w:leader="none"/>
        </w:tabs>
        <w:spacing w:before="187"/>
        <w:ind w:left="230" w:right="0" w:firstLine="0"/>
        <w:jc w:val="left"/>
        <w:rPr>
          <w:sz w:val="24"/>
        </w:rPr>
      </w:pPr>
      <w:r>
        <w:rPr>
          <w:rFonts w:ascii="Arial" w:hAnsi="Arial"/>
          <w:w w:val="105"/>
          <w:sz w:val="12"/>
        </w:rPr>
        <w:t>894</w:t>
        <w:tab/>
      </w:r>
      <w:r>
        <w:rPr>
          <w:i/>
          <w:spacing w:val="-3"/>
          <w:w w:val="105"/>
          <w:sz w:val="24"/>
        </w:rPr>
        <w:t>Appetite</w:t>
      </w:r>
      <w:r>
        <w:rPr>
          <w:spacing w:val="-3"/>
          <w:w w:val="105"/>
          <w:sz w:val="24"/>
        </w:rPr>
        <w:t>, </w:t>
      </w:r>
      <w:r>
        <w:rPr>
          <w:i/>
          <w:w w:val="105"/>
          <w:sz w:val="24"/>
        </w:rPr>
        <w:t>124</w:t>
      </w:r>
      <w:r>
        <w:rPr>
          <w:w w:val="105"/>
          <w:sz w:val="24"/>
        </w:rPr>
        <w:t>, 50–67.</w:t>
      </w:r>
      <w:r>
        <w:rPr>
          <w:spacing w:val="16"/>
          <w:w w:val="105"/>
          <w:sz w:val="24"/>
        </w:rPr>
        <w:t> </w:t>
      </w:r>
      <w:hyperlink r:id="rId41">
        <w:r>
          <w:rPr>
            <w:w w:val="105"/>
            <w:sz w:val="24"/>
          </w:rPr>
          <w:t>https://doi.org/10.1016/j.appet.2017.05.032</w:t>
        </w:r>
      </w:hyperlink>
    </w:p>
    <w:p>
      <w:pPr>
        <w:pStyle w:val="BodyText"/>
        <w:spacing w:before="0"/>
        <w:ind w:left="0"/>
        <w:rPr>
          <w:sz w:val="20"/>
        </w:rPr>
      </w:pPr>
    </w:p>
    <w:p>
      <w:pPr>
        <w:pStyle w:val="BodyText"/>
        <w:spacing w:before="287"/>
      </w:pPr>
      <w:r>
        <w:rPr>
          <w:rFonts w:ascii="Arial"/>
          <w:w w:val="105"/>
          <w:sz w:val="12"/>
        </w:rPr>
        <w:t>895 </w:t>
      </w:r>
      <w:r>
        <w:rPr>
          <w:w w:val="105"/>
        </w:rPr>
        <w:t>Kakoschke, N., Kemps, E., &amp; Tiggemann, M. (2017a). Approach bias modification training</w:t>
      </w:r>
    </w:p>
    <w:p>
      <w:pPr>
        <w:tabs>
          <w:tab w:pos="1339" w:val="left" w:leader="none"/>
        </w:tabs>
        <w:spacing w:before="202"/>
        <w:ind w:left="230" w:right="0" w:firstLine="0"/>
        <w:jc w:val="left"/>
        <w:rPr>
          <w:sz w:val="24"/>
        </w:rPr>
      </w:pPr>
      <w:r>
        <w:rPr>
          <w:rFonts w:ascii="Arial" w:hAnsi="Arial"/>
          <w:w w:val="105"/>
          <w:sz w:val="12"/>
        </w:rPr>
        <w:t>896</w:t>
        <w:tab/>
      </w:r>
      <w:r>
        <w:rPr>
          <w:w w:val="105"/>
          <w:sz w:val="24"/>
        </w:rPr>
        <w:t>and consumption: A review of the literature. </w:t>
      </w:r>
      <w:r>
        <w:rPr>
          <w:i/>
          <w:w w:val="105"/>
          <w:sz w:val="24"/>
        </w:rPr>
        <w:t>Addictive Behaviors</w:t>
      </w:r>
      <w:r>
        <w:rPr>
          <w:w w:val="105"/>
          <w:sz w:val="24"/>
        </w:rPr>
        <w:t>, </w:t>
      </w:r>
      <w:r>
        <w:rPr>
          <w:i/>
          <w:w w:val="105"/>
          <w:sz w:val="24"/>
        </w:rPr>
        <w:t>64</w:t>
      </w:r>
      <w:r>
        <w:rPr>
          <w:w w:val="105"/>
          <w:sz w:val="24"/>
        </w:rPr>
        <w:t>,</w:t>
      </w:r>
      <w:r>
        <w:rPr>
          <w:spacing w:val="40"/>
          <w:w w:val="105"/>
          <w:sz w:val="24"/>
        </w:rPr>
        <w:t> </w:t>
      </w:r>
      <w:r>
        <w:rPr>
          <w:w w:val="105"/>
          <w:sz w:val="24"/>
        </w:rPr>
        <w:t>21–28.</w:t>
      </w:r>
    </w:p>
    <w:p>
      <w:pPr>
        <w:pStyle w:val="BodyText"/>
        <w:tabs>
          <w:tab w:pos="1339" w:val="left" w:leader="none"/>
        </w:tabs>
      </w:pPr>
      <w:r>
        <w:rPr>
          <w:rFonts w:ascii="Arial"/>
          <w:w w:val="105"/>
          <w:sz w:val="12"/>
        </w:rPr>
        <w:t>897</w:t>
        <w:tab/>
      </w:r>
      <w:hyperlink r:id="rId42">
        <w:r>
          <w:rPr>
            <w:w w:val="105"/>
          </w:rPr>
          <w:t>https://doi.org/10.1016/j.addbeh.2016.08.007</w:t>
        </w:r>
      </w:hyperlink>
    </w:p>
    <w:p>
      <w:pPr>
        <w:pStyle w:val="BodyText"/>
        <w:spacing w:before="0"/>
        <w:ind w:left="0"/>
        <w:rPr>
          <w:sz w:val="20"/>
        </w:rPr>
      </w:pPr>
    </w:p>
    <w:p>
      <w:pPr>
        <w:pStyle w:val="BodyText"/>
        <w:spacing w:before="287"/>
      </w:pPr>
      <w:r>
        <w:rPr>
          <w:rFonts w:ascii="Arial"/>
          <w:sz w:val="12"/>
        </w:rPr>
        <w:t>898 </w:t>
      </w:r>
      <w:r>
        <w:rPr/>
        <w:t>Kakoschke, N., Kemps, E., &amp; Tiggemann, M. (2017b). The effect of combined avoidance and</w:t>
      </w:r>
    </w:p>
    <w:p>
      <w:pPr>
        <w:tabs>
          <w:tab w:pos="1339" w:val="left" w:leader="none"/>
        </w:tabs>
        <w:spacing w:before="202"/>
        <w:ind w:left="230" w:right="0" w:firstLine="0"/>
        <w:jc w:val="left"/>
        <w:rPr>
          <w:i/>
          <w:sz w:val="24"/>
        </w:rPr>
      </w:pPr>
      <w:r>
        <w:rPr>
          <w:rFonts w:ascii="Arial"/>
          <w:w w:val="105"/>
          <w:sz w:val="12"/>
        </w:rPr>
        <w:t>899</w:t>
        <w:tab/>
      </w:r>
      <w:r>
        <w:rPr>
          <w:w w:val="105"/>
          <w:sz w:val="24"/>
        </w:rPr>
        <w:t>control training on implicit </w:t>
      </w:r>
      <w:r>
        <w:rPr>
          <w:spacing w:val="3"/>
          <w:w w:val="105"/>
          <w:sz w:val="24"/>
        </w:rPr>
        <w:t>food </w:t>
      </w:r>
      <w:r>
        <w:rPr>
          <w:spacing w:val="-3"/>
          <w:w w:val="105"/>
          <w:sz w:val="24"/>
        </w:rPr>
        <w:t>evaluation </w:t>
      </w:r>
      <w:r>
        <w:rPr>
          <w:w w:val="105"/>
          <w:sz w:val="24"/>
        </w:rPr>
        <w:t>and choice. </w:t>
      </w:r>
      <w:r>
        <w:rPr>
          <w:i/>
          <w:w w:val="105"/>
          <w:sz w:val="24"/>
        </w:rPr>
        <w:t>J. Behav. Ther.</w:t>
      </w:r>
      <w:r>
        <w:rPr>
          <w:i/>
          <w:spacing w:val="6"/>
          <w:w w:val="105"/>
          <w:sz w:val="24"/>
        </w:rPr>
        <w:t> </w:t>
      </w:r>
      <w:r>
        <w:rPr>
          <w:i/>
          <w:w w:val="105"/>
          <w:sz w:val="24"/>
        </w:rPr>
        <w:t>Exp.</w:t>
      </w:r>
    </w:p>
    <w:p>
      <w:pPr>
        <w:tabs>
          <w:tab w:pos="1326" w:val="left" w:leader="none"/>
        </w:tabs>
        <w:spacing w:before="202"/>
        <w:ind w:left="230" w:right="0" w:firstLine="0"/>
        <w:jc w:val="left"/>
        <w:rPr>
          <w:sz w:val="24"/>
        </w:rPr>
      </w:pPr>
      <w:r>
        <w:rPr>
          <w:rFonts w:ascii="Arial" w:hAnsi="Arial"/>
          <w:w w:val="105"/>
          <w:sz w:val="12"/>
        </w:rPr>
        <w:t>900</w:t>
        <w:tab/>
      </w:r>
      <w:r>
        <w:rPr>
          <w:i/>
          <w:w w:val="105"/>
          <w:sz w:val="24"/>
        </w:rPr>
        <w:t>Psychiatry</w:t>
      </w:r>
      <w:r>
        <w:rPr>
          <w:w w:val="105"/>
          <w:sz w:val="24"/>
        </w:rPr>
        <w:t>, </w:t>
      </w:r>
      <w:r>
        <w:rPr>
          <w:i/>
          <w:w w:val="105"/>
          <w:sz w:val="24"/>
        </w:rPr>
        <w:t>55</w:t>
      </w:r>
      <w:r>
        <w:rPr>
          <w:w w:val="105"/>
          <w:sz w:val="24"/>
        </w:rPr>
        <w:t>, 99–105.</w:t>
      </w:r>
      <w:r>
        <w:rPr>
          <w:spacing w:val="5"/>
          <w:w w:val="105"/>
          <w:sz w:val="24"/>
        </w:rPr>
        <w:t> </w:t>
      </w:r>
      <w:hyperlink r:id="rId43">
        <w:r>
          <w:rPr>
            <w:w w:val="105"/>
            <w:sz w:val="24"/>
          </w:rPr>
          <w:t>https://doi.org/10.1016/j.jbtep.2017.01.002</w:t>
        </w:r>
      </w:hyperlink>
    </w:p>
    <w:p>
      <w:pPr>
        <w:pStyle w:val="BodyText"/>
        <w:spacing w:before="0"/>
        <w:ind w:left="0"/>
        <w:rPr>
          <w:sz w:val="20"/>
        </w:rPr>
      </w:pPr>
    </w:p>
    <w:p>
      <w:pPr>
        <w:pStyle w:val="BodyText"/>
        <w:tabs>
          <w:tab w:pos="1312" w:val="left" w:leader="none"/>
        </w:tabs>
        <w:spacing w:line="415" w:lineRule="auto" w:before="287"/>
        <w:ind w:right="395"/>
      </w:pPr>
      <w:r>
        <w:rPr>
          <w:rFonts w:ascii="Arial" w:hAnsi="Arial"/>
          <w:w w:val="105"/>
          <w:sz w:val="12"/>
        </w:rPr>
        <w:t>901</w:t>
      </w:r>
      <w:r>
        <w:rPr>
          <w:rFonts w:ascii="Arial" w:hAnsi="Arial"/>
          <w:spacing w:val="35"/>
          <w:w w:val="105"/>
          <w:sz w:val="12"/>
        </w:rPr>
        <w:t> </w:t>
      </w:r>
      <w:r>
        <w:rPr>
          <w:spacing w:val="-3"/>
          <w:w w:val="105"/>
        </w:rPr>
        <w:t>Kakoschke, </w:t>
      </w:r>
      <w:r>
        <w:rPr>
          <w:w w:val="105"/>
        </w:rPr>
        <w:t>N., Kemps, E., Tiggemann, M., </w:t>
      </w:r>
      <w:r>
        <w:rPr>
          <w:spacing w:val="-3"/>
          <w:w w:val="105"/>
        </w:rPr>
        <w:t>Kakoschke, </w:t>
      </w:r>
      <w:r>
        <w:rPr>
          <w:w w:val="105"/>
        </w:rPr>
        <w:t>N., Kemps, E., &amp; Tiggemann, M.   </w:t>
      </w:r>
      <w:r>
        <w:rPr>
          <w:rFonts w:ascii="Arial" w:hAnsi="Arial"/>
          <w:w w:val="105"/>
          <w:sz w:val="12"/>
        </w:rPr>
        <w:t>902</w:t>
        <w:tab/>
      </w:r>
      <w:r>
        <w:rPr>
          <w:w w:val="105"/>
        </w:rPr>
        <w:t>(2015). Combined effects of cognitive bias for </w:t>
      </w:r>
      <w:r>
        <w:rPr>
          <w:spacing w:val="2"/>
          <w:w w:val="105"/>
        </w:rPr>
        <w:t>food </w:t>
      </w:r>
      <w:r>
        <w:rPr>
          <w:w w:val="105"/>
        </w:rPr>
        <w:t>cues and </w:t>
      </w:r>
      <w:r>
        <w:rPr>
          <w:spacing w:val="2"/>
          <w:w w:val="105"/>
        </w:rPr>
        <w:t>poor </w:t>
      </w:r>
      <w:r>
        <w:rPr>
          <w:w w:val="105"/>
        </w:rPr>
        <w:t>inhibitory control </w:t>
      </w:r>
      <w:r>
        <w:rPr>
          <w:rFonts w:ascii="Arial" w:hAnsi="Arial"/>
          <w:w w:val="105"/>
          <w:sz w:val="12"/>
        </w:rPr>
        <w:t>903</w:t>
        <w:tab/>
      </w:r>
      <w:r>
        <w:rPr>
          <w:w w:val="105"/>
        </w:rPr>
        <w:t>on unhealthy </w:t>
      </w:r>
      <w:r>
        <w:rPr>
          <w:spacing w:val="3"/>
          <w:w w:val="105"/>
        </w:rPr>
        <w:t>food </w:t>
      </w:r>
      <w:r>
        <w:rPr>
          <w:spacing w:val="-3"/>
          <w:w w:val="105"/>
        </w:rPr>
        <w:t>intake. </w:t>
      </w:r>
      <w:r>
        <w:rPr>
          <w:i/>
          <w:spacing w:val="-3"/>
          <w:w w:val="105"/>
        </w:rPr>
        <w:t>Appetite</w:t>
      </w:r>
      <w:r>
        <w:rPr>
          <w:spacing w:val="-3"/>
          <w:w w:val="105"/>
        </w:rPr>
        <w:t>, </w:t>
      </w:r>
      <w:r>
        <w:rPr>
          <w:i/>
          <w:w w:val="105"/>
        </w:rPr>
        <w:t>87 </w:t>
      </w:r>
      <w:r>
        <w:rPr>
          <w:spacing w:val="-3"/>
          <w:w w:val="105"/>
        </w:rPr>
        <w:t>(JANUARY),</w:t>
      </w:r>
      <w:r>
        <w:rPr>
          <w:spacing w:val="17"/>
          <w:w w:val="105"/>
        </w:rPr>
        <w:t> </w:t>
      </w:r>
      <w:r>
        <w:rPr>
          <w:w w:val="105"/>
        </w:rPr>
        <w:t>358–364.</w:t>
      </w:r>
    </w:p>
    <w:p>
      <w:pPr>
        <w:pStyle w:val="BodyText"/>
        <w:tabs>
          <w:tab w:pos="1339" w:val="left" w:leader="none"/>
        </w:tabs>
        <w:spacing w:before="2"/>
      </w:pPr>
      <w:r>
        <w:rPr>
          <w:rFonts w:ascii="Arial"/>
          <w:w w:val="105"/>
          <w:sz w:val="12"/>
        </w:rPr>
        <w:t>904</w:t>
        <w:tab/>
      </w:r>
      <w:hyperlink r:id="rId44">
        <w:r>
          <w:rPr>
            <w:w w:val="105"/>
          </w:rPr>
          <w:t>https://doi.org/10.1016/j.appet.2015.01.004</w:t>
        </w:r>
      </w:hyperlink>
    </w:p>
    <w:p>
      <w:pPr>
        <w:pStyle w:val="BodyText"/>
        <w:spacing w:before="0"/>
        <w:ind w:left="0"/>
        <w:rPr>
          <w:sz w:val="20"/>
        </w:rPr>
      </w:pPr>
    </w:p>
    <w:p>
      <w:pPr>
        <w:pStyle w:val="BodyText"/>
        <w:spacing w:before="286"/>
      </w:pPr>
      <w:r>
        <w:rPr>
          <w:rFonts w:ascii="Arial"/>
          <w:w w:val="105"/>
          <w:sz w:val="12"/>
        </w:rPr>
        <w:t>905 </w:t>
      </w:r>
      <w:r>
        <w:rPr>
          <w:w w:val="105"/>
        </w:rPr>
        <w:t>Kemps, E., &amp; Tiggemann, M. (2015). Approach bias for food cues in obese individuals.</w:t>
      </w:r>
    </w:p>
    <w:p>
      <w:pPr>
        <w:tabs>
          <w:tab w:pos="1326" w:val="left" w:leader="none"/>
        </w:tabs>
        <w:spacing w:before="203"/>
        <w:ind w:left="230" w:right="0" w:firstLine="0"/>
        <w:jc w:val="left"/>
        <w:rPr>
          <w:sz w:val="24"/>
        </w:rPr>
      </w:pPr>
      <w:r>
        <w:rPr>
          <w:rFonts w:ascii="Arial" w:hAnsi="Arial"/>
          <w:w w:val="105"/>
          <w:sz w:val="12"/>
        </w:rPr>
        <w:t>906</w:t>
        <w:tab/>
      </w:r>
      <w:r>
        <w:rPr>
          <w:i/>
          <w:w w:val="105"/>
          <w:sz w:val="24"/>
        </w:rPr>
        <w:t>Psychol. </w:t>
      </w:r>
      <w:r>
        <w:rPr>
          <w:i/>
          <w:spacing w:val="-3"/>
          <w:w w:val="105"/>
          <w:sz w:val="24"/>
        </w:rPr>
        <w:t>Heal.</w:t>
      </w:r>
      <w:r>
        <w:rPr>
          <w:spacing w:val="-3"/>
          <w:w w:val="105"/>
          <w:sz w:val="24"/>
        </w:rPr>
        <w:t>, </w:t>
      </w:r>
      <w:r>
        <w:rPr>
          <w:i/>
          <w:w w:val="105"/>
          <w:sz w:val="24"/>
        </w:rPr>
        <w:t>30 </w:t>
      </w:r>
      <w:r>
        <w:rPr>
          <w:w w:val="105"/>
          <w:sz w:val="24"/>
        </w:rPr>
        <w:t>(3), 370–380.</w:t>
      </w:r>
      <w:r>
        <w:rPr>
          <w:spacing w:val="-24"/>
          <w:w w:val="105"/>
          <w:sz w:val="24"/>
        </w:rPr>
        <w:t> </w:t>
      </w:r>
      <w:hyperlink r:id="rId45">
        <w:r>
          <w:rPr>
            <w:w w:val="105"/>
            <w:sz w:val="24"/>
          </w:rPr>
          <w:t>https://doi.org/10.1080/08870446.2014.974605</w:t>
        </w:r>
      </w:hyperlink>
    </w:p>
    <w:p>
      <w:pPr>
        <w:pStyle w:val="BodyText"/>
        <w:spacing w:before="0"/>
        <w:ind w:left="0"/>
        <w:rPr>
          <w:sz w:val="20"/>
        </w:rPr>
      </w:pPr>
    </w:p>
    <w:p>
      <w:pPr>
        <w:pStyle w:val="BodyText"/>
        <w:spacing w:before="286"/>
      </w:pPr>
      <w:r>
        <w:rPr>
          <w:rFonts w:ascii="Arial"/>
          <w:w w:val="105"/>
          <w:sz w:val="12"/>
        </w:rPr>
        <w:t>907 </w:t>
      </w:r>
      <w:r>
        <w:rPr>
          <w:w w:val="105"/>
        </w:rPr>
        <w:t>Kemps, E., Tiggemann, M., Martin, R., &amp; Elliott, M. (2013). Implicit approachAvoidance</w:t>
      </w:r>
    </w:p>
    <w:p>
      <w:pPr>
        <w:tabs>
          <w:tab w:pos="1339" w:val="left" w:leader="none"/>
        </w:tabs>
        <w:spacing w:before="203"/>
        <w:ind w:left="230" w:right="0" w:firstLine="0"/>
        <w:jc w:val="left"/>
        <w:rPr>
          <w:sz w:val="24"/>
        </w:rPr>
      </w:pPr>
      <w:r>
        <w:rPr>
          <w:rFonts w:ascii="Arial" w:hAnsi="Arial"/>
          <w:w w:val="105"/>
          <w:sz w:val="12"/>
        </w:rPr>
        <w:t>908</w:t>
        <w:tab/>
      </w:r>
      <w:r>
        <w:rPr>
          <w:w w:val="105"/>
          <w:sz w:val="24"/>
        </w:rPr>
        <w:t>associations for </w:t>
      </w:r>
      <w:r>
        <w:rPr>
          <w:spacing w:val="-3"/>
          <w:w w:val="105"/>
          <w:sz w:val="24"/>
        </w:rPr>
        <w:t>craved </w:t>
      </w:r>
      <w:r>
        <w:rPr>
          <w:spacing w:val="3"/>
          <w:w w:val="105"/>
          <w:sz w:val="24"/>
        </w:rPr>
        <w:t>food </w:t>
      </w:r>
      <w:r>
        <w:rPr>
          <w:w w:val="105"/>
          <w:sz w:val="24"/>
        </w:rPr>
        <w:t>cues. </w:t>
      </w:r>
      <w:r>
        <w:rPr>
          <w:i/>
          <w:w w:val="105"/>
          <w:sz w:val="24"/>
        </w:rPr>
        <w:t>J. Exp. Psychol. Appl.</w:t>
      </w:r>
      <w:r>
        <w:rPr>
          <w:w w:val="105"/>
          <w:sz w:val="24"/>
        </w:rPr>
        <w:t>, </w:t>
      </w:r>
      <w:r>
        <w:rPr>
          <w:i/>
          <w:w w:val="105"/>
          <w:sz w:val="24"/>
        </w:rPr>
        <w:t>19 </w:t>
      </w:r>
      <w:r>
        <w:rPr>
          <w:w w:val="105"/>
          <w:sz w:val="24"/>
        </w:rPr>
        <w:t>(1),</w:t>
      </w:r>
      <w:r>
        <w:rPr>
          <w:spacing w:val="-28"/>
          <w:w w:val="105"/>
          <w:sz w:val="24"/>
        </w:rPr>
        <w:t> </w:t>
      </w:r>
      <w:r>
        <w:rPr>
          <w:w w:val="105"/>
          <w:sz w:val="24"/>
        </w:rPr>
        <w:t>30–38.</w:t>
      </w:r>
    </w:p>
    <w:p>
      <w:pPr>
        <w:pStyle w:val="BodyText"/>
        <w:tabs>
          <w:tab w:pos="1339" w:val="left" w:leader="none"/>
        </w:tabs>
      </w:pPr>
      <w:r>
        <w:rPr>
          <w:rFonts w:ascii="Arial"/>
          <w:w w:val="105"/>
          <w:sz w:val="12"/>
        </w:rPr>
        <w:t>909</w:t>
        <w:tab/>
      </w:r>
      <w:hyperlink r:id="rId46">
        <w:r>
          <w:rPr>
            <w:w w:val="105"/>
          </w:rPr>
          <w:t>https://doi.org/10.1037/a0031626</w:t>
        </w:r>
      </w:hyperlink>
    </w:p>
    <w:p>
      <w:pPr>
        <w:pStyle w:val="BodyText"/>
        <w:spacing w:before="0"/>
        <w:ind w:left="0"/>
        <w:rPr>
          <w:sz w:val="20"/>
        </w:rPr>
      </w:pPr>
    </w:p>
    <w:p>
      <w:pPr>
        <w:spacing w:before="286"/>
        <w:ind w:left="230" w:right="0" w:firstLine="0"/>
        <w:jc w:val="left"/>
        <w:rPr>
          <w:sz w:val="24"/>
        </w:rPr>
      </w:pPr>
      <w:r>
        <w:rPr>
          <w:rFonts w:ascii="Arial"/>
          <w:w w:val="105"/>
          <w:sz w:val="12"/>
        </w:rPr>
        <w:t>910 </w:t>
      </w:r>
      <w:r>
        <w:rPr>
          <w:w w:val="105"/>
          <w:sz w:val="24"/>
        </w:rPr>
        <w:t>Kleiber, C., &amp; Zeileis, A. (2008). </w:t>
      </w:r>
      <w:r>
        <w:rPr>
          <w:i/>
          <w:w w:val="105"/>
          <w:sz w:val="24"/>
        </w:rPr>
        <w:t>Applied Econometrics with R</w:t>
      </w:r>
      <w:r>
        <w:rPr>
          <w:w w:val="105"/>
          <w:sz w:val="24"/>
        </w:rPr>
        <w:t>. New York: Springer-Verlag.</w:t>
      </w:r>
    </w:p>
    <w:p>
      <w:pPr>
        <w:spacing w:after="0"/>
        <w:jc w:val="left"/>
        <w:rPr>
          <w:sz w:val="24"/>
        </w:rPr>
        <w:sectPr>
          <w:pgSz w:w="12240" w:h="15840"/>
          <w:pgMar w:header="649" w:footer="0" w:top="1320" w:bottom="280" w:left="820" w:right="1140"/>
        </w:sectPr>
      </w:pPr>
    </w:p>
    <w:p>
      <w:pPr>
        <w:spacing w:before="191"/>
        <w:ind w:left="230" w:right="0" w:firstLine="0"/>
        <w:jc w:val="left"/>
        <w:rPr>
          <w:sz w:val="24"/>
        </w:rPr>
      </w:pPr>
      <w:r>
        <w:rPr>
          <w:rFonts w:ascii="Arial"/>
          <w:w w:val="105"/>
          <w:sz w:val="12"/>
        </w:rPr>
        <w:t>911 </w:t>
      </w:r>
      <w:r>
        <w:rPr>
          <w:w w:val="105"/>
          <w:sz w:val="24"/>
        </w:rPr>
        <w:t>Lakens, D. (2015). The 20% Statistician: The perfect t-test. </w:t>
      </w:r>
      <w:r>
        <w:rPr>
          <w:i/>
          <w:w w:val="105"/>
          <w:sz w:val="24"/>
        </w:rPr>
        <w:t>The 20% Statistician</w:t>
      </w:r>
      <w:r>
        <w:rPr>
          <w:w w:val="105"/>
          <w:sz w:val="24"/>
        </w:rPr>
        <w:t>.</w:t>
      </w:r>
    </w:p>
    <w:p>
      <w:pPr>
        <w:pStyle w:val="BodyText"/>
        <w:spacing w:before="0"/>
        <w:ind w:left="0"/>
        <w:rPr>
          <w:sz w:val="20"/>
        </w:rPr>
      </w:pPr>
    </w:p>
    <w:p>
      <w:pPr>
        <w:pStyle w:val="BodyText"/>
        <w:spacing w:before="287"/>
      </w:pPr>
      <w:r>
        <w:rPr>
          <w:rFonts w:ascii="Arial"/>
          <w:w w:val="105"/>
          <w:sz w:val="12"/>
        </w:rPr>
        <w:t>912 </w:t>
      </w:r>
      <w:r>
        <w:rPr>
          <w:w w:val="105"/>
        </w:rPr>
        <w:t>Lawrence, N. S., Hinton, E. C., Parkinson, J. A., &amp; Lawrence, A. D. (2012). Nucleus</w:t>
      </w:r>
    </w:p>
    <w:p>
      <w:pPr>
        <w:pStyle w:val="BodyText"/>
        <w:tabs>
          <w:tab w:pos="1331" w:val="left" w:leader="none"/>
        </w:tabs>
        <w:spacing w:line="415" w:lineRule="auto"/>
        <w:ind w:right="265"/>
      </w:pPr>
      <w:r>
        <w:rPr>
          <w:rFonts w:ascii="Arial" w:hAnsi="Arial"/>
          <w:w w:val="105"/>
          <w:sz w:val="12"/>
        </w:rPr>
        <w:t>913</w:t>
        <w:tab/>
      </w:r>
      <w:r>
        <w:rPr>
          <w:w w:val="105"/>
        </w:rPr>
        <w:t>accumbens response to </w:t>
      </w:r>
      <w:r>
        <w:rPr>
          <w:spacing w:val="3"/>
          <w:w w:val="105"/>
        </w:rPr>
        <w:t>food </w:t>
      </w:r>
      <w:r>
        <w:rPr>
          <w:w w:val="105"/>
        </w:rPr>
        <w:t>cues predicts subsequent snack consumption in </w:t>
      </w:r>
      <w:r>
        <w:rPr>
          <w:spacing w:val="-3"/>
          <w:w w:val="105"/>
        </w:rPr>
        <w:t>women </w:t>
      </w:r>
      <w:r>
        <w:rPr>
          <w:rFonts w:ascii="Arial" w:hAnsi="Arial"/>
          <w:w w:val="105"/>
          <w:sz w:val="12"/>
        </w:rPr>
        <w:t>914</w:t>
        <w:tab/>
      </w:r>
      <w:r>
        <w:rPr>
          <w:w w:val="105"/>
        </w:rPr>
        <w:t>and</w:t>
      </w:r>
      <w:r>
        <w:rPr>
          <w:spacing w:val="-10"/>
          <w:w w:val="105"/>
        </w:rPr>
        <w:t> </w:t>
      </w:r>
      <w:r>
        <w:rPr>
          <w:w w:val="105"/>
        </w:rPr>
        <w:t>increased</w:t>
      </w:r>
      <w:r>
        <w:rPr>
          <w:spacing w:val="-10"/>
          <w:w w:val="105"/>
        </w:rPr>
        <w:t> </w:t>
      </w:r>
      <w:r>
        <w:rPr>
          <w:spacing w:val="3"/>
          <w:w w:val="105"/>
        </w:rPr>
        <w:t>body</w:t>
      </w:r>
      <w:r>
        <w:rPr>
          <w:spacing w:val="-10"/>
          <w:w w:val="105"/>
        </w:rPr>
        <w:t> </w:t>
      </w:r>
      <w:r>
        <w:rPr>
          <w:w w:val="105"/>
        </w:rPr>
        <w:t>mass</w:t>
      </w:r>
      <w:r>
        <w:rPr>
          <w:spacing w:val="-10"/>
          <w:w w:val="105"/>
        </w:rPr>
        <w:t> </w:t>
      </w:r>
      <w:r>
        <w:rPr>
          <w:w w:val="105"/>
        </w:rPr>
        <w:t>index</w:t>
      </w:r>
      <w:r>
        <w:rPr>
          <w:spacing w:val="-10"/>
          <w:w w:val="105"/>
        </w:rPr>
        <w:t> </w:t>
      </w:r>
      <w:r>
        <w:rPr>
          <w:w w:val="105"/>
        </w:rPr>
        <w:t>in</w:t>
      </w:r>
      <w:r>
        <w:rPr>
          <w:spacing w:val="-10"/>
          <w:w w:val="105"/>
        </w:rPr>
        <w:t> </w:t>
      </w:r>
      <w:r>
        <w:rPr>
          <w:w w:val="105"/>
        </w:rPr>
        <w:t>those</w:t>
      </w:r>
      <w:r>
        <w:rPr>
          <w:spacing w:val="-10"/>
          <w:w w:val="105"/>
        </w:rPr>
        <w:t> </w:t>
      </w:r>
      <w:r>
        <w:rPr>
          <w:w w:val="105"/>
        </w:rPr>
        <w:t>with</w:t>
      </w:r>
      <w:r>
        <w:rPr>
          <w:spacing w:val="-10"/>
          <w:w w:val="105"/>
        </w:rPr>
        <w:t> </w:t>
      </w:r>
      <w:r>
        <w:rPr>
          <w:w w:val="105"/>
        </w:rPr>
        <w:t>reduced</w:t>
      </w:r>
      <w:r>
        <w:rPr>
          <w:spacing w:val="-10"/>
          <w:w w:val="105"/>
        </w:rPr>
        <w:t> </w:t>
      </w:r>
      <w:r>
        <w:rPr>
          <w:w w:val="105"/>
        </w:rPr>
        <w:t>self-control.</w:t>
      </w:r>
      <w:r>
        <w:rPr>
          <w:spacing w:val="9"/>
          <w:w w:val="105"/>
        </w:rPr>
        <w:t> </w:t>
      </w:r>
      <w:r>
        <w:rPr>
          <w:i/>
          <w:w w:val="105"/>
        </w:rPr>
        <w:t>NeuroImage</w:t>
      </w:r>
      <w:r>
        <w:rPr>
          <w:w w:val="105"/>
        </w:rPr>
        <w:t>,</w:t>
      </w:r>
      <w:r>
        <w:rPr>
          <w:spacing w:val="-9"/>
          <w:w w:val="105"/>
        </w:rPr>
        <w:t> </w:t>
      </w:r>
      <w:r>
        <w:rPr>
          <w:i/>
          <w:w w:val="105"/>
        </w:rPr>
        <w:t>63</w:t>
      </w:r>
      <w:r>
        <w:rPr>
          <w:i/>
          <w:spacing w:val="-40"/>
          <w:w w:val="105"/>
        </w:rPr>
        <w:t> </w:t>
      </w:r>
      <w:r>
        <w:rPr>
          <w:w w:val="105"/>
        </w:rPr>
        <w:t>(1), </w:t>
      </w:r>
      <w:r>
        <w:rPr>
          <w:rFonts w:ascii="Arial" w:hAnsi="Arial"/>
          <w:w w:val="105"/>
          <w:sz w:val="12"/>
        </w:rPr>
        <w:t>915</w:t>
        <w:tab/>
      </w:r>
      <w:r>
        <w:rPr>
          <w:w w:val="105"/>
        </w:rPr>
        <w:t>415–422.</w:t>
      </w:r>
      <w:r>
        <w:rPr>
          <w:spacing w:val="38"/>
          <w:w w:val="105"/>
        </w:rPr>
        <w:t> </w:t>
      </w:r>
      <w:hyperlink r:id="rId47">
        <w:r>
          <w:rPr>
            <w:w w:val="105"/>
          </w:rPr>
          <w:t>https://doi.org/10.1016/j.neuroimage.2012.06.070</w:t>
        </w:r>
      </w:hyperlink>
    </w:p>
    <w:p>
      <w:pPr>
        <w:pStyle w:val="BodyText"/>
        <w:spacing w:before="10"/>
        <w:ind w:left="0"/>
        <w:rPr>
          <w:sz w:val="14"/>
        </w:rPr>
      </w:pPr>
    </w:p>
    <w:p>
      <w:pPr>
        <w:pStyle w:val="BodyText"/>
        <w:tabs>
          <w:tab w:pos="1331" w:val="left" w:leader="none"/>
        </w:tabs>
        <w:spacing w:line="415" w:lineRule="auto" w:before="146"/>
        <w:ind w:right="254"/>
        <w:jc w:val="both"/>
      </w:pPr>
      <w:r>
        <w:rPr>
          <w:rFonts w:ascii="Arial" w:hAnsi="Arial"/>
          <w:w w:val="105"/>
          <w:sz w:val="12"/>
        </w:rPr>
        <w:t>916 </w:t>
      </w:r>
      <w:r>
        <w:rPr>
          <w:w w:val="105"/>
        </w:rPr>
        <w:t>Lawrence, N. S., </w:t>
      </w:r>
      <w:r>
        <w:rPr>
          <w:spacing w:val="-3"/>
          <w:w w:val="105"/>
        </w:rPr>
        <w:t>O’Sullivan, </w:t>
      </w:r>
      <w:r>
        <w:rPr>
          <w:w w:val="105"/>
        </w:rPr>
        <w:t>J., </w:t>
      </w:r>
      <w:r>
        <w:rPr>
          <w:spacing w:val="-3"/>
          <w:w w:val="105"/>
        </w:rPr>
        <w:t>Parslow, </w:t>
      </w:r>
      <w:r>
        <w:rPr>
          <w:w w:val="105"/>
        </w:rPr>
        <w:t>D., </w:t>
      </w:r>
      <w:r>
        <w:rPr>
          <w:spacing w:val="-4"/>
          <w:w w:val="105"/>
        </w:rPr>
        <w:t>Javaid, </w:t>
      </w:r>
      <w:r>
        <w:rPr>
          <w:w w:val="105"/>
        </w:rPr>
        <w:t>M., Adams, R. C., Chambers, C. D., . . .</w:t>
      </w:r>
      <w:r>
        <w:rPr>
          <w:spacing w:val="63"/>
          <w:w w:val="105"/>
        </w:rPr>
        <w:t> </w:t>
      </w:r>
      <w:r>
        <w:rPr>
          <w:rFonts w:ascii="Arial" w:hAnsi="Arial"/>
          <w:w w:val="105"/>
          <w:sz w:val="12"/>
        </w:rPr>
        <w:t>917</w:t>
        <w:tab/>
      </w:r>
      <w:r>
        <w:rPr>
          <w:w w:val="105"/>
        </w:rPr>
        <w:t>Verbruggen, F. (2015). </w:t>
      </w:r>
      <w:r>
        <w:rPr>
          <w:spacing w:val="-4"/>
          <w:w w:val="105"/>
        </w:rPr>
        <w:t>Training </w:t>
      </w:r>
      <w:r>
        <w:rPr>
          <w:w w:val="105"/>
        </w:rPr>
        <w:t>response inhibition to </w:t>
      </w:r>
      <w:r>
        <w:rPr>
          <w:spacing w:val="3"/>
          <w:w w:val="105"/>
        </w:rPr>
        <w:t>food </w:t>
      </w:r>
      <w:r>
        <w:rPr>
          <w:w w:val="105"/>
        </w:rPr>
        <w:t>is associated with </w:t>
      </w:r>
      <w:r>
        <w:rPr>
          <w:spacing w:val="-3"/>
          <w:w w:val="105"/>
        </w:rPr>
        <w:t>weight </w:t>
      </w:r>
      <w:r>
        <w:rPr>
          <w:rFonts w:ascii="Arial" w:hAnsi="Arial"/>
          <w:w w:val="105"/>
          <w:sz w:val="12"/>
        </w:rPr>
        <w:t>918</w:t>
        <w:tab/>
      </w:r>
      <w:r>
        <w:rPr>
          <w:w w:val="105"/>
        </w:rPr>
        <w:t>loss and reduced energy </w:t>
      </w:r>
      <w:r>
        <w:rPr>
          <w:spacing w:val="-3"/>
          <w:w w:val="105"/>
        </w:rPr>
        <w:t>intake. </w:t>
      </w:r>
      <w:r>
        <w:rPr>
          <w:i/>
          <w:spacing w:val="-3"/>
          <w:w w:val="105"/>
        </w:rPr>
        <w:t>Appetite</w:t>
      </w:r>
      <w:r>
        <w:rPr>
          <w:spacing w:val="-3"/>
          <w:w w:val="105"/>
        </w:rPr>
        <w:t>, </w:t>
      </w:r>
      <w:r>
        <w:rPr>
          <w:i/>
          <w:w w:val="105"/>
        </w:rPr>
        <w:t>95</w:t>
      </w:r>
      <w:r>
        <w:rPr>
          <w:w w:val="105"/>
        </w:rPr>
        <w:t>,</w:t>
      </w:r>
      <w:r>
        <w:rPr>
          <w:spacing w:val="3"/>
          <w:w w:val="105"/>
        </w:rPr>
        <w:t> </w:t>
      </w:r>
      <w:r>
        <w:rPr>
          <w:w w:val="105"/>
        </w:rPr>
        <w:t>17–28.</w:t>
      </w:r>
    </w:p>
    <w:p>
      <w:pPr>
        <w:pStyle w:val="BodyText"/>
        <w:tabs>
          <w:tab w:pos="1339" w:val="left" w:leader="none"/>
        </w:tabs>
        <w:spacing w:before="2"/>
        <w:jc w:val="both"/>
      </w:pPr>
      <w:r>
        <w:rPr>
          <w:rFonts w:ascii="Arial"/>
          <w:w w:val="105"/>
          <w:sz w:val="12"/>
        </w:rPr>
        <w:t>919</w:t>
        <w:tab/>
      </w:r>
      <w:hyperlink r:id="rId48">
        <w:r>
          <w:rPr>
            <w:w w:val="105"/>
          </w:rPr>
          <w:t>https://doi.org/10.1016/j.appet.2015.06.009</w:t>
        </w:r>
      </w:hyperlink>
    </w:p>
    <w:p>
      <w:pPr>
        <w:pStyle w:val="BodyText"/>
        <w:spacing w:before="0"/>
        <w:ind w:left="0"/>
        <w:rPr>
          <w:sz w:val="20"/>
        </w:rPr>
      </w:pPr>
    </w:p>
    <w:p>
      <w:pPr>
        <w:pStyle w:val="BodyText"/>
        <w:tabs>
          <w:tab w:pos="1339" w:val="left" w:leader="none"/>
        </w:tabs>
        <w:spacing w:line="415" w:lineRule="auto" w:before="287"/>
        <w:ind w:right="525"/>
      </w:pPr>
      <w:r>
        <w:rPr>
          <w:rFonts w:ascii="Arial" w:hAnsi="Arial"/>
          <w:w w:val="105"/>
          <w:sz w:val="12"/>
        </w:rPr>
        <w:t>920 </w:t>
      </w:r>
      <w:r>
        <w:rPr>
          <w:w w:val="105"/>
        </w:rPr>
        <w:t>Lawrence, N. S., Verbruggen, F., Morrison, S., Adams, R. C., &amp; Chambers, C. D. (2015).</w:t>
      </w:r>
      <w:r>
        <w:rPr>
          <w:spacing w:val="63"/>
          <w:w w:val="105"/>
        </w:rPr>
        <w:t> </w:t>
      </w:r>
      <w:r>
        <w:rPr>
          <w:rFonts w:ascii="Arial" w:hAnsi="Arial"/>
          <w:w w:val="105"/>
          <w:sz w:val="12"/>
        </w:rPr>
        <w:t>921</w:t>
        <w:tab/>
      </w:r>
      <w:r>
        <w:rPr>
          <w:w w:val="105"/>
        </w:rPr>
        <w:t>Stopping to </w:t>
      </w:r>
      <w:r>
        <w:rPr>
          <w:spacing w:val="3"/>
          <w:w w:val="105"/>
        </w:rPr>
        <w:t>food </w:t>
      </w:r>
      <w:r>
        <w:rPr>
          <w:w w:val="105"/>
        </w:rPr>
        <w:t>can reduce </w:t>
      </w:r>
      <w:r>
        <w:rPr>
          <w:spacing w:val="-3"/>
          <w:w w:val="105"/>
        </w:rPr>
        <w:t>intake. </w:t>
      </w:r>
      <w:r>
        <w:rPr>
          <w:w w:val="105"/>
        </w:rPr>
        <w:t>Effects of stimulus-specificity and individual </w:t>
      </w:r>
      <w:r>
        <w:rPr>
          <w:rFonts w:ascii="Arial" w:hAnsi="Arial"/>
          <w:w w:val="105"/>
          <w:sz w:val="12"/>
        </w:rPr>
        <w:t>922</w:t>
        <w:tab/>
      </w:r>
      <w:r>
        <w:rPr>
          <w:w w:val="105"/>
        </w:rPr>
        <w:t>differences in dietary restraint. </w:t>
      </w:r>
      <w:r>
        <w:rPr>
          <w:i/>
          <w:spacing w:val="-3"/>
          <w:w w:val="105"/>
        </w:rPr>
        <w:t>Appetite</w:t>
      </w:r>
      <w:r>
        <w:rPr>
          <w:spacing w:val="-3"/>
          <w:w w:val="105"/>
        </w:rPr>
        <w:t>, </w:t>
      </w:r>
      <w:r>
        <w:rPr>
          <w:i/>
          <w:w w:val="105"/>
        </w:rPr>
        <w:t>85</w:t>
      </w:r>
      <w:r>
        <w:rPr>
          <w:w w:val="105"/>
        </w:rPr>
        <w:t>,</w:t>
      </w:r>
      <w:r>
        <w:rPr>
          <w:spacing w:val="47"/>
          <w:w w:val="105"/>
        </w:rPr>
        <w:t> </w:t>
      </w:r>
      <w:r>
        <w:rPr>
          <w:w w:val="105"/>
        </w:rPr>
        <w:t>91–103.</w:t>
      </w:r>
    </w:p>
    <w:p>
      <w:pPr>
        <w:pStyle w:val="BodyText"/>
        <w:tabs>
          <w:tab w:pos="1339" w:val="left" w:leader="none"/>
        </w:tabs>
        <w:spacing w:before="2"/>
      </w:pPr>
      <w:r>
        <w:rPr>
          <w:rFonts w:ascii="Arial"/>
          <w:w w:val="105"/>
          <w:sz w:val="12"/>
        </w:rPr>
        <w:t>923</w:t>
        <w:tab/>
      </w:r>
      <w:hyperlink r:id="rId49">
        <w:r>
          <w:rPr>
            <w:w w:val="105"/>
          </w:rPr>
          <w:t>https://doi.org/10.1016/j.appet.2014.11.006</w:t>
        </w:r>
      </w:hyperlink>
    </w:p>
    <w:p>
      <w:pPr>
        <w:pStyle w:val="BodyText"/>
        <w:spacing w:before="0"/>
        <w:ind w:left="0"/>
        <w:rPr>
          <w:sz w:val="20"/>
        </w:rPr>
      </w:pPr>
    </w:p>
    <w:p>
      <w:pPr>
        <w:spacing w:before="286"/>
        <w:ind w:left="230" w:right="0" w:firstLine="0"/>
        <w:jc w:val="left"/>
        <w:rPr>
          <w:sz w:val="24"/>
        </w:rPr>
      </w:pPr>
      <w:r>
        <w:rPr>
          <w:rFonts w:ascii="Arial"/>
          <w:sz w:val="12"/>
        </w:rPr>
        <w:t>924 </w:t>
      </w:r>
      <w:r>
        <w:rPr>
          <w:sz w:val="24"/>
        </w:rPr>
        <w:t>Lee, M. D., &amp; Wagenmakers, E.-J. (2013). </w:t>
      </w:r>
      <w:r>
        <w:rPr>
          <w:i/>
          <w:sz w:val="24"/>
        </w:rPr>
        <w:t>Bayesian Cognitive Modeling: A Practical Course</w:t>
      </w:r>
      <w:r>
        <w:rPr>
          <w:sz w:val="24"/>
        </w:rPr>
        <w:t>.</w:t>
      </w:r>
    </w:p>
    <w:p>
      <w:pPr>
        <w:pStyle w:val="BodyText"/>
        <w:tabs>
          <w:tab w:pos="1339" w:val="left" w:leader="none"/>
        </w:tabs>
        <w:spacing w:before="203"/>
      </w:pPr>
      <w:r>
        <w:rPr>
          <w:rFonts w:ascii="Arial"/>
          <w:w w:val="105"/>
          <w:sz w:val="12"/>
        </w:rPr>
        <w:t>925</w:t>
        <w:tab/>
      </w:r>
      <w:r>
        <w:rPr>
          <w:w w:val="105"/>
        </w:rPr>
        <w:t>Cambridge University Press.</w:t>
      </w:r>
      <w:r>
        <w:rPr>
          <w:spacing w:val="3"/>
          <w:w w:val="105"/>
        </w:rPr>
        <w:t> </w:t>
      </w:r>
      <w:hyperlink r:id="rId50">
        <w:r>
          <w:rPr>
            <w:w w:val="105"/>
          </w:rPr>
          <w:t>https://doi.org/10.1017/CBO9781139087759</w:t>
        </w:r>
      </w:hyperlink>
    </w:p>
    <w:p>
      <w:pPr>
        <w:pStyle w:val="BodyText"/>
        <w:spacing w:before="0"/>
        <w:ind w:left="0"/>
        <w:rPr>
          <w:sz w:val="20"/>
        </w:rPr>
      </w:pPr>
    </w:p>
    <w:p>
      <w:pPr>
        <w:pStyle w:val="BodyText"/>
        <w:spacing w:before="286"/>
      </w:pPr>
      <w:r>
        <w:rPr>
          <w:rFonts w:ascii="Arial"/>
          <w:w w:val="110"/>
          <w:sz w:val="12"/>
        </w:rPr>
        <w:t>926 </w:t>
      </w:r>
      <w:r>
        <w:rPr>
          <w:w w:val="110"/>
        </w:rPr>
        <w:t>Mair, P., &amp; Wilcox, R. (2019). Robust statistical methods in R using the WRS2 package.</w:t>
      </w:r>
    </w:p>
    <w:p>
      <w:pPr>
        <w:tabs>
          <w:tab w:pos="1326" w:val="left" w:leader="none"/>
        </w:tabs>
        <w:spacing w:before="202"/>
        <w:ind w:left="230" w:right="0" w:firstLine="0"/>
        <w:jc w:val="left"/>
        <w:rPr>
          <w:sz w:val="24"/>
        </w:rPr>
      </w:pPr>
      <w:r>
        <w:rPr>
          <w:rFonts w:ascii="Arial"/>
          <w:w w:val="105"/>
          <w:sz w:val="12"/>
        </w:rPr>
        <w:t>927</w:t>
        <w:tab/>
      </w:r>
      <w:r>
        <w:rPr>
          <w:i/>
          <w:w w:val="105"/>
          <w:sz w:val="24"/>
        </w:rPr>
        <w:t>Behavior </w:t>
      </w:r>
      <w:r>
        <w:rPr>
          <w:i/>
          <w:spacing w:val="-5"/>
          <w:w w:val="105"/>
          <w:sz w:val="24"/>
        </w:rPr>
        <w:t>Research </w:t>
      </w:r>
      <w:r>
        <w:rPr>
          <w:i/>
          <w:spacing w:val="-3"/>
          <w:w w:val="105"/>
          <w:sz w:val="24"/>
        </w:rPr>
        <w:t>Methods</w:t>
      </w:r>
      <w:r>
        <w:rPr>
          <w:spacing w:val="-3"/>
          <w:w w:val="105"/>
          <w:sz w:val="24"/>
        </w:rPr>
        <w:t>.</w:t>
      </w:r>
      <w:r>
        <w:rPr>
          <w:spacing w:val="21"/>
          <w:w w:val="105"/>
          <w:sz w:val="24"/>
        </w:rPr>
        <w:t> </w:t>
      </w:r>
      <w:hyperlink r:id="rId51">
        <w:r>
          <w:rPr>
            <w:w w:val="105"/>
            <w:sz w:val="24"/>
          </w:rPr>
          <w:t>https://doi.org/10.3758/s13428-019-01246-w</w:t>
        </w:r>
      </w:hyperlink>
    </w:p>
    <w:p>
      <w:pPr>
        <w:pStyle w:val="BodyText"/>
        <w:spacing w:before="0"/>
        <w:ind w:left="0"/>
        <w:rPr>
          <w:sz w:val="20"/>
        </w:rPr>
      </w:pPr>
    </w:p>
    <w:p>
      <w:pPr>
        <w:pStyle w:val="BodyText"/>
        <w:spacing w:before="287"/>
      </w:pPr>
      <w:r>
        <w:rPr>
          <w:rFonts w:ascii="Arial" w:hAnsi="Arial"/>
          <w:w w:val="105"/>
          <w:sz w:val="12"/>
        </w:rPr>
        <w:t>928 </w:t>
      </w:r>
      <w:r>
        <w:rPr>
          <w:w w:val="105"/>
        </w:rPr>
        <w:t>Meule, A., Hermann, T., &amp; Kübler, A. (2014). A short version of the food cravings</w:t>
      </w:r>
    </w:p>
    <w:p>
      <w:pPr>
        <w:tabs>
          <w:tab w:pos="1339" w:val="left" w:leader="none"/>
        </w:tabs>
        <w:spacing w:before="202"/>
        <w:ind w:left="230" w:right="0" w:firstLine="0"/>
        <w:jc w:val="left"/>
        <w:rPr>
          <w:sz w:val="24"/>
        </w:rPr>
      </w:pPr>
      <w:r>
        <w:rPr>
          <w:rFonts w:ascii="Arial" w:hAnsi="Arial"/>
          <w:w w:val="105"/>
          <w:sz w:val="12"/>
        </w:rPr>
        <w:t>929</w:t>
        <w:tab/>
      </w:r>
      <w:r>
        <w:rPr>
          <w:w w:val="105"/>
          <w:sz w:val="24"/>
        </w:rPr>
        <w:t>questionnaire-trait: The FCQ-T-reduced. </w:t>
      </w:r>
      <w:r>
        <w:rPr>
          <w:i/>
          <w:spacing w:val="-6"/>
          <w:w w:val="105"/>
          <w:sz w:val="24"/>
        </w:rPr>
        <w:t>Front. </w:t>
      </w:r>
      <w:r>
        <w:rPr>
          <w:i/>
          <w:w w:val="105"/>
          <w:sz w:val="24"/>
        </w:rPr>
        <w:t>Psychol.</w:t>
      </w:r>
      <w:r>
        <w:rPr>
          <w:w w:val="105"/>
          <w:sz w:val="24"/>
        </w:rPr>
        <w:t>, </w:t>
      </w:r>
      <w:r>
        <w:rPr>
          <w:i/>
          <w:w w:val="105"/>
          <w:sz w:val="24"/>
        </w:rPr>
        <w:t>5 </w:t>
      </w:r>
      <w:r>
        <w:rPr>
          <w:w w:val="105"/>
          <w:sz w:val="24"/>
        </w:rPr>
        <w:t>(MAR),</w:t>
      </w:r>
      <w:r>
        <w:rPr>
          <w:spacing w:val="-39"/>
          <w:w w:val="105"/>
          <w:sz w:val="24"/>
        </w:rPr>
        <w:t> </w:t>
      </w:r>
      <w:r>
        <w:rPr>
          <w:w w:val="105"/>
          <w:sz w:val="24"/>
        </w:rPr>
        <w:t>1–10.</w:t>
      </w:r>
    </w:p>
    <w:p>
      <w:pPr>
        <w:pStyle w:val="BodyText"/>
        <w:tabs>
          <w:tab w:pos="1339" w:val="left" w:leader="none"/>
        </w:tabs>
        <w:spacing w:before="203"/>
      </w:pPr>
      <w:r>
        <w:rPr>
          <w:rFonts w:ascii="Arial"/>
          <w:w w:val="105"/>
          <w:sz w:val="12"/>
        </w:rPr>
        <w:t>930</w:t>
        <w:tab/>
      </w:r>
      <w:hyperlink r:id="rId52">
        <w:r>
          <w:rPr>
            <w:w w:val="105"/>
          </w:rPr>
          <w:t>https://doi.org/10.3389/fpsyg.2014.00190</w:t>
        </w:r>
      </w:hyperlink>
    </w:p>
    <w:p>
      <w:pPr>
        <w:pStyle w:val="BodyText"/>
        <w:spacing w:before="0"/>
        <w:ind w:left="0"/>
        <w:rPr>
          <w:sz w:val="20"/>
        </w:rPr>
      </w:pPr>
    </w:p>
    <w:p>
      <w:pPr>
        <w:pStyle w:val="BodyText"/>
        <w:spacing w:before="286"/>
      </w:pPr>
      <w:r>
        <w:rPr>
          <w:rFonts w:ascii="Arial"/>
          <w:sz w:val="12"/>
        </w:rPr>
        <w:t>931 </w:t>
      </w:r>
      <w:r>
        <w:rPr/>
        <w:t>Nederkoorn, C., Coelho, J. S., Guerrieri, R., Houben, K., &amp; Jansen, A. (2012).</w:t>
      </w:r>
      <w:r>
        <w:rPr>
          <w:spacing w:val="55"/>
        </w:rPr>
        <w:t> </w:t>
      </w:r>
      <w:r>
        <w:rPr/>
        <w:t>Specificity of</w:t>
      </w:r>
    </w:p>
    <w:p>
      <w:pPr>
        <w:pStyle w:val="BodyText"/>
        <w:tabs>
          <w:tab w:pos="1339" w:val="left" w:leader="none"/>
        </w:tabs>
      </w:pPr>
      <w:r>
        <w:rPr>
          <w:rFonts w:ascii="Arial" w:hAnsi="Arial"/>
          <w:w w:val="105"/>
          <w:sz w:val="12"/>
        </w:rPr>
        <w:t>932</w:t>
        <w:tab/>
      </w:r>
      <w:r>
        <w:rPr>
          <w:w w:val="105"/>
        </w:rPr>
        <w:t>the failure to inhibit responses in </w:t>
      </w:r>
      <w:r>
        <w:rPr>
          <w:spacing w:val="-3"/>
          <w:w w:val="105"/>
        </w:rPr>
        <w:t>overweight </w:t>
      </w:r>
      <w:r>
        <w:rPr>
          <w:w w:val="105"/>
        </w:rPr>
        <w:t>children. </w:t>
      </w:r>
      <w:r>
        <w:rPr>
          <w:i/>
          <w:spacing w:val="-3"/>
          <w:w w:val="105"/>
        </w:rPr>
        <w:t>Appetite</w:t>
      </w:r>
      <w:r>
        <w:rPr>
          <w:spacing w:val="-3"/>
          <w:w w:val="105"/>
        </w:rPr>
        <w:t>, </w:t>
      </w:r>
      <w:r>
        <w:rPr>
          <w:i/>
          <w:w w:val="105"/>
        </w:rPr>
        <w:t>59 </w:t>
      </w:r>
      <w:r>
        <w:rPr>
          <w:w w:val="105"/>
        </w:rPr>
        <w:t>(2),</w:t>
      </w:r>
      <w:r>
        <w:rPr>
          <w:spacing w:val="40"/>
          <w:w w:val="105"/>
        </w:rPr>
        <w:t> </w:t>
      </w:r>
      <w:r>
        <w:rPr>
          <w:w w:val="105"/>
        </w:rPr>
        <w:t>409–413.</w:t>
      </w:r>
    </w:p>
    <w:p>
      <w:pPr>
        <w:pStyle w:val="BodyText"/>
        <w:tabs>
          <w:tab w:pos="1339" w:val="left" w:leader="none"/>
        </w:tabs>
        <w:spacing w:before="203"/>
      </w:pPr>
      <w:r>
        <w:rPr>
          <w:rFonts w:ascii="Arial"/>
          <w:w w:val="105"/>
          <w:sz w:val="12"/>
        </w:rPr>
        <w:t>933</w:t>
        <w:tab/>
      </w:r>
      <w:hyperlink r:id="rId53">
        <w:r>
          <w:rPr>
            <w:w w:val="105"/>
          </w:rPr>
          <w:t>https://doi.org/10.1016/j.appet.2012.05.028</w:t>
        </w:r>
      </w:hyperlink>
    </w:p>
    <w:p>
      <w:pPr>
        <w:spacing w:after="0"/>
        <w:sectPr>
          <w:pgSz w:w="12240" w:h="15840"/>
          <w:pgMar w:header="649" w:footer="0" w:top="1320" w:bottom="280" w:left="820" w:right="1140"/>
        </w:sectPr>
      </w:pPr>
    </w:p>
    <w:p>
      <w:pPr>
        <w:pStyle w:val="BodyText"/>
        <w:tabs>
          <w:tab w:pos="1339" w:val="left" w:leader="none"/>
        </w:tabs>
        <w:spacing w:line="415" w:lineRule="auto" w:before="191"/>
        <w:ind w:right="298"/>
        <w:jc w:val="both"/>
        <w:rPr>
          <w:i/>
        </w:rPr>
      </w:pPr>
      <w:r>
        <w:rPr>
          <w:rFonts w:ascii="Arial"/>
          <w:sz w:val="12"/>
        </w:rPr>
        <w:t>934    </w:t>
      </w:r>
      <w:r>
        <w:rPr/>
        <w:t>Nederkoorn, C., Houben, K., Hofmann, W., Roefs, A., &amp; Jansen, A. (2010).  Control </w:t>
      </w:r>
      <w:r>
        <w:rPr>
          <w:spacing w:val="-4"/>
        </w:rPr>
        <w:t>Yourself    </w:t>
      </w:r>
      <w:r>
        <w:rPr>
          <w:rFonts w:ascii="Arial"/>
          <w:sz w:val="12"/>
        </w:rPr>
        <w:t>935</w:t>
        <w:tab/>
      </w:r>
      <w:r>
        <w:rPr/>
        <w:t>or Just Eat What </w:t>
      </w:r>
      <w:r>
        <w:rPr>
          <w:spacing w:val="-7"/>
        </w:rPr>
        <w:t>You  </w:t>
      </w:r>
      <w:r>
        <w:rPr/>
        <w:t>Like?  </w:t>
      </w:r>
      <w:r>
        <w:rPr>
          <w:spacing w:val="-5"/>
        </w:rPr>
        <w:t>Weight  </w:t>
      </w:r>
      <w:r>
        <w:rPr/>
        <w:t>Gain  Over  a </w:t>
      </w:r>
      <w:r>
        <w:rPr>
          <w:spacing w:val="-6"/>
        </w:rPr>
        <w:t>Year  </w:t>
      </w:r>
      <w:r>
        <w:rPr/>
        <w:t>Is  Predicted </w:t>
      </w:r>
      <w:r>
        <w:rPr>
          <w:spacing w:val="-4"/>
        </w:rPr>
        <w:t>by  </w:t>
      </w:r>
      <w:r>
        <w:rPr/>
        <w:t>an Interactive </w:t>
      </w:r>
      <w:r>
        <w:rPr>
          <w:rFonts w:ascii="Arial"/>
          <w:sz w:val="12"/>
        </w:rPr>
        <w:t>936</w:t>
        <w:tab/>
      </w:r>
      <w:r>
        <w:rPr/>
        <w:t>Effect</w:t>
      </w:r>
      <w:r>
        <w:rPr>
          <w:spacing w:val="29"/>
        </w:rPr>
        <w:t> </w:t>
      </w:r>
      <w:r>
        <w:rPr/>
        <w:t>of</w:t>
      </w:r>
      <w:r>
        <w:rPr>
          <w:spacing w:val="30"/>
        </w:rPr>
        <w:t> </w:t>
      </w:r>
      <w:r>
        <w:rPr/>
        <w:t>Response</w:t>
      </w:r>
      <w:r>
        <w:rPr>
          <w:spacing w:val="29"/>
        </w:rPr>
        <w:t> </w:t>
      </w:r>
      <w:r>
        <w:rPr/>
        <w:t>Inhibition</w:t>
      </w:r>
      <w:r>
        <w:rPr>
          <w:spacing w:val="30"/>
        </w:rPr>
        <w:t> </w:t>
      </w:r>
      <w:r>
        <w:rPr/>
        <w:t>and</w:t>
      </w:r>
      <w:r>
        <w:rPr>
          <w:spacing w:val="30"/>
        </w:rPr>
        <w:t> </w:t>
      </w:r>
      <w:r>
        <w:rPr/>
        <w:t>Implicit</w:t>
      </w:r>
      <w:r>
        <w:rPr>
          <w:spacing w:val="30"/>
        </w:rPr>
        <w:t> </w:t>
      </w:r>
      <w:r>
        <w:rPr/>
        <w:t>Preference</w:t>
      </w:r>
      <w:r>
        <w:rPr>
          <w:spacing w:val="30"/>
        </w:rPr>
        <w:t> </w:t>
      </w:r>
      <w:r>
        <w:rPr/>
        <w:t>for</w:t>
      </w:r>
      <w:r>
        <w:rPr>
          <w:spacing w:val="30"/>
        </w:rPr>
        <w:t> </w:t>
      </w:r>
      <w:r>
        <w:rPr/>
        <w:t>Snack</w:t>
      </w:r>
      <w:r>
        <w:rPr>
          <w:spacing w:val="30"/>
        </w:rPr>
        <w:t> </w:t>
      </w:r>
      <w:r>
        <w:rPr/>
        <w:t>Foods.</w:t>
      </w:r>
      <w:r>
        <w:rPr>
          <w:spacing w:val="59"/>
        </w:rPr>
        <w:t> </w:t>
      </w:r>
      <w:r>
        <w:rPr>
          <w:i/>
          <w:spacing w:val="-3"/>
        </w:rPr>
        <w:t>Health</w:t>
      </w:r>
    </w:p>
    <w:p>
      <w:pPr>
        <w:tabs>
          <w:tab w:pos="1326" w:val="left" w:leader="none"/>
        </w:tabs>
        <w:spacing w:before="2"/>
        <w:ind w:left="230" w:right="0" w:firstLine="0"/>
        <w:jc w:val="both"/>
        <w:rPr>
          <w:i/>
          <w:sz w:val="24"/>
        </w:rPr>
      </w:pPr>
      <w:r>
        <w:rPr>
          <w:rFonts w:ascii="Arial"/>
          <w:sz w:val="12"/>
        </w:rPr>
        <w:t>937</w:t>
        <w:tab/>
      </w:r>
      <w:r>
        <w:rPr>
          <w:i/>
          <w:sz w:val="24"/>
        </w:rPr>
        <w:t>Psychology</w:t>
      </w:r>
      <w:r>
        <w:rPr>
          <w:i/>
          <w:spacing w:val="30"/>
          <w:sz w:val="24"/>
        </w:rPr>
        <w:t> </w:t>
      </w:r>
      <w:r>
        <w:rPr>
          <w:i/>
          <w:sz w:val="24"/>
        </w:rPr>
        <w:t>:</w:t>
      </w:r>
      <w:r>
        <w:rPr>
          <w:i/>
          <w:spacing w:val="56"/>
          <w:sz w:val="24"/>
        </w:rPr>
        <w:t> </w:t>
      </w:r>
      <w:r>
        <w:rPr>
          <w:i/>
          <w:sz w:val="24"/>
        </w:rPr>
        <w:t>Official</w:t>
      </w:r>
      <w:r>
        <w:rPr>
          <w:i/>
          <w:spacing w:val="31"/>
          <w:sz w:val="24"/>
        </w:rPr>
        <w:t> </w:t>
      </w:r>
      <w:r>
        <w:rPr>
          <w:i/>
          <w:sz w:val="24"/>
        </w:rPr>
        <w:t>Journal</w:t>
      </w:r>
      <w:r>
        <w:rPr>
          <w:i/>
          <w:spacing w:val="30"/>
          <w:sz w:val="24"/>
        </w:rPr>
        <w:t> </w:t>
      </w:r>
      <w:r>
        <w:rPr>
          <w:i/>
          <w:sz w:val="24"/>
        </w:rPr>
        <w:t>of</w:t>
      </w:r>
      <w:r>
        <w:rPr>
          <w:i/>
          <w:spacing w:val="30"/>
          <w:sz w:val="24"/>
        </w:rPr>
        <w:t> </w:t>
      </w:r>
      <w:r>
        <w:rPr>
          <w:i/>
          <w:sz w:val="24"/>
        </w:rPr>
        <w:t>the</w:t>
      </w:r>
      <w:r>
        <w:rPr>
          <w:i/>
          <w:spacing w:val="31"/>
          <w:sz w:val="24"/>
        </w:rPr>
        <w:t> </w:t>
      </w:r>
      <w:r>
        <w:rPr>
          <w:i/>
          <w:sz w:val="24"/>
        </w:rPr>
        <w:t>Division</w:t>
      </w:r>
      <w:r>
        <w:rPr>
          <w:i/>
          <w:spacing w:val="30"/>
          <w:sz w:val="24"/>
        </w:rPr>
        <w:t> </w:t>
      </w:r>
      <w:r>
        <w:rPr>
          <w:i/>
          <w:sz w:val="24"/>
        </w:rPr>
        <w:t>of</w:t>
      </w:r>
      <w:r>
        <w:rPr>
          <w:i/>
          <w:spacing w:val="31"/>
          <w:sz w:val="24"/>
        </w:rPr>
        <w:t> </w:t>
      </w:r>
      <w:r>
        <w:rPr>
          <w:i/>
          <w:spacing w:val="-3"/>
          <w:sz w:val="24"/>
        </w:rPr>
        <w:t>Health</w:t>
      </w:r>
      <w:r>
        <w:rPr>
          <w:i/>
          <w:spacing w:val="30"/>
          <w:sz w:val="24"/>
        </w:rPr>
        <w:t> </w:t>
      </w:r>
      <w:r>
        <w:rPr>
          <w:i/>
          <w:sz w:val="24"/>
        </w:rPr>
        <w:t>Psychology,</w:t>
      </w:r>
      <w:r>
        <w:rPr>
          <w:i/>
          <w:spacing w:val="30"/>
          <w:sz w:val="24"/>
        </w:rPr>
        <w:t> </w:t>
      </w:r>
      <w:r>
        <w:rPr>
          <w:i/>
          <w:spacing w:val="-3"/>
          <w:sz w:val="24"/>
        </w:rPr>
        <w:t>American</w:t>
      </w:r>
    </w:p>
    <w:p>
      <w:pPr>
        <w:tabs>
          <w:tab w:pos="1326" w:val="left" w:leader="none"/>
        </w:tabs>
        <w:spacing w:before="203"/>
        <w:ind w:left="230" w:right="0" w:firstLine="0"/>
        <w:jc w:val="both"/>
        <w:rPr>
          <w:sz w:val="24"/>
        </w:rPr>
      </w:pPr>
      <w:r>
        <w:rPr>
          <w:rFonts w:ascii="Arial" w:hAnsi="Arial"/>
          <w:w w:val="105"/>
          <w:sz w:val="12"/>
        </w:rPr>
        <w:t>938</w:t>
        <w:tab/>
      </w:r>
      <w:r>
        <w:rPr>
          <w:i/>
          <w:w w:val="105"/>
          <w:sz w:val="24"/>
        </w:rPr>
        <w:t>Psychological </w:t>
      </w:r>
      <w:r>
        <w:rPr>
          <w:i/>
          <w:spacing w:val="-3"/>
          <w:w w:val="105"/>
          <w:sz w:val="24"/>
        </w:rPr>
        <w:t>Association</w:t>
      </w:r>
      <w:r>
        <w:rPr>
          <w:spacing w:val="-3"/>
          <w:w w:val="105"/>
          <w:sz w:val="24"/>
        </w:rPr>
        <w:t>, </w:t>
      </w:r>
      <w:r>
        <w:rPr>
          <w:i/>
          <w:w w:val="105"/>
          <w:sz w:val="24"/>
        </w:rPr>
        <w:t>29</w:t>
      </w:r>
      <w:r>
        <w:rPr>
          <w:w w:val="105"/>
          <w:sz w:val="24"/>
        </w:rPr>
        <w:t>, 389–393.</w:t>
      </w:r>
      <w:r>
        <w:rPr>
          <w:spacing w:val="12"/>
          <w:w w:val="105"/>
          <w:sz w:val="24"/>
        </w:rPr>
        <w:t> </w:t>
      </w:r>
      <w:hyperlink r:id="rId54">
        <w:r>
          <w:rPr>
            <w:w w:val="105"/>
            <w:sz w:val="24"/>
          </w:rPr>
          <w:t>https://doi.org/10.1037/a0019921</w:t>
        </w:r>
      </w:hyperlink>
    </w:p>
    <w:p>
      <w:pPr>
        <w:pStyle w:val="BodyText"/>
        <w:spacing w:before="3"/>
        <w:ind w:left="0"/>
        <w:rPr>
          <w:sz w:val="26"/>
        </w:rPr>
      </w:pPr>
    </w:p>
    <w:p>
      <w:pPr>
        <w:pStyle w:val="BodyText"/>
        <w:spacing w:before="146"/>
      </w:pPr>
      <w:r>
        <w:rPr>
          <w:rFonts w:ascii="Arial"/>
          <w:w w:val="105"/>
          <w:sz w:val="12"/>
        </w:rPr>
        <w:t>939 </w:t>
      </w:r>
      <w:r>
        <w:rPr>
          <w:w w:val="105"/>
        </w:rPr>
        <w:t>Neumann, R., &amp; Strack, F. (2000). Approach and Avoidance: The Influence of</w:t>
      </w:r>
    </w:p>
    <w:p>
      <w:pPr>
        <w:pStyle w:val="BodyText"/>
        <w:tabs>
          <w:tab w:pos="1339" w:val="left" w:leader="none"/>
        </w:tabs>
        <w:rPr>
          <w:i/>
        </w:rPr>
      </w:pPr>
      <w:r>
        <w:rPr>
          <w:rFonts w:ascii="Arial"/>
          <w:w w:val="105"/>
          <w:sz w:val="12"/>
        </w:rPr>
        <w:t>940</w:t>
        <w:tab/>
      </w:r>
      <w:r>
        <w:rPr>
          <w:w w:val="105"/>
        </w:rPr>
        <w:t>Proprioceptive and Exteroceptive Cues on Encoding of Affective</w:t>
      </w:r>
      <w:r>
        <w:rPr>
          <w:spacing w:val="7"/>
          <w:w w:val="105"/>
        </w:rPr>
        <w:t> </w:t>
      </w:r>
      <w:r>
        <w:rPr>
          <w:w w:val="105"/>
        </w:rPr>
        <w:t>Information. </w:t>
      </w:r>
      <w:r>
        <w:rPr>
          <w:i/>
          <w:w w:val="105"/>
        </w:rPr>
        <w:t>J.</w:t>
      </w:r>
    </w:p>
    <w:p>
      <w:pPr>
        <w:tabs>
          <w:tab w:pos="1326" w:val="left" w:leader="none"/>
        </w:tabs>
        <w:spacing w:before="202"/>
        <w:ind w:left="230" w:right="0" w:firstLine="0"/>
        <w:jc w:val="left"/>
        <w:rPr>
          <w:sz w:val="24"/>
        </w:rPr>
      </w:pPr>
      <w:r>
        <w:rPr>
          <w:rFonts w:ascii="Arial" w:hAnsi="Arial"/>
          <w:w w:val="105"/>
          <w:sz w:val="12"/>
        </w:rPr>
        <w:t>941</w:t>
        <w:tab/>
      </w:r>
      <w:r>
        <w:rPr>
          <w:i/>
          <w:w w:val="105"/>
          <w:sz w:val="24"/>
        </w:rPr>
        <w:t>Personal. </w:t>
      </w:r>
      <w:r>
        <w:rPr>
          <w:i/>
          <w:spacing w:val="-3"/>
          <w:w w:val="105"/>
          <w:sz w:val="24"/>
        </w:rPr>
        <w:t>Soc. </w:t>
      </w:r>
      <w:r>
        <w:rPr>
          <w:i/>
          <w:w w:val="105"/>
          <w:sz w:val="24"/>
        </w:rPr>
        <w:t>Psychol.</w:t>
      </w:r>
      <w:r>
        <w:rPr>
          <w:w w:val="105"/>
          <w:sz w:val="24"/>
        </w:rPr>
        <w:t>, </w:t>
      </w:r>
      <w:r>
        <w:rPr>
          <w:i/>
          <w:w w:val="105"/>
          <w:sz w:val="24"/>
        </w:rPr>
        <w:t>79 </w:t>
      </w:r>
      <w:r>
        <w:rPr>
          <w:w w:val="105"/>
          <w:sz w:val="24"/>
        </w:rPr>
        <w:t>(1), 39–48.</w:t>
      </w:r>
      <w:r>
        <w:rPr>
          <w:spacing w:val="-6"/>
          <w:w w:val="105"/>
          <w:sz w:val="24"/>
        </w:rPr>
        <w:t> </w:t>
      </w:r>
      <w:hyperlink r:id="rId55">
        <w:r>
          <w:rPr>
            <w:w w:val="105"/>
            <w:sz w:val="24"/>
          </w:rPr>
          <w:t>https://doi.org/10.1037//0022-3514.79.1.39</w:t>
        </w:r>
      </w:hyperlink>
    </w:p>
    <w:p>
      <w:pPr>
        <w:pStyle w:val="BodyText"/>
        <w:spacing w:before="4"/>
        <w:ind w:left="0"/>
        <w:rPr>
          <w:sz w:val="26"/>
        </w:rPr>
      </w:pPr>
    </w:p>
    <w:p>
      <w:pPr>
        <w:pStyle w:val="BodyText"/>
        <w:tabs>
          <w:tab w:pos="1339" w:val="left" w:leader="none"/>
        </w:tabs>
        <w:spacing w:line="415" w:lineRule="auto" w:before="146"/>
        <w:ind w:right="299"/>
      </w:pPr>
      <w:r>
        <w:rPr>
          <w:rFonts w:ascii="Arial" w:hAnsi="Arial"/>
          <w:w w:val="105"/>
          <w:sz w:val="12"/>
        </w:rPr>
        <w:t>942     </w:t>
      </w:r>
      <w:r>
        <w:rPr>
          <w:w w:val="105"/>
        </w:rPr>
        <w:t>Phaf, R. H., Mohr, S. E., Rotteveel, M., &amp; Wicherts, J. M. (2014).  Approach, </w:t>
      </w:r>
      <w:r>
        <w:rPr>
          <w:spacing w:val="-3"/>
          <w:w w:val="105"/>
        </w:rPr>
        <w:t>avoidance,    </w:t>
      </w:r>
      <w:r>
        <w:rPr>
          <w:rFonts w:ascii="Arial" w:hAnsi="Arial"/>
          <w:w w:val="105"/>
          <w:sz w:val="12"/>
        </w:rPr>
        <w:t>943</w:t>
        <w:tab/>
      </w:r>
      <w:r>
        <w:rPr>
          <w:w w:val="105"/>
        </w:rPr>
        <w:t>and</w:t>
      </w:r>
      <w:r>
        <w:rPr>
          <w:spacing w:val="-12"/>
          <w:w w:val="105"/>
        </w:rPr>
        <w:t> </w:t>
      </w:r>
      <w:r>
        <w:rPr>
          <w:w w:val="105"/>
        </w:rPr>
        <w:t>affect:</w:t>
      </w:r>
      <w:r>
        <w:rPr>
          <w:spacing w:val="7"/>
          <w:w w:val="105"/>
        </w:rPr>
        <w:t> </w:t>
      </w:r>
      <w:r>
        <w:rPr>
          <w:w w:val="105"/>
        </w:rPr>
        <w:t>A</w:t>
      </w:r>
      <w:r>
        <w:rPr>
          <w:spacing w:val="-11"/>
          <w:w w:val="105"/>
        </w:rPr>
        <w:t> </w:t>
      </w:r>
      <w:r>
        <w:rPr>
          <w:w w:val="105"/>
        </w:rPr>
        <w:t>meta-analysis</w:t>
      </w:r>
      <w:r>
        <w:rPr>
          <w:spacing w:val="-12"/>
          <w:w w:val="105"/>
        </w:rPr>
        <w:t> </w:t>
      </w:r>
      <w:r>
        <w:rPr>
          <w:w w:val="105"/>
        </w:rPr>
        <w:t>of</w:t>
      </w:r>
      <w:r>
        <w:rPr>
          <w:spacing w:val="-12"/>
          <w:w w:val="105"/>
        </w:rPr>
        <w:t> </w:t>
      </w:r>
      <w:r>
        <w:rPr>
          <w:w w:val="105"/>
        </w:rPr>
        <w:t>approach-avoidance</w:t>
      </w:r>
      <w:r>
        <w:rPr>
          <w:spacing w:val="-12"/>
          <w:w w:val="105"/>
        </w:rPr>
        <w:t> </w:t>
      </w:r>
      <w:r>
        <w:rPr>
          <w:w w:val="105"/>
        </w:rPr>
        <w:t>tendencies</w:t>
      </w:r>
      <w:r>
        <w:rPr>
          <w:spacing w:val="-11"/>
          <w:w w:val="105"/>
        </w:rPr>
        <w:t> </w:t>
      </w:r>
      <w:r>
        <w:rPr>
          <w:w w:val="105"/>
        </w:rPr>
        <w:t>in</w:t>
      </w:r>
      <w:r>
        <w:rPr>
          <w:spacing w:val="-12"/>
          <w:w w:val="105"/>
        </w:rPr>
        <w:t> </w:t>
      </w:r>
      <w:r>
        <w:rPr>
          <w:w w:val="105"/>
        </w:rPr>
        <w:t>manual</w:t>
      </w:r>
      <w:r>
        <w:rPr>
          <w:spacing w:val="-11"/>
          <w:w w:val="105"/>
        </w:rPr>
        <w:t> </w:t>
      </w:r>
      <w:r>
        <w:rPr>
          <w:w w:val="105"/>
        </w:rPr>
        <w:t>reaction</w:t>
      </w:r>
      <w:r>
        <w:rPr>
          <w:spacing w:val="-12"/>
          <w:w w:val="105"/>
        </w:rPr>
        <w:t> </w:t>
      </w:r>
      <w:r>
        <w:rPr>
          <w:w w:val="105"/>
        </w:rPr>
        <w:t>time </w:t>
      </w:r>
      <w:r>
        <w:rPr>
          <w:rFonts w:ascii="Arial" w:hAnsi="Arial"/>
          <w:w w:val="105"/>
          <w:sz w:val="12"/>
        </w:rPr>
        <w:t>944</w:t>
        <w:tab/>
      </w:r>
      <w:r>
        <w:rPr>
          <w:w w:val="105"/>
        </w:rPr>
        <w:t>tasks. </w:t>
      </w:r>
      <w:r>
        <w:rPr>
          <w:i/>
          <w:spacing w:val="-6"/>
          <w:w w:val="105"/>
        </w:rPr>
        <w:t>Front. </w:t>
      </w:r>
      <w:r>
        <w:rPr>
          <w:i/>
          <w:w w:val="105"/>
        </w:rPr>
        <w:t>Psychol.</w:t>
      </w:r>
      <w:r>
        <w:rPr>
          <w:w w:val="105"/>
        </w:rPr>
        <w:t>, </w:t>
      </w:r>
      <w:r>
        <w:rPr>
          <w:i/>
          <w:w w:val="105"/>
        </w:rPr>
        <w:t>5 </w:t>
      </w:r>
      <w:r>
        <w:rPr>
          <w:w w:val="105"/>
        </w:rPr>
        <w:t>(378), 1–16.</w:t>
      </w:r>
      <w:r>
        <w:rPr>
          <w:spacing w:val="-6"/>
          <w:w w:val="105"/>
        </w:rPr>
        <w:t> </w:t>
      </w:r>
      <w:hyperlink r:id="rId56">
        <w:r>
          <w:rPr>
            <w:w w:val="105"/>
          </w:rPr>
          <w:t>https://doi.org/10.3389/fpsyg.2014.00378</w:t>
        </w:r>
      </w:hyperlink>
    </w:p>
    <w:p>
      <w:pPr>
        <w:pStyle w:val="BodyText"/>
        <w:spacing w:before="10"/>
        <w:ind w:left="0"/>
        <w:rPr>
          <w:sz w:val="8"/>
        </w:rPr>
      </w:pPr>
    </w:p>
    <w:p>
      <w:pPr>
        <w:spacing w:before="146"/>
        <w:ind w:left="230" w:right="0" w:firstLine="0"/>
        <w:jc w:val="left"/>
        <w:rPr>
          <w:sz w:val="24"/>
        </w:rPr>
      </w:pPr>
      <w:r>
        <w:rPr>
          <w:rFonts w:ascii="Arial"/>
          <w:w w:val="105"/>
          <w:sz w:val="12"/>
        </w:rPr>
        <w:t>945 </w:t>
      </w:r>
      <w:r>
        <w:rPr>
          <w:w w:val="105"/>
          <w:sz w:val="24"/>
        </w:rPr>
        <w:t>R Core Team. (2017). </w:t>
      </w:r>
      <w:r>
        <w:rPr>
          <w:i/>
          <w:w w:val="105"/>
          <w:sz w:val="24"/>
        </w:rPr>
        <w:t>R: A language and environment for statistical computing</w:t>
      </w:r>
      <w:r>
        <w:rPr>
          <w:w w:val="105"/>
          <w:sz w:val="24"/>
        </w:rPr>
        <w:t>. Vienna,</w:t>
      </w:r>
    </w:p>
    <w:p>
      <w:pPr>
        <w:pStyle w:val="BodyText"/>
        <w:tabs>
          <w:tab w:pos="1331" w:val="left" w:leader="none"/>
        </w:tabs>
      </w:pPr>
      <w:r>
        <w:rPr>
          <w:rFonts w:ascii="Arial"/>
          <w:w w:val="105"/>
          <w:sz w:val="12"/>
        </w:rPr>
        <w:t>946</w:t>
        <w:tab/>
      </w:r>
      <w:r>
        <w:rPr>
          <w:w w:val="105"/>
        </w:rPr>
        <w:t>Austria: R </w:t>
      </w:r>
      <w:r>
        <w:rPr>
          <w:spacing w:val="-3"/>
          <w:w w:val="105"/>
        </w:rPr>
        <w:t>Foundation </w:t>
      </w:r>
      <w:r>
        <w:rPr>
          <w:w w:val="105"/>
        </w:rPr>
        <w:t>for Statistical Computing. Retrieved</w:t>
      </w:r>
      <w:r>
        <w:rPr>
          <w:spacing w:val="-16"/>
          <w:w w:val="105"/>
        </w:rPr>
        <w:t> </w:t>
      </w:r>
      <w:r>
        <w:rPr>
          <w:w w:val="105"/>
        </w:rPr>
        <w:t>from</w:t>
      </w:r>
    </w:p>
    <w:p>
      <w:pPr>
        <w:pStyle w:val="BodyText"/>
        <w:tabs>
          <w:tab w:pos="1339" w:val="left" w:leader="none"/>
        </w:tabs>
      </w:pPr>
      <w:r>
        <w:rPr>
          <w:rFonts w:ascii="Arial"/>
          <w:w w:val="105"/>
          <w:sz w:val="12"/>
        </w:rPr>
        <w:t>947</w:t>
        <w:tab/>
      </w:r>
      <w:hyperlink r:id="rId57">
        <w:r>
          <w:rPr>
            <w:w w:val="105"/>
          </w:rPr>
          <w:t>https://www.R-project.org/</w:t>
        </w:r>
      </w:hyperlink>
    </w:p>
    <w:p>
      <w:pPr>
        <w:pStyle w:val="BodyText"/>
        <w:spacing w:before="4"/>
        <w:ind w:left="0"/>
        <w:rPr>
          <w:sz w:val="26"/>
        </w:rPr>
      </w:pPr>
    </w:p>
    <w:p>
      <w:pPr>
        <w:pStyle w:val="BodyText"/>
        <w:spacing w:before="146"/>
      </w:pPr>
      <w:r>
        <w:rPr>
          <w:rFonts w:ascii="Arial"/>
          <w:w w:val="105"/>
          <w:sz w:val="12"/>
        </w:rPr>
        <w:t>948 </w:t>
      </w:r>
      <w:r>
        <w:rPr>
          <w:w w:val="105"/>
        </w:rPr>
        <w:t>Richard D. </w:t>
      </w:r>
      <w:r>
        <w:rPr>
          <w:spacing w:val="-4"/>
          <w:w w:val="105"/>
        </w:rPr>
        <w:t>Morey. </w:t>
      </w:r>
      <w:r>
        <w:rPr>
          <w:w w:val="105"/>
        </w:rPr>
        <w:t>(2015). On verbal categories for the interpretation of </w:t>
      </w:r>
      <w:r>
        <w:rPr>
          <w:spacing w:val="-3"/>
          <w:w w:val="105"/>
        </w:rPr>
        <w:t>Bayes</w:t>
      </w:r>
      <w:r>
        <w:rPr>
          <w:spacing w:val="48"/>
          <w:w w:val="105"/>
        </w:rPr>
        <w:t> </w:t>
      </w:r>
      <w:r>
        <w:rPr>
          <w:w w:val="105"/>
        </w:rPr>
        <w:t>factors.</w:t>
      </w:r>
    </w:p>
    <w:p>
      <w:pPr>
        <w:pStyle w:val="BodyText"/>
        <w:spacing w:before="4"/>
        <w:ind w:left="0"/>
        <w:rPr>
          <w:sz w:val="26"/>
        </w:rPr>
      </w:pPr>
    </w:p>
    <w:p>
      <w:pPr>
        <w:pStyle w:val="BodyText"/>
        <w:spacing w:before="145"/>
        <w:rPr>
          <w:i/>
        </w:rPr>
      </w:pPr>
      <w:r>
        <w:rPr>
          <w:rFonts w:ascii="Arial"/>
          <w:w w:val="105"/>
          <w:sz w:val="12"/>
        </w:rPr>
        <w:t>949 </w:t>
      </w:r>
      <w:r>
        <w:rPr>
          <w:w w:val="105"/>
        </w:rPr>
        <w:t>Rinck, M., &amp; Becker, E. S. (2007). Approach and </w:t>
      </w:r>
      <w:r>
        <w:rPr>
          <w:spacing w:val="-3"/>
          <w:w w:val="105"/>
        </w:rPr>
        <w:t>avoidance </w:t>
      </w:r>
      <w:r>
        <w:rPr>
          <w:w w:val="105"/>
        </w:rPr>
        <w:t>in fear of spiders. </w:t>
      </w:r>
      <w:r>
        <w:rPr>
          <w:i/>
          <w:w w:val="105"/>
        </w:rPr>
        <w:t>Journal</w:t>
      </w:r>
      <w:r>
        <w:rPr>
          <w:i/>
          <w:spacing w:val="58"/>
          <w:w w:val="105"/>
        </w:rPr>
        <w:t> </w:t>
      </w:r>
      <w:r>
        <w:rPr>
          <w:i/>
          <w:w w:val="105"/>
        </w:rPr>
        <w:t>of</w:t>
      </w:r>
    </w:p>
    <w:p>
      <w:pPr>
        <w:tabs>
          <w:tab w:pos="1326" w:val="left" w:leader="none"/>
        </w:tabs>
        <w:spacing w:before="202"/>
        <w:ind w:left="230" w:right="0" w:firstLine="0"/>
        <w:jc w:val="left"/>
        <w:rPr>
          <w:sz w:val="24"/>
        </w:rPr>
      </w:pPr>
      <w:r>
        <w:rPr>
          <w:rFonts w:ascii="Arial" w:hAnsi="Arial"/>
          <w:w w:val="105"/>
          <w:sz w:val="12"/>
        </w:rPr>
        <w:t>950</w:t>
        <w:tab/>
      </w:r>
      <w:r>
        <w:rPr>
          <w:i/>
          <w:w w:val="105"/>
          <w:sz w:val="24"/>
        </w:rPr>
        <w:t>Behavior Therapy and Experimental Psychiatry</w:t>
      </w:r>
      <w:r>
        <w:rPr>
          <w:w w:val="105"/>
          <w:sz w:val="24"/>
        </w:rPr>
        <w:t>, </w:t>
      </w:r>
      <w:r>
        <w:rPr>
          <w:i/>
          <w:w w:val="105"/>
          <w:sz w:val="24"/>
        </w:rPr>
        <w:t>38 </w:t>
      </w:r>
      <w:r>
        <w:rPr>
          <w:w w:val="105"/>
          <w:sz w:val="24"/>
        </w:rPr>
        <w:t>(2),</w:t>
      </w:r>
      <w:r>
        <w:rPr>
          <w:spacing w:val="55"/>
          <w:w w:val="105"/>
          <w:sz w:val="24"/>
        </w:rPr>
        <w:t> </w:t>
      </w:r>
      <w:r>
        <w:rPr>
          <w:w w:val="105"/>
          <w:sz w:val="24"/>
        </w:rPr>
        <w:t>105–120.</w:t>
      </w:r>
    </w:p>
    <w:p>
      <w:pPr>
        <w:pStyle w:val="BodyText"/>
        <w:spacing w:before="7" w:after="1"/>
        <w:ind w:left="0"/>
        <w:rPr>
          <w:sz w:val="13"/>
        </w:rPr>
      </w:pPr>
    </w:p>
    <w:tbl>
      <w:tblPr>
        <w:tblW w:w="0" w:type="auto"/>
        <w:jc w:val="left"/>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0"/>
        <w:gridCol w:w="9511"/>
      </w:tblGrid>
      <w:tr>
        <w:trPr>
          <w:trHeight w:val="530" w:hRule="atLeast"/>
        </w:trPr>
        <w:tc>
          <w:tcPr>
            <w:tcW w:w="340" w:type="dxa"/>
          </w:tcPr>
          <w:p>
            <w:pPr>
              <w:pStyle w:val="TableParagraph"/>
              <w:spacing w:before="157"/>
              <w:ind w:left="50"/>
              <w:rPr>
                <w:rFonts w:ascii="Arial"/>
                <w:sz w:val="12"/>
              </w:rPr>
            </w:pPr>
            <w:r>
              <w:rPr>
                <w:rFonts w:ascii="Arial"/>
                <w:sz w:val="12"/>
              </w:rPr>
              <w:t>951</w:t>
            </w:r>
          </w:p>
        </w:tc>
        <w:tc>
          <w:tcPr>
            <w:tcW w:w="9511" w:type="dxa"/>
          </w:tcPr>
          <w:p>
            <w:pPr>
              <w:pStyle w:val="TableParagraph"/>
              <w:spacing w:before="45"/>
              <w:ind w:left="819"/>
              <w:rPr>
                <w:sz w:val="24"/>
              </w:rPr>
            </w:pPr>
            <w:hyperlink r:id="rId58">
              <w:r>
                <w:rPr>
                  <w:w w:val="110"/>
                  <w:sz w:val="24"/>
                </w:rPr>
                <w:t>https://doi.org/10.1016/j.jbtep.2006.10.001</w:t>
              </w:r>
            </w:hyperlink>
          </w:p>
        </w:tc>
      </w:tr>
      <w:tr>
        <w:trPr>
          <w:trHeight w:val="601" w:hRule="atLeast"/>
        </w:trPr>
        <w:tc>
          <w:tcPr>
            <w:tcW w:w="340" w:type="dxa"/>
          </w:tcPr>
          <w:p>
            <w:pPr>
              <w:pStyle w:val="TableParagraph"/>
              <w:rPr>
                <w:sz w:val="18"/>
              </w:rPr>
            </w:pPr>
          </w:p>
          <w:p>
            <w:pPr>
              <w:pStyle w:val="TableParagraph"/>
              <w:spacing w:before="144"/>
              <w:ind w:left="50"/>
              <w:rPr>
                <w:rFonts w:ascii="Arial"/>
                <w:sz w:val="12"/>
              </w:rPr>
            </w:pPr>
            <w:r>
              <w:rPr>
                <w:rFonts w:ascii="Arial"/>
                <w:sz w:val="12"/>
              </w:rPr>
              <w:t>952</w:t>
            </w:r>
          </w:p>
        </w:tc>
        <w:tc>
          <w:tcPr>
            <w:tcW w:w="9511" w:type="dxa"/>
          </w:tcPr>
          <w:p>
            <w:pPr>
              <w:pStyle w:val="TableParagraph"/>
              <w:spacing w:before="239"/>
              <w:ind w:left="99"/>
              <w:rPr>
                <w:sz w:val="24"/>
              </w:rPr>
            </w:pPr>
            <w:r>
              <w:rPr>
                <w:w w:val="105"/>
                <w:sz w:val="24"/>
              </w:rPr>
              <w:t>Rouder, J. N., Engelhardt, C. R., McCabe, S., &amp; Morey, R. D. (2016). Model comparison in</w:t>
            </w:r>
          </w:p>
        </w:tc>
      </w:tr>
      <w:tr>
        <w:trPr>
          <w:trHeight w:val="479" w:hRule="atLeast"/>
        </w:trPr>
        <w:tc>
          <w:tcPr>
            <w:tcW w:w="340" w:type="dxa"/>
          </w:tcPr>
          <w:p>
            <w:pPr>
              <w:pStyle w:val="TableParagraph"/>
              <w:spacing w:before="9"/>
              <w:rPr>
                <w:sz w:val="19"/>
              </w:rPr>
            </w:pPr>
          </w:p>
          <w:p>
            <w:pPr>
              <w:pStyle w:val="TableParagraph"/>
              <w:ind w:left="50"/>
              <w:rPr>
                <w:rFonts w:ascii="Arial"/>
                <w:sz w:val="12"/>
              </w:rPr>
            </w:pPr>
            <w:r>
              <w:rPr>
                <w:rFonts w:ascii="Arial"/>
                <w:sz w:val="12"/>
              </w:rPr>
              <w:t>953</w:t>
            </w:r>
          </w:p>
        </w:tc>
        <w:tc>
          <w:tcPr>
            <w:tcW w:w="9511" w:type="dxa"/>
          </w:tcPr>
          <w:p>
            <w:pPr>
              <w:pStyle w:val="TableParagraph"/>
              <w:spacing w:before="116"/>
              <w:ind w:left="811"/>
              <w:rPr>
                <w:sz w:val="24"/>
              </w:rPr>
            </w:pPr>
            <w:r>
              <w:rPr>
                <w:w w:val="105"/>
                <w:sz w:val="24"/>
              </w:rPr>
              <w:t>ANOVA. </w:t>
            </w:r>
            <w:r>
              <w:rPr>
                <w:i/>
                <w:w w:val="105"/>
                <w:sz w:val="24"/>
              </w:rPr>
              <w:t>Psychon. Bull. Rev.</w:t>
            </w:r>
            <w:r>
              <w:rPr>
                <w:w w:val="105"/>
                <w:sz w:val="24"/>
              </w:rPr>
              <w:t>, </w:t>
            </w:r>
            <w:r>
              <w:rPr>
                <w:i/>
                <w:w w:val="105"/>
                <w:sz w:val="24"/>
              </w:rPr>
              <w:t>23 </w:t>
            </w:r>
            <w:r>
              <w:rPr>
                <w:w w:val="105"/>
                <w:sz w:val="24"/>
              </w:rPr>
              <w:t>(6), 1779–1786.</w:t>
            </w:r>
          </w:p>
        </w:tc>
      </w:tr>
      <w:tr>
        <w:trPr>
          <w:trHeight w:val="600" w:hRule="atLeast"/>
        </w:trPr>
        <w:tc>
          <w:tcPr>
            <w:tcW w:w="340" w:type="dxa"/>
          </w:tcPr>
          <w:p>
            <w:pPr>
              <w:pStyle w:val="TableParagraph"/>
              <w:spacing w:before="8"/>
              <w:rPr>
                <w:sz w:val="19"/>
              </w:rPr>
            </w:pPr>
          </w:p>
          <w:p>
            <w:pPr>
              <w:pStyle w:val="TableParagraph"/>
              <w:ind w:left="50"/>
              <w:rPr>
                <w:rFonts w:ascii="Arial"/>
                <w:sz w:val="12"/>
              </w:rPr>
            </w:pPr>
            <w:r>
              <w:rPr>
                <w:rFonts w:ascii="Arial"/>
                <w:sz w:val="12"/>
              </w:rPr>
              <w:t>954</w:t>
            </w:r>
          </w:p>
        </w:tc>
        <w:tc>
          <w:tcPr>
            <w:tcW w:w="9511" w:type="dxa"/>
          </w:tcPr>
          <w:p>
            <w:pPr>
              <w:pStyle w:val="TableParagraph"/>
              <w:spacing w:before="115"/>
              <w:ind w:left="819"/>
              <w:rPr>
                <w:sz w:val="24"/>
              </w:rPr>
            </w:pPr>
            <w:hyperlink r:id="rId59">
              <w:r>
                <w:rPr>
                  <w:w w:val="105"/>
                  <w:sz w:val="24"/>
                </w:rPr>
                <w:t>https://doi.org/10.3758/s13423-016-1026-5</w:t>
              </w:r>
            </w:hyperlink>
          </w:p>
        </w:tc>
      </w:tr>
      <w:tr>
        <w:trPr>
          <w:trHeight w:val="601" w:hRule="atLeast"/>
        </w:trPr>
        <w:tc>
          <w:tcPr>
            <w:tcW w:w="340" w:type="dxa"/>
          </w:tcPr>
          <w:p>
            <w:pPr>
              <w:pStyle w:val="TableParagraph"/>
              <w:rPr>
                <w:sz w:val="18"/>
              </w:rPr>
            </w:pPr>
          </w:p>
          <w:p>
            <w:pPr>
              <w:pStyle w:val="TableParagraph"/>
              <w:spacing w:before="144"/>
              <w:ind w:left="50"/>
              <w:rPr>
                <w:rFonts w:ascii="Arial"/>
                <w:sz w:val="12"/>
              </w:rPr>
            </w:pPr>
            <w:r>
              <w:rPr>
                <w:rFonts w:ascii="Arial"/>
                <w:sz w:val="12"/>
              </w:rPr>
              <w:t>955</w:t>
            </w:r>
          </w:p>
        </w:tc>
        <w:tc>
          <w:tcPr>
            <w:tcW w:w="9511" w:type="dxa"/>
          </w:tcPr>
          <w:p>
            <w:pPr>
              <w:pStyle w:val="TableParagraph"/>
              <w:spacing w:before="239"/>
              <w:ind w:left="99"/>
              <w:rPr>
                <w:sz w:val="24"/>
              </w:rPr>
            </w:pPr>
            <w:r>
              <w:rPr>
                <w:w w:val="105"/>
                <w:sz w:val="24"/>
              </w:rPr>
              <w:t>Rouder, J. N., Morey, R. D., Speckman, P. L., &amp; Province, J. M. (2012). Default Bayes</w:t>
            </w:r>
          </w:p>
        </w:tc>
      </w:tr>
      <w:tr>
        <w:trPr>
          <w:trHeight w:val="479" w:hRule="atLeast"/>
        </w:trPr>
        <w:tc>
          <w:tcPr>
            <w:tcW w:w="340" w:type="dxa"/>
          </w:tcPr>
          <w:p>
            <w:pPr>
              <w:pStyle w:val="TableParagraph"/>
              <w:spacing w:before="9"/>
              <w:rPr>
                <w:sz w:val="19"/>
              </w:rPr>
            </w:pPr>
          </w:p>
          <w:p>
            <w:pPr>
              <w:pStyle w:val="TableParagraph"/>
              <w:ind w:left="50"/>
              <w:rPr>
                <w:rFonts w:ascii="Arial"/>
                <w:sz w:val="12"/>
              </w:rPr>
            </w:pPr>
            <w:r>
              <w:rPr>
                <w:rFonts w:ascii="Arial"/>
                <w:sz w:val="12"/>
              </w:rPr>
              <w:t>956</w:t>
            </w:r>
          </w:p>
        </w:tc>
        <w:tc>
          <w:tcPr>
            <w:tcW w:w="9511" w:type="dxa"/>
          </w:tcPr>
          <w:p>
            <w:pPr>
              <w:pStyle w:val="TableParagraph"/>
              <w:spacing w:before="116"/>
              <w:ind w:left="819"/>
              <w:rPr>
                <w:sz w:val="24"/>
              </w:rPr>
            </w:pPr>
            <w:r>
              <w:rPr>
                <w:w w:val="105"/>
                <w:sz w:val="24"/>
              </w:rPr>
              <w:t>factors for ANOVA designs. </w:t>
            </w:r>
            <w:r>
              <w:rPr>
                <w:i/>
                <w:w w:val="105"/>
                <w:sz w:val="24"/>
              </w:rPr>
              <w:t>Journal of Mathematical Psychology</w:t>
            </w:r>
            <w:r>
              <w:rPr>
                <w:w w:val="105"/>
                <w:sz w:val="24"/>
              </w:rPr>
              <w:t>, </w:t>
            </w:r>
            <w:r>
              <w:rPr>
                <w:i/>
                <w:w w:val="105"/>
                <w:sz w:val="24"/>
              </w:rPr>
              <w:t>56 </w:t>
            </w:r>
            <w:r>
              <w:rPr>
                <w:w w:val="105"/>
                <w:sz w:val="24"/>
              </w:rPr>
              <w:t>(5), 356–374.</w:t>
            </w:r>
          </w:p>
        </w:tc>
      </w:tr>
      <w:tr>
        <w:trPr>
          <w:trHeight w:val="406" w:hRule="atLeast"/>
        </w:trPr>
        <w:tc>
          <w:tcPr>
            <w:tcW w:w="340" w:type="dxa"/>
          </w:tcPr>
          <w:p>
            <w:pPr>
              <w:pStyle w:val="TableParagraph"/>
              <w:spacing w:before="8"/>
              <w:rPr>
                <w:sz w:val="19"/>
              </w:rPr>
            </w:pPr>
          </w:p>
          <w:p>
            <w:pPr>
              <w:pStyle w:val="TableParagraph"/>
              <w:ind w:left="50"/>
              <w:rPr>
                <w:rFonts w:ascii="Arial"/>
                <w:sz w:val="12"/>
              </w:rPr>
            </w:pPr>
            <w:r>
              <w:rPr>
                <w:rFonts w:ascii="Arial"/>
                <w:sz w:val="12"/>
              </w:rPr>
              <w:t>957</w:t>
            </w:r>
          </w:p>
        </w:tc>
        <w:tc>
          <w:tcPr>
            <w:tcW w:w="9511" w:type="dxa"/>
          </w:tcPr>
          <w:p>
            <w:pPr>
              <w:pStyle w:val="TableParagraph"/>
              <w:spacing w:line="271" w:lineRule="exact" w:before="115"/>
              <w:ind w:left="819"/>
              <w:rPr>
                <w:sz w:val="24"/>
              </w:rPr>
            </w:pPr>
            <w:hyperlink r:id="rId60">
              <w:r>
                <w:rPr>
                  <w:w w:val="110"/>
                  <w:sz w:val="24"/>
                </w:rPr>
                <w:t>https://doi.org/10.1016/j.jmp.2012.08.001</w:t>
              </w:r>
            </w:hyperlink>
          </w:p>
        </w:tc>
      </w:tr>
    </w:tbl>
    <w:p>
      <w:pPr>
        <w:spacing w:after="0" w:line="271" w:lineRule="exact"/>
        <w:rPr>
          <w:sz w:val="24"/>
        </w:rPr>
        <w:sectPr>
          <w:pgSz w:w="12240" w:h="15840"/>
          <w:pgMar w:header="649" w:footer="0" w:top="1320" w:bottom="280" w:left="820" w:right="1140"/>
        </w:sectPr>
      </w:pPr>
    </w:p>
    <w:p>
      <w:pPr>
        <w:pStyle w:val="BodyText"/>
        <w:spacing w:before="8"/>
        <w:ind w:left="0"/>
        <w:rPr>
          <w:sz w:val="12"/>
        </w:rPr>
      </w:pPr>
    </w:p>
    <w:tbl>
      <w:tblPr>
        <w:tblW w:w="0" w:type="auto"/>
        <w:jc w:val="left"/>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0"/>
        <w:gridCol w:w="9538"/>
      </w:tblGrid>
      <w:tr>
        <w:trPr>
          <w:trHeight w:val="407" w:hRule="atLeast"/>
        </w:trPr>
        <w:tc>
          <w:tcPr>
            <w:tcW w:w="340" w:type="dxa"/>
          </w:tcPr>
          <w:p>
            <w:pPr>
              <w:pStyle w:val="TableParagraph"/>
              <w:spacing w:before="157"/>
              <w:ind w:left="50"/>
              <w:rPr>
                <w:rFonts w:ascii="Arial"/>
                <w:sz w:val="12"/>
              </w:rPr>
            </w:pPr>
            <w:r>
              <w:rPr>
                <w:rFonts w:ascii="Arial"/>
                <w:sz w:val="12"/>
              </w:rPr>
              <w:t>958</w:t>
            </w:r>
          </w:p>
        </w:tc>
        <w:tc>
          <w:tcPr>
            <w:tcW w:w="9538" w:type="dxa"/>
          </w:tcPr>
          <w:p>
            <w:pPr>
              <w:pStyle w:val="TableParagraph"/>
              <w:spacing w:before="45"/>
              <w:ind w:left="99"/>
              <w:rPr>
                <w:sz w:val="24"/>
              </w:rPr>
            </w:pPr>
            <w:r>
              <w:rPr>
                <w:w w:val="105"/>
                <w:sz w:val="24"/>
              </w:rPr>
              <w:t>Rougier, M., Muller, D., Ric, F., Alexopoulos, T., Batailler, C., Smeding, A., &amp; Aubé, B.</w:t>
            </w:r>
          </w:p>
        </w:tc>
      </w:tr>
      <w:tr>
        <w:trPr>
          <w:trHeight w:val="478" w:hRule="atLeast"/>
        </w:trPr>
        <w:tc>
          <w:tcPr>
            <w:tcW w:w="340" w:type="dxa"/>
          </w:tcPr>
          <w:p>
            <w:pPr>
              <w:pStyle w:val="TableParagraph"/>
              <w:spacing w:before="9"/>
              <w:rPr>
                <w:sz w:val="19"/>
              </w:rPr>
            </w:pPr>
          </w:p>
          <w:p>
            <w:pPr>
              <w:pStyle w:val="TableParagraph"/>
              <w:ind w:left="50"/>
              <w:rPr>
                <w:rFonts w:ascii="Arial"/>
                <w:sz w:val="12"/>
              </w:rPr>
            </w:pPr>
            <w:r>
              <w:rPr>
                <w:rFonts w:ascii="Arial"/>
                <w:sz w:val="12"/>
              </w:rPr>
              <w:t>959</w:t>
            </w:r>
          </w:p>
        </w:tc>
        <w:tc>
          <w:tcPr>
            <w:tcW w:w="9538" w:type="dxa"/>
          </w:tcPr>
          <w:p>
            <w:pPr>
              <w:pStyle w:val="TableParagraph"/>
              <w:spacing w:before="116"/>
              <w:ind w:left="792"/>
              <w:rPr>
                <w:sz w:val="24"/>
              </w:rPr>
            </w:pPr>
            <w:r>
              <w:rPr>
                <w:w w:val="105"/>
                <w:sz w:val="24"/>
              </w:rPr>
              <w:t>(2018). A new look at sensorimotor aspects in approach/avoidance tendencies: The</w:t>
            </w:r>
          </w:p>
        </w:tc>
      </w:tr>
      <w:tr>
        <w:trPr>
          <w:trHeight w:val="479" w:hRule="atLeast"/>
        </w:trPr>
        <w:tc>
          <w:tcPr>
            <w:tcW w:w="340" w:type="dxa"/>
          </w:tcPr>
          <w:p>
            <w:pPr>
              <w:pStyle w:val="TableParagraph"/>
              <w:spacing w:before="9"/>
              <w:rPr>
                <w:sz w:val="19"/>
              </w:rPr>
            </w:pPr>
          </w:p>
          <w:p>
            <w:pPr>
              <w:pStyle w:val="TableParagraph"/>
              <w:ind w:left="50"/>
              <w:rPr>
                <w:rFonts w:ascii="Arial"/>
                <w:sz w:val="12"/>
              </w:rPr>
            </w:pPr>
            <w:r>
              <w:rPr>
                <w:rFonts w:ascii="Arial"/>
                <w:sz w:val="12"/>
              </w:rPr>
              <w:t>960</w:t>
            </w:r>
          </w:p>
        </w:tc>
        <w:tc>
          <w:tcPr>
            <w:tcW w:w="9538" w:type="dxa"/>
          </w:tcPr>
          <w:p>
            <w:pPr>
              <w:pStyle w:val="TableParagraph"/>
              <w:spacing w:before="116"/>
              <w:ind w:left="819"/>
              <w:rPr>
                <w:i/>
                <w:sz w:val="24"/>
              </w:rPr>
            </w:pPr>
            <w:r>
              <w:rPr>
                <w:w w:val="105"/>
                <w:sz w:val="24"/>
              </w:rPr>
              <w:t>role of visual whole-body movement information. </w:t>
            </w:r>
            <w:r>
              <w:rPr>
                <w:i/>
                <w:w w:val="105"/>
                <w:sz w:val="24"/>
              </w:rPr>
              <w:t>Journal of Experimental Social</w:t>
            </w:r>
          </w:p>
        </w:tc>
      </w:tr>
      <w:tr>
        <w:trPr>
          <w:trHeight w:val="601" w:hRule="atLeast"/>
        </w:trPr>
        <w:tc>
          <w:tcPr>
            <w:tcW w:w="340" w:type="dxa"/>
          </w:tcPr>
          <w:p>
            <w:pPr>
              <w:pStyle w:val="TableParagraph"/>
              <w:spacing w:before="8"/>
              <w:rPr>
                <w:sz w:val="19"/>
              </w:rPr>
            </w:pPr>
          </w:p>
          <w:p>
            <w:pPr>
              <w:pStyle w:val="TableParagraph"/>
              <w:ind w:left="50"/>
              <w:rPr>
                <w:rFonts w:ascii="Arial"/>
                <w:sz w:val="12"/>
              </w:rPr>
            </w:pPr>
            <w:r>
              <w:rPr>
                <w:rFonts w:ascii="Arial"/>
                <w:sz w:val="12"/>
              </w:rPr>
              <w:t>961</w:t>
            </w:r>
          </w:p>
        </w:tc>
        <w:tc>
          <w:tcPr>
            <w:tcW w:w="9538" w:type="dxa"/>
          </w:tcPr>
          <w:p>
            <w:pPr>
              <w:pStyle w:val="TableParagraph"/>
              <w:spacing w:before="115"/>
              <w:ind w:left="806"/>
              <w:rPr>
                <w:sz w:val="24"/>
              </w:rPr>
            </w:pPr>
            <w:r>
              <w:rPr>
                <w:i/>
                <w:w w:val="105"/>
                <w:sz w:val="24"/>
              </w:rPr>
              <w:t>Psychology</w:t>
            </w:r>
            <w:r>
              <w:rPr>
                <w:w w:val="105"/>
                <w:sz w:val="24"/>
              </w:rPr>
              <w:t>, </w:t>
            </w:r>
            <w:r>
              <w:rPr>
                <w:i/>
                <w:w w:val="105"/>
                <w:sz w:val="24"/>
              </w:rPr>
              <w:t>76</w:t>
            </w:r>
            <w:r>
              <w:rPr>
                <w:w w:val="105"/>
                <w:sz w:val="24"/>
              </w:rPr>
              <w:t>, 42–53.</w:t>
            </w:r>
            <w:r>
              <w:rPr>
                <w:spacing w:val="59"/>
                <w:w w:val="105"/>
                <w:sz w:val="24"/>
              </w:rPr>
              <w:t> </w:t>
            </w:r>
            <w:hyperlink r:id="rId61">
              <w:r>
                <w:rPr>
                  <w:w w:val="105"/>
                  <w:sz w:val="24"/>
                </w:rPr>
                <w:t>https://doi.org/10.1016/j.jesp.2017.12.004</w:t>
              </w:r>
            </w:hyperlink>
          </w:p>
        </w:tc>
      </w:tr>
      <w:tr>
        <w:trPr>
          <w:trHeight w:val="601" w:hRule="atLeast"/>
        </w:trPr>
        <w:tc>
          <w:tcPr>
            <w:tcW w:w="340" w:type="dxa"/>
          </w:tcPr>
          <w:p>
            <w:pPr>
              <w:pStyle w:val="TableParagraph"/>
              <w:rPr>
                <w:sz w:val="18"/>
              </w:rPr>
            </w:pPr>
          </w:p>
          <w:p>
            <w:pPr>
              <w:pStyle w:val="TableParagraph"/>
              <w:spacing w:before="143"/>
              <w:ind w:left="50"/>
              <w:rPr>
                <w:rFonts w:ascii="Arial"/>
                <w:sz w:val="12"/>
              </w:rPr>
            </w:pPr>
            <w:r>
              <w:rPr>
                <w:rFonts w:ascii="Arial"/>
                <w:sz w:val="12"/>
              </w:rPr>
              <w:t>962</w:t>
            </w:r>
          </w:p>
        </w:tc>
        <w:tc>
          <w:tcPr>
            <w:tcW w:w="9538" w:type="dxa"/>
          </w:tcPr>
          <w:p>
            <w:pPr>
              <w:pStyle w:val="TableParagraph"/>
              <w:spacing w:before="238"/>
              <w:ind w:left="99"/>
              <w:rPr>
                <w:sz w:val="24"/>
              </w:rPr>
            </w:pPr>
            <w:r>
              <w:rPr>
                <w:w w:val="105"/>
                <w:sz w:val="24"/>
              </w:rPr>
              <w:t>RStudio Team. (2016). </w:t>
            </w:r>
            <w:r>
              <w:rPr>
                <w:i/>
                <w:w w:val="105"/>
                <w:sz w:val="24"/>
              </w:rPr>
              <w:t>RStudio: Integrated Development Environment for R</w:t>
            </w:r>
            <w:r>
              <w:rPr>
                <w:w w:val="105"/>
                <w:sz w:val="24"/>
              </w:rPr>
              <w:t>. Boston, MA:</w:t>
            </w:r>
          </w:p>
        </w:tc>
      </w:tr>
      <w:tr>
        <w:trPr>
          <w:trHeight w:val="600" w:hRule="atLeast"/>
        </w:trPr>
        <w:tc>
          <w:tcPr>
            <w:tcW w:w="340" w:type="dxa"/>
          </w:tcPr>
          <w:p>
            <w:pPr>
              <w:pStyle w:val="TableParagraph"/>
              <w:spacing w:before="8"/>
              <w:rPr>
                <w:sz w:val="19"/>
              </w:rPr>
            </w:pPr>
          </w:p>
          <w:p>
            <w:pPr>
              <w:pStyle w:val="TableParagraph"/>
              <w:ind w:left="50"/>
              <w:rPr>
                <w:rFonts w:ascii="Arial"/>
                <w:sz w:val="12"/>
              </w:rPr>
            </w:pPr>
            <w:r>
              <w:rPr>
                <w:rFonts w:ascii="Arial"/>
                <w:sz w:val="12"/>
              </w:rPr>
              <w:t>963</w:t>
            </w:r>
          </w:p>
        </w:tc>
        <w:tc>
          <w:tcPr>
            <w:tcW w:w="9538" w:type="dxa"/>
          </w:tcPr>
          <w:p>
            <w:pPr>
              <w:pStyle w:val="TableParagraph"/>
              <w:spacing w:before="115"/>
              <w:ind w:left="819"/>
              <w:rPr>
                <w:sz w:val="24"/>
              </w:rPr>
            </w:pPr>
            <w:r>
              <w:rPr>
                <w:w w:val="105"/>
                <w:sz w:val="24"/>
              </w:rPr>
              <w:t>RStudio, Inc.</w:t>
            </w:r>
          </w:p>
        </w:tc>
      </w:tr>
      <w:tr>
        <w:trPr>
          <w:trHeight w:val="601" w:hRule="atLeast"/>
        </w:trPr>
        <w:tc>
          <w:tcPr>
            <w:tcW w:w="340" w:type="dxa"/>
          </w:tcPr>
          <w:p>
            <w:pPr>
              <w:pStyle w:val="TableParagraph"/>
              <w:rPr>
                <w:sz w:val="18"/>
              </w:rPr>
            </w:pPr>
          </w:p>
          <w:p>
            <w:pPr>
              <w:pStyle w:val="TableParagraph"/>
              <w:spacing w:before="144"/>
              <w:ind w:left="50"/>
              <w:rPr>
                <w:rFonts w:ascii="Arial"/>
                <w:sz w:val="12"/>
              </w:rPr>
            </w:pPr>
            <w:r>
              <w:rPr>
                <w:rFonts w:ascii="Arial"/>
                <w:sz w:val="12"/>
              </w:rPr>
              <w:t>964</w:t>
            </w:r>
          </w:p>
        </w:tc>
        <w:tc>
          <w:tcPr>
            <w:tcW w:w="9538" w:type="dxa"/>
          </w:tcPr>
          <w:p>
            <w:pPr>
              <w:pStyle w:val="TableParagraph"/>
              <w:spacing w:before="239"/>
              <w:ind w:left="99"/>
              <w:rPr>
                <w:sz w:val="24"/>
              </w:rPr>
            </w:pPr>
            <w:r>
              <w:rPr>
                <w:w w:val="105"/>
                <w:sz w:val="24"/>
              </w:rPr>
              <w:t>Schonberg, T., Bakkour, A., Hover, A. M., Mumford, J. A., Nagar, L., Perez, J., &amp; Poldrack,</w:t>
            </w:r>
          </w:p>
        </w:tc>
      </w:tr>
      <w:tr>
        <w:trPr>
          <w:trHeight w:val="478" w:hRule="atLeast"/>
        </w:trPr>
        <w:tc>
          <w:tcPr>
            <w:tcW w:w="340" w:type="dxa"/>
          </w:tcPr>
          <w:p>
            <w:pPr>
              <w:pStyle w:val="TableParagraph"/>
              <w:spacing w:before="9"/>
              <w:rPr>
                <w:sz w:val="19"/>
              </w:rPr>
            </w:pPr>
          </w:p>
          <w:p>
            <w:pPr>
              <w:pStyle w:val="TableParagraph"/>
              <w:ind w:left="50"/>
              <w:rPr>
                <w:rFonts w:ascii="Arial"/>
                <w:sz w:val="12"/>
              </w:rPr>
            </w:pPr>
            <w:r>
              <w:rPr>
                <w:rFonts w:ascii="Arial"/>
                <w:sz w:val="12"/>
              </w:rPr>
              <w:t>965</w:t>
            </w:r>
          </w:p>
        </w:tc>
        <w:tc>
          <w:tcPr>
            <w:tcW w:w="9538" w:type="dxa"/>
          </w:tcPr>
          <w:p>
            <w:pPr>
              <w:pStyle w:val="TableParagraph"/>
              <w:spacing w:before="116"/>
              <w:ind w:left="819"/>
              <w:rPr>
                <w:sz w:val="24"/>
              </w:rPr>
            </w:pPr>
            <w:r>
              <w:rPr>
                <w:w w:val="105"/>
                <w:sz w:val="24"/>
              </w:rPr>
              <w:t>R. A. (2014). Changing </w:t>
            </w:r>
            <w:r>
              <w:rPr>
                <w:spacing w:val="-4"/>
                <w:w w:val="105"/>
                <w:sz w:val="24"/>
              </w:rPr>
              <w:t>value </w:t>
            </w:r>
            <w:r>
              <w:rPr>
                <w:w w:val="105"/>
                <w:sz w:val="24"/>
              </w:rPr>
              <w:t>through cued approach: An automatic mechanism</w:t>
            </w:r>
            <w:r>
              <w:rPr>
                <w:spacing w:val="51"/>
                <w:w w:val="105"/>
                <w:sz w:val="24"/>
              </w:rPr>
              <w:t> </w:t>
            </w:r>
            <w:r>
              <w:rPr>
                <w:w w:val="105"/>
                <w:sz w:val="24"/>
              </w:rPr>
              <w:t>of</w:t>
            </w:r>
          </w:p>
        </w:tc>
      </w:tr>
      <w:tr>
        <w:trPr>
          <w:trHeight w:val="409" w:hRule="atLeast"/>
        </w:trPr>
        <w:tc>
          <w:tcPr>
            <w:tcW w:w="340" w:type="dxa"/>
          </w:tcPr>
          <w:p>
            <w:pPr>
              <w:pStyle w:val="TableParagraph"/>
              <w:spacing w:before="9"/>
              <w:rPr>
                <w:sz w:val="19"/>
              </w:rPr>
            </w:pPr>
          </w:p>
          <w:p>
            <w:pPr>
              <w:pStyle w:val="TableParagraph"/>
              <w:ind w:left="50"/>
              <w:rPr>
                <w:rFonts w:ascii="Arial"/>
                <w:sz w:val="12"/>
              </w:rPr>
            </w:pPr>
            <w:r>
              <w:rPr>
                <w:rFonts w:ascii="Arial"/>
                <w:sz w:val="12"/>
              </w:rPr>
              <w:t>966</w:t>
            </w:r>
          </w:p>
        </w:tc>
        <w:tc>
          <w:tcPr>
            <w:tcW w:w="9538" w:type="dxa"/>
          </w:tcPr>
          <w:p>
            <w:pPr>
              <w:pStyle w:val="TableParagraph"/>
              <w:spacing w:line="273" w:lineRule="exact" w:before="116"/>
              <w:ind w:left="819"/>
              <w:rPr>
                <w:sz w:val="24"/>
              </w:rPr>
            </w:pPr>
            <w:r>
              <w:rPr>
                <w:w w:val="105"/>
                <w:sz w:val="24"/>
              </w:rPr>
              <w:t>behavior change. </w:t>
            </w:r>
            <w:r>
              <w:rPr>
                <w:i/>
                <w:w w:val="105"/>
                <w:sz w:val="24"/>
              </w:rPr>
              <w:t>Nat. Neurosci.</w:t>
            </w:r>
            <w:r>
              <w:rPr>
                <w:w w:val="105"/>
                <w:sz w:val="24"/>
              </w:rPr>
              <w:t>, </w:t>
            </w:r>
            <w:r>
              <w:rPr>
                <w:i/>
                <w:w w:val="105"/>
                <w:sz w:val="24"/>
              </w:rPr>
              <w:t>17 </w:t>
            </w:r>
            <w:r>
              <w:rPr>
                <w:w w:val="105"/>
                <w:sz w:val="24"/>
              </w:rPr>
              <w:t>(4), 625–630. </w:t>
            </w:r>
            <w:hyperlink r:id="rId62">
              <w:r>
                <w:rPr>
                  <w:w w:val="105"/>
                  <w:sz w:val="24"/>
                </w:rPr>
                <w:t>https://doi.org/10.1038/nn.3673</w:t>
              </w:r>
            </w:hyperlink>
          </w:p>
        </w:tc>
      </w:tr>
    </w:tbl>
    <w:p>
      <w:pPr>
        <w:pStyle w:val="BodyText"/>
        <w:spacing w:before="9"/>
        <w:ind w:left="0"/>
      </w:pPr>
    </w:p>
    <w:p>
      <w:pPr>
        <w:pStyle w:val="BodyText"/>
        <w:spacing w:before="146"/>
      </w:pPr>
      <w:r>
        <w:rPr>
          <w:rFonts w:ascii="Arial"/>
          <w:sz w:val="12"/>
        </w:rPr>
        <w:t>967 </w:t>
      </w:r>
      <w:r>
        <w:rPr/>
        <w:t>Schumacher, S. E., Kemps, E., &amp; Tiggemann, M. (2016).</w:t>
      </w:r>
      <w:r>
        <w:rPr>
          <w:spacing w:val="52"/>
        </w:rPr>
        <w:t> </w:t>
      </w:r>
      <w:r>
        <w:rPr/>
        <w:t>Bias modification training can alter</w:t>
      </w:r>
    </w:p>
    <w:p>
      <w:pPr>
        <w:tabs>
          <w:tab w:pos="1339" w:val="left" w:leader="none"/>
        </w:tabs>
        <w:spacing w:before="202"/>
        <w:ind w:left="230" w:right="0" w:firstLine="0"/>
        <w:jc w:val="left"/>
        <w:rPr>
          <w:sz w:val="24"/>
        </w:rPr>
      </w:pPr>
      <w:r>
        <w:rPr>
          <w:rFonts w:ascii="Arial" w:hAnsi="Arial"/>
          <w:w w:val="105"/>
          <w:sz w:val="12"/>
        </w:rPr>
        <w:t>968</w:t>
        <w:tab/>
      </w:r>
      <w:r>
        <w:rPr>
          <w:w w:val="105"/>
          <w:sz w:val="24"/>
        </w:rPr>
        <w:t>approach bias and chocolate consumption. </w:t>
      </w:r>
      <w:r>
        <w:rPr>
          <w:i/>
          <w:spacing w:val="-3"/>
          <w:w w:val="105"/>
          <w:sz w:val="24"/>
        </w:rPr>
        <w:t>Appetite</w:t>
      </w:r>
      <w:r>
        <w:rPr>
          <w:spacing w:val="-3"/>
          <w:w w:val="105"/>
          <w:sz w:val="24"/>
        </w:rPr>
        <w:t>, </w:t>
      </w:r>
      <w:r>
        <w:rPr>
          <w:i/>
          <w:w w:val="105"/>
          <w:sz w:val="24"/>
        </w:rPr>
        <w:t>96</w:t>
      </w:r>
      <w:r>
        <w:rPr>
          <w:w w:val="105"/>
          <w:sz w:val="24"/>
        </w:rPr>
        <w:t>,</w:t>
      </w:r>
      <w:r>
        <w:rPr>
          <w:spacing w:val="54"/>
          <w:w w:val="105"/>
          <w:sz w:val="24"/>
        </w:rPr>
        <w:t> </w:t>
      </w:r>
      <w:r>
        <w:rPr>
          <w:w w:val="105"/>
          <w:sz w:val="24"/>
        </w:rPr>
        <w:t>219–224.</w:t>
      </w:r>
    </w:p>
    <w:p>
      <w:pPr>
        <w:pStyle w:val="BodyText"/>
        <w:tabs>
          <w:tab w:pos="1339" w:val="left" w:leader="none"/>
        </w:tabs>
      </w:pPr>
      <w:r>
        <w:rPr>
          <w:rFonts w:ascii="Arial"/>
          <w:w w:val="105"/>
          <w:sz w:val="12"/>
        </w:rPr>
        <w:t>969</w:t>
        <w:tab/>
      </w:r>
      <w:hyperlink r:id="rId63">
        <w:r>
          <w:rPr>
            <w:w w:val="105"/>
          </w:rPr>
          <w:t>https://doi.org/10.1016/j.appet.2015.09.014</w:t>
        </w:r>
      </w:hyperlink>
    </w:p>
    <w:p>
      <w:pPr>
        <w:pStyle w:val="BodyText"/>
        <w:spacing w:before="4"/>
        <w:ind w:left="0"/>
        <w:rPr>
          <w:sz w:val="26"/>
        </w:rPr>
      </w:pPr>
    </w:p>
    <w:p>
      <w:pPr>
        <w:pStyle w:val="BodyText"/>
        <w:spacing w:before="146"/>
      </w:pPr>
      <w:r>
        <w:rPr>
          <w:rFonts w:ascii="Arial" w:hAnsi="Arial"/>
          <w:w w:val="105"/>
          <w:sz w:val="12"/>
        </w:rPr>
        <w:t>970 </w:t>
      </w:r>
      <w:r>
        <w:rPr>
          <w:w w:val="105"/>
        </w:rPr>
        <w:t>Seibt, B., Häfner, M., &amp; Deutsch, R. (2007). Prepared to eat: How immediate affective and</w:t>
      </w:r>
    </w:p>
    <w:p>
      <w:pPr>
        <w:pStyle w:val="BodyText"/>
        <w:tabs>
          <w:tab w:pos="1339" w:val="left" w:leader="none"/>
        </w:tabs>
        <w:rPr>
          <w:i/>
        </w:rPr>
      </w:pPr>
      <w:r>
        <w:rPr>
          <w:rFonts w:ascii="Arial"/>
          <w:w w:val="105"/>
          <w:sz w:val="12"/>
        </w:rPr>
        <w:t>971</w:t>
        <w:tab/>
      </w:r>
      <w:r>
        <w:rPr>
          <w:w w:val="105"/>
        </w:rPr>
        <w:t>motivational responses to </w:t>
      </w:r>
      <w:r>
        <w:rPr>
          <w:spacing w:val="3"/>
          <w:w w:val="105"/>
        </w:rPr>
        <w:t>food </w:t>
      </w:r>
      <w:r>
        <w:rPr>
          <w:w w:val="105"/>
        </w:rPr>
        <w:t>cues are influenced </w:t>
      </w:r>
      <w:r>
        <w:rPr>
          <w:spacing w:val="-4"/>
          <w:w w:val="105"/>
        </w:rPr>
        <w:t>by </w:t>
      </w:r>
      <w:r>
        <w:rPr>
          <w:spacing w:val="2"/>
          <w:w w:val="105"/>
        </w:rPr>
        <w:t>food </w:t>
      </w:r>
      <w:r>
        <w:rPr>
          <w:w w:val="105"/>
        </w:rPr>
        <w:t>deprivation.</w:t>
      </w:r>
      <w:r>
        <w:rPr>
          <w:spacing w:val="41"/>
          <w:w w:val="105"/>
        </w:rPr>
        <w:t> </w:t>
      </w:r>
      <w:r>
        <w:rPr>
          <w:i/>
          <w:spacing w:val="-5"/>
          <w:w w:val="105"/>
        </w:rPr>
        <w:t>European</w:t>
      </w:r>
    </w:p>
    <w:p>
      <w:pPr>
        <w:tabs>
          <w:tab w:pos="1323" w:val="left" w:leader="none"/>
        </w:tabs>
        <w:spacing w:before="202"/>
        <w:ind w:left="230" w:right="0" w:firstLine="0"/>
        <w:jc w:val="left"/>
        <w:rPr>
          <w:sz w:val="24"/>
        </w:rPr>
      </w:pPr>
      <w:r>
        <w:rPr>
          <w:rFonts w:ascii="Arial" w:hAnsi="Arial"/>
          <w:w w:val="105"/>
          <w:sz w:val="12"/>
        </w:rPr>
        <w:t>972</w:t>
        <w:tab/>
      </w:r>
      <w:r>
        <w:rPr>
          <w:i/>
          <w:w w:val="105"/>
          <w:sz w:val="24"/>
        </w:rPr>
        <w:t>Journal of Social Psychology</w:t>
      </w:r>
      <w:r>
        <w:rPr>
          <w:w w:val="105"/>
          <w:sz w:val="24"/>
        </w:rPr>
        <w:t>, </w:t>
      </w:r>
      <w:r>
        <w:rPr>
          <w:i/>
          <w:w w:val="105"/>
          <w:sz w:val="24"/>
        </w:rPr>
        <w:t>37 </w:t>
      </w:r>
      <w:r>
        <w:rPr>
          <w:w w:val="105"/>
          <w:sz w:val="24"/>
        </w:rPr>
        <w:t>(2), 359–379.</w:t>
      </w:r>
      <w:r>
        <w:rPr>
          <w:spacing w:val="1"/>
          <w:w w:val="105"/>
          <w:sz w:val="24"/>
        </w:rPr>
        <w:t> </w:t>
      </w:r>
      <w:hyperlink r:id="rId64">
        <w:r>
          <w:rPr>
            <w:w w:val="105"/>
            <w:sz w:val="24"/>
          </w:rPr>
          <w:t>https://doi.org/10.1002/ejsp.365</w:t>
        </w:r>
      </w:hyperlink>
    </w:p>
    <w:p>
      <w:pPr>
        <w:pStyle w:val="BodyText"/>
        <w:spacing w:before="4"/>
        <w:ind w:left="0"/>
        <w:rPr>
          <w:sz w:val="26"/>
        </w:rPr>
      </w:pPr>
    </w:p>
    <w:p>
      <w:pPr>
        <w:tabs>
          <w:tab w:pos="1326" w:val="left" w:leader="none"/>
        </w:tabs>
        <w:spacing w:line="415" w:lineRule="auto" w:before="145"/>
        <w:ind w:left="230" w:right="1649" w:firstLine="0"/>
        <w:jc w:val="both"/>
        <w:rPr>
          <w:sz w:val="24"/>
        </w:rPr>
      </w:pPr>
      <w:r>
        <w:rPr>
          <w:rFonts w:ascii="Arial" w:hAnsi="Arial"/>
          <w:sz w:val="12"/>
        </w:rPr>
        <w:t>973      </w:t>
      </w:r>
      <w:r>
        <w:rPr>
          <w:sz w:val="24"/>
        </w:rPr>
        <w:t>Sharbanee, J. M., Stritzke, W. G., Jamalludin, M. E., &amp; Wiers, R. W. (2014).       </w:t>
      </w:r>
      <w:r>
        <w:rPr>
          <w:rFonts w:ascii="Arial" w:hAnsi="Arial"/>
          <w:sz w:val="12"/>
        </w:rPr>
        <w:t>974</w:t>
        <w:tab/>
      </w:r>
      <w:r>
        <w:rPr>
          <w:sz w:val="24"/>
        </w:rPr>
        <w:t>Approach-alcohol action tendencies can  </w:t>
      </w:r>
      <w:r>
        <w:rPr>
          <w:spacing w:val="3"/>
          <w:sz w:val="24"/>
        </w:rPr>
        <w:t>be </w:t>
      </w:r>
      <w:r>
        <w:rPr>
          <w:sz w:val="24"/>
        </w:rPr>
        <w:t>inhibited  </w:t>
      </w:r>
      <w:r>
        <w:rPr>
          <w:spacing w:val="-4"/>
          <w:sz w:val="24"/>
        </w:rPr>
        <w:t>by  </w:t>
      </w:r>
      <w:r>
        <w:rPr>
          <w:sz w:val="24"/>
        </w:rPr>
        <w:t>cognitive  load. </w:t>
      </w:r>
      <w:r>
        <w:rPr>
          <w:rFonts w:ascii="Arial" w:hAnsi="Arial"/>
          <w:sz w:val="12"/>
        </w:rPr>
        <w:t>975</w:t>
        <w:tab/>
      </w:r>
      <w:r>
        <w:rPr>
          <w:i/>
          <w:sz w:val="24"/>
        </w:rPr>
        <w:t>Psychopharmacology (Berl).</w:t>
      </w:r>
      <w:r>
        <w:rPr>
          <w:sz w:val="24"/>
        </w:rPr>
        <w:t>, </w:t>
      </w:r>
      <w:r>
        <w:rPr>
          <w:i/>
          <w:sz w:val="24"/>
        </w:rPr>
        <w:t>231 </w:t>
      </w:r>
      <w:r>
        <w:rPr>
          <w:sz w:val="24"/>
        </w:rPr>
        <w:t>(5),</w:t>
      </w:r>
      <w:r>
        <w:rPr>
          <w:spacing w:val="-24"/>
          <w:sz w:val="24"/>
        </w:rPr>
        <w:t> </w:t>
      </w:r>
      <w:r>
        <w:rPr>
          <w:sz w:val="24"/>
        </w:rPr>
        <w:t>967–975.</w:t>
      </w:r>
    </w:p>
    <w:p>
      <w:pPr>
        <w:pStyle w:val="BodyText"/>
        <w:tabs>
          <w:tab w:pos="1339" w:val="left" w:leader="none"/>
        </w:tabs>
        <w:spacing w:before="3"/>
        <w:jc w:val="both"/>
      </w:pPr>
      <w:r>
        <w:rPr>
          <w:rFonts w:ascii="Arial"/>
          <w:w w:val="105"/>
          <w:sz w:val="12"/>
        </w:rPr>
        <w:t>976</w:t>
        <w:tab/>
      </w:r>
      <w:hyperlink r:id="rId65">
        <w:r>
          <w:rPr>
            <w:w w:val="105"/>
          </w:rPr>
          <w:t>https://doi.org/10.1007/s00213-013-3318-z</w:t>
        </w:r>
      </w:hyperlink>
    </w:p>
    <w:p>
      <w:pPr>
        <w:pStyle w:val="BodyText"/>
        <w:spacing w:before="3"/>
        <w:ind w:left="0"/>
        <w:rPr>
          <w:sz w:val="26"/>
        </w:rPr>
      </w:pPr>
    </w:p>
    <w:p>
      <w:pPr>
        <w:pStyle w:val="BodyText"/>
        <w:spacing w:before="146"/>
      </w:pPr>
      <w:r>
        <w:rPr>
          <w:rFonts w:ascii="Arial"/>
          <w:w w:val="105"/>
          <w:sz w:val="12"/>
        </w:rPr>
        <w:t>977 </w:t>
      </w:r>
      <w:r>
        <w:rPr>
          <w:w w:val="105"/>
        </w:rPr>
        <w:t>Spinella, M. (2007). Normative Data and a Short Form of the Barratt Impulsiveness Scale.</w:t>
      </w:r>
    </w:p>
    <w:p>
      <w:pPr>
        <w:tabs>
          <w:tab w:pos="1327" w:val="left" w:leader="none"/>
        </w:tabs>
        <w:spacing w:before="202"/>
        <w:ind w:left="230" w:right="0" w:firstLine="0"/>
        <w:jc w:val="left"/>
        <w:rPr>
          <w:sz w:val="24"/>
        </w:rPr>
      </w:pPr>
      <w:r>
        <w:rPr>
          <w:rFonts w:ascii="Arial" w:hAnsi="Arial"/>
          <w:w w:val="105"/>
          <w:sz w:val="12"/>
        </w:rPr>
        <w:t>978</w:t>
        <w:tab/>
      </w:r>
      <w:r>
        <w:rPr>
          <w:i/>
          <w:w w:val="105"/>
          <w:sz w:val="24"/>
        </w:rPr>
        <w:t>International Journal of </w:t>
      </w:r>
      <w:r>
        <w:rPr>
          <w:i/>
          <w:spacing w:val="-3"/>
          <w:w w:val="105"/>
          <w:sz w:val="24"/>
        </w:rPr>
        <w:t>Neuroscience</w:t>
      </w:r>
      <w:r>
        <w:rPr>
          <w:spacing w:val="-3"/>
          <w:w w:val="105"/>
          <w:sz w:val="24"/>
        </w:rPr>
        <w:t>, </w:t>
      </w:r>
      <w:r>
        <w:rPr>
          <w:i/>
          <w:w w:val="105"/>
          <w:sz w:val="24"/>
        </w:rPr>
        <w:t>117 </w:t>
      </w:r>
      <w:r>
        <w:rPr>
          <w:w w:val="105"/>
          <w:sz w:val="24"/>
        </w:rPr>
        <w:t>(3),</w:t>
      </w:r>
      <w:r>
        <w:rPr>
          <w:spacing w:val="48"/>
          <w:w w:val="105"/>
          <w:sz w:val="24"/>
        </w:rPr>
        <w:t> </w:t>
      </w:r>
      <w:r>
        <w:rPr>
          <w:w w:val="105"/>
          <w:sz w:val="24"/>
        </w:rPr>
        <w:t>359–368.</w:t>
      </w:r>
    </w:p>
    <w:p>
      <w:pPr>
        <w:pStyle w:val="BodyText"/>
        <w:tabs>
          <w:tab w:pos="1339" w:val="left" w:leader="none"/>
        </w:tabs>
      </w:pPr>
      <w:r>
        <w:rPr>
          <w:rFonts w:ascii="Arial"/>
          <w:w w:val="105"/>
          <w:sz w:val="12"/>
        </w:rPr>
        <w:t>979</w:t>
        <w:tab/>
      </w:r>
      <w:hyperlink r:id="rId66">
        <w:r>
          <w:rPr>
            <w:w w:val="105"/>
          </w:rPr>
          <w:t>https://doi.org/10.1080/00207450600588881</w:t>
        </w:r>
      </w:hyperlink>
    </w:p>
    <w:p>
      <w:pPr>
        <w:pStyle w:val="BodyText"/>
        <w:spacing w:before="4"/>
        <w:ind w:left="0"/>
        <w:rPr>
          <w:sz w:val="26"/>
        </w:rPr>
      </w:pPr>
    </w:p>
    <w:p>
      <w:pPr>
        <w:pStyle w:val="BodyText"/>
        <w:spacing w:before="146"/>
      </w:pPr>
      <w:r>
        <w:rPr>
          <w:rFonts w:ascii="Arial"/>
          <w:w w:val="105"/>
          <w:sz w:val="12"/>
        </w:rPr>
        <w:t>980 </w:t>
      </w:r>
      <w:r>
        <w:rPr>
          <w:w w:val="105"/>
        </w:rPr>
        <w:t>Strack, F., &amp; Deutsch, R. (2004). Reflective and Impulsive Determinants of Social Behavior.</w:t>
      </w:r>
    </w:p>
    <w:p>
      <w:pPr>
        <w:tabs>
          <w:tab w:pos="1326" w:val="left" w:leader="none"/>
        </w:tabs>
        <w:spacing w:before="202"/>
        <w:ind w:left="230" w:right="0" w:firstLine="0"/>
        <w:jc w:val="left"/>
        <w:rPr>
          <w:sz w:val="24"/>
        </w:rPr>
      </w:pPr>
      <w:r>
        <w:rPr>
          <w:rFonts w:ascii="Arial"/>
          <w:sz w:val="12"/>
        </w:rPr>
        <w:t>981</w:t>
        <w:tab/>
      </w:r>
      <w:r>
        <w:rPr>
          <w:i/>
          <w:sz w:val="24"/>
        </w:rPr>
        <w:t>Personality</w:t>
      </w:r>
      <w:r>
        <w:rPr>
          <w:i/>
          <w:spacing w:val="24"/>
          <w:sz w:val="24"/>
        </w:rPr>
        <w:t> </w:t>
      </w:r>
      <w:r>
        <w:rPr>
          <w:i/>
          <w:sz w:val="24"/>
        </w:rPr>
        <w:t>and</w:t>
      </w:r>
      <w:r>
        <w:rPr>
          <w:i/>
          <w:spacing w:val="25"/>
          <w:sz w:val="24"/>
        </w:rPr>
        <w:t> </w:t>
      </w:r>
      <w:r>
        <w:rPr>
          <w:i/>
          <w:sz w:val="24"/>
        </w:rPr>
        <w:t>Social</w:t>
      </w:r>
      <w:r>
        <w:rPr>
          <w:i/>
          <w:spacing w:val="25"/>
          <w:sz w:val="24"/>
        </w:rPr>
        <w:t> </w:t>
      </w:r>
      <w:r>
        <w:rPr>
          <w:i/>
          <w:sz w:val="24"/>
        </w:rPr>
        <w:t>Psychology</w:t>
      </w:r>
      <w:r>
        <w:rPr>
          <w:i/>
          <w:spacing w:val="25"/>
          <w:sz w:val="24"/>
        </w:rPr>
        <w:t> </w:t>
      </w:r>
      <w:r>
        <w:rPr>
          <w:i/>
          <w:sz w:val="24"/>
        </w:rPr>
        <w:t>Review</w:t>
      </w:r>
      <w:r>
        <w:rPr>
          <w:sz w:val="24"/>
        </w:rPr>
        <w:t>,</w:t>
      </w:r>
      <w:r>
        <w:rPr>
          <w:spacing w:val="19"/>
          <w:sz w:val="24"/>
        </w:rPr>
        <w:t> </w:t>
      </w:r>
      <w:r>
        <w:rPr>
          <w:i/>
          <w:sz w:val="24"/>
        </w:rPr>
        <w:t>8</w:t>
      </w:r>
      <w:r>
        <w:rPr>
          <w:i/>
          <w:spacing w:val="-27"/>
          <w:sz w:val="24"/>
        </w:rPr>
        <w:t> </w:t>
      </w:r>
      <w:r>
        <w:rPr>
          <w:sz w:val="24"/>
        </w:rPr>
        <w:t>(3),</w:t>
      </w:r>
      <w:r>
        <w:rPr>
          <w:spacing w:val="19"/>
          <w:sz w:val="24"/>
        </w:rPr>
        <w:t> </w:t>
      </w:r>
      <w:r>
        <w:rPr>
          <w:sz w:val="24"/>
        </w:rPr>
        <w:t>28.</w:t>
      </w:r>
    </w:p>
    <w:p>
      <w:pPr>
        <w:spacing w:after="0"/>
        <w:jc w:val="left"/>
        <w:rPr>
          <w:sz w:val="24"/>
        </w:rPr>
        <w:sectPr>
          <w:pgSz w:w="12240" w:h="15840"/>
          <w:pgMar w:header="649" w:footer="0" w:top="1320" w:bottom="280" w:left="820" w:right="1140"/>
        </w:sectPr>
      </w:pPr>
    </w:p>
    <w:p>
      <w:pPr>
        <w:pStyle w:val="BodyText"/>
        <w:tabs>
          <w:tab w:pos="1339" w:val="left" w:leader="none"/>
        </w:tabs>
        <w:spacing w:line="415" w:lineRule="auto" w:before="191"/>
        <w:ind w:right="297"/>
        <w:jc w:val="both"/>
      </w:pPr>
      <w:r>
        <w:rPr>
          <w:rFonts w:ascii="Arial"/>
          <w:sz w:val="12"/>
        </w:rPr>
        <w:t>982      </w:t>
      </w:r>
      <w:r>
        <w:rPr>
          <w:spacing w:val="-5"/>
        </w:rPr>
        <w:t>van  </w:t>
      </w:r>
      <w:r>
        <w:rPr/>
        <w:t>Deursen, D. S., Salemink, E., Smit, F., Kramer, J., &amp; Wiers, R. W. (2013).  </w:t>
      </w:r>
      <w:r>
        <w:rPr>
          <w:spacing w:val="-3"/>
        </w:rPr>
        <w:t>Web-based     </w:t>
      </w:r>
      <w:r>
        <w:rPr>
          <w:spacing w:val="54"/>
        </w:rPr>
        <w:t> </w:t>
      </w:r>
      <w:r>
        <w:rPr>
          <w:rFonts w:ascii="Arial"/>
          <w:sz w:val="12"/>
        </w:rPr>
        <w:t>983</w:t>
        <w:tab/>
      </w:r>
      <w:r>
        <w:rPr/>
        <w:t>cognitive bias modification for problem drinkers:  Protocol of a randomised controlled   </w:t>
      </w:r>
      <w:r>
        <w:rPr>
          <w:rFonts w:ascii="Arial"/>
          <w:sz w:val="12"/>
        </w:rPr>
        <w:t>984</w:t>
        <w:tab/>
      </w:r>
      <w:r>
        <w:rPr/>
        <w:t>trial with a 2x2x2 factorial design. </w:t>
      </w:r>
      <w:r>
        <w:rPr>
          <w:i/>
        </w:rPr>
        <w:t>BMC Public Health</w:t>
      </w:r>
      <w:r>
        <w:rPr/>
        <w:t>, </w:t>
      </w:r>
      <w:r>
        <w:rPr>
          <w:i/>
        </w:rPr>
        <w:t>13</w:t>
      </w:r>
      <w:r>
        <w:rPr/>
        <w:t>,</w:t>
      </w:r>
      <w:r>
        <w:rPr>
          <w:spacing w:val="15"/>
        </w:rPr>
        <w:t> </w:t>
      </w:r>
      <w:r>
        <w:rPr/>
        <w:t>674.</w:t>
      </w:r>
    </w:p>
    <w:p>
      <w:pPr>
        <w:pStyle w:val="BodyText"/>
        <w:tabs>
          <w:tab w:pos="1339" w:val="left" w:leader="none"/>
        </w:tabs>
        <w:spacing w:before="2"/>
        <w:jc w:val="both"/>
      </w:pPr>
      <w:r>
        <w:rPr>
          <w:rFonts w:ascii="Arial"/>
          <w:w w:val="105"/>
          <w:sz w:val="12"/>
        </w:rPr>
        <w:t>985</w:t>
        <w:tab/>
      </w:r>
      <w:hyperlink r:id="rId67">
        <w:r>
          <w:rPr>
            <w:w w:val="105"/>
          </w:rPr>
          <w:t>https://doi.org/10.1186/1471-2458-13-674</w:t>
        </w:r>
      </w:hyperlink>
    </w:p>
    <w:p>
      <w:pPr>
        <w:pStyle w:val="BodyText"/>
        <w:spacing w:before="4"/>
        <w:ind w:left="0"/>
        <w:rPr>
          <w:sz w:val="26"/>
        </w:rPr>
      </w:pPr>
    </w:p>
    <w:p>
      <w:pPr>
        <w:pStyle w:val="BodyText"/>
        <w:spacing w:before="146"/>
      </w:pPr>
      <w:r>
        <w:rPr>
          <w:rFonts w:ascii="Arial"/>
          <w:w w:val="105"/>
          <w:sz w:val="12"/>
        </w:rPr>
        <w:t>986 </w:t>
      </w:r>
      <w:r>
        <w:rPr>
          <w:spacing w:val="-3"/>
          <w:w w:val="105"/>
        </w:rPr>
        <w:t>Veenstra, </w:t>
      </w:r>
      <w:r>
        <w:rPr>
          <w:w w:val="105"/>
        </w:rPr>
        <w:t>E. M., &amp; de Jong, </w:t>
      </w:r>
      <w:r>
        <w:rPr>
          <w:spacing w:val="-10"/>
          <w:w w:val="105"/>
        </w:rPr>
        <w:t>P. </w:t>
      </w:r>
      <w:r>
        <w:rPr>
          <w:w w:val="105"/>
        </w:rPr>
        <w:t>J. (2010). Restrained eaters show enhanced</w:t>
      </w:r>
      <w:r>
        <w:rPr>
          <w:spacing w:val="60"/>
          <w:w w:val="105"/>
        </w:rPr>
        <w:t> </w:t>
      </w:r>
      <w:r>
        <w:rPr>
          <w:w w:val="105"/>
        </w:rPr>
        <w:t>automatic</w:t>
      </w:r>
    </w:p>
    <w:p>
      <w:pPr>
        <w:tabs>
          <w:tab w:pos="1339" w:val="left" w:leader="none"/>
        </w:tabs>
        <w:spacing w:before="202"/>
        <w:ind w:left="230" w:right="0" w:firstLine="0"/>
        <w:jc w:val="left"/>
        <w:rPr>
          <w:sz w:val="24"/>
        </w:rPr>
      </w:pPr>
      <w:r>
        <w:rPr>
          <w:rFonts w:ascii="Arial" w:hAnsi="Arial"/>
          <w:w w:val="105"/>
          <w:sz w:val="12"/>
        </w:rPr>
        <w:t>987</w:t>
        <w:tab/>
      </w:r>
      <w:r>
        <w:rPr>
          <w:w w:val="105"/>
          <w:sz w:val="24"/>
        </w:rPr>
        <w:t>approach tendencies </w:t>
      </w:r>
      <w:r>
        <w:rPr>
          <w:spacing w:val="-3"/>
          <w:w w:val="105"/>
          <w:sz w:val="24"/>
        </w:rPr>
        <w:t>towards </w:t>
      </w:r>
      <w:r>
        <w:rPr>
          <w:spacing w:val="2"/>
          <w:w w:val="105"/>
          <w:sz w:val="24"/>
        </w:rPr>
        <w:t>food. </w:t>
      </w:r>
      <w:r>
        <w:rPr>
          <w:i/>
          <w:spacing w:val="-3"/>
          <w:w w:val="105"/>
          <w:sz w:val="24"/>
        </w:rPr>
        <w:t>Appetite</w:t>
      </w:r>
      <w:r>
        <w:rPr>
          <w:spacing w:val="-3"/>
          <w:w w:val="105"/>
          <w:sz w:val="24"/>
        </w:rPr>
        <w:t>, </w:t>
      </w:r>
      <w:r>
        <w:rPr>
          <w:i/>
          <w:w w:val="105"/>
          <w:sz w:val="24"/>
        </w:rPr>
        <w:t>55 </w:t>
      </w:r>
      <w:r>
        <w:rPr>
          <w:w w:val="105"/>
          <w:sz w:val="24"/>
        </w:rPr>
        <w:t>(1),</w:t>
      </w:r>
      <w:r>
        <w:rPr>
          <w:spacing w:val="12"/>
          <w:w w:val="105"/>
          <w:sz w:val="24"/>
        </w:rPr>
        <w:t> </w:t>
      </w:r>
      <w:r>
        <w:rPr>
          <w:w w:val="105"/>
          <w:sz w:val="24"/>
        </w:rPr>
        <w:t>30–36.</w:t>
      </w:r>
    </w:p>
    <w:p>
      <w:pPr>
        <w:pStyle w:val="BodyText"/>
        <w:tabs>
          <w:tab w:pos="1339" w:val="left" w:leader="none"/>
        </w:tabs>
      </w:pPr>
      <w:r>
        <w:rPr>
          <w:rFonts w:ascii="Arial"/>
          <w:w w:val="105"/>
          <w:sz w:val="12"/>
        </w:rPr>
        <w:t>988</w:t>
        <w:tab/>
      </w:r>
      <w:hyperlink r:id="rId68">
        <w:r>
          <w:rPr>
            <w:w w:val="105"/>
          </w:rPr>
          <w:t>https://doi.org/10.1016/j.appet.2010.03.007</w:t>
        </w:r>
      </w:hyperlink>
    </w:p>
    <w:p>
      <w:pPr>
        <w:pStyle w:val="BodyText"/>
        <w:spacing w:before="4"/>
        <w:ind w:left="0"/>
        <w:rPr>
          <w:sz w:val="26"/>
        </w:rPr>
      </w:pPr>
    </w:p>
    <w:p>
      <w:pPr>
        <w:pStyle w:val="BodyText"/>
        <w:spacing w:before="146"/>
      </w:pPr>
      <w:r>
        <w:rPr>
          <w:rFonts w:ascii="Arial" w:hAnsi="Arial"/>
          <w:w w:val="105"/>
          <w:sz w:val="12"/>
        </w:rPr>
        <w:t>989 </w:t>
      </w:r>
      <w:r>
        <w:rPr>
          <w:w w:val="105"/>
        </w:rPr>
        <w:t>Veling, H., Aarts, H., &amp; Papies, E. K. (2011). Using stop signals to inhibit chronic dieters’</w:t>
      </w:r>
    </w:p>
    <w:p>
      <w:pPr>
        <w:tabs>
          <w:tab w:pos="1339" w:val="left" w:leader="none"/>
        </w:tabs>
        <w:spacing w:before="202"/>
        <w:ind w:left="230" w:right="0" w:firstLine="0"/>
        <w:jc w:val="left"/>
        <w:rPr>
          <w:sz w:val="24"/>
        </w:rPr>
      </w:pPr>
      <w:r>
        <w:rPr>
          <w:rFonts w:ascii="Arial" w:hAnsi="Arial"/>
          <w:w w:val="105"/>
          <w:sz w:val="12"/>
        </w:rPr>
        <w:t>990</w:t>
        <w:tab/>
      </w:r>
      <w:r>
        <w:rPr>
          <w:w w:val="105"/>
          <w:sz w:val="24"/>
        </w:rPr>
        <w:t>responses </w:t>
      </w:r>
      <w:r>
        <w:rPr>
          <w:spacing w:val="-3"/>
          <w:w w:val="105"/>
          <w:sz w:val="24"/>
        </w:rPr>
        <w:t>toward </w:t>
      </w:r>
      <w:r>
        <w:rPr>
          <w:w w:val="105"/>
          <w:sz w:val="24"/>
        </w:rPr>
        <w:t>palatable foods. </w:t>
      </w:r>
      <w:r>
        <w:rPr>
          <w:i/>
          <w:w w:val="105"/>
          <w:sz w:val="24"/>
        </w:rPr>
        <w:t>Behav. </w:t>
      </w:r>
      <w:r>
        <w:rPr>
          <w:i/>
          <w:spacing w:val="-3"/>
          <w:w w:val="105"/>
          <w:sz w:val="24"/>
        </w:rPr>
        <w:t>Res. </w:t>
      </w:r>
      <w:r>
        <w:rPr>
          <w:i/>
          <w:w w:val="105"/>
          <w:sz w:val="24"/>
        </w:rPr>
        <w:t>Ther.</w:t>
      </w:r>
      <w:r>
        <w:rPr>
          <w:w w:val="105"/>
          <w:sz w:val="24"/>
        </w:rPr>
        <w:t>, </w:t>
      </w:r>
      <w:r>
        <w:rPr>
          <w:i/>
          <w:w w:val="105"/>
          <w:sz w:val="24"/>
        </w:rPr>
        <w:t>49 </w:t>
      </w:r>
      <w:r>
        <w:rPr>
          <w:w w:val="105"/>
          <w:sz w:val="24"/>
        </w:rPr>
        <w:t>(11),</w:t>
      </w:r>
      <w:r>
        <w:rPr>
          <w:spacing w:val="-23"/>
          <w:w w:val="105"/>
          <w:sz w:val="24"/>
        </w:rPr>
        <w:t> </w:t>
      </w:r>
      <w:r>
        <w:rPr>
          <w:w w:val="105"/>
          <w:sz w:val="24"/>
        </w:rPr>
        <w:t>771–780.</w:t>
      </w:r>
    </w:p>
    <w:p>
      <w:pPr>
        <w:pStyle w:val="BodyText"/>
        <w:tabs>
          <w:tab w:pos="1339" w:val="left" w:leader="none"/>
        </w:tabs>
      </w:pPr>
      <w:r>
        <w:rPr>
          <w:rFonts w:ascii="Arial"/>
          <w:w w:val="105"/>
          <w:sz w:val="12"/>
        </w:rPr>
        <w:t>991</w:t>
        <w:tab/>
      </w:r>
      <w:hyperlink r:id="rId69">
        <w:r>
          <w:rPr>
            <w:w w:val="105"/>
          </w:rPr>
          <w:t>https://doi.org/10.1016/j.brat.2011.08.005</w:t>
        </w:r>
      </w:hyperlink>
    </w:p>
    <w:p>
      <w:pPr>
        <w:pStyle w:val="BodyText"/>
        <w:spacing w:before="4"/>
        <w:ind w:left="0"/>
        <w:rPr>
          <w:sz w:val="26"/>
        </w:rPr>
      </w:pPr>
    </w:p>
    <w:p>
      <w:pPr>
        <w:pStyle w:val="BodyText"/>
        <w:spacing w:before="145"/>
      </w:pPr>
      <w:r>
        <w:rPr>
          <w:rFonts w:ascii="Arial"/>
          <w:w w:val="105"/>
          <w:sz w:val="12"/>
        </w:rPr>
        <w:t>992 </w:t>
      </w:r>
      <w:r>
        <w:rPr>
          <w:w w:val="105"/>
        </w:rPr>
        <w:t>Veling, H., Aarts, H., &amp; Stroebe, W. (2013a). Stop signals decrease choices for palatable</w:t>
      </w:r>
    </w:p>
    <w:p>
      <w:pPr>
        <w:tabs>
          <w:tab w:pos="1339" w:val="left" w:leader="none"/>
        </w:tabs>
        <w:spacing w:before="202"/>
        <w:ind w:left="230" w:right="0" w:firstLine="0"/>
        <w:jc w:val="left"/>
        <w:rPr>
          <w:sz w:val="24"/>
        </w:rPr>
      </w:pPr>
      <w:r>
        <w:rPr>
          <w:rFonts w:ascii="Arial" w:hAnsi="Arial"/>
          <w:w w:val="105"/>
          <w:sz w:val="12"/>
        </w:rPr>
        <w:t>993</w:t>
        <w:tab/>
      </w:r>
      <w:r>
        <w:rPr>
          <w:spacing w:val="2"/>
          <w:w w:val="105"/>
          <w:sz w:val="24"/>
        </w:rPr>
        <w:t>foods </w:t>
      </w:r>
      <w:r>
        <w:rPr>
          <w:w w:val="105"/>
          <w:sz w:val="24"/>
        </w:rPr>
        <w:t>through decreased </w:t>
      </w:r>
      <w:r>
        <w:rPr>
          <w:spacing w:val="3"/>
          <w:w w:val="105"/>
          <w:sz w:val="24"/>
        </w:rPr>
        <w:t>food </w:t>
      </w:r>
      <w:r>
        <w:rPr>
          <w:w w:val="105"/>
          <w:sz w:val="24"/>
        </w:rPr>
        <w:t>evaluation. </w:t>
      </w:r>
      <w:r>
        <w:rPr>
          <w:i/>
          <w:spacing w:val="-6"/>
          <w:w w:val="105"/>
          <w:sz w:val="24"/>
        </w:rPr>
        <w:t>Front. </w:t>
      </w:r>
      <w:r>
        <w:rPr>
          <w:i/>
          <w:w w:val="105"/>
          <w:sz w:val="24"/>
        </w:rPr>
        <w:t>Psychol.</w:t>
      </w:r>
      <w:r>
        <w:rPr>
          <w:w w:val="105"/>
          <w:sz w:val="24"/>
        </w:rPr>
        <w:t>, </w:t>
      </w:r>
      <w:r>
        <w:rPr>
          <w:i/>
          <w:w w:val="105"/>
          <w:sz w:val="24"/>
        </w:rPr>
        <w:t>4 </w:t>
      </w:r>
      <w:r>
        <w:rPr>
          <w:w w:val="105"/>
          <w:sz w:val="24"/>
        </w:rPr>
        <w:t>(875),</w:t>
      </w:r>
      <w:r>
        <w:rPr>
          <w:spacing w:val="-11"/>
          <w:w w:val="105"/>
          <w:sz w:val="24"/>
        </w:rPr>
        <w:t> </w:t>
      </w:r>
      <w:r>
        <w:rPr>
          <w:w w:val="105"/>
          <w:sz w:val="24"/>
        </w:rPr>
        <w:t>1–7.</w:t>
      </w:r>
    </w:p>
    <w:p>
      <w:pPr>
        <w:pStyle w:val="BodyText"/>
        <w:tabs>
          <w:tab w:pos="1339" w:val="left" w:leader="none"/>
        </w:tabs>
        <w:spacing w:before="203"/>
      </w:pPr>
      <w:r>
        <w:rPr>
          <w:rFonts w:ascii="Arial"/>
          <w:w w:val="105"/>
          <w:sz w:val="12"/>
        </w:rPr>
        <w:t>994</w:t>
        <w:tab/>
      </w:r>
      <w:hyperlink r:id="rId70">
        <w:r>
          <w:rPr>
            <w:w w:val="105"/>
          </w:rPr>
          <w:t>https://doi.org/10.3389/fpsyg.2013.00875</w:t>
        </w:r>
      </w:hyperlink>
    </w:p>
    <w:p>
      <w:pPr>
        <w:pStyle w:val="BodyText"/>
        <w:spacing w:before="3"/>
        <w:ind w:left="0"/>
        <w:rPr>
          <w:sz w:val="26"/>
        </w:rPr>
      </w:pPr>
    </w:p>
    <w:p>
      <w:pPr>
        <w:pStyle w:val="BodyText"/>
        <w:spacing w:before="146"/>
      </w:pPr>
      <w:r>
        <w:rPr>
          <w:rFonts w:ascii="Arial"/>
          <w:sz w:val="12"/>
        </w:rPr>
        <w:t>995 </w:t>
      </w:r>
      <w:r>
        <w:rPr>
          <w:spacing w:val="-3"/>
        </w:rPr>
        <w:t>Veling, </w:t>
      </w:r>
      <w:r>
        <w:rPr/>
        <w:t>H., Aarts, H., &amp; Stroebe, W. (2013b).</w:t>
      </w:r>
      <w:r>
        <w:rPr>
          <w:spacing w:val="52"/>
        </w:rPr>
        <w:t> </w:t>
      </w:r>
      <w:r>
        <w:rPr/>
        <w:t>Using stop signals to reduce impulsive choices</w:t>
      </w:r>
    </w:p>
    <w:p>
      <w:pPr>
        <w:tabs>
          <w:tab w:pos="1339" w:val="left" w:leader="none"/>
        </w:tabs>
        <w:spacing w:before="202"/>
        <w:ind w:left="230" w:right="0" w:firstLine="0"/>
        <w:jc w:val="left"/>
        <w:rPr>
          <w:sz w:val="24"/>
        </w:rPr>
      </w:pPr>
      <w:r>
        <w:rPr>
          <w:rFonts w:ascii="Arial" w:hAnsi="Arial"/>
          <w:w w:val="105"/>
          <w:sz w:val="12"/>
        </w:rPr>
        <w:t>996</w:t>
        <w:tab/>
      </w:r>
      <w:r>
        <w:rPr>
          <w:w w:val="105"/>
          <w:sz w:val="24"/>
        </w:rPr>
        <w:t>for palatable unhealthy foods. </w:t>
      </w:r>
      <w:r>
        <w:rPr>
          <w:i/>
          <w:w w:val="105"/>
          <w:sz w:val="24"/>
        </w:rPr>
        <w:t>Br. J. </w:t>
      </w:r>
      <w:r>
        <w:rPr>
          <w:i/>
          <w:spacing w:val="-3"/>
          <w:w w:val="105"/>
          <w:sz w:val="24"/>
        </w:rPr>
        <w:t>Health </w:t>
      </w:r>
      <w:r>
        <w:rPr>
          <w:i/>
          <w:w w:val="105"/>
          <w:sz w:val="24"/>
        </w:rPr>
        <w:t>Psychol.</w:t>
      </w:r>
      <w:r>
        <w:rPr>
          <w:w w:val="105"/>
          <w:sz w:val="24"/>
        </w:rPr>
        <w:t>, </w:t>
      </w:r>
      <w:r>
        <w:rPr>
          <w:i/>
          <w:w w:val="105"/>
          <w:sz w:val="24"/>
        </w:rPr>
        <w:t>18 </w:t>
      </w:r>
      <w:r>
        <w:rPr>
          <w:w w:val="105"/>
          <w:sz w:val="24"/>
        </w:rPr>
        <w:t>(2),</w:t>
      </w:r>
      <w:r>
        <w:rPr>
          <w:spacing w:val="-34"/>
          <w:w w:val="105"/>
          <w:sz w:val="24"/>
        </w:rPr>
        <w:t> </w:t>
      </w:r>
      <w:r>
        <w:rPr>
          <w:w w:val="105"/>
          <w:sz w:val="24"/>
        </w:rPr>
        <w:t>354–368.</w:t>
      </w:r>
    </w:p>
    <w:p>
      <w:pPr>
        <w:pStyle w:val="BodyText"/>
        <w:tabs>
          <w:tab w:pos="1339" w:val="left" w:leader="none"/>
        </w:tabs>
      </w:pPr>
      <w:r>
        <w:rPr>
          <w:rFonts w:ascii="Arial"/>
          <w:sz w:val="12"/>
        </w:rPr>
        <w:t>997</w:t>
        <w:tab/>
      </w:r>
      <w:hyperlink r:id="rId71">
        <w:r>
          <w:rPr/>
          <w:t>https://doi.org/10.1111/j.2044-8287.2012.02092.x</w:t>
        </w:r>
      </w:hyperlink>
    </w:p>
    <w:p>
      <w:pPr>
        <w:pStyle w:val="BodyText"/>
        <w:spacing w:before="0"/>
        <w:ind w:left="0"/>
        <w:rPr>
          <w:sz w:val="20"/>
        </w:rPr>
      </w:pPr>
    </w:p>
    <w:p>
      <w:pPr>
        <w:pStyle w:val="BodyText"/>
        <w:spacing w:before="1"/>
        <w:ind w:left="0"/>
        <w:rPr>
          <w:sz w:val="15"/>
        </w:rPr>
      </w:pPr>
    </w:p>
    <w:tbl>
      <w:tblPr>
        <w:tblW w:w="0" w:type="auto"/>
        <w:jc w:val="left"/>
        <w:tblInd w:w="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5"/>
        <w:gridCol w:w="9122"/>
      </w:tblGrid>
      <w:tr>
        <w:trPr>
          <w:trHeight w:val="407" w:hRule="atLeast"/>
        </w:trPr>
        <w:tc>
          <w:tcPr>
            <w:tcW w:w="755" w:type="dxa"/>
          </w:tcPr>
          <w:p>
            <w:pPr>
              <w:pStyle w:val="TableParagraph"/>
              <w:spacing w:before="45"/>
              <w:ind w:left="113" w:right="-15"/>
              <w:rPr>
                <w:sz w:val="24"/>
              </w:rPr>
            </w:pPr>
            <w:r>
              <w:rPr>
                <w:rFonts w:ascii="Arial"/>
                <w:sz w:val="12"/>
              </w:rPr>
              <w:t>998</w:t>
            </w:r>
            <w:r>
              <w:rPr>
                <w:rFonts w:ascii="Arial"/>
                <w:spacing w:val="23"/>
                <w:sz w:val="12"/>
              </w:rPr>
              <w:t> </w:t>
            </w:r>
            <w:r>
              <w:rPr>
                <w:spacing w:val="-19"/>
                <w:sz w:val="24"/>
              </w:rPr>
              <w:t>Ve</w:t>
            </w:r>
          </w:p>
        </w:tc>
        <w:tc>
          <w:tcPr>
            <w:tcW w:w="9122" w:type="dxa"/>
          </w:tcPr>
          <w:p>
            <w:pPr>
              <w:pStyle w:val="TableParagraph"/>
              <w:spacing w:before="45"/>
              <w:ind w:left="8" w:right="-15"/>
              <w:rPr>
                <w:sz w:val="24"/>
              </w:rPr>
            </w:pPr>
            <w:r>
              <w:rPr>
                <w:w w:val="105"/>
                <w:sz w:val="24"/>
              </w:rPr>
              <w:t>ling,</w:t>
            </w:r>
            <w:r>
              <w:rPr>
                <w:spacing w:val="11"/>
                <w:w w:val="105"/>
                <w:sz w:val="24"/>
              </w:rPr>
              <w:t> </w:t>
            </w:r>
            <w:r>
              <w:rPr>
                <w:w w:val="105"/>
                <w:sz w:val="24"/>
              </w:rPr>
              <w:t>H.,</w:t>
            </w:r>
            <w:r>
              <w:rPr>
                <w:spacing w:val="10"/>
                <w:w w:val="105"/>
                <w:sz w:val="24"/>
              </w:rPr>
              <w:t> </w:t>
            </w:r>
            <w:r>
              <w:rPr>
                <w:w w:val="105"/>
                <w:sz w:val="24"/>
              </w:rPr>
              <w:t>Chen,</w:t>
            </w:r>
            <w:r>
              <w:rPr>
                <w:spacing w:val="11"/>
                <w:w w:val="105"/>
                <w:sz w:val="24"/>
              </w:rPr>
              <w:t> </w:t>
            </w:r>
            <w:r>
              <w:rPr>
                <w:w w:val="105"/>
                <w:sz w:val="24"/>
              </w:rPr>
              <w:t>Z.,</w:t>
            </w:r>
            <w:r>
              <w:rPr>
                <w:spacing w:val="11"/>
                <w:w w:val="105"/>
                <w:sz w:val="24"/>
              </w:rPr>
              <w:t> </w:t>
            </w:r>
            <w:r>
              <w:rPr>
                <w:spacing w:val="-4"/>
                <w:w w:val="105"/>
                <w:sz w:val="24"/>
              </w:rPr>
              <w:t>Tombrock,</w:t>
            </w:r>
            <w:r>
              <w:rPr>
                <w:spacing w:val="11"/>
                <w:w w:val="105"/>
                <w:sz w:val="24"/>
              </w:rPr>
              <w:t> </w:t>
            </w:r>
            <w:r>
              <w:rPr>
                <w:w w:val="105"/>
                <w:sz w:val="24"/>
              </w:rPr>
              <w:t>M.</w:t>
            </w:r>
            <w:r>
              <w:rPr>
                <w:spacing w:val="11"/>
                <w:w w:val="105"/>
                <w:sz w:val="24"/>
              </w:rPr>
              <w:t> </w:t>
            </w:r>
            <w:r>
              <w:rPr>
                <w:w w:val="105"/>
                <w:sz w:val="24"/>
              </w:rPr>
              <w:t>C.,</w:t>
            </w:r>
            <w:r>
              <w:rPr>
                <w:spacing w:val="11"/>
                <w:w w:val="105"/>
                <w:sz w:val="24"/>
              </w:rPr>
              <w:t> </w:t>
            </w:r>
            <w:r>
              <w:rPr>
                <w:w w:val="105"/>
                <w:sz w:val="24"/>
              </w:rPr>
              <w:t>M.</w:t>
            </w:r>
            <w:r>
              <w:rPr>
                <w:spacing w:val="11"/>
                <w:w w:val="105"/>
                <w:sz w:val="24"/>
              </w:rPr>
              <w:t> </w:t>
            </w:r>
            <w:r>
              <w:rPr>
                <w:w w:val="105"/>
                <w:sz w:val="24"/>
              </w:rPr>
              <w:t>Verpaalen,</w:t>
            </w:r>
            <w:r>
              <w:rPr>
                <w:spacing w:val="12"/>
                <w:w w:val="105"/>
                <w:sz w:val="24"/>
              </w:rPr>
              <w:t> </w:t>
            </w:r>
            <w:r>
              <w:rPr>
                <w:w w:val="105"/>
                <w:sz w:val="24"/>
              </w:rPr>
              <w:t>I.</w:t>
            </w:r>
            <w:r>
              <w:rPr>
                <w:spacing w:val="11"/>
                <w:w w:val="105"/>
                <w:sz w:val="24"/>
              </w:rPr>
              <w:t> </w:t>
            </w:r>
            <w:r>
              <w:rPr>
                <w:w w:val="105"/>
                <w:sz w:val="24"/>
              </w:rPr>
              <w:t>a.,</w:t>
            </w:r>
            <w:r>
              <w:rPr>
                <w:spacing w:val="11"/>
                <w:w w:val="105"/>
                <w:sz w:val="24"/>
              </w:rPr>
              <w:t> </w:t>
            </w:r>
            <w:r>
              <w:rPr>
                <w:w w:val="105"/>
                <w:sz w:val="24"/>
              </w:rPr>
              <w:t>Schmitz,</w:t>
            </w:r>
            <w:r>
              <w:rPr>
                <w:spacing w:val="10"/>
                <w:w w:val="105"/>
                <w:sz w:val="24"/>
              </w:rPr>
              <w:t> </w:t>
            </w:r>
            <w:r>
              <w:rPr>
                <w:w w:val="105"/>
                <w:sz w:val="24"/>
              </w:rPr>
              <w:t>L.</w:t>
            </w:r>
            <w:r>
              <w:rPr>
                <w:spacing w:val="11"/>
                <w:w w:val="105"/>
                <w:sz w:val="24"/>
              </w:rPr>
              <w:t> </w:t>
            </w:r>
            <w:r>
              <w:rPr>
                <w:w w:val="105"/>
                <w:sz w:val="24"/>
              </w:rPr>
              <w:t>I.,</w:t>
            </w:r>
            <w:r>
              <w:rPr>
                <w:spacing w:val="11"/>
                <w:w w:val="105"/>
                <w:sz w:val="24"/>
              </w:rPr>
              <w:t> </w:t>
            </w:r>
            <w:r>
              <w:rPr>
                <w:w w:val="105"/>
                <w:sz w:val="24"/>
              </w:rPr>
              <w:t>Dijksterhuis,</w:t>
            </w:r>
            <w:r>
              <w:rPr>
                <w:spacing w:val="11"/>
                <w:w w:val="105"/>
                <w:sz w:val="24"/>
              </w:rPr>
              <w:t> </w:t>
            </w:r>
            <w:r>
              <w:rPr>
                <w:w w:val="105"/>
                <w:sz w:val="24"/>
              </w:rPr>
              <w:t>A.,</w:t>
            </w:r>
          </w:p>
        </w:tc>
      </w:tr>
      <w:tr>
        <w:trPr>
          <w:trHeight w:val="478" w:hRule="atLeast"/>
        </w:trPr>
        <w:tc>
          <w:tcPr>
            <w:tcW w:w="755" w:type="dxa"/>
          </w:tcPr>
          <w:p>
            <w:pPr>
              <w:pStyle w:val="TableParagraph"/>
              <w:spacing w:before="9"/>
              <w:rPr>
                <w:sz w:val="19"/>
              </w:rPr>
            </w:pPr>
          </w:p>
          <w:p>
            <w:pPr>
              <w:pStyle w:val="TableParagraph"/>
              <w:ind w:left="113"/>
              <w:rPr>
                <w:rFonts w:ascii="Arial"/>
                <w:sz w:val="12"/>
              </w:rPr>
            </w:pPr>
            <w:r>
              <w:rPr>
                <w:rFonts w:ascii="Arial"/>
                <w:sz w:val="12"/>
              </w:rPr>
              <w:t>999</w:t>
            </w:r>
          </w:p>
        </w:tc>
        <w:tc>
          <w:tcPr>
            <w:tcW w:w="9122" w:type="dxa"/>
          </w:tcPr>
          <w:p>
            <w:pPr>
              <w:pStyle w:val="TableParagraph"/>
              <w:spacing w:before="116"/>
              <w:ind w:left="468"/>
              <w:rPr>
                <w:sz w:val="24"/>
              </w:rPr>
            </w:pPr>
            <w:r>
              <w:rPr>
                <w:w w:val="105"/>
                <w:sz w:val="24"/>
              </w:rPr>
              <w:t>&amp; Holland, R. W. (2017). Training Impulsive Choices for Healthy and Sustainable</w:t>
            </w:r>
          </w:p>
        </w:tc>
      </w:tr>
      <w:tr>
        <w:trPr>
          <w:trHeight w:val="602"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1000</w:t>
            </w:r>
          </w:p>
        </w:tc>
        <w:tc>
          <w:tcPr>
            <w:tcW w:w="9122" w:type="dxa"/>
          </w:tcPr>
          <w:p>
            <w:pPr>
              <w:pStyle w:val="TableParagraph"/>
              <w:spacing w:before="116"/>
              <w:ind w:left="468"/>
              <w:rPr>
                <w:sz w:val="24"/>
              </w:rPr>
            </w:pPr>
            <w:r>
              <w:rPr>
                <w:w w:val="105"/>
                <w:sz w:val="24"/>
              </w:rPr>
              <w:t>Food. </w:t>
            </w:r>
            <w:r>
              <w:rPr>
                <w:i/>
                <w:w w:val="105"/>
                <w:sz w:val="24"/>
              </w:rPr>
              <w:t>J. Exp. Psychol. Appl.</w:t>
            </w:r>
            <w:r>
              <w:rPr>
                <w:w w:val="105"/>
                <w:sz w:val="24"/>
              </w:rPr>
              <w:t>, </w:t>
            </w:r>
            <w:r>
              <w:rPr>
                <w:i/>
                <w:w w:val="105"/>
                <w:sz w:val="24"/>
              </w:rPr>
              <w:t>23 </w:t>
            </w:r>
            <w:r>
              <w:rPr>
                <w:w w:val="105"/>
                <w:sz w:val="24"/>
              </w:rPr>
              <w:t>(1), 1–14. </w:t>
            </w:r>
            <w:hyperlink r:id="rId72">
              <w:r>
                <w:rPr>
                  <w:w w:val="105"/>
                  <w:sz w:val="24"/>
                </w:rPr>
                <w:t>https://doi.org/10.1037/xap0000112</w:t>
              </w:r>
            </w:hyperlink>
          </w:p>
        </w:tc>
      </w:tr>
      <w:tr>
        <w:trPr>
          <w:trHeight w:val="600" w:hRule="atLeast"/>
        </w:trPr>
        <w:tc>
          <w:tcPr>
            <w:tcW w:w="755" w:type="dxa"/>
          </w:tcPr>
          <w:p>
            <w:pPr>
              <w:pStyle w:val="TableParagraph"/>
              <w:spacing w:before="238"/>
              <w:ind w:left="50" w:right="-15"/>
              <w:rPr>
                <w:sz w:val="24"/>
              </w:rPr>
            </w:pPr>
            <w:r>
              <w:rPr>
                <w:rFonts w:ascii="Arial"/>
                <w:sz w:val="12"/>
              </w:rPr>
              <w:t>1001</w:t>
            </w:r>
            <w:r>
              <w:rPr>
                <w:rFonts w:ascii="Arial"/>
                <w:spacing w:val="20"/>
                <w:sz w:val="12"/>
              </w:rPr>
              <w:t> </w:t>
            </w:r>
            <w:r>
              <w:rPr>
                <w:spacing w:val="-19"/>
                <w:sz w:val="24"/>
              </w:rPr>
              <w:t>Ve</w:t>
            </w:r>
          </w:p>
        </w:tc>
        <w:tc>
          <w:tcPr>
            <w:tcW w:w="9122" w:type="dxa"/>
          </w:tcPr>
          <w:p>
            <w:pPr>
              <w:pStyle w:val="TableParagraph"/>
              <w:spacing w:before="238"/>
              <w:ind w:left="6"/>
              <w:rPr>
                <w:sz w:val="24"/>
              </w:rPr>
            </w:pPr>
            <w:r>
              <w:rPr>
                <w:w w:val="105"/>
                <w:sz w:val="24"/>
              </w:rPr>
              <w:t>ling, H., Holland, R. W., &amp; van Knippenberg, A. (2008). When approach motivation and</w:t>
            </w:r>
          </w:p>
        </w:tc>
      </w:tr>
      <w:tr>
        <w:trPr>
          <w:trHeight w:val="478"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1002</w:t>
            </w:r>
          </w:p>
        </w:tc>
        <w:tc>
          <w:tcPr>
            <w:tcW w:w="9122" w:type="dxa"/>
          </w:tcPr>
          <w:p>
            <w:pPr>
              <w:pStyle w:val="TableParagraph"/>
              <w:spacing w:before="116"/>
              <w:ind w:left="468"/>
              <w:rPr>
                <w:sz w:val="24"/>
              </w:rPr>
            </w:pPr>
            <w:r>
              <w:rPr>
                <w:w w:val="105"/>
                <w:sz w:val="24"/>
              </w:rPr>
              <w:t>behavioral inhibition collide: Behavior regulation through stimulus devaluation.</w:t>
            </w:r>
          </w:p>
        </w:tc>
      </w:tr>
      <w:tr>
        <w:trPr>
          <w:trHeight w:val="479"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1003</w:t>
            </w:r>
          </w:p>
        </w:tc>
        <w:tc>
          <w:tcPr>
            <w:tcW w:w="9122" w:type="dxa"/>
          </w:tcPr>
          <w:p>
            <w:pPr>
              <w:pStyle w:val="TableParagraph"/>
              <w:spacing w:before="116"/>
              <w:ind w:left="451"/>
              <w:rPr>
                <w:sz w:val="24"/>
              </w:rPr>
            </w:pPr>
            <w:r>
              <w:rPr>
                <w:i/>
                <w:sz w:val="24"/>
              </w:rPr>
              <w:t>Journal of Experimental Social Psychology</w:t>
            </w:r>
            <w:r>
              <w:rPr>
                <w:sz w:val="24"/>
              </w:rPr>
              <w:t>, </w:t>
            </w:r>
            <w:r>
              <w:rPr>
                <w:i/>
                <w:sz w:val="24"/>
              </w:rPr>
              <w:t>44 </w:t>
            </w:r>
            <w:r>
              <w:rPr>
                <w:sz w:val="24"/>
              </w:rPr>
              <w:t>(4), 1013–1019.</w:t>
            </w:r>
          </w:p>
        </w:tc>
      </w:tr>
      <w:tr>
        <w:trPr>
          <w:trHeight w:val="406" w:hRule="atLeast"/>
        </w:trPr>
        <w:tc>
          <w:tcPr>
            <w:tcW w:w="755" w:type="dxa"/>
          </w:tcPr>
          <w:p>
            <w:pPr>
              <w:pStyle w:val="TableParagraph"/>
              <w:spacing w:before="8"/>
              <w:rPr>
                <w:sz w:val="19"/>
              </w:rPr>
            </w:pPr>
          </w:p>
          <w:p>
            <w:pPr>
              <w:pStyle w:val="TableParagraph"/>
              <w:ind w:left="50"/>
              <w:rPr>
                <w:rFonts w:ascii="Arial"/>
                <w:sz w:val="12"/>
              </w:rPr>
            </w:pPr>
            <w:r>
              <w:rPr>
                <w:rFonts w:ascii="Arial"/>
                <w:sz w:val="12"/>
              </w:rPr>
              <w:t>1004</w:t>
            </w:r>
          </w:p>
        </w:tc>
        <w:tc>
          <w:tcPr>
            <w:tcW w:w="9122" w:type="dxa"/>
          </w:tcPr>
          <w:p>
            <w:pPr>
              <w:pStyle w:val="TableParagraph"/>
              <w:spacing w:line="271" w:lineRule="exact" w:before="115"/>
              <w:ind w:left="468"/>
              <w:rPr>
                <w:sz w:val="24"/>
              </w:rPr>
            </w:pPr>
            <w:hyperlink r:id="rId73">
              <w:r>
                <w:rPr>
                  <w:w w:val="105"/>
                  <w:sz w:val="24"/>
                </w:rPr>
                <w:t>https://doi.org/10.1016/j.jesp.2008.03.004</w:t>
              </w:r>
            </w:hyperlink>
          </w:p>
        </w:tc>
      </w:tr>
    </w:tbl>
    <w:p>
      <w:pPr>
        <w:pStyle w:val="BodyText"/>
        <w:spacing w:before="0"/>
        <w:ind w:left="0"/>
        <w:rPr>
          <w:sz w:val="25"/>
        </w:rPr>
      </w:pPr>
    </w:p>
    <w:p>
      <w:pPr>
        <w:spacing w:after="0"/>
        <w:rPr>
          <w:sz w:val="25"/>
        </w:rPr>
        <w:sectPr>
          <w:pgSz w:w="12240" w:h="15840"/>
          <w:pgMar w:header="649" w:footer="0" w:top="1320" w:bottom="280" w:left="820" w:right="1140"/>
        </w:sectPr>
      </w:pPr>
    </w:p>
    <w:p>
      <w:pPr>
        <w:pStyle w:val="BodyText"/>
        <w:spacing w:before="4"/>
        <w:ind w:left="0"/>
        <w:rPr>
          <w:sz w:val="22"/>
        </w:rPr>
      </w:pPr>
    </w:p>
    <w:p>
      <w:pPr>
        <w:spacing w:before="0"/>
        <w:ind w:left="166" w:right="0" w:firstLine="0"/>
        <w:jc w:val="left"/>
        <w:rPr>
          <w:rFonts w:ascii="Arial"/>
          <w:sz w:val="12"/>
        </w:rPr>
      </w:pPr>
      <w:r>
        <w:rPr>
          <w:rFonts w:ascii="Arial"/>
          <w:w w:val="95"/>
          <w:sz w:val="12"/>
        </w:rPr>
        <w:t>1005</w:t>
      </w:r>
    </w:p>
    <w:p>
      <w:pPr>
        <w:pStyle w:val="BodyText"/>
        <w:spacing w:before="146"/>
        <w:ind w:left="159"/>
      </w:pPr>
      <w:r>
        <w:rPr/>
        <w:br w:type="column"/>
      </w:r>
      <w:r>
        <w:rPr/>
        <w:t>Veling, H., Lawrence, N. S., Chen, Z., van Koningsbruggen, G. M., &amp; Holland, R. W. (2017).</w:t>
      </w:r>
    </w:p>
    <w:p>
      <w:pPr>
        <w:spacing w:after="0"/>
        <w:sectPr>
          <w:type w:val="continuous"/>
          <w:pgSz w:w="12240" w:h="15840"/>
          <w:pgMar w:top="1320" w:bottom="280" w:left="820" w:right="1140"/>
          <w:cols w:num="2" w:equalWidth="0">
            <w:col w:w="421" w:space="39"/>
            <w:col w:w="9820"/>
          </w:cols>
        </w:sectPr>
      </w:pPr>
    </w:p>
    <w:p>
      <w:pPr>
        <w:pStyle w:val="BodyText"/>
        <w:spacing w:before="8"/>
        <w:ind w:left="0"/>
        <w:rPr>
          <w:sz w:val="12"/>
        </w:rPr>
      </w:pPr>
    </w:p>
    <w:tbl>
      <w:tblPr>
        <w:tblW w:w="0" w:type="auto"/>
        <w:jc w:val="left"/>
        <w:tblInd w:w="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5"/>
        <w:gridCol w:w="9156"/>
      </w:tblGrid>
      <w:tr>
        <w:trPr>
          <w:trHeight w:val="407" w:hRule="atLeast"/>
        </w:trPr>
        <w:tc>
          <w:tcPr>
            <w:tcW w:w="755" w:type="dxa"/>
          </w:tcPr>
          <w:p>
            <w:pPr>
              <w:pStyle w:val="TableParagraph"/>
              <w:spacing w:before="157"/>
              <w:ind w:left="50"/>
              <w:rPr>
                <w:rFonts w:ascii="Arial"/>
                <w:sz w:val="12"/>
              </w:rPr>
            </w:pPr>
            <w:r>
              <w:rPr>
                <w:rFonts w:ascii="Arial"/>
                <w:sz w:val="12"/>
              </w:rPr>
              <w:t>1006</w:t>
            </w:r>
          </w:p>
        </w:tc>
        <w:tc>
          <w:tcPr>
            <w:tcW w:w="9156" w:type="dxa"/>
          </w:tcPr>
          <w:p>
            <w:pPr>
              <w:pStyle w:val="TableParagraph"/>
              <w:spacing w:before="45"/>
              <w:ind w:left="456"/>
              <w:rPr>
                <w:sz w:val="24"/>
              </w:rPr>
            </w:pPr>
            <w:r>
              <w:rPr>
                <w:w w:val="105"/>
                <w:sz w:val="24"/>
              </w:rPr>
              <w:t>What Is Trained During Food Go/No-Go Training? A Review Focusing on</w:t>
            </w:r>
          </w:p>
        </w:tc>
      </w:tr>
      <w:tr>
        <w:trPr>
          <w:trHeight w:val="479"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1007</w:t>
            </w:r>
          </w:p>
        </w:tc>
        <w:tc>
          <w:tcPr>
            <w:tcW w:w="9156" w:type="dxa"/>
          </w:tcPr>
          <w:p>
            <w:pPr>
              <w:pStyle w:val="TableParagraph"/>
              <w:spacing w:before="116"/>
              <w:ind w:left="468"/>
              <w:rPr>
                <w:sz w:val="24"/>
              </w:rPr>
            </w:pPr>
            <w:r>
              <w:rPr>
                <w:w w:val="105"/>
                <w:sz w:val="24"/>
              </w:rPr>
              <w:t>Mechanisms and a Research Agenda. </w:t>
            </w:r>
            <w:r>
              <w:rPr>
                <w:i/>
                <w:w w:val="105"/>
                <w:sz w:val="24"/>
              </w:rPr>
              <w:t>Curr. Addict. Reports</w:t>
            </w:r>
            <w:r>
              <w:rPr>
                <w:w w:val="105"/>
                <w:sz w:val="24"/>
              </w:rPr>
              <w:t>, </w:t>
            </w:r>
            <w:r>
              <w:rPr>
                <w:i/>
                <w:w w:val="105"/>
                <w:sz w:val="24"/>
              </w:rPr>
              <w:t>4 </w:t>
            </w:r>
            <w:r>
              <w:rPr>
                <w:w w:val="105"/>
                <w:sz w:val="24"/>
              </w:rPr>
              <w:t>(1), 35–41.</w:t>
            </w:r>
          </w:p>
        </w:tc>
      </w:tr>
      <w:tr>
        <w:trPr>
          <w:trHeight w:val="600" w:hRule="atLeast"/>
        </w:trPr>
        <w:tc>
          <w:tcPr>
            <w:tcW w:w="755" w:type="dxa"/>
          </w:tcPr>
          <w:p>
            <w:pPr>
              <w:pStyle w:val="TableParagraph"/>
              <w:spacing w:before="8"/>
              <w:rPr>
                <w:sz w:val="19"/>
              </w:rPr>
            </w:pPr>
          </w:p>
          <w:p>
            <w:pPr>
              <w:pStyle w:val="TableParagraph"/>
              <w:ind w:left="50"/>
              <w:rPr>
                <w:rFonts w:ascii="Arial"/>
                <w:sz w:val="12"/>
              </w:rPr>
            </w:pPr>
            <w:r>
              <w:rPr>
                <w:rFonts w:ascii="Arial"/>
                <w:sz w:val="12"/>
              </w:rPr>
              <w:t>1008</w:t>
            </w:r>
          </w:p>
        </w:tc>
        <w:tc>
          <w:tcPr>
            <w:tcW w:w="9156" w:type="dxa"/>
          </w:tcPr>
          <w:p>
            <w:pPr>
              <w:pStyle w:val="TableParagraph"/>
              <w:spacing w:before="115"/>
              <w:ind w:left="468"/>
              <w:rPr>
                <w:sz w:val="24"/>
              </w:rPr>
            </w:pPr>
            <w:hyperlink r:id="rId74">
              <w:r>
                <w:rPr>
                  <w:w w:val="105"/>
                  <w:sz w:val="24"/>
                </w:rPr>
                <w:t>https://doi.org/10.1007/s40429-017-0131-5</w:t>
              </w:r>
            </w:hyperlink>
          </w:p>
        </w:tc>
      </w:tr>
      <w:tr>
        <w:trPr>
          <w:trHeight w:val="601" w:hRule="atLeast"/>
        </w:trPr>
        <w:tc>
          <w:tcPr>
            <w:tcW w:w="755" w:type="dxa"/>
          </w:tcPr>
          <w:p>
            <w:pPr>
              <w:pStyle w:val="TableParagraph"/>
              <w:spacing w:before="239"/>
              <w:ind w:left="50" w:right="-15"/>
              <w:rPr>
                <w:sz w:val="24"/>
              </w:rPr>
            </w:pPr>
            <w:r>
              <w:rPr>
                <w:rFonts w:ascii="Arial"/>
                <w:sz w:val="12"/>
              </w:rPr>
              <w:t>1009</w:t>
            </w:r>
            <w:r>
              <w:rPr>
                <w:rFonts w:ascii="Arial"/>
                <w:spacing w:val="21"/>
                <w:sz w:val="12"/>
              </w:rPr>
              <w:t> </w:t>
            </w:r>
            <w:r>
              <w:rPr>
                <w:spacing w:val="-20"/>
                <w:sz w:val="24"/>
              </w:rPr>
              <w:t>Ve</w:t>
            </w:r>
          </w:p>
        </w:tc>
        <w:tc>
          <w:tcPr>
            <w:tcW w:w="9156" w:type="dxa"/>
          </w:tcPr>
          <w:p>
            <w:pPr>
              <w:pStyle w:val="TableParagraph"/>
              <w:spacing w:before="239"/>
              <w:ind w:left="8"/>
              <w:rPr>
                <w:sz w:val="24"/>
              </w:rPr>
            </w:pPr>
            <w:r>
              <w:rPr>
                <w:w w:val="105"/>
                <w:sz w:val="24"/>
              </w:rPr>
              <w:t>ling, H., van Koningsbruggen, G. M., Aarts, H., &amp; Stroebe, W. (2014). Targeting</w:t>
            </w:r>
          </w:p>
        </w:tc>
      </w:tr>
      <w:tr>
        <w:trPr>
          <w:trHeight w:val="478"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1010</w:t>
            </w:r>
          </w:p>
        </w:tc>
        <w:tc>
          <w:tcPr>
            <w:tcW w:w="9156" w:type="dxa"/>
          </w:tcPr>
          <w:p>
            <w:pPr>
              <w:pStyle w:val="TableParagraph"/>
              <w:spacing w:before="116"/>
              <w:ind w:left="468"/>
              <w:rPr>
                <w:sz w:val="24"/>
              </w:rPr>
            </w:pPr>
            <w:r>
              <w:rPr>
                <w:w w:val="105"/>
                <w:sz w:val="24"/>
              </w:rPr>
              <w:t>impulsive processes of eating behavior via the internet. Effects on body weight.</w:t>
            </w:r>
          </w:p>
        </w:tc>
      </w:tr>
      <w:tr>
        <w:trPr>
          <w:trHeight w:val="602"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1011</w:t>
            </w:r>
          </w:p>
        </w:tc>
        <w:tc>
          <w:tcPr>
            <w:tcW w:w="9156" w:type="dxa"/>
          </w:tcPr>
          <w:p>
            <w:pPr>
              <w:pStyle w:val="TableParagraph"/>
              <w:spacing w:before="116"/>
              <w:ind w:left="450"/>
              <w:rPr>
                <w:sz w:val="24"/>
              </w:rPr>
            </w:pPr>
            <w:r>
              <w:rPr>
                <w:i/>
                <w:w w:val="105"/>
                <w:sz w:val="24"/>
              </w:rPr>
              <w:t>Appetite</w:t>
            </w:r>
            <w:r>
              <w:rPr>
                <w:w w:val="105"/>
                <w:sz w:val="24"/>
              </w:rPr>
              <w:t>, </w:t>
            </w:r>
            <w:r>
              <w:rPr>
                <w:i/>
                <w:w w:val="105"/>
                <w:sz w:val="24"/>
              </w:rPr>
              <w:t>78</w:t>
            </w:r>
            <w:r>
              <w:rPr>
                <w:w w:val="105"/>
                <w:sz w:val="24"/>
              </w:rPr>
              <w:t>, 102–109. </w:t>
            </w:r>
            <w:hyperlink r:id="rId75">
              <w:r>
                <w:rPr>
                  <w:w w:val="105"/>
                  <w:sz w:val="24"/>
                </w:rPr>
                <w:t>https://doi.org/10.1016/j.appet.2014.03.014</w:t>
              </w:r>
            </w:hyperlink>
          </w:p>
        </w:tc>
      </w:tr>
      <w:tr>
        <w:trPr>
          <w:trHeight w:val="600" w:hRule="atLeast"/>
        </w:trPr>
        <w:tc>
          <w:tcPr>
            <w:tcW w:w="755" w:type="dxa"/>
          </w:tcPr>
          <w:p>
            <w:pPr>
              <w:pStyle w:val="TableParagraph"/>
              <w:spacing w:before="238"/>
              <w:ind w:left="50" w:right="-15"/>
              <w:rPr>
                <w:sz w:val="24"/>
              </w:rPr>
            </w:pPr>
            <w:r>
              <w:rPr>
                <w:rFonts w:ascii="Arial"/>
                <w:sz w:val="12"/>
              </w:rPr>
              <w:t>1012</w:t>
            </w:r>
            <w:r>
              <w:rPr>
                <w:rFonts w:ascii="Arial"/>
                <w:spacing w:val="21"/>
                <w:sz w:val="12"/>
              </w:rPr>
              <w:t> </w:t>
            </w:r>
            <w:r>
              <w:rPr>
                <w:spacing w:val="-20"/>
                <w:sz w:val="24"/>
              </w:rPr>
              <w:t>Ve</w:t>
            </w:r>
          </w:p>
        </w:tc>
        <w:tc>
          <w:tcPr>
            <w:tcW w:w="9156" w:type="dxa"/>
          </w:tcPr>
          <w:p>
            <w:pPr>
              <w:pStyle w:val="TableParagraph"/>
              <w:spacing w:before="238"/>
              <w:ind w:left="8"/>
              <w:rPr>
                <w:sz w:val="24"/>
              </w:rPr>
            </w:pPr>
            <w:r>
              <w:rPr>
                <w:w w:val="105"/>
                <w:sz w:val="24"/>
              </w:rPr>
              <w:t>rbruggen, F., Best, M., Bowditch, W. A., Stevens, T., &amp; McLaren, I. P. (2014). The</w:t>
            </w:r>
          </w:p>
        </w:tc>
      </w:tr>
      <w:tr>
        <w:trPr>
          <w:trHeight w:val="479"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1013</w:t>
            </w:r>
          </w:p>
        </w:tc>
        <w:tc>
          <w:tcPr>
            <w:tcW w:w="9156" w:type="dxa"/>
          </w:tcPr>
          <w:p>
            <w:pPr>
              <w:pStyle w:val="TableParagraph"/>
              <w:spacing w:before="116"/>
              <w:ind w:left="468"/>
              <w:rPr>
                <w:sz w:val="24"/>
              </w:rPr>
            </w:pPr>
            <w:r>
              <w:rPr>
                <w:sz w:val="24"/>
              </w:rPr>
              <w:t>inhibitory control reflex. </w:t>
            </w:r>
            <w:r>
              <w:rPr>
                <w:i/>
                <w:sz w:val="24"/>
              </w:rPr>
              <w:t>Neuropsychologia</w:t>
            </w:r>
            <w:r>
              <w:rPr>
                <w:sz w:val="24"/>
              </w:rPr>
              <w:t>, </w:t>
            </w:r>
            <w:r>
              <w:rPr>
                <w:i/>
                <w:sz w:val="24"/>
              </w:rPr>
              <w:t>65 </w:t>
            </w:r>
            <w:r>
              <w:rPr>
                <w:sz w:val="24"/>
              </w:rPr>
              <w:t>(312445), 263–278.</w:t>
            </w:r>
          </w:p>
        </w:tc>
      </w:tr>
      <w:tr>
        <w:trPr>
          <w:trHeight w:val="600" w:hRule="atLeast"/>
        </w:trPr>
        <w:tc>
          <w:tcPr>
            <w:tcW w:w="755" w:type="dxa"/>
          </w:tcPr>
          <w:p>
            <w:pPr>
              <w:pStyle w:val="TableParagraph"/>
              <w:spacing w:before="8"/>
              <w:rPr>
                <w:sz w:val="19"/>
              </w:rPr>
            </w:pPr>
          </w:p>
          <w:p>
            <w:pPr>
              <w:pStyle w:val="TableParagraph"/>
              <w:ind w:left="50"/>
              <w:rPr>
                <w:rFonts w:ascii="Arial"/>
                <w:sz w:val="12"/>
              </w:rPr>
            </w:pPr>
            <w:r>
              <w:rPr>
                <w:rFonts w:ascii="Arial"/>
                <w:sz w:val="12"/>
              </w:rPr>
              <w:t>1014</w:t>
            </w:r>
          </w:p>
        </w:tc>
        <w:tc>
          <w:tcPr>
            <w:tcW w:w="9156" w:type="dxa"/>
          </w:tcPr>
          <w:p>
            <w:pPr>
              <w:pStyle w:val="TableParagraph"/>
              <w:spacing w:before="115"/>
              <w:ind w:left="468"/>
              <w:rPr>
                <w:sz w:val="24"/>
              </w:rPr>
            </w:pPr>
            <w:hyperlink r:id="rId76">
              <w:r>
                <w:rPr>
                  <w:w w:val="105"/>
                  <w:sz w:val="24"/>
                </w:rPr>
                <w:t>https://doi.org/10.1016/j.neuropsychologia.2014.08.014</w:t>
              </w:r>
            </w:hyperlink>
          </w:p>
        </w:tc>
      </w:tr>
      <w:tr>
        <w:trPr>
          <w:trHeight w:val="601" w:hRule="atLeast"/>
        </w:trPr>
        <w:tc>
          <w:tcPr>
            <w:tcW w:w="755" w:type="dxa"/>
          </w:tcPr>
          <w:p>
            <w:pPr>
              <w:pStyle w:val="TableParagraph"/>
              <w:spacing w:before="239"/>
              <w:ind w:left="50"/>
              <w:rPr>
                <w:sz w:val="24"/>
              </w:rPr>
            </w:pPr>
            <w:r>
              <w:rPr>
                <w:rFonts w:ascii="Arial"/>
                <w:sz w:val="12"/>
              </w:rPr>
              <w:t>1015 </w:t>
            </w:r>
            <w:r>
              <w:rPr>
                <w:sz w:val="24"/>
              </w:rPr>
              <w:t>W</w:t>
            </w:r>
          </w:p>
        </w:tc>
        <w:tc>
          <w:tcPr>
            <w:tcW w:w="9156" w:type="dxa"/>
          </w:tcPr>
          <w:p>
            <w:pPr>
              <w:pStyle w:val="TableParagraph"/>
              <w:spacing w:before="239"/>
              <w:ind w:left="-31"/>
              <w:rPr>
                <w:sz w:val="24"/>
              </w:rPr>
            </w:pPr>
            <w:r>
              <w:rPr>
                <w:w w:val="105"/>
                <w:sz w:val="24"/>
              </w:rPr>
              <w:t>agenmakers, E.-J., Verhagen, J., &amp; Ly, A. (2016). How to quantify the evidence for the</w:t>
            </w:r>
          </w:p>
        </w:tc>
      </w:tr>
      <w:tr>
        <w:trPr>
          <w:trHeight w:val="479"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1016</w:t>
            </w:r>
          </w:p>
        </w:tc>
        <w:tc>
          <w:tcPr>
            <w:tcW w:w="9156" w:type="dxa"/>
          </w:tcPr>
          <w:p>
            <w:pPr>
              <w:pStyle w:val="TableParagraph"/>
              <w:spacing w:before="116"/>
              <w:ind w:left="468"/>
              <w:rPr>
                <w:sz w:val="24"/>
              </w:rPr>
            </w:pPr>
            <w:r>
              <w:rPr>
                <w:w w:val="105"/>
                <w:sz w:val="24"/>
              </w:rPr>
              <w:t>absence of a correlation. </w:t>
            </w:r>
            <w:r>
              <w:rPr>
                <w:i/>
                <w:w w:val="105"/>
                <w:sz w:val="24"/>
              </w:rPr>
              <w:t>Behavior Research Methods</w:t>
            </w:r>
            <w:r>
              <w:rPr>
                <w:w w:val="105"/>
                <w:sz w:val="24"/>
              </w:rPr>
              <w:t>, </w:t>
            </w:r>
            <w:r>
              <w:rPr>
                <w:i/>
                <w:w w:val="105"/>
                <w:sz w:val="24"/>
              </w:rPr>
              <w:t>48 </w:t>
            </w:r>
            <w:r>
              <w:rPr>
                <w:w w:val="105"/>
                <w:sz w:val="24"/>
              </w:rPr>
              <w:t>(2), 413–426.</w:t>
            </w:r>
          </w:p>
        </w:tc>
      </w:tr>
      <w:tr>
        <w:trPr>
          <w:trHeight w:val="600" w:hRule="atLeast"/>
        </w:trPr>
        <w:tc>
          <w:tcPr>
            <w:tcW w:w="755" w:type="dxa"/>
          </w:tcPr>
          <w:p>
            <w:pPr>
              <w:pStyle w:val="TableParagraph"/>
              <w:spacing w:before="8"/>
              <w:rPr>
                <w:sz w:val="19"/>
              </w:rPr>
            </w:pPr>
          </w:p>
          <w:p>
            <w:pPr>
              <w:pStyle w:val="TableParagraph"/>
              <w:ind w:left="50"/>
              <w:rPr>
                <w:rFonts w:ascii="Arial"/>
                <w:sz w:val="12"/>
              </w:rPr>
            </w:pPr>
            <w:r>
              <w:rPr>
                <w:rFonts w:ascii="Arial"/>
                <w:sz w:val="12"/>
              </w:rPr>
              <w:t>1017</w:t>
            </w:r>
          </w:p>
        </w:tc>
        <w:tc>
          <w:tcPr>
            <w:tcW w:w="9156" w:type="dxa"/>
          </w:tcPr>
          <w:p>
            <w:pPr>
              <w:pStyle w:val="TableParagraph"/>
              <w:spacing w:before="115"/>
              <w:ind w:left="468"/>
              <w:rPr>
                <w:sz w:val="24"/>
              </w:rPr>
            </w:pPr>
            <w:hyperlink r:id="rId77">
              <w:r>
                <w:rPr>
                  <w:w w:val="105"/>
                  <w:sz w:val="24"/>
                </w:rPr>
                <w:t>https://doi.org/10.3758/s13428-015-0593-0</w:t>
              </w:r>
            </w:hyperlink>
          </w:p>
        </w:tc>
      </w:tr>
      <w:tr>
        <w:trPr>
          <w:trHeight w:val="602" w:hRule="atLeast"/>
        </w:trPr>
        <w:tc>
          <w:tcPr>
            <w:tcW w:w="9911" w:type="dxa"/>
            <w:gridSpan w:val="2"/>
          </w:tcPr>
          <w:p>
            <w:pPr>
              <w:pStyle w:val="TableParagraph"/>
              <w:spacing w:before="239"/>
              <w:ind w:left="50"/>
              <w:rPr>
                <w:sz w:val="24"/>
              </w:rPr>
            </w:pPr>
            <w:r>
              <w:rPr>
                <w:rFonts w:ascii="Arial"/>
                <w:w w:val="105"/>
                <w:sz w:val="12"/>
              </w:rPr>
              <w:t>1018 </w:t>
            </w:r>
            <w:r>
              <w:rPr>
                <w:w w:val="105"/>
                <w:sz w:val="24"/>
              </w:rPr>
              <w:t>WHO. (2018). Obesity and overweight. </w:t>
            </w:r>
            <w:r>
              <w:rPr>
                <w:i/>
                <w:w w:val="105"/>
                <w:sz w:val="24"/>
              </w:rPr>
              <w:t>World Health Organization</w:t>
            </w:r>
            <w:r>
              <w:rPr>
                <w:w w:val="105"/>
                <w:sz w:val="24"/>
              </w:rPr>
              <w:t>.</w:t>
            </w:r>
          </w:p>
        </w:tc>
      </w:tr>
      <w:tr>
        <w:trPr>
          <w:trHeight w:val="600" w:hRule="atLeast"/>
        </w:trPr>
        <w:tc>
          <w:tcPr>
            <w:tcW w:w="755" w:type="dxa"/>
          </w:tcPr>
          <w:p>
            <w:pPr>
              <w:pStyle w:val="TableParagraph"/>
              <w:spacing w:before="8"/>
              <w:rPr>
                <w:sz w:val="19"/>
              </w:rPr>
            </w:pPr>
          </w:p>
          <w:p>
            <w:pPr>
              <w:pStyle w:val="TableParagraph"/>
              <w:ind w:left="50"/>
              <w:rPr>
                <w:rFonts w:ascii="Arial"/>
                <w:sz w:val="12"/>
              </w:rPr>
            </w:pPr>
            <w:r>
              <w:rPr>
                <w:rFonts w:ascii="Arial"/>
                <w:sz w:val="12"/>
              </w:rPr>
              <w:t>1019</w:t>
            </w:r>
          </w:p>
        </w:tc>
        <w:tc>
          <w:tcPr>
            <w:tcW w:w="9156" w:type="dxa"/>
          </w:tcPr>
          <w:p>
            <w:pPr>
              <w:pStyle w:val="TableParagraph"/>
              <w:spacing w:before="115"/>
              <w:ind w:left="468"/>
              <w:rPr>
                <w:sz w:val="24"/>
              </w:rPr>
            </w:pPr>
            <w:r>
              <w:rPr>
                <w:w w:val="110"/>
                <w:sz w:val="24"/>
              </w:rPr>
              <w:t>h</w:t>
            </w:r>
            <w:hyperlink r:id="rId78">
              <w:r>
                <w:rPr>
                  <w:w w:val="110"/>
                  <w:sz w:val="24"/>
                </w:rPr>
                <w:t>ttps://www.who.int/news-room/fact-sheets/detail/ob</w:t>
              </w:r>
            </w:hyperlink>
            <w:r>
              <w:rPr>
                <w:w w:val="110"/>
                <w:sz w:val="24"/>
              </w:rPr>
              <w:t>esit</w:t>
            </w:r>
            <w:hyperlink r:id="rId78">
              <w:r>
                <w:rPr>
                  <w:w w:val="110"/>
                  <w:sz w:val="24"/>
                </w:rPr>
                <w:t>y-and-o</w:t>
              </w:r>
            </w:hyperlink>
            <w:r>
              <w:rPr>
                <w:w w:val="110"/>
                <w:sz w:val="24"/>
              </w:rPr>
              <w:t>ver</w:t>
            </w:r>
            <w:hyperlink r:id="rId78">
              <w:r>
                <w:rPr>
                  <w:w w:val="110"/>
                  <w:sz w:val="24"/>
                </w:rPr>
                <w:t>weight.</w:t>
              </w:r>
            </w:hyperlink>
          </w:p>
        </w:tc>
      </w:tr>
      <w:tr>
        <w:trPr>
          <w:trHeight w:val="601" w:hRule="atLeast"/>
        </w:trPr>
        <w:tc>
          <w:tcPr>
            <w:tcW w:w="9911" w:type="dxa"/>
            <w:gridSpan w:val="2"/>
          </w:tcPr>
          <w:p>
            <w:pPr>
              <w:pStyle w:val="TableParagraph"/>
              <w:spacing w:before="239"/>
              <w:ind w:left="50"/>
              <w:rPr>
                <w:sz w:val="24"/>
              </w:rPr>
            </w:pPr>
            <w:r>
              <w:rPr>
                <w:rFonts w:ascii="Arial" w:hAnsi="Arial"/>
                <w:w w:val="105"/>
                <w:sz w:val="12"/>
              </w:rPr>
              <w:t>1020 </w:t>
            </w:r>
            <w:r>
              <w:rPr>
                <w:w w:val="105"/>
                <w:sz w:val="24"/>
              </w:rPr>
              <w:t>Wiers, C. E., Kühn, S., </w:t>
            </w:r>
            <w:r>
              <w:rPr>
                <w:spacing w:val="-4"/>
                <w:w w:val="105"/>
                <w:sz w:val="24"/>
              </w:rPr>
              <w:t>Javadi, </w:t>
            </w:r>
            <w:r>
              <w:rPr>
                <w:w w:val="105"/>
                <w:sz w:val="24"/>
              </w:rPr>
              <w:t>A. H., Korucuoglu, O., Wiers, R. W., </w:t>
            </w:r>
            <w:r>
              <w:rPr>
                <w:spacing w:val="-4"/>
                <w:w w:val="105"/>
                <w:sz w:val="24"/>
              </w:rPr>
              <w:t>Walter, </w:t>
            </w:r>
            <w:r>
              <w:rPr>
                <w:w w:val="105"/>
                <w:sz w:val="24"/>
              </w:rPr>
              <w:t>H.,</w:t>
            </w:r>
            <w:r>
              <w:rPr>
                <w:spacing w:val="61"/>
                <w:w w:val="105"/>
                <w:sz w:val="24"/>
              </w:rPr>
              <w:t> </w:t>
            </w:r>
            <w:r>
              <w:rPr>
                <w:w w:val="105"/>
                <w:sz w:val="24"/>
              </w:rPr>
              <w:t>. . .</w:t>
            </w:r>
          </w:p>
        </w:tc>
      </w:tr>
      <w:tr>
        <w:trPr>
          <w:trHeight w:val="478"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1021</w:t>
            </w:r>
          </w:p>
        </w:tc>
        <w:tc>
          <w:tcPr>
            <w:tcW w:w="9156" w:type="dxa"/>
          </w:tcPr>
          <w:p>
            <w:pPr>
              <w:pStyle w:val="TableParagraph"/>
              <w:spacing w:before="116"/>
              <w:ind w:left="468"/>
              <w:rPr>
                <w:sz w:val="24"/>
              </w:rPr>
            </w:pPr>
            <w:r>
              <w:rPr>
                <w:w w:val="105"/>
                <w:sz w:val="24"/>
              </w:rPr>
              <w:t>Bermpohl, F. (2013). Automatic approach bias towards smoking cues is present in</w:t>
            </w:r>
          </w:p>
        </w:tc>
      </w:tr>
      <w:tr>
        <w:trPr>
          <w:trHeight w:val="479"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1022</w:t>
            </w:r>
          </w:p>
        </w:tc>
        <w:tc>
          <w:tcPr>
            <w:tcW w:w="9156" w:type="dxa"/>
          </w:tcPr>
          <w:p>
            <w:pPr>
              <w:pStyle w:val="TableParagraph"/>
              <w:spacing w:before="116"/>
              <w:ind w:left="468"/>
              <w:rPr>
                <w:sz w:val="24"/>
              </w:rPr>
            </w:pPr>
            <w:r>
              <w:rPr>
                <w:w w:val="105"/>
                <w:sz w:val="24"/>
              </w:rPr>
              <w:t>smokers but not in ex-smokers. </w:t>
            </w:r>
            <w:r>
              <w:rPr>
                <w:i/>
                <w:w w:val="105"/>
                <w:sz w:val="24"/>
              </w:rPr>
              <w:t>Psychopharmacology</w:t>
            </w:r>
            <w:r>
              <w:rPr>
                <w:w w:val="105"/>
                <w:sz w:val="24"/>
              </w:rPr>
              <w:t>, </w:t>
            </w:r>
            <w:r>
              <w:rPr>
                <w:i/>
                <w:w w:val="105"/>
                <w:sz w:val="24"/>
              </w:rPr>
              <w:t>229 </w:t>
            </w:r>
            <w:r>
              <w:rPr>
                <w:w w:val="105"/>
                <w:sz w:val="24"/>
              </w:rPr>
              <w:t>(1), 187–197.</w:t>
            </w:r>
          </w:p>
        </w:tc>
      </w:tr>
      <w:tr>
        <w:trPr>
          <w:trHeight w:val="600" w:hRule="atLeast"/>
        </w:trPr>
        <w:tc>
          <w:tcPr>
            <w:tcW w:w="755" w:type="dxa"/>
          </w:tcPr>
          <w:p>
            <w:pPr>
              <w:pStyle w:val="TableParagraph"/>
              <w:spacing w:before="8"/>
              <w:rPr>
                <w:sz w:val="19"/>
              </w:rPr>
            </w:pPr>
          </w:p>
          <w:p>
            <w:pPr>
              <w:pStyle w:val="TableParagraph"/>
              <w:ind w:left="50"/>
              <w:rPr>
                <w:rFonts w:ascii="Arial"/>
                <w:sz w:val="12"/>
              </w:rPr>
            </w:pPr>
            <w:r>
              <w:rPr>
                <w:rFonts w:ascii="Arial"/>
                <w:sz w:val="12"/>
              </w:rPr>
              <w:t>1023</w:t>
            </w:r>
          </w:p>
        </w:tc>
        <w:tc>
          <w:tcPr>
            <w:tcW w:w="9156" w:type="dxa"/>
          </w:tcPr>
          <w:p>
            <w:pPr>
              <w:pStyle w:val="TableParagraph"/>
              <w:spacing w:before="115"/>
              <w:ind w:left="468"/>
              <w:rPr>
                <w:sz w:val="24"/>
              </w:rPr>
            </w:pPr>
            <w:hyperlink r:id="rId79">
              <w:r>
                <w:rPr>
                  <w:w w:val="105"/>
                  <w:sz w:val="24"/>
                </w:rPr>
                <w:t>https://doi.org/10.1007/s00213-013-3098-5</w:t>
              </w:r>
            </w:hyperlink>
          </w:p>
        </w:tc>
      </w:tr>
      <w:tr>
        <w:trPr>
          <w:trHeight w:val="601" w:hRule="atLeast"/>
        </w:trPr>
        <w:tc>
          <w:tcPr>
            <w:tcW w:w="9911" w:type="dxa"/>
            <w:gridSpan w:val="2"/>
          </w:tcPr>
          <w:p>
            <w:pPr>
              <w:pStyle w:val="TableParagraph"/>
              <w:spacing w:before="239"/>
              <w:ind w:left="50"/>
              <w:rPr>
                <w:sz w:val="24"/>
              </w:rPr>
            </w:pPr>
            <w:r>
              <w:rPr>
                <w:rFonts w:ascii="Arial"/>
                <w:w w:val="105"/>
                <w:sz w:val="12"/>
              </w:rPr>
              <w:t>1024 </w:t>
            </w:r>
            <w:r>
              <w:rPr>
                <w:w w:val="105"/>
                <w:sz w:val="24"/>
              </w:rPr>
              <w:t>Wiers, R. W., Eberl, C., Rinck, M., Becker, E. S., &amp; Lindenmeyer, J. (2011). Retraining</w:t>
            </w:r>
          </w:p>
        </w:tc>
      </w:tr>
      <w:tr>
        <w:trPr>
          <w:trHeight w:val="478"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1025</w:t>
            </w:r>
          </w:p>
        </w:tc>
        <w:tc>
          <w:tcPr>
            <w:tcW w:w="9156" w:type="dxa"/>
          </w:tcPr>
          <w:p>
            <w:pPr>
              <w:pStyle w:val="TableParagraph"/>
              <w:spacing w:before="116"/>
              <w:ind w:left="459"/>
              <w:rPr>
                <w:sz w:val="24"/>
              </w:rPr>
            </w:pPr>
            <w:r>
              <w:rPr>
                <w:sz w:val="24"/>
              </w:rPr>
              <w:t>Automatic Action Tendencies Changes Alcoholic Patients’ Approach Bias for Alcohol</w:t>
            </w:r>
          </w:p>
        </w:tc>
      </w:tr>
      <w:tr>
        <w:trPr>
          <w:trHeight w:val="479"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1026</w:t>
            </w:r>
          </w:p>
        </w:tc>
        <w:tc>
          <w:tcPr>
            <w:tcW w:w="9156" w:type="dxa"/>
          </w:tcPr>
          <w:p>
            <w:pPr>
              <w:pStyle w:val="TableParagraph"/>
              <w:spacing w:before="116"/>
              <w:ind w:left="468"/>
              <w:rPr>
                <w:sz w:val="24"/>
              </w:rPr>
            </w:pPr>
            <w:r>
              <w:rPr>
                <w:w w:val="105"/>
                <w:sz w:val="24"/>
              </w:rPr>
              <w:t>and Improves Treatment Outcome. </w:t>
            </w:r>
            <w:r>
              <w:rPr>
                <w:i/>
                <w:w w:val="105"/>
                <w:sz w:val="24"/>
              </w:rPr>
              <w:t>Psychol. Sci.</w:t>
            </w:r>
            <w:r>
              <w:rPr>
                <w:w w:val="105"/>
                <w:sz w:val="24"/>
              </w:rPr>
              <w:t>, </w:t>
            </w:r>
            <w:r>
              <w:rPr>
                <w:i/>
                <w:w w:val="105"/>
                <w:sz w:val="24"/>
              </w:rPr>
              <w:t>22 </w:t>
            </w:r>
            <w:r>
              <w:rPr>
                <w:w w:val="105"/>
                <w:sz w:val="24"/>
              </w:rPr>
              <w:t>(4), 490–497.</w:t>
            </w:r>
          </w:p>
        </w:tc>
      </w:tr>
      <w:tr>
        <w:trPr>
          <w:trHeight w:val="406" w:hRule="atLeast"/>
        </w:trPr>
        <w:tc>
          <w:tcPr>
            <w:tcW w:w="755" w:type="dxa"/>
          </w:tcPr>
          <w:p>
            <w:pPr>
              <w:pStyle w:val="TableParagraph"/>
              <w:spacing w:before="8"/>
              <w:rPr>
                <w:sz w:val="19"/>
              </w:rPr>
            </w:pPr>
          </w:p>
          <w:p>
            <w:pPr>
              <w:pStyle w:val="TableParagraph"/>
              <w:ind w:left="50"/>
              <w:rPr>
                <w:rFonts w:ascii="Arial"/>
                <w:sz w:val="12"/>
              </w:rPr>
            </w:pPr>
            <w:r>
              <w:rPr>
                <w:rFonts w:ascii="Arial"/>
                <w:sz w:val="12"/>
              </w:rPr>
              <w:t>1027</w:t>
            </w:r>
          </w:p>
        </w:tc>
        <w:tc>
          <w:tcPr>
            <w:tcW w:w="9156" w:type="dxa"/>
          </w:tcPr>
          <w:p>
            <w:pPr>
              <w:pStyle w:val="TableParagraph"/>
              <w:spacing w:line="271" w:lineRule="exact" w:before="115"/>
              <w:ind w:left="468"/>
              <w:rPr>
                <w:sz w:val="24"/>
              </w:rPr>
            </w:pPr>
            <w:hyperlink r:id="rId80">
              <w:r>
                <w:rPr>
                  <w:w w:val="105"/>
                  <w:sz w:val="24"/>
                </w:rPr>
                <w:t>https://doi.org/10.1177/0956797611400615</w:t>
              </w:r>
            </w:hyperlink>
          </w:p>
        </w:tc>
      </w:tr>
    </w:tbl>
    <w:p>
      <w:pPr>
        <w:pStyle w:val="BodyText"/>
        <w:spacing w:before="0"/>
        <w:ind w:left="0"/>
        <w:rPr>
          <w:sz w:val="25"/>
        </w:rPr>
      </w:pPr>
    </w:p>
    <w:p>
      <w:pPr>
        <w:spacing w:after="0"/>
        <w:rPr>
          <w:sz w:val="25"/>
        </w:rPr>
        <w:sectPr>
          <w:pgSz w:w="12240" w:h="15840"/>
          <w:pgMar w:header="649" w:footer="0" w:top="1320" w:bottom="280" w:left="820" w:right="1140"/>
        </w:sectPr>
      </w:pPr>
    </w:p>
    <w:p>
      <w:pPr>
        <w:pStyle w:val="BodyText"/>
        <w:spacing w:before="4"/>
        <w:ind w:left="0"/>
        <w:rPr>
          <w:sz w:val="22"/>
        </w:rPr>
      </w:pPr>
    </w:p>
    <w:p>
      <w:pPr>
        <w:spacing w:before="0"/>
        <w:ind w:left="166" w:right="0" w:firstLine="0"/>
        <w:jc w:val="left"/>
        <w:rPr>
          <w:rFonts w:ascii="Arial"/>
          <w:sz w:val="12"/>
        </w:rPr>
      </w:pPr>
      <w:r>
        <w:rPr>
          <w:rFonts w:ascii="Arial"/>
          <w:w w:val="95"/>
          <w:sz w:val="12"/>
        </w:rPr>
        <w:t>1028</w:t>
      </w:r>
    </w:p>
    <w:p>
      <w:pPr>
        <w:pStyle w:val="BodyText"/>
        <w:spacing w:before="0"/>
        <w:ind w:left="0"/>
        <w:rPr>
          <w:rFonts w:ascii="Arial"/>
          <w:sz w:val="18"/>
        </w:rPr>
      </w:pPr>
    </w:p>
    <w:p>
      <w:pPr>
        <w:spacing w:before="133"/>
        <w:ind w:left="166" w:right="0" w:firstLine="0"/>
        <w:jc w:val="left"/>
        <w:rPr>
          <w:rFonts w:ascii="Arial"/>
          <w:sz w:val="12"/>
        </w:rPr>
      </w:pPr>
      <w:r>
        <w:rPr>
          <w:rFonts w:ascii="Arial"/>
          <w:w w:val="95"/>
          <w:sz w:val="12"/>
        </w:rPr>
        <w:t>1029</w:t>
      </w:r>
    </w:p>
    <w:p>
      <w:pPr>
        <w:pStyle w:val="BodyText"/>
        <w:spacing w:line="415" w:lineRule="auto" w:before="146"/>
        <w:ind w:left="879" w:right="293" w:hanging="720"/>
      </w:pPr>
      <w:r>
        <w:rPr/>
        <w:br w:type="column"/>
      </w:r>
      <w:r>
        <w:rPr>
          <w:w w:val="105"/>
        </w:rPr>
        <w:t>Wiers, R. W., Gladwin, T. E., &amp; Rinck, M. (2013). Should we train alcohol-dependent patients to avoid alcohol? </w:t>
      </w:r>
      <w:r>
        <w:rPr>
          <w:i/>
          <w:w w:val="105"/>
        </w:rPr>
        <w:t>Front. Psychiatry</w:t>
      </w:r>
      <w:r>
        <w:rPr>
          <w:w w:val="105"/>
        </w:rPr>
        <w:t>, </w:t>
      </w:r>
      <w:r>
        <w:rPr>
          <w:i/>
          <w:w w:val="105"/>
        </w:rPr>
        <w:t>4 </w:t>
      </w:r>
      <w:r>
        <w:rPr>
          <w:w w:val="105"/>
        </w:rPr>
        <w:t>(May), 33.</w:t>
      </w:r>
    </w:p>
    <w:p>
      <w:pPr>
        <w:spacing w:after="0" w:line="415" w:lineRule="auto"/>
        <w:sectPr>
          <w:type w:val="continuous"/>
          <w:pgSz w:w="12240" w:h="15840"/>
          <w:pgMar w:top="1320" w:bottom="280" w:left="820" w:right="1140"/>
          <w:cols w:num="2" w:equalWidth="0">
            <w:col w:w="421" w:space="40"/>
            <w:col w:w="9819"/>
          </w:cols>
        </w:sectPr>
      </w:pPr>
    </w:p>
    <w:p>
      <w:pPr>
        <w:pStyle w:val="BodyText"/>
        <w:spacing w:before="4"/>
        <w:ind w:left="0"/>
        <w:rPr>
          <w:sz w:val="26"/>
        </w:rPr>
      </w:pPr>
    </w:p>
    <w:p>
      <w:pPr>
        <w:spacing w:before="0"/>
        <w:ind w:left="166" w:right="0" w:firstLine="0"/>
        <w:jc w:val="left"/>
        <w:rPr>
          <w:rFonts w:ascii="Arial"/>
          <w:sz w:val="12"/>
        </w:rPr>
      </w:pPr>
      <w:r>
        <w:rPr>
          <w:rFonts w:ascii="Arial"/>
          <w:sz w:val="12"/>
        </w:rPr>
        <w:t>1030</w:t>
      </w:r>
    </w:p>
    <w:p>
      <w:pPr>
        <w:pStyle w:val="BodyText"/>
        <w:spacing w:before="191"/>
        <w:ind w:left="166"/>
      </w:pPr>
      <w:r>
        <w:rPr/>
        <w:br w:type="column"/>
      </w:r>
      <w:hyperlink r:id="rId81">
        <w:r>
          <w:rPr>
            <w:w w:val="110"/>
          </w:rPr>
          <w:t>https://doi.org/10.3389/fpsyt.2013.00033</w:t>
        </w:r>
      </w:hyperlink>
    </w:p>
    <w:p>
      <w:pPr>
        <w:spacing w:after="0"/>
        <w:sectPr>
          <w:pgSz w:w="12240" w:h="15840"/>
          <w:pgMar w:header="649" w:footer="0" w:top="1320" w:bottom="280" w:left="820" w:right="1140"/>
          <w:cols w:num="2" w:equalWidth="0">
            <w:col w:w="461" w:space="712"/>
            <w:col w:w="9107"/>
          </w:cols>
        </w:sectPr>
      </w:pPr>
    </w:p>
    <w:p>
      <w:pPr>
        <w:pStyle w:val="BodyText"/>
        <w:spacing w:before="11"/>
        <w:ind w:left="0"/>
        <w:rPr>
          <w:sz w:val="29"/>
        </w:rPr>
      </w:pPr>
    </w:p>
    <w:p>
      <w:pPr>
        <w:pStyle w:val="BodyText"/>
        <w:spacing w:before="145"/>
        <w:ind w:left="0" w:right="361"/>
        <w:jc w:val="right"/>
      </w:pPr>
      <w:r>
        <w:rPr/>
        <w:pict>
          <v:shape style="position:absolute;margin-left:46.834999pt;margin-top:4.979627pt;width:470.9pt;height:88.55pt;mso-position-horizontal-relative:page;mso-position-vertical-relative:paragraph;z-index:16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0"/>
                    <w:gridCol w:w="8668"/>
                  </w:tblGrid>
                  <w:tr>
                    <w:trPr>
                      <w:trHeight w:val="407" w:hRule="atLeast"/>
                    </w:trPr>
                    <w:tc>
                      <w:tcPr>
                        <w:tcW w:w="9418" w:type="dxa"/>
                        <w:gridSpan w:val="2"/>
                      </w:tcPr>
                      <w:p>
                        <w:pPr>
                          <w:pStyle w:val="TableParagraph"/>
                          <w:spacing w:before="45"/>
                          <w:ind w:left="50" w:right="-29"/>
                          <w:rPr>
                            <w:sz w:val="24"/>
                          </w:rPr>
                        </w:pPr>
                        <w:r>
                          <w:rPr>
                            <w:rFonts w:ascii="Arial"/>
                            <w:w w:val="105"/>
                            <w:sz w:val="12"/>
                          </w:rPr>
                          <w:t>1031</w:t>
                        </w:r>
                        <w:r>
                          <w:rPr>
                            <w:rFonts w:ascii="Arial"/>
                            <w:spacing w:val="10"/>
                            <w:w w:val="105"/>
                            <w:sz w:val="12"/>
                          </w:rPr>
                          <w:t> </w:t>
                        </w:r>
                        <w:r>
                          <w:rPr>
                            <w:w w:val="105"/>
                            <w:sz w:val="24"/>
                          </w:rPr>
                          <w:t>Wiers,</w:t>
                        </w:r>
                        <w:r>
                          <w:rPr>
                            <w:spacing w:val="9"/>
                            <w:w w:val="105"/>
                            <w:sz w:val="24"/>
                          </w:rPr>
                          <w:t> </w:t>
                        </w:r>
                        <w:r>
                          <w:rPr>
                            <w:w w:val="105"/>
                            <w:sz w:val="24"/>
                          </w:rPr>
                          <w:t>R.</w:t>
                        </w:r>
                        <w:r>
                          <w:rPr>
                            <w:spacing w:val="9"/>
                            <w:w w:val="105"/>
                            <w:sz w:val="24"/>
                          </w:rPr>
                          <w:t> </w:t>
                        </w:r>
                        <w:r>
                          <w:rPr>
                            <w:w w:val="105"/>
                            <w:sz w:val="24"/>
                          </w:rPr>
                          <w:t>W.,</w:t>
                        </w:r>
                        <w:r>
                          <w:rPr>
                            <w:spacing w:val="9"/>
                            <w:w w:val="105"/>
                            <w:sz w:val="24"/>
                          </w:rPr>
                          <w:t> </w:t>
                        </w:r>
                        <w:r>
                          <w:rPr>
                            <w:w w:val="105"/>
                            <w:sz w:val="24"/>
                          </w:rPr>
                          <w:t>Rinck,</w:t>
                        </w:r>
                        <w:r>
                          <w:rPr>
                            <w:spacing w:val="9"/>
                            <w:w w:val="105"/>
                            <w:sz w:val="24"/>
                          </w:rPr>
                          <w:t> </w:t>
                        </w:r>
                        <w:r>
                          <w:rPr>
                            <w:w w:val="105"/>
                            <w:sz w:val="24"/>
                          </w:rPr>
                          <w:t>M.,</w:t>
                        </w:r>
                        <w:r>
                          <w:rPr>
                            <w:spacing w:val="10"/>
                            <w:w w:val="105"/>
                            <w:sz w:val="24"/>
                          </w:rPr>
                          <w:t> </w:t>
                        </w:r>
                        <w:r>
                          <w:rPr>
                            <w:w w:val="105"/>
                            <w:sz w:val="24"/>
                          </w:rPr>
                          <w:t>Dictus,</w:t>
                        </w:r>
                        <w:r>
                          <w:rPr>
                            <w:spacing w:val="8"/>
                            <w:w w:val="105"/>
                            <w:sz w:val="24"/>
                          </w:rPr>
                          <w:t> </w:t>
                        </w:r>
                        <w:r>
                          <w:rPr>
                            <w:w w:val="105"/>
                            <w:sz w:val="24"/>
                          </w:rPr>
                          <w:t>M.,</w:t>
                        </w:r>
                        <w:r>
                          <w:rPr>
                            <w:spacing w:val="10"/>
                            <w:w w:val="105"/>
                            <w:sz w:val="24"/>
                          </w:rPr>
                          <w:t> </w:t>
                        </w:r>
                        <w:r>
                          <w:rPr>
                            <w:w w:val="105"/>
                            <w:sz w:val="24"/>
                          </w:rPr>
                          <w:t>&amp;</w:t>
                        </w:r>
                        <w:r>
                          <w:rPr>
                            <w:spacing w:val="10"/>
                            <w:w w:val="105"/>
                            <w:sz w:val="24"/>
                          </w:rPr>
                          <w:t> </w:t>
                        </w:r>
                        <w:r>
                          <w:rPr>
                            <w:spacing w:val="-7"/>
                            <w:w w:val="105"/>
                            <w:sz w:val="24"/>
                          </w:rPr>
                          <w:t>Van</w:t>
                        </w:r>
                        <w:r>
                          <w:rPr>
                            <w:spacing w:val="10"/>
                            <w:w w:val="105"/>
                            <w:sz w:val="24"/>
                          </w:rPr>
                          <w:t> </w:t>
                        </w:r>
                        <w:r>
                          <w:rPr>
                            <w:w w:val="105"/>
                            <w:sz w:val="24"/>
                          </w:rPr>
                          <w:t>Den</w:t>
                        </w:r>
                        <w:r>
                          <w:rPr>
                            <w:spacing w:val="8"/>
                            <w:w w:val="105"/>
                            <w:sz w:val="24"/>
                          </w:rPr>
                          <w:t> </w:t>
                        </w:r>
                        <w:r>
                          <w:rPr>
                            <w:w w:val="105"/>
                            <w:sz w:val="24"/>
                          </w:rPr>
                          <w:t>Wildenberg,</w:t>
                        </w:r>
                        <w:r>
                          <w:rPr>
                            <w:spacing w:val="10"/>
                            <w:w w:val="105"/>
                            <w:sz w:val="24"/>
                          </w:rPr>
                          <w:t> </w:t>
                        </w:r>
                        <w:r>
                          <w:rPr>
                            <w:w w:val="105"/>
                            <w:sz w:val="24"/>
                          </w:rPr>
                          <w:t>E.</w:t>
                        </w:r>
                        <w:r>
                          <w:rPr>
                            <w:spacing w:val="10"/>
                            <w:w w:val="105"/>
                            <w:sz w:val="24"/>
                          </w:rPr>
                          <w:t> </w:t>
                        </w:r>
                        <w:r>
                          <w:rPr>
                            <w:w w:val="105"/>
                            <w:sz w:val="24"/>
                          </w:rPr>
                          <w:t>(2009).</w:t>
                        </w:r>
                        <w:r>
                          <w:rPr>
                            <w:spacing w:val="34"/>
                            <w:w w:val="105"/>
                            <w:sz w:val="24"/>
                          </w:rPr>
                          <w:t> </w:t>
                        </w:r>
                        <w:r>
                          <w:rPr>
                            <w:w w:val="105"/>
                            <w:sz w:val="24"/>
                          </w:rPr>
                          <w:t>Relatively</w:t>
                        </w:r>
                        <w:r>
                          <w:rPr>
                            <w:spacing w:val="9"/>
                            <w:w w:val="105"/>
                            <w:sz w:val="24"/>
                          </w:rPr>
                          <w:t> </w:t>
                        </w:r>
                        <w:r>
                          <w:rPr>
                            <w:w w:val="105"/>
                            <w:sz w:val="24"/>
                          </w:rPr>
                          <w:t>str</w:t>
                        </w:r>
                      </w:p>
                    </w:tc>
                  </w:tr>
                  <w:tr>
                    <w:trPr>
                      <w:trHeight w:val="478" w:hRule="atLeast"/>
                    </w:trPr>
                    <w:tc>
                      <w:tcPr>
                        <w:tcW w:w="750" w:type="dxa"/>
                      </w:tcPr>
                      <w:p>
                        <w:pPr>
                          <w:pStyle w:val="TableParagraph"/>
                          <w:spacing w:before="9"/>
                          <w:rPr>
                            <w:sz w:val="19"/>
                          </w:rPr>
                        </w:pPr>
                      </w:p>
                      <w:p>
                        <w:pPr>
                          <w:pStyle w:val="TableParagraph"/>
                          <w:ind w:left="50"/>
                          <w:rPr>
                            <w:rFonts w:ascii="Arial"/>
                            <w:sz w:val="12"/>
                          </w:rPr>
                        </w:pPr>
                        <w:r>
                          <w:rPr>
                            <w:rFonts w:ascii="Arial"/>
                            <w:sz w:val="12"/>
                          </w:rPr>
                          <w:t>1032</w:t>
                        </w:r>
                      </w:p>
                    </w:tc>
                    <w:tc>
                      <w:tcPr>
                        <w:tcW w:w="8668" w:type="dxa"/>
                      </w:tcPr>
                      <w:p>
                        <w:pPr>
                          <w:pStyle w:val="TableParagraph"/>
                          <w:spacing w:before="116"/>
                          <w:ind w:left="473"/>
                          <w:rPr>
                            <w:sz w:val="24"/>
                          </w:rPr>
                        </w:pPr>
                        <w:r>
                          <w:rPr>
                            <w:w w:val="105"/>
                            <w:sz w:val="24"/>
                          </w:rPr>
                          <w:t>automatic appetitive action-tendencies in male carriers of the OPRM1 G-allele.</w:t>
                        </w:r>
                      </w:p>
                    </w:tc>
                  </w:tr>
                  <w:tr>
                    <w:trPr>
                      <w:trHeight w:val="479" w:hRule="atLeast"/>
                    </w:trPr>
                    <w:tc>
                      <w:tcPr>
                        <w:tcW w:w="750" w:type="dxa"/>
                      </w:tcPr>
                      <w:p>
                        <w:pPr>
                          <w:pStyle w:val="TableParagraph"/>
                          <w:spacing w:before="9"/>
                          <w:rPr>
                            <w:sz w:val="19"/>
                          </w:rPr>
                        </w:pPr>
                      </w:p>
                      <w:p>
                        <w:pPr>
                          <w:pStyle w:val="TableParagraph"/>
                          <w:ind w:left="50"/>
                          <w:rPr>
                            <w:rFonts w:ascii="Arial"/>
                            <w:sz w:val="12"/>
                          </w:rPr>
                        </w:pPr>
                        <w:r>
                          <w:rPr>
                            <w:rFonts w:ascii="Arial"/>
                            <w:sz w:val="12"/>
                          </w:rPr>
                          <w:t>1033</w:t>
                        </w:r>
                      </w:p>
                    </w:tc>
                    <w:tc>
                      <w:tcPr>
                        <w:tcW w:w="8668" w:type="dxa"/>
                      </w:tcPr>
                      <w:p>
                        <w:pPr>
                          <w:pStyle w:val="TableParagraph"/>
                          <w:spacing w:before="116"/>
                          <w:ind w:left="445"/>
                          <w:rPr>
                            <w:sz w:val="24"/>
                          </w:rPr>
                        </w:pPr>
                        <w:r>
                          <w:rPr>
                            <w:i/>
                            <w:w w:val="105"/>
                            <w:sz w:val="24"/>
                          </w:rPr>
                          <w:t>Genes, Brain Behav.</w:t>
                        </w:r>
                        <w:r>
                          <w:rPr>
                            <w:w w:val="105"/>
                            <w:sz w:val="24"/>
                          </w:rPr>
                          <w:t>, </w:t>
                        </w:r>
                        <w:r>
                          <w:rPr>
                            <w:i/>
                            <w:w w:val="105"/>
                            <w:sz w:val="24"/>
                          </w:rPr>
                          <w:t>8 </w:t>
                        </w:r>
                        <w:r>
                          <w:rPr>
                            <w:w w:val="105"/>
                            <w:sz w:val="24"/>
                          </w:rPr>
                          <w:t>(1), 101–106.</w:t>
                        </w:r>
                      </w:p>
                    </w:tc>
                  </w:tr>
                  <w:tr>
                    <w:trPr>
                      <w:trHeight w:val="406" w:hRule="atLeast"/>
                    </w:trPr>
                    <w:tc>
                      <w:tcPr>
                        <w:tcW w:w="750" w:type="dxa"/>
                      </w:tcPr>
                      <w:p>
                        <w:pPr>
                          <w:pStyle w:val="TableParagraph"/>
                          <w:spacing w:before="8"/>
                          <w:rPr>
                            <w:sz w:val="19"/>
                          </w:rPr>
                        </w:pPr>
                      </w:p>
                      <w:p>
                        <w:pPr>
                          <w:pStyle w:val="TableParagraph"/>
                          <w:ind w:left="50"/>
                          <w:rPr>
                            <w:rFonts w:ascii="Arial"/>
                            <w:sz w:val="12"/>
                          </w:rPr>
                        </w:pPr>
                        <w:r>
                          <w:rPr>
                            <w:rFonts w:ascii="Arial"/>
                            <w:sz w:val="12"/>
                          </w:rPr>
                          <w:t>1034</w:t>
                        </w:r>
                      </w:p>
                    </w:tc>
                    <w:tc>
                      <w:tcPr>
                        <w:tcW w:w="8668" w:type="dxa"/>
                      </w:tcPr>
                      <w:p>
                        <w:pPr>
                          <w:pStyle w:val="TableParagraph"/>
                          <w:spacing w:line="271" w:lineRule="exact" w:before="115"/>
                          <w:ind w:left="473"/>
                          <w:rPr>
                            <w:sz w:val="24"/>
                          </w:rPr>
                        </w:pPr>
                        <w:hyperlink r:id="rId82">
                          <w:r>
                            <w:rPr>
                              <w:w w:val="105"/>
                              <w:sz w:val="24"/>
                            </w:rPr>
                            <w:t>https://doi.org/10.1111/j.1601-183X.2008.00454.x</w:t>
                          </w:r>
                        </w:hyperlink>
                      </w:p>
                    </w:tc>
                  </w:tr>
                </w:tbl>
                <w:p>
                  <w:pPr>
                    <w:pStyle w:val="BodyText"/>
                    <w:spacing w:before="0"/>
                    <w:ind w:left="0"/>
                  </w:pPr>
                </w:p>
              </w:txbxContent>
            </v:textbox>
            <w10:wrap type="none"/>
          </v:shape>
        </w:pict>
      </w:r>
      <w:r>
        <w:rPr/>
        <w:t>ong</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4"/>
        <w:ind w:left="0"/>
        <w:rPr>
          <w:sz w:val="23"/>
        </w:rPr>
      </w:pPr>
    </w:p>
    <w:tbl>
      <w:tblPr>
        <w:tblW w:w="0" w:type="auto"/>
        <w:jc w:val="left"/>
        <w:tblInd w:w="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5"/>
        <w:gridCol w:w="9200"/>
      </w:tblGrid>
      <w:tr>
        <w:trPr>
          <w:trHeight w:val="407" w:hRule="atLeast"/>
        </w:trPr>
        <w:tc>
          <w:tcPr>
            <w:tcW w:w="9955" w:type="dxa"/>
            <w:gridSpan w:val="2"/>
          </w:tcPr>
          <w:p>
            <w:pPr>
              <w:pStyle w:val="TableParagraph"/>
              <w:spacing w:before="45"/>
              <w:ind w:left="50"/>
              <w:rPr>
                <w:sz w:val="24"/>
              </w:rPr>
            </w:pPr>
            <w:r>
              <w:rPr>
                <w:rFonts w:ascii="Arial"/>
                <w:w w:val="105"/>
                <w:sz w:val="12"/>
              </w:rPr>
              <w:t>1035 </w:t>
            </w:r>
            <w:r>
              <w:rPr>
                <w:w w:val="105"/>
                <w:sz w:val="24"/>
              </w:rPr>
              <w:t>Wiers, R. W., Rinck, M., Kordts, R., Houben, K., &amp; Strack, F. (2010). Retraining automatic</w:t>
            </w:r>
          </w:p>
        </w:tc>
      </w:tr>
      <w:tr>
        <w:trPr>
          <w:trHeight w:val="479"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1036</w:t>
            </w:r>
          </w:p>
        </w:tc>
        <w:tc>
          <w:tcPr>
            <w:tcW w:w="9200" w:type="dxa"/>
          </w:tcPr>
          <w:p>
            <w:pPr>
              <w:pStyle w:val="TableParagraph"/>
              <w:spacing w:before="116"/>
              <w:ind w:left="468"/>
              <w:rPr>
                <w:sz w:val="24"/>
              </w:rPr>
            </w:pPr>
            <w:r>
              <w:rPr>
                <w:w w:val="105"/>
                <w:sz w:val="24"/>
              </w:rPr>
              <w:t>action-tendencies to approach alcohol in hazardous drinkers. </w:t>
            </w:r>
            <w:r>
              <w:rPr>
                <w:i/>
                <w:w w:val="105"/>
                <w:sz w:val="24"/>
              </w:rPr>
              <w:t>Addiction</w:t>
            </w:r>
            <w:r>
              <w:rPr>
                <w:w w:val="105"/>
                <w:sz w:val="24"/>
              </w:rPr>
              <w:t>, </w:t>
            </w:r>
            <w:r>
              <w:rPr>
                <w:i/>
                <w:w w:val="105"/>
                <w:sz w:val="24"/>
              </w:rPr>
              <w:t>105 </w:t>
            </w:r>
            <w:r>
              <w:rPr>
                <w:w w:val="105"/>
                <w:sz w:val="24"/>
              </w:rPr>
              <w:t>(2),</w:t>
            </w:r>
          </w:p>
        </w:tc>
      </w:tr>
      <w:tr>
        <w:trPr>
          <w:trHeight w:val="620" w:hRule="atLeast"/>
        </w:trPr>
        <w:tc>
          <w:tcPr>
            <w:tcW w:w="755" w:type="dxa"/>
          </w:tcPr>
          <w:p>
            <w:pPr>
              <w:pStyle w:val="TableParagraph"/>
              <w:spacing w:before="8"/>
              <w:rPr>
                <w:sz w:val="19"/>
              </w:rPr>
            </w:pPr>
          </w:p>
          <w:p>
            <w:pPr>
              <w:pStyle w:val="TableParagraph"/>
              <w:ind w:left="50"/>
              <w:rPr>
                <w:rFonts w:ascii="Arial"/>
                <w:sz w:val="12"/>
              </w:rPr>
            </w:pPr>
            <w:r>
              <w:rPr>
                <w:rFonts w:ascii="Arial"/>
                <w:sz w:val="12"/>
              </w:rPr>
              <w:t>1037</w:t>
            </w:r>
          </w:p>
        </w:tc>
        <w:tc>
          <w:tcPr>
            <w:tcW w:w="9200" w:type="dxa"/>
          </w:tcPr>
          <w:p>
            <w:pPr>
              <w:pStyle w:val="TableParagraph"/>
              <w:spacing w:before="115"/>
              <w:ind w:left="462"/>
              <w:rPr>
                <w:sz w:val="24"/>
              </w:rPr>
            </w:pPr>
            <w:r>
              <w:rPr>
                <w:sz w:val="24"/>
              </w:rPr>
              <w:t>279–287. </w:t>
            </w:r>
            <w:hyperlink r:id="rId83">
              <w:r>
                <w:rPr>
                  <w:sz w:val="24"/>
                </w:rPr>
                <w:t>https://doi.org/10.1111/j.1360-0443.2009.02775.x</w:t>
              </w:r>
            </w:hyperlink>
          </w:p>
        </w:tc>
      </w:tr>
      <w:tr>
        <w:trPr>
          <w:trHeight w:val="621" w:hRule="atLeast"/>
        </w:trPr>
        <w:tc>
          <w:tcPr>
            <w:tcW w:w="9955" w:type="dxa"/>
            <w:gridSpan w:val="2"/>
          </w:tcPr>
          <w:p>
            <w:pPr>
              <w:pStyle w:val="TableParagraph"/>
              <w:spacing w:before="260"/>
              <w:ind w:left="50"/>
              <w:rPr>
                <w:sz w:val="24"/>
              </w:rPr>
            </w:pPr>
            <w:r>
              <w:rPr>
                <w:rFonts w:ascii="Arial"/>
                <w:w w:val="105"/>
                <w:sz w:val="12"/>
              </w:rPr>
              <w:t>1038 </w:t>
            </w:r>
            <w:r>
              <w:rPr>
                <w:w w:val="105"/>
                <w:sz w:val="24"/>
              </w:rPr>
              <w:t>Wilcox, R. R., &amp; Tian, T. S. (2011). Measuring effect size: A robust heteroscedastic</w:t>
            </w:r>
          </w:p>
        </w:tc>
      </w:tr>
      <w:tr>
        <w:trPr>
          <w:trHeight w:val="479"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1039</w:t>
            </w:r>
          </w:p>
        </w:tc>
        <w:tc>
          <w:tcPr>
            <w:tcW w:w="9200" w:type="dxa"/>
          </w:tcPr>
          <w:p>
            <w:pPr>
              <w:pStyle w:val="TableParagraph"/>
              <w:spacing w:before="116"/>
              <w:ind w:left="468"/>
              <w:rPr>
                <w:sz w:val="24"/>
              </w:rPr>
            </w:pPr>
            <w:r>
              <w:rPr>
                <w:w w:val="105"/>
                <w:sz w:val="24"/>
              </w:rPr>
              <w:t>approach for two or more groups. </w:t>
            </w:r>
            <w:r>
              <w:rPr>
                <w:i/>
                <w:w w:val="105"/>
                <w:sz w:val="24"/>
              </w:rPr>
              <w:t>Journal of Applied Statistics</w:t>
            </w:r>
            <w:r>
              <w:rPr>
                <w:w w:val="105"/>
                <w:sz w:val="24"/>
              </w:rPr>
              <w:t>, </w:t>
            </w:r>
            <w:r>
              <w:rPr>
                <w:i/>
                <w:w w:val="105"/>
                <w:sz w:val="24"/>
              </w:rPr>
              <w:t>38 </w:t>
            </w:r>
            <w:r>
              <w:rPr>
                <w:w w:val="105"/>
                <w:sz w:val="24"/>
              </w:rPr>
              <w:t>(7), 1359–1368.</w:t>
            </w:r>
          </w:p>
        </w:tc>
      </w:tr>
      <w:tr>
        <w:trPr>
          <w:trHeight w:val="620" w:hRule="atLeast"/>
        </w:trPr>
        <w:tc>
          <w:tcPr>
            <w:tcW w:w="755" w:type="dxa"/>
          </w:tcPr>
          <w:p>
            <w:pPr>
              <w:pStyle w:val="TableParagraph"/>
              <w:spacing w:before="8"/>
              <w:rPr>
                <w:sz w:val="19"/>
              </w:rPr>
            </w:pPr>
          </w:p>
          <w:p>
            <w:pPr>
              <w:pStyle w:val="TableParagraph"/>
              <w:ind w:left="50"/>
              <w:rPr>
                <w:rFonts w:ascii="Arial"/>
                <w:sz w:val="12"/>
              </w:rPr>
            </w:pPr>
            <w:r>
              <w:rPr>
                <w:rFonts w:ascii="Arial"/>
                <w:sz w:val="12"/>
              </w:rPr>
              <w:t>1040</w:t>
            </w:r>
          </w:p>
        </w:tc>
        <w:tc>
          <w:tcPr>
            <w:tcW w:w="9200" w:type="dxa"/>
          </w:tcPr>
          <w:p>
            <w:pPr>
              <w:pStyle w:val="TableParagraph"/>
              <w:spacing w:before="115"/>
              <w:ind w:left="468"/>
              <w:rPr>
                <w:sz w:val="24"/>
              </w:rPr>
            </w:pPr>
            <w:hyperlink r:id="rId84">
              <w:r>
                <w:rPr>
                  <w:w w:val="105"/>
                  <w:sz w:val="24"/>
                </w:rPr>
                <w:t>https://doi.org/10.1080/02664763.2010.498507</w:t>
              </w:r>
            </w:hyperlink>
          </w:p>
        </w:tc>
      </w:tr>
      <w:tr>
        <w:trPr>
          <w:trHeight w:val="621" w:hRule="atLeast"/>
        </w:trPr>
        <w:tc>
          <w:tcPr>
            <w:tcW w:w="9955" w:type="dxa"/>
            <w:gridSpan w:val="2"/>
          </w:tcPr>
          <w:p>
            <w:pPr>
              <w:pStyle w:val="TableParagraph"/>
              <w:spacing w:before="260"/>
              <w:ind w:left="50"/>
              <w:rPr>
                <w:sz w:val="24"/>
              </w:rPr>
            </w:pPr>
            <w:r>
              <w:rPr>
                <w:rFonts w:ascii="Arial"/>
                <w:w w:val="105"/>
                <w:sz w:val="12"/>
              </w:rPr>
              <w:t>1041 </w:t>
            </w:r>
            <w:r>
              <w:rPr>
                <w:w w:val="105"/>
                <w:sz w:val="24"/>
              </w:rPr>
              <w:t>Wittekind, C. E., Feist, A., Schneider, B. C., Moritz, S., &amp; Fritzsche, A. (2015). The</w:t>
            </w:r>
          </w:p>
        </w:tc>
      </w:tr>
      <w:tr>
        <w:trPr>
          <w:trHeight w:val="478"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1042</w:t>
            </w:r>
          </w:p>
        </w:tc>
        <w:tc>
          <w:tcPr>
            <w:tcW w:w="9200" w:type="dxa"/>
          </w:tcPr>
          <w:p>
            <w:pPr>
              <w:pStyle w:val="TableParagraph"/>
              <w:spacing w:before="116"/>
              <w:ind w:left="468"/>
              <w:rPr>
                <w:sz w:val="24"/>
              </w:rPr>
            </w:pPr>
            <w:r>
              <w:rPr>
                <w:w w:val="105"/>
                <w:sz w:val="24"/>
              </w:rPr>
              <w:t>approach-avoidance task as an online intervention in cigarette smoking: A pilot study.</w:t>
            </w:r>
          </w:p>
        </w:tc>
      </w:tr>
      <w:tr>
        <w:trPr>
          <w:trHeight w:val="479" w:hRule="atLeast"/>
        </w:trPr>
        <w:tc>
          <w:tcPr>
            <w:tcW w:w="755" w:type="dxa"/>
          </w:tcPr>
          <w:p>
            <w:pPr>
              <w:pStyle w:val="TableParagraph"/>
              <w:spacing w:before="9"/>
              <w:rPr>
                <w:sz w:val="19"/>
              </w:rPr>
            </w:pPr>
          </w:p>
          <w:p>
            <w:pPr>
              <w:pStyle w:val="TableParagraph"/>
              <w:ind w:left="50"/>
              <w:rPr>
                <w:rFonts w:ascii="Arial"/>
                <w:sz w:val="12"/>
              </w:rPr>
            </w:pPr>
            <w:r>
              <w:rPr>
                <w:rFonts w:ascii="Arial"/>
                <w:sz w:val="12"/>
              </w:rPr>
              <w:t>1043</w:t>
            </w:r>
          </w:p>
        </w:tc>
        <w:tc>
          <w:tcPr>
            <w:tcW w:w="9200" w:type="dxa"/>
          </w:tcPr>
          <w:p>
            <w:pPr>
              <w:pStyle w:val="TableParagraph"/>
              <w:spacing w:before="116"/>
              <w:ind w:left="451"/>
              <w:rPr>
                <w:sz w:val="24"/>
              </w:rPr>
            </w:pPr>
            <w:r>
              <w:rPr>
                <w:i/>
                <w:w w:val="105"/>
                <w:sz w:val="24"/>
              </w:rPr>
              <w:t>Journal of Behavior Therapy and Experimental Psychiatry</w:t>
            </w:r>
            <w:r>
              <w:rPr>
                <w:w w:val="105"/>
                <w:sz w:val="24"/>
              </w:rPr>
              <w:t>, </w:t>
            </w:r>
            <w:r>
              <w:rPr>
                <w:i/>
                <w:w w:val="105"/>
                <w:sz w:val="24"/>
              </w:rPr>
              <w:t>46</w:t>
            </w:r>
            <w:r>
              <w:rPr>
                <w:w w:val="105"/>
                <w:sz w:val="24"/>
              </w:rPr>
              <w:t>, 115–120.</w:t>
            </w:r>
          </w:p>
        </w:tc>
      </w:tr>
      <w:tr>
        <w:trPr>
          <w:trHeight w:val="406" w:hRule="atLeast"/>
        </w:trPr>
        <w:tc>
          <w:tcPr>
            <w:tcW w:w="755" w:type="dxa"/>
          </w:tcPr>
          <w:p>
            <w:pPr>
              <w:pStyle w:val="TableParagraph"/>
              <w:spacing w:before="8"/>
              <w:rPr>
                <w:sz w:val="19"/>
              </w:rPr>
            </w:pPr>
          </w:p>
          <w:p>
            <w:pPr>
              <w:pStyle w:val="TableParagraph"/>
              <w:ind w:left="50"/>
              <w:rPr>
                <w:rFonts w:ascii="Arial"/>
                <w:sz w:val="12"/>
              </w:rPr>
            </w:pPr>
            <w:r>
              <w:rPr>
                <w:rFonts w:ascii="Arial"/>
                <w:sz w:val="12"/>
              </w:rPr>
              <w:t>1044</w:t>
            </w:r>
          </w:p>
        </w:tc>
        <w:tc>
          <w:tcPr>
            <w:tcW w:w="9200" w:type="dxa"/>
          </w:tcPr>
          <w:p>
            <w:pPr>
              <w:pStyle w:val="TableParagraph"/>
              <w:spacing w:line="271" w:lineRule="exact" w:before="115"/>
              <w:ind w:left="468"/>
              <w:rPr>
                <w:sz w:val="24"/>
              </w:rPr>
            </w:pPr>
            <w:hyperlink r:id="rId85">
              <w:r>
                <w:rPr>
                  <w:w w:val="110"/>
                  <w:sz w:val="24"/>
                </w:rPr>
                <w:t>https://doi.org/10.1016/j.jbtep.2014.08.006</w:t>
              </w:r>
            </w:hyperlink>
          </w:p>
        </w:tc>
      </w:tr>
    </w:tbl>
    <w:p>
      <w:pPr>
        <w:pStyle w:val="BodyText"/>
        <w:spacing w:before="6"/>
        <w:ind w:left="0"/>
        <w:rPr>
          <w:sz w:val="28"/>
        </w:rPr>
      </w:pPr>
    </w:p>
    <w:p>
      <w:pPr>
        <w:spacing w:after="0"/>
        <w:rPr>
          <w:sz w:val="28"/>
        </w:rPr>
        <w:sectPr>
          <w:type w:val="continuous"/>
          <w:pgSz w:w="12240" w:h="15840"/>
          <w:pgMar w:top="1320" w:bottom="280" w:left="820" w:right="1140"/>
        </w:sectPr>
      </w:pPr>
    </w:p>
    <w:p>
      <w:pPr>
        <w:pStyle w:val="BodyText"/>
        <w:spacing w:before="4"/>
        <w:ind w:left="0"/>
        <w:rPr>
          <w:sz w:val="22"/>
        </w:rPr>
      </w:pPr>
    </w:p>
    <w:p>
      <w:pPr>
        <w:spacing w:before="1"/>
        <w:ind w:left="166" w:right="0" w:firstLine="0"/>
        <w:jc w:val="left"/>
        <w:rPr>
          <w:rFonts w:ascii="Arial"/>
          <w:sz w:val="12"/>
        </w:rPr>
      </w:pPr>
      <w:r>
        <w:rPr>
          <w:rFonts w:ascii="Arial"/>
          <w:w w:val="95"/>
          <w:sz w:val="12"/>
        </w:rPr>
        <w:t>1045</w:t>
      </w:r>
    </w:p>
    <w:p>
      <w:pPr>
        <w:pStyle w:val="BodyText"/>
        <w:spacing w:before="0"/>
        <w:ind w:left="0"/>
        <w:rPr>
          <w:rFonts w:ascii="Arial"/>
          <w:sz w:val="18"/>
        </w:rPr>
      </w:pPr>
    </w:p>
    <w:p>
      <w:pPr>
        <w:spacing w:before="133"/>
        <w:ind w:left="166" w:right="0" w:firstLine="0"/>
        <w:jc w:val="left"/>
        <w:rPr>
          <w:rFonts w:ascii="Arial"/>
          <w:sz w:val="12"/>
        </w:rPr>
      </w:pPr>
      <w:r>
        <w:rPr>
          <w:rFonts w:ascii="Arial"/>
          <w:w w:val="95"/>
          <w:sz w:val="12"/>
        </w:rPr>
        <w:t>1046</w:t>
      </w:r>
    </w:p>
    <w:p>
      <w:pPr>
        <w:pStyle w:val="BodyText"/>
        <w:spacing w:before="146"/>
        <w:ind w:left="159"/>
      </w:pPr>
      <w:r>
        <w:rPr/>
        <w:br w:type="column"/>
      </w:r>
      <w:r>
        <w:rPr>
          <w:w w:val="105"/>
        </w:rPr>
        <w:t>Yuen, K. K. (1974). The two-sample trimmed t for unequal population variances.</w:t>
      </w:r>
    </w:p>
    <w:p>
      <w:pPr>
        <w:pStyle w:val="BodyText"/>
        <w:ind w:left="865"/>
      </w:pPr>
      <w:r>
        <w:rPr/>
        <w:pict>
          <v:group style="position:absolute;margin-left:100.550003pt;margin-top:45.979061pt;width:98.05pt;height:17.6pt;mso-position-horizontal-relative:page;mso-position-vertical-relative:paragraph;z-index:-95056" coordorigin="2011,920" coordsize="1961,352">
            <v:rect style="position:absolute;left:2011;top:1005;width:689;height:266" filled="true" fillcolor="#fff200" stroked="false">
              <v:fill type="solid"/>
            </v:rect>
            <v:line style="position:absolute" from="2737,1005" to="2737,1271" stroked="true" strokeweight="4.234pt" strokecolor="#fff200">
              <v:stroke dashstyle="solid"/>
            </v:line>
            <v:rect style="position:absolute;left:2778;top:1005;width:332;height:266" filled="true" fillcolor="#fff200" stroked="false">
              <v:fill type="solid"/>
            </v:rect>
            <v:line style="position:absolute" from="3153,1005" to="3153,1271" stroked="true" strokeweight="4.234pt" strokecolor="#fff200">
              <v:stroke dashstyle="solid"/>
            </v:line>
            <v:shape style="position:absolute;left:3195;top:1005;width:777;height:266" coordorigin="3195,1005" coordsize="777,266" path="m3971,1005l3428,1005,3195,1005,3195,1271,3428,1271,3971,1271,3971,1005e" filled="true" fillcolor="#fff200" stroked="false">
              <v:path arrowok="t"/>
              <v:fill type="solid"/>
            </v:shape>
            <v:shape style="position:absolute;left:2011;top:919;width:1961;height:352" type="#_x0000_t202" filled="false" stroked="false">
              <v:textbox inset="0,0,0,0">
                <w:txbxContent>
                  <w:p>
                    <w:pPr>
                      <w:spacing w:before="47"/>
                      <w:ind w:left="5" w:right="0" w:firstLine="0"/>
                      <w:jc w:val="left"/>
                      <w:rPr>
                        <w:b/>
                        <w:sz w:val="24"/>
                      </w:rPr>
                    </w:pPr>
                    <w:r>
                      <w:rPr>
                        <w:b/>
                        <w:w w:val="115"/>
                        <w:sz w:val="24"/>
                      </w:rPr>
                      <w:t>Notes for review</w:t>
                    </w:r>
                  </w:p>
                </w:txbxContent>
              </v:textbox>
              <w10:wrap type="none"/>
            </v:shape>
            <w10:wrap type="none"/>
          </v:group>
        </w:pict>
      </w:r>
      <w:r>
        <w:rPr>
          <w:i/>
          <w:w w:val="105"/>
        </w:rPr>
        <w:t>Biometrika</w:t>
      </w:r>
      <w:r>
        <w:rPr>
          <w:w w:val="105"/>
        </w:rPr>
        <w:t>, </w:t>
      </w:r>
      <w:r>
        <w:rPr>
          <w:i/>
          <w:w w:val="105"/>
        </w:rPr>
        <w:t>61 </w:t>
      </w:r>
      <w:r>
        <w:rPr>
          <w:w w:val="105"/>
        </w:rPr>
        <w:t>(1), 165–170. </w:t>
      </w:r>
      <w:hyperlink r:id="rId86">
        <w:r>
          <w:rPr>
            <w:w w:val="105"/>
          </w:rPr>
          <w:t>https://doi.org/10.1093/biomet/61.1.165</w:t>
        </w:r>
      </w:hyperlink>
    </w:p>
    <w:p>
      <w:pPr>
        <w:spacing w:after="0"/>
        <w:sectPr>
          <w:type w:val="continuous"/>
          <w:pgSz w:w="12240" w:h="15840"/>
          <w:pgMar w:top="1320" w:bottom="280" w:left="820" w:right="1140"/>
          <w:cols w:num="2" w:equalWidth="0">
            <w:col w:w="421" w:space="39"/>
            <w:col w:w="9820"/>
          </w:cols>
        </w:sectPr>
      </w:pPr>
    </w:p>
    <w:p>
      <w:pPr>
        <w:pStyle w:val="BodyText"/>
        <w:spacing w:before="11"/>
        <w:ind w:left="0"/>
        <w:rPr>
          <w:sz w:val="29"/>
        </w:rPr>
      </w:pPr>
    </w:p>
    <w:p>
      <w:pPr>
        <w:spacing w:after="0"/>
        <w:rPr>
          <w:sz w:val="29"/>
        </w:rPr>
        <w:sectPr>
          <w:type w:val="continuous"/>
          <w:pgSz w:w="12240" w:h="15840"/>
          <w:pgMar w:top="1320" w:bottom="280" w:left="820" w:right="1140"/>
        </w:sectPr>
      </w:pPr>
    </w:p>
    <w:p>
      <w:pPr>
        <w:pStyle w:val="BodyText"/>
        <w:spacing w:before="4"/>
        <w:ind w:left="0"/>
        <w:rPr>
          <w:sz w:val="22"/>
        </w:rPr>
      </w:pPr>
    </w:p>
    <w:p>
      <w:pPr>
        <w:spacing w:before="0"/>
        <w:ind w:left="166" w:right="0" w:firstLine="0"/>
        <w:jc w:val="left"/>
        <w:rPr>
          <w:rFonts w:ascii="Arial"/>
          <w:sz w:val="12"/>
        </w:rPr>
      </w:pPr>
      <w:r>
        <w:rPr>
          <w:rFonts w:ascii="Arial"/>
          <w:w w:val="95"/>
          <w:sz w:val="12"/>
        </w:rPr>
        <w:t>1047</w:t>
      </w:r>
    </w:p>
    <w:p>
      <w:pPr>
        <w:pStyle w:val="BodyText"/>
        <w:spacing w:before="0"/>
        <w:ind w:left="0"/>
        <w:rPr>
          <w:rFonts w:ascii="Arial"/>
          <w:sz w:val="18"/>
        </w:rPr>
      </w:pPr>
    </w:p>
    <w:p>
      <w:pPr>
        <w:spacing w:before="133"/>
        <w:ind w:left="166" w:right="0" w:firstLine="0"/>
        <w:jc w:val="left"/>
        <w:rPr>
          <w:rFonts w:ascii="Arial"/>
          <w:sz w:val="12"/>
        </w:rPr>
      </w:pPr>
      <w:r>
        <w:rPr>
          <w:rFonts w:ascii="Arial"/>
          <w:w w:val="95"/>
          <w:sz w:val="12"/>
        </w:rPr>
        <w:t>1048</w:t>
      </w:r>
    </w:p>
    <w:p>
      <w:pPr>
        <w:pStyle w:val="BodyText"/>
        <w:spacing w:before="0"/>
        <w:ind w:left="0"/>
        <w:rPr>
          <w:rFonts w:ascii="Arial"/>
          <w:sz w:val="18"/>
        </w:rPr>
      </w:pPr>
    </w:p>
    <w:p>
      <w:pPr>
        <w:spacing w:before="133"/>
        <w:ind w:left="166" w:right="0" w:firstLine="0"/>
        <w:jc w:val="left"/>
        <w:rPr>
          <w:rFonts w:ascii="Arial"/>
          <w:sz w:val="12"/>
        </w:rPr>
      </w:pPr>
      <w:r>
        <w:rPr>
          <w:rFonts w:ascii="Arial"/>
          <w:w w:val="95"/>
          <w:sz w:val="12"/>
        </w:rPr>
        <w:t>1049</w:t>
      </w:r>
    </w:p>
    <w:p>
      <w:pPr>
        <w:pStyle w:val="BodyText"/>
        <w:spacing w:before="0"/>
        <w:ind w:left="0"/>
        <w:rPr>
          <w:rFonts w:ascii="Arial"/>
          <w:sz w:val="18"/>
        </w:rPr>
      </w:pPr>
    </w:p>
    <w:p>
      <w:pPr>
        <w:spacing w:before="133"/>
        <w:ind w:left="166" w:right="0" w:firstLine="0"/>
        <w:jc w:val="left"/>
        <w:rPr>
          <w:rFonts w:ascii="Arial"/>
          <w:sz w:val="12"/>
        </w:rPr>
      </w:pPr>
      <w:r>
        <w:rPr>
          <w:rFonts w:ascii="Arial"/>
          <w:w w:val="95"/>
          <w:sz w:val="12"/>
        </w:rPr>
        <w:t>1050</w:t>
      </w:r>
    </w:p>
    <w:p>
      <w:pPr>
        <w:pStyle w:val="BodyText"/>
        <w:spacing w:before="0"/>
        <w:ind w:left="0"/>
        <w:rPr>
          <w:rFonts w:ascii="Arial"/>
          <w:sz w:val="18"/>
        </w:rPr>
      </w:pPr>
    </w:p>
    <w:p>
      <w:pPr>
        <w:spacing w:before="133"/>
        <w:ind w:left="166" w:right="0" w:firstLine="0"/>
        <w:jc w:val="left"/>
        <w:rPr>
          <w:rFonts w:ascii="Arial"/>
          <w:sz w:val="12"/>
        </w:rPr>
      </w:pPr>
      <w:r>
        <w:rPr>
          <w:rFonts w:ascii="Arial"/>
          <w:w w:val="95"/>
          <w:sz w:val="12"/>
        </w:rPr>
        <w:t>1051</w:t>
      </w:r>
    </w:p>
    <w:p>
      <w:pPr>
        <w:pStyle w:val="BodyText"/>
        <w:spacing w:before="0"/>
        <w:ind w:left="0"/>
        <w:rPr>
          <w:rFonts w:ascii="Arial"/>
          <w:sz w:val="18"/>
        </w:rPr>
      </w:pPr>
    </w:p>
    <w:p>
      <w:pPr>
        <w:spacing w:before="134"/>
        <w:ind w:left="166" w:right="0" w:firstLine="0"/>
        <w:jc w:val="left"/>
        <w:rPr>
          <w:rFonts w:ascii="Arial"/>
          <w:sz w:val="12"/>
        </w:rPr>
      </w:pPr>
      <w:r>
        <w:rPr>
          <w:rFonts w:ascii="Arial"/>
          <w:w w:val="95"/>
          <w:sz w:val="12"/>
        </w:rPr>
        <w:t>1052</w:t>
      </w:r>
    </w:p>
    <w:p>
      <w:pPr>
        <w:pStyle w:val="BodyText"/>
        <w:spacing w:before="0"/>
        <w:ind w:left="0"/>
        <w:rPr>
          <w:rFonts w:ascii="Arial"/>
          <w:sz w:val="18"/>
        </w:rPr>
      </w:pPr>
    </w:p>
    <w:p>
      <w:pPr>
        <w:spacing w:before="133"/>
        <w:ind w:left="166" w:right="0" w:firstLine="0"/>
        <w:jc w:val="left"/>
        <w:rPr>
          <w:rFonts w:ascii="Arial"/>
          <w:sz w:val="12"/>
        </w:rPr>
      </w:pPr>
      <w:r>
        <w:rPr>
          <w:rFonts w:ascii="Arial"/>
          <w:w w:val="95"/>
          <w:sz w:val="12"/>
        </w:rPr>
        <w:t>1053</w:t>
      </w:r>
    </w:p>
    <w:p>
      <w:pPr>
        <w:pStyle w:val="BodyText"/>
        <w:spacing w:line="415" w:lineRule="auto" w:before="145"/>
        <w:ind w:left="126" w:right="376" w:firstLine="2638"/>
      </w:pPr>
      <w:r>
        <w:rPr/>
        <w:br w:type="column"/>
      </w:r>
      <w:r>
        <w:rPr>
          <w:w w:val="105"/>
        </w:rPr>
        <w:t>- </w:t>
      </w:r>
      <w:r>
        <w:rPr>
          <w:spacing w:val="-4"/>
          <w:w w:val="105"/>
        </w:rPr>
        <w:t>Weird </w:t>
      </w:r>
      <w:r>
        <w:rPr>
          <w:w w:val="105"/>
        </w:rPr>
        <w:t>spaces between some sections: This is a </w:t>
      </w:r>
      <w:r>
        <w:rPr>
          <w:spacing w:val="-5"/>
          <w:w w:val="105"/>
        </w:rPr>
        <w:t>LaTex </w:t>
      </w:r>
      <w:r>
        <w:rPr>
          <w:w w:val="105"/>
        </w:rPr>
        <w:t>issue and will </w:t>
      </w:r>
      <w:r>
        <w:rPr>
          <w:spacing w:val="3"/>
          <w:w w:val="105"/>
        </w:rPr>
        <w:t>be </w:t>
      </w:r>
      <w:r>
        <w:rPr>
          <w:w w:val="105"/>
        </w:rPr>
        <w:t>fixed in the RMarkdown file later. - Please ignore </w:t>
      </w:r>
      <w:r>
        <w:rPr>
          <w:spacing w:val="-3"/>
          <w:w w:val="105"/>
        </w:rPr>
        <w:t>any </w:t>
      </w:r>
      <w:r>
        <w:rPr>
          <w:w w:val="105"/>
        </w:rPr>
        <w:t>typos or minor formatting errors at this stage - Some references need to </w:t>
      </w:r>
      <w:r>
        <w:rPr>
          <w:spacing w:val="3"/>
          <w:w w:val="105"/>
        </w:rPr>
        <w:t>be </w:t>
      </w:r>
      <w:r>
        <w:rPr>
          <w:w w:val="105"/>
        </w:rPr>
        <w:t>fixed - Journal abbreviations and middle names will </w:t>
      </w:r>
      <w:r>
        <w:rPr>
          <w:spacing w:val="3"/>
          <w:w w:val="105"/>
        </w:rPr>
        <w:t>be </w:t>
      </w:r>
      <w:r>
        <w:rPr>
          <w:w w:val="105"/>
        </w:rPr>
        <w:t>manually fixed later on - </w:t>
      </w:r>
      <w:r>
        <w:rPr>
          <w:spacing w:val="-7"/>
          <w:w w:val="105"/>
        </w:rPr>
        <w:t>For </w:t>
      </w:r>
      <w:r>
        <w:rPr>
          <w:w w:val="105"/>
        </w:rPr>
        <w:t>thesis purposes I </w:t>
      </w:r>
      <w:r>
        <w:rPr>
          <w:spacing w:val="-4"/>
          <w:w w:val="105"/>
        </w:rPr>
        <w:t>have </w:t>
      </w:r>
      <w:r>
        <w:rPr>
          <w:spacing w:val="-3"/>
          <w:w w:val="105"/>
        </w:rPr>
        <w:t>removed </w:t>
      </w:r>
      <w:r>
        <w:rPr>
          <w:w w:val="105"/>
        </w:rPr>
        <w:t>all “we” and “our” phrases, but for the paper </w:t>
      </w:r>
      <w:r>
        <w:rPr>
          <w:spacing w:val="-4"/>
          <w:w w:val="105"/>
        </w:rPr>
        <w:t>we </w:t>
      </w:r>
      <w:r>
        <w:rPr>
          <w:w w:val="105"/>
        </w:rPr>
        <w:t>can re-edit some parts - Thesis vs manuscript: this is  very long for journal submission, so feel free to make suggestions for </w:t>
      </w:r>
      <w:r>
        <w:rPr>
          <w:spacing w:val="-3"/>
          <w:w w:val="105"/>
        </w:rPr>
        <w:t>any content </w:t>
      </w:r>
      <w:r>
        <w:rPr>
          <w:w w:val="105"/>
        </w:rPr>
        <w:t>that </w:t>
      </w:r>
      <w:r>
        <w:rPr>
          <w:spacing w:val="-3"/>
          <w:w w:val="105"/>
        </w:rPr>
        <w:t>may </w:t>
      </w:r>
      <w:r>
        <w:rPr>
          <w:w w:val="105"/>
        </w:rPr>
        <w:t>need to go into either Appendix (in paper) or Supplementary Material - </w:t>
      </w:r>
      <w:r>
        <w:rPr>
          <w:i/>
          <w:w w:val="105"/>
        </w:rPr>
        <w:t>Important</w:t>
      </w:r>
      <w:r>
        <w:rPr>
          <w:w w:val="105"/>
        </w:rPr>
        <w:t>: there</w:t>
      </w:r>
      <w:r>
        <w:rPr>
          <w:spacing w:val="23"/>
          <w:w w:val="105"/>
        </w:rPr>
        <w:t> </w:t>
      </w:r>
      <w:r>
        <w:rPr>
          <w:w w:val="105"/>
        </w:rPr>
        <w:t>are</w:t>
      </w:r>
    </w:p>
    <w:p>
      <w:pPr>
        <w:spacing w:after="0" w:line="415" w:lineRule="auto"/>
        <w:sectPr>
          <w:type w:val="continuous"/>
          <w:pgSz w:w="12240" w:h="15840"/>
          <w:pgMar w:top="1320" w:bottom="280" w:left="820" w:right="1140"/>
          <w:cols w:num="2" w:equalWidth="0">
            <w:col w:w="421" w:space="40"/>
            <w:col w:w="9819"/>
          </w:cols>
        </w:sectPr>
      </w:pPr>
    </w:p>
    <w:p>
      <w:pPr>
        <w:pStyle w:val="BodyText"/>
        <w:spacing w:before="4"/>
        <w:ind w:left="0"/>
        <w:rPr>
          <w:sz w:val="26"/>
        </w:rPr>
      </w:pPr>
    </w:p>
    <w:p>
      <w:pPr>
        <w:spacing w:before="0"/>
        <w:ind w:left="166" w:right="0" w:firstLine="0"/>
        <w:jc w:val="left"/>
        <w:rPr>
          <w:rFonts w:ascii="Arial"/>
          <w:sz w:val="12"/>
        </w:rPr>
      </w:pPr>
      <w:r>
        <w:rPr>
          <w:rFonts w:ascii="Arial"/>
          <w:w w:val="95"/>
          <w:sz w:val="12"/>
        </w:rPr>
        <w:t>1054</w:t>
      </w:r>
    </w:p>
    <w:p>
      <w:pPr>
        <w:pStyle w:val="BodyText"/>
        <w:spacing w:before="0"/>
        <w:ind w:left="0"/>
        <w:rPr>
          <w:rFonts w:ascii="Arial"/>
          <w:sz w:val="18"/>
        </w:rPr>
      </w:pPr>
    </w:p>
    <w:p>
      <w:pPr>
        <w:spacing w:before="133"/>
        <w:ind w:left="166" w:right="0" w:firstLine="0"/>
        <w:jc w:val="left"/>
        <w:rPr>
          <w:rFonts w:ascii="Arial"/>
          <w:sz w:val="12"/>
        </w:rPr>
      </w:pPr>
      <w:r>
        <w:rPr>
          <w:rFonts w:ascii="Arial"/>
          <w:w w:val="95"/>
          <w:sz w:val="12"/>
        </w:rPr>
        <w:t>1055</w:t>
      </w:r>
    </w:p>
    <w:p>
      <w:pPr>
        <w:pStyle w:val="BodyText"/>
        <w:spacing w:before="0"/>
        <w:ind w:left="0"/>
        <w:rPr>
          <w:rFonts w:ascii="Arial"/>
          <w:sz w:val="18"/>
        </w:rPr>
      </w:pPr>
    </w:p>
    <w:p>
      <w:pPr>
        <w:spacing w:before="133"/>
        <w:ind w:left="166" w:right="0" w:firstLine="0"/>
        <w:jc w:val="left"/>
        <w:rPr>
          <w:rFonts w:ascii="Arial"/>
          <w:sz w:val="12"/>
        </w:rPr>
      </w:pPr>
      <w:r>
        <w:rPr>
          <w:rFonts w:ascii="Arial"/>
          <w:w w:val="95"/>
          <w:sz w:val="12"/>
        </w:rPr>
        <w:t>1056</w:t>
      </w:r>
    </w:p>
    <w:p>
      <w:pPr>
        <w:pStyle w:val="BodyText"/>
        <w:spacing w:before="0"/>
        <w:ind w:left="0"/>
        <w:rPr>
          <w:rFonts w:ascii="Arial"/>
          <w:sz w:val="18"/>
        </w:rPr>
      </w:pPr>
    </w:p>
    <w:p>
      <w:pPr>
        <w:spacing w:before="133"/>
        <w:ind w:left="166" w:right="0" w:firstLine="0"/>
        <w:jc w:val="left"/>
        <w:rPr>
          <w:rFonts w:ascii="Arial"/>
          <w:sz w:val="12"/>
        </w:rPr>
      </w:pPr>
      <w:r>
        <w:rPr>
          <w:rFonts w:ascii="Arial"/>
          <w:w w:val="95"/>
          <w:sz w:val="12"/>
        </w:rPr>
        <w:t>1057</w:t>
      </w:r>
    </w:p>
    <w:p>
      <w:pPr>
        <w:pStyle w:val="BodyText"/>
        <w:spacing w:line="415" w:lineRule="auto" w:before="191"/>
        <w:ind w:left="159"/>
      </w:pPr>
      <w:r>
        <w:rPr/>
        <w:br w:type="column"/>
      </w:r>
      <w:r>
        <w:rPr>
          <w:w w:val="105"/>
        </w:rPr>
        <w:t>too many participant exclusions for AAT error rates and I am wondering whether the 25% threshold was too strict - I don’t know how ethical it is to throw all this data away.. I think maybe at a later stage we can include analyses in supplementary with a less conservative threshold - e.g. 35%</w:t>
      </w:r>
    </w:p>
    <w:sectPr>
      <w:pgSz w:w="12240" w:h="15840"/>
      <w:pgMar w:header="649" w:footer="0" w:top="1320" w:bottom="280" w:left="820" w:right="1140"/>
      <w:cols w:num="2" w:equalWidth="0">
        <w:col w:w="421" w:space="39"/>
        <w:col w:w="982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BoldItalicMT">
    <w:altName w:val="Arial-BoldItalicMT"/>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type id="_x0000_t202" o:spt="202" coordsize="21600,21600" path="m,l,21600r21600,l21600,xe">
          <v:stroke joinstyle="miter"/>
          <v:path gradientshapeok="t" o:connecttype="rect"/>
        </v:shapetype>
        <v:shape style="position:absolute;margin-left:71pt;margin-top:31.474489pt;width:354.95pt;height:18.850pt;mso-position-horizontal-relative:page;mso-position-vertical-relative:page;z-index:-95680" type="#_x0000_t202" filled="false" stroked="false">
          <v:textbox inset="0,0,0,0">
            <w:txbxContent>
              <w:p>
                <w:pPr>
                  <w:pStyle w:val="BodyText"/>
                  <w:spacing w:before="65"/>
                  <w:ind w:left="20"/>
                </w:pPr>
                <w:r>
                  <w:rPr>
                    <w:w w:val="105"/>
                  </w:rPr>
                  <w:t>Running head:</w:t>
                </w:r>
                <w:r>
                  <w:rPr>
                    <w:spacing w:val="53"/>
                    <w:w w:val="105"/>
                  </w:rPr>
                  <w:t> </w:t>
                </w:r>
                <w:r>
                  <w:rPr>
                    <w:w w:val="105"/>
                  </w:rPr>
                  <w:t>ICT EFFECTS ON </w:t>
                </w:r>
                <w:r>
                  <w:rPr>
                    <w:spacing w:val="-3"/>
                    <w:w w:val="105"/>
                  </w:rPr>
                  <w:t>FOOD </w:t>
                </w:r>
                <w:r>
                  <w:rPr>
                    <w:w w:val="105"/>
                  </w:rPr>
                  <w:t>ACTION TENDENCIES</w:t>
                </w:r>
              </w:p>
            </w:txbxContent>
          </v:textbox>
          <w10:wrap type="none"/>
        </v:shape>
      </w:pict>
    </w:r>
    <w:r>
      <w:rPr/>
      <w:pict>
        <v:shape style="position:absolute;margin-left:532.171326pt;margin-top:31.474489pt;width:9.9pt;height:18.850pt;mso-position-horizontal-relative:page;mso-position-vertical-relative:page;z-index:-95656" type="#_x0000_t202" filled="false" stroked="false">
          <v:textbox inset="0,0,0,0">
            <w:txbxContent>
              <w:p>
                <w:pPr>
                  <w:pStyle w:val="BodyText"/>
                  <w:spacing w:before="65"/>
                  <w:ind w:left="40"/>
                </w:pPr>
                <w:r>
                  <w:rPr/>
                  <w:fldChar w:fldCharType="begin"/>
                </w:r>
                <w:r>
                  <w:rPr>
                    <w:w w:val="97"/>
                  </w:rPr>
                  <w:instrText> PAGE </w:instrText>
                </w:r>
                <w:r>
                  <w:rPr/>
                  <w:fldChar w:fldCharType="separate"/>
                </w:r>
                <w:r>
                  <w:rPr/>
                  <w:t>1</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71pt;margin-top:31.474489pt;width:275.150pt;height:18.850pt;mso-position-horizontal-relative:page;mso-position-vertical-relative:page;z-index:-95632" type="#_x0000_t202" filled="false" stroked="false">
          <v:textbox inset="0,0,0,0">
            <w:txbxContent>
              <w:p>
                <w:pPr>
                  <w:pStyle w:val="BodyText"/>
                  <w:spacing w:before="65"/>
                  <w:ind w:left="20"/>
                </w:pPr>
                <w:r>
                  <w:rPr>
                    <w:w w:val="105"/>
                  </w:rPr>
                  <w:t>ICT EFFECTS ON FOOD ACTION TENDENCIES</w:t>
                </w:r>
              </w:p>
            </w:txbxContent>
          </v:textbox>
          <w10:wrap type="none"/>
        </v:shape>
      </w:pict>
    </w:r>
    <w:r>
      <w:rPr/>
      <w:pict>
        <v:shape style="position:absolute;margin-left:527.318054pt;margin-top:31.474489pt;width:14.75pt;height:18.850pt;mso-position-horizontal-relative:page;mso-position-vertical-relative:page;z-index:-95608" type="#_x0000_t202" filled="false" stroked="false">
          <v:textbox inset="0,0,0,0">
            <w:txbxContent>
              <w:p>
                <w:pPr>
                  <w:pStyle w:val="BodyText"/>
                  <w:spacing w:before="65"/>
                  <w:ind w:left="20"/>
                </w:pPr>
                <w:r>
                  <w:rPr/>
                  <w:fldChar w:fldCharType="begin"/>
                </w:r>
                <w:r>
                  <w:rPr/>
                  <w:instrText> PAGE </w:instrText>
                </w:r>
                <w:r>
                  <w:rPr/>
                  <w:fldChar w:fldCharType="separate"/>
                </w:r>
                <w:r>
                  <w:rPr/>
                  <w:t>10</w:t>
                </w:r>
                <w:r>
                  <w:rPr/>
                  <w:fldChar w:fldCharType="end"/>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spacing w:before="202"/>
      <w:ind w:left="230"/>
    </w:pPr>
    <w:rPr>
      <w:rFonts w:ascii="Times New Roman" w:hAnsi="Times New Roman" w:eastAsia="Times New Roman" w:cs="Times New Roman"/>
      <w:sz w:val="24"/>
      <w:szCs w:val="24"/>
    </w:rPr>
  </w:style>
  <w:style w:styleId="Heading1" w:type="paragraph">
    <w:name w:val="Heading 1"/>
    <w:basedOn w:val="Normal"/>
    <w:uiPriority w:val="1"/>
    <w:qFormat/>
    <w:pPr>
      <w:spacing w:before="148"/>
      <w:ind w:left="230"/>
      <w:outlineLvl w:val="1"/>
    </w:pPr>
    <w:rPr>
      <w:rFonts w:ascii="Times New Roman" w:hAnsi="Times New Roman" w:eastAsia="Times New Roman" w:cs="Times New Roman"/>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yperlink" Target="mailto:tzavellal@cardiff.ac.uk" TargetMode="External"/><Relationship Id="rId8" Type="http://schemas.openxmlformats.org/officeDocument/2006/relationships/hyperlink" Target="https://osf.io/wav8p/" TargetMode="Externa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hyperlink" Target="https://doi.org/10.1016/j.appet.2016.11.014" TargetMode="External"/><Relationship Id="rId15" Type="http://schemas.openxmlformats.org/officeDocument/2006/relationships/hyperlink" Target="https://doi.org/10.12688/wellcomeopenres.15191.1" TargetMode="External"/><Relationship Id="rId16" Type="http://schemas.openxmlformats.org/officeDocument/2006/relationships/hyperlink" Target="https://doi.org/10.5281/zenodo.1402959" TargetMode="External"/><Relationship Id="rId17" Type="http://schemas.openxmlformats.org/officeDocument/2006/relationships/hyperlink" Target="https://doi.org/10.1080/17437199.2015.1051078" TargetMode="External"/><Relationship Id="rId18" Type="http://schemas.openxmlformats.org/officeDocument/2006/relationships/hyperlink" Target="https://doi.org/10.1080/17437199.2019.1571933" TargetMode="External"/><Relationship Id="rId19" Type="http://schemas.openxmlformats.org/officeDocument/2006/relationships/hyperlink" Target="https://doi.org/10.1016/j.neubiorev.2016.02.010" TargetMode="External"/><Relationship Id="rId20" Type="http://schemas.openxmlformats.org/officeDocument/2006/relationships/hyperlink" Target="https://doi.org/10.1016/j.appet.2014.11.017" TargetMode="External"/><Relationship Id="rId21" Type="http://schemas.openxmlformats.org/officeDocument/2006/relationships/hyperlink" Target="https://doi.org/10.1038/s41562-017-0189-z" TargetMode="External"/><Relationship Id="rId22" Type="http://schemas.openxmlformats.org/officeDocument/2006/relationships/hyperlink" Target="https://doi.org/10.1177/0269881107083844" TargetMode="External"/><Relationship Id="rId23" Type="http://schemas.openxmlformats.org/officeDocument/2006/relationships/hyperlink" Target="https://doi.org/10.1016/j.appet.2008.10.007" TargetMode="External"/><Relationship Id="rId24" Type="http://schemas.openxmlformats.org/officeDocument/2006/relationships/hyperlink" Target="https://doi.org/10.1002/erv.2382" TargetMode="External"/><Relationship Id="rId25" Type="http://schemas.openxmlformats.org/officeDocument/2006/relationships/hyperlink" Target="https://doi.org/10.1038/nrn3475" TargetMode="External"/><Relationship Id="rId26" Type="http://schemas.openxmlformats.org/officeDocument/2006/relationships/hyperlink" Target="https://doi.org/10.1016/j.ijpsycho.2019.06.004" TargetMode="External"/><Relationship Id="rId27" Type="http://schemas.openxmlformats.org/officeDocument/2006/relationships/hyperlink" Target="https://doi.org/10.1037/xge0000236" TargetMode="External"/><Relationship Id="rId28" Type="http://schemas.openxmlformats.org/officeDocument/2006/relationships/hyperlink" Target="https://doi.org/10.1002/per.796" TargetMode="External"/><Relationship Id="rId29" Type="http://schemas.openxmlformats.org/officeDocument/2006/relationships/hyperlink" Target="https://doi.org/10.1016/j.appet.2015.12.026" TargetMode="External"/><Relationship Id="rId30" Type="http://schemas.openxmlformats.org/officeDocument/2006/relationships/hyperlink" Target="https://doi.org/10.3758/BRM.41.4.1149" TargetMode="External"/><Relationship Id="rId31" Type="http://schemas.openxmlformats.org/officeDocument/2006/relationships/hyperlink" Target="https://doi.org/10.1016/j.drugalcdep.2006.03.018" TargetMode="External"/><Relationship Id="rId32" Type="http://schemas.openxmlformats.org/officeDocument/2006/relationships/hyperlink" Target="https://doi.org/10.1016/j.appet.2006.11.008" TargetMode="External"/><Relationship Id="rId33" Type="http://schemas.openxmlformats.org/officeDocument/2006/relationships/hyperlink" Target="https://doi.org/10.1037/a0025407" TargetMode="External"/><Relationship Id="rId34" Type="http://schemas.openxmlformats.org/officeDocument/2006/relationships/hyperlink" Target="https://doi.org/10.1007/s13679-013-0053-z" TargetMode="External"/><Relationship Id="rId35" Type="http://schemas.openxmlformats.org/officeDocument/2006/relationships/hyperlink" Target="https://doi.org/10.1037/a0023286" TargetMode="External"/><Relationship Id="rId36" Type="http://schemas.openxmlformats.org/officeDocument/2006/relationships/hyperlink" Target="https://doi.org/10.1016/j.appet.2010.12.017" TargetMode="External"/><Relationship Id="rId37" Type="http://schemas.openxmlformats.org/officeDocument/2006/relationships/hyperlink" Target="https://doi.org/10.1016/j.appet.2015.01.005" TargetMode="External"/><Relationship Id="rId38" Type="http://schemas.openxmlformats.org/officeDocument/2006/relationships/hyperlink" Target="https://doi.org/10.1016/j.appet.2012.07.004" TargetMode="External"/><Relationship Id="rId39" Type="http://schemas.openxmlformats.org/officeDocument/2006/relationships/hyperlink" Target="https://doi.org/10.1016/j.appet.2012.08.001" TargetMode="External"/><Relationship Id="rId40" Type="http://schemas.openxmlformats.org/officeDocument/2006/relationships/hyperlink" Target="https://doi.org/10.1016/j.appet.2015.11.013" TargetMode="External"/><Relationship Id="rId41" Type="http://schemas.openxmlformats.org/officeDocument/2006/relationships/hyperlink" Target="https://doi.org/10.1016/j.appet.2017.05.032" TargetMode="External"/><Relationship Id="rId42" Type="http://schemas.openxmlformats.org/officeDocument/2006/relationships/hyperlink" Target="https://doi.org/10.1016/j.addbeh.2016.08.007" TargetMode="External"/><Relationship Id="rId43" Type="http://schemas.openxmlformats.org/officeDocument/2006/relationships/hyperlink" Target="https://doi.org/10.1016/j.jbtep.2017.01.002" TargetMode="External"/><Relationship Id="rId44" Type="http://schemas.openxmlformats.org/officeDocument/2006/relationships/hyperlink" Target="https://doi.org/10.1016/j.appet.2015.01.004" TargetMode="External"/><Relationship Id="rId45" Type="http://schemas.openxmlformats.org/officeDocument/2006/relationships/hyperlink" Target="https://doi.org/10.1080/08870446.2014.974605" TargetMode="External"/><Relationship Id="rId46" Type="http://schemas.openxmlformats.org/officeDocument/2006/relationships/hyperlink" Target="https://doi.org/10.1037/a0031626" TargetMode="External"/><Relationship Id="rId47" Type="http://schemas.openxmlformats.org/officeDocument/2006/relationships/hyperlink" Target="https://doi.org/10.1016/j.neuroimage.2012.06.070" TargetMode="External"/><Relationship Id="rId48" Type="http://schemas.openxmlformats.org/officeDocument/2006/relationships/hyperlink" Target="https://doi.org/10.1016/j.appet.2015.06.009" TargetMode="External"/><Relationship Id="rId49" Type="http://schemas.openxmlformats.org/officeDocument/2006/relationships/hyperlink" Target="https://doi.org/10.1016/j.appet.2014.11.006" TargetMode="External"/><Relationship Id="rId50" Type="http://schemas.openxmlformats.org/officeDocument/2006/relationships/hyperlink" Target="https://doi.org/10.1017/CBO9781139087759" TargetMode="External"/><Relationship Id="rId51" Type="http://schemas.openxmlformats.org/officeDocument/2006/relationships/hyperlink" Target="https://doi.org/10.3758/s13428-019-01246-w" TargetMode="External"/><Relationship Id="rId52" Type="http://schemas.openxmlformats.org/officeDocument/2006/relationships/hyperlink" Target="https://doi.org/10.3389/fpsyg.2014.00190" TargetMode="External"/><Relationship Id="rId53" Type="http://schemas.openxmlformats.org/officeDocument/2006/relationships/hyperlink" Target="https://doi.org/10.1016/j.appet.2012.05.028" TargetMode="External"/><Relationship Id="rId54" Type="http://schemas.openxmlformats.org/officeDocument/2006/relationships/hyperlink" Target="https://doi.org/10.1037/a0019921" TargetMode="External"/><Relationship Id="rId55" Type="http://schemas.openxmlformats.org/officeDocument/2006/relationships/hyperlink" Target="https://doi.org/10.1037//0022-3514.79.1.39" TargetMode="External"/><Relationship Id="rId56" Type="http://schemas.openxmlformats.org/officeDocument/2006/relationships/hyperlink" Target="https://doi.org/10.3389/fpsyg.2014.00378" TargetMode="External"/><Relationship Id="rId57" Type="http://schemas.openxmlformats.org/officeDocument/2006/relationships/hyperlink" Target="https://www.R-project.org/" TargetMode="External"/><Relationship Id="rId58" Type="http://schemas.openxmlformats.org/officeDocument/2006/relationships/hyperlink" Target="https://doi.org/10.1016/j.jbtep.2006.10.001" TargetMode="External"/><Relationship Id="rId59" Type="http://schemas.openxmlformats.org/officeDocument/2006/relationships/hyperlink" Target="https://doi.org/10.3758/s13423-016-1026-5" TargetMode="External"/><Relationship Id="rId60" Type="http://schemas.openxmlformats.org/officeDocument/2006/relationships/hyperlink" Target="https://doi.org/10.1016/j.jmp.2012.08.001" TargetMode="External"/><Relationship Id="rId61" Type="http://schemas.openxmlformats.org/officeDocument/2006/relationships/hyperlink" Target="https://doi.org/10.1016/j.jesp.2017.12.004" TargetMode="External"/><Relationship Id="rId62" Type="http://schemas.openxmlformats.org/officeDocument/2006/relationships/hyperlink" Target="https://doi.org/10.1038/nn.3673" TargetMode="External"/><Relationship Id="rId63" Type="http://schemas.openxmlformats.org/officeDocument/2006/relationships/hyperlink" Target="https://doi.org/10.1016/j.appet.2015.09.014" TargetMode="External"/><Relationship Id="rId64" Type="http://schemas.openxmlformats.org/officeDocument/2006/relationships/hyperlink" Target="https://doi.org/10.1002/ejsp.365" TargetMode="External"/><Relationship Id="rId65" Type="http://schemas.openxmlformats.org/officeDocument/2006/relationships/hyperlink" Target="https://doi.org/10.1007/s00213-013-3318-z" TargetMode="External"/><Relationship Id="rId66" Type="http://schemas.openxmlformats.org/officeDocument/2006/relationships/hyperlink" Target="https://doi.org/10.1080/00207450600588881" TargetMode="External"/><Relationship Id="rId67" Type="http://schemas.openxmlformats.org/officeDocument/2006/relationships/hyperlink" Target="https://doi.org/10.1186/1471-2458-13-674" TargetMode="External"/><Relationship Id="rId68" Type="http://schemas.openxmlformats.org/officeDocument/2006/relationships/hyperlink" Target="https://doi.org/10.1016/j.appet.2010.03.007" TargetMode="External"/><Relationship Id="rId69" Type="http://schemas.openxmlformats.org/officeDocument/2006/relationships/hyperlink" Target="https://doi.org/10.1016/j.brat.2011.08.005" TargetMode="External"/><Relationship Id="rId70" Type="http://schemas.openxmlformats.org/officeDocument/2006/relationships/hyperlink" Target="https://doi.org/10.3389/fpsyg.2013.00875" TargetMode="External"/><Relationship Id="rId71" Type="http://schemas.openxmlformats.org/officeDocument/2006/relationships/hyperlink" Target="https://doi.org/10.1111/j.2044-8287.2012.02092.x" TargetMode="External"/><Relationship Id="rId72" Type="http://schemas.openxmlformats.org/officeDocument/2006/relationships/hyperlink" Target="https://doi.org/10.1037/xap0000112" TargetMode="External"/><Relationship Id="rId73" Type="http://schemas.openxmlformats.org/officeDocument/2006/relationships/hyperlink" Target="https://doi.org/10.1016/j.jesp.2008.03.004" TargetMode="External"/><Relationship Id="rId74" Type="http://schemas.openxmlformats.org/officeDocument/2006/relationships/hyperlink" Target="https://doi.org/10.1007/s40429-017-0131-5" TargetMode="External"/><Relationship Id="rId75" Type="http://schemas.openxmlformats.org/officeDocument/2006/relationships/hyperlink" Target="https://doi.org/10.1016/j.appet.2014.03.014" TargetMode="External"/><Relationship Id="rId76" Type="http://schemas.openxmlformats.org/officeDocument/2006/relationships/hyperlink" Target="https://doi.org/10.1016/j.neuropsychologia.2014.08.014" TargetMode="External"/><Relationship Id="rId77" Type="http://schemas.openxmlformats.org/officeDocument/2006/relationships/hyperlink" Target="https://doi.org/10.3758/s13428-015-0593-0" TargetMode="External"/><Relationship Id="rId78" Type="http://schemas.openxmlformats.org/officeDocument/2006/relationships/hyperlink" Target="http://www.who.int/news-room/fact-sheets/detail/obesity-and-overweight" TargetMode="External"/><Relationship Id="rId79" Type="http://schemas.openxmlformats.org/officeDocument/2006/relationships/hyperlink" Target="https://doi.org/10.1007/s00213-013-3098-5" TargetMode="External"/><Relationship Id="rId80" Type="http://schemas.openxmlformats.org/officeDocument/2006/relationships/hyperlink" Target="https://doi.org/10.1177/0956797611400615" TargetMode="External"/><Relationship Id="rId81" Type="http://schemas.openxmlformats.org/officeDocument/2006/relationships/hyperlink" Target="https://doi.org/10.3389/fpsyt.2013.00033" TargetMode="External"/><Relationship Id="rId82" Type="http://schemas.openxmlformats.org/officeDocument/2006/relationships/hyperlink" Target="https://doi.org/10.1111/j.1601-183X.2008.00454.x" TargetMode="External"/><Relationship Id="rId83" Type="http://schemas.openxmlformats.org/officeDocument/2006/relationships/hyperlink" Target="https://doi.org/10.1111/j.1360-0443.2009.02775.x" TargetMode="External"/><Relationship Id="rId84" Type="http://schemas.openxmlformats.org/officeDocument/2006/relationships/hyperlink" Target="https://doi.org/10.1080/02664763.2010.498507" TargetMode="External"/><Relationship Id="rId85" Type="http://schemas.openxmlformats.org/officeDocument/2006/relationships/hyperlink" Target="https://doi.org/10.1016/j.jbtep.2014.08.006" TargetMode="External"/><Relationship Id="rId86" Type="http://schemas.openxmlformats.org/officeDocument/2006/relationships/hyperlink" Target="https://doi.org/10.1093/biomet/61.1.1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Loukia Tzavella, Christopher D. Chambers, Natalia Lawrence, Katherine S. Button, Elizabeth Hart, Natalie Holmes, Kimberley Houghton, Nina Badkar, Ellie Macey, Amy-Jayne Braggins, Felicity Murray, &amp; Rachel C. Adams</dc:creator>
  <cp:keywords>inhibitory control training, go/no-go, foods, devaluation, action tendencies, approach bias</cp:keywords>
  <dc:title>Does inhibitory control training have an indirect effect on automatic action tendencies for unhealthy foods?</dc:title>
  <dcterms:created xsi:type="dcterms:W3CDTF">2019-07-31T16:23:40Z</dcterms:created>
  <dcterms:modified xsi:type="dcterms:W3CDTF">2019-07-31T16:23:40Z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2019-07-31T00:00:00Z</vt:filetime>
  </property>
  <property fmtid="{D5CDD505-2E9C-101B-9397-08002B2CF9AE}" pid="3" name="Creator">
    <vt:lpwstr>LaTeX with hyperref package</vt:lpwstr>
  </property>
  <property fmtid="{D5CDD505-2E9C-101B-9397-08002B2CF9AE}" pid="4" name="LastSaved">
    <vt:filetime>2019-07-31T00:00:00Z</vt:filetime>
  </property>
</Properties>
</file>