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56"/>
        </w:rPr>
        <w:t>YOUR 24/7</w:t>
      </w:r>
    </w:p>
    <w:p>
      <w:pPr>
        <w:jc w:val="center"/>
      </w:pPr>
      <w:r>
        <w:rPr>
          <w:b/>
          <w:color w:val="1F4E79"/>
          <w:sz w:val="56"/>
        </w:rPr>
        <w:t>HEALTHCARE CHATBOT</w:t>
      </w:r>
    </w:p>
    <w:p>
      <w:pPr>
        <w:jc w:val="center"/>
      </w:pPr>
      <w:r>
        <w:rPr>
          <w:b w:val="0"/>
          <w:color w:val="404040"/>
          <w:sz w:val="28"/>
        </w:rPr>
        <w:t>A Voice-First Solution to Unlock HA Go</w:t>
      </w:r>
    </w:p>
    <w:p>
      <w:pPr>
        <w:jc w:val="center"/>
      </w:pPr>
      <w:r>
        <w:rPr>
          <w:b w:val="0"/>
          <w:color w:val="404040"/>
          <w:sz w:val="28"/>
        </w:rPr>
        <w:t>for Hong Kong's Older Adults</w:t>
      </w:r>
    </w:p>
    <w:p/>
    <w:p/>
    <w:p/>
    <w:p/>
    <w:p/>
    <w:p/>
    <w:p>
      <w:pPr>
        <w:jc w:val="center"/>
      </w:pPr>
      <w:r>
        <w:rPr>
          <w:b w:val="0"/>
          <w:color w:val="404040"/>
          <w:sz w:val="24"/>
        </w:rPr>
        <w:t>2025 Fall LANG 1406</w:t>
      </w:r>
    </w:p>
    <w:p>
      <w:pPr>
        <w:jc w:val="center"/>
      </w:pPr>
      <w:r>
        <w:rPr>
          <w:b w:val="0"/>
          <w:color w:val="404040"/>
          <w:sz w:val="24"/>
        </w:rPr>
        <w:t>Business Proposal Assignment</w:t>
      </w:r>
    </w:p>
    <w:p/>
    <w:p>
      <w:pPr>
        <w:jc w:val="center"/>
      </w:pPr>
      <w:r>
        <w:rPr>
          <w:b/>
          <w:color w:val="1F4E79"/>
          <w:sz w:val="28"/>
        </w:rPr>
        <w:t>HO Yin Lun</w:t>
      </w:r>
    </w:p>
    <w:p>
      <w:pPr>
        <w:jc w:val="center"/>
      </w:pPr>
      <w:r>
        <w:rPr>
          <w:b w:val="0"/>
          <w:color w:val="404040"/>
          <w:sz w:val="24"/>
        </w:rPr>
        <w:t>SID: 21295050</w:t>
      </w:r>
    </w:p>
    <w:p>
      <w:pPr>
        <w:jc w:val="center"/>
      </w:pPr>
      <w:r>
        <w:rPr>
          <w:b w:val="0"/>
          <w:color w:val="404040"/>
          <w:sz w:val="24"/>
        </w:rPr>
        <w:t>Session No.: T05</w:t>
      </w:r>
    </w:p>
    <w:p>
      <w:r>
        <w:br w:type="page"/>
      </w:r>
    </w:p>
    <w:p>
      <w:pPr>
        <w:spacing w:before="200" w:after="80"/>
      </w:pPr>
      <w:r>
        <w:rPr>
          <w:b/>
          <w:color w:val="1F4E79"/>
          <w:sz w:val="28"/>
        </w:rPr>
        <w:t>Section 1: Executive Summary</w:t>
      </w:r>
    </w:p>
    <w:p>
      <w:pPr>
        <w:jc w:val="both"/>
      </w:pPr>
      <w:r>
        <w:rPr>
          <w:b w:val="0"/>
          <w:i w:val="0"/>
        </w:rPr>
        <w:t>Imagine a 78-year-old grandmother in Sham Shui Po who has missed three specialist appointments this year — not because she forgot, but because she cannot press the right buttons on HA Go. By 2030, more than one in four Hong Kongers will be 65 or above (Lau &amp; Fong, 2021), yet the platform meant to serve them is, for many, a wall of small icons, English prompts, and failed fingerprint logins (Luo, Mo, &amp; Li, 2023; Society for Community Organization [SoCO], 2023). This proposal introduces “Your 24/7 Healthcare Chatbot” — a voice-first, Cantonese-native AI assistant inside HA Go that lets seniors speak, listen, and act instead of tap, pinch, and squint. Grounded in the Technology Readiness and Acceptance Model (Davis, 1989; Parasuraman &amp; Colby, 2015) and aligned with the Primary Healthcare Blueprint (Health Bureau, 2022) and WHO’s Global Strategy on Digital Health (World Health Organization [WHO], 2021), it cuts missed appointments, eases caregiver burden, and frees clinical staff from repetitive enquiries. We request HK$2,000,000 for an 18-month pilot-to-rollout that delivers full ROI through an estimated 30% drop in missed appointments and 40,000 senior users served by month 18 — a unit cost of just HK$50 per senior.</w:t>
      </w:r>
    </w:p>
    <w:p>
      <w:pPr>
        <w:spacing w:before="200" w:after="80"/>
      </w:pPr>
      <w:r>
        <w:rPr>
          <w:b/>
          <w:color w:val="1F4E79"/>
          <w:sz w:val="28"/>
        </w:rPr>
        <w:t>Section 2: Introduction</w:t>
      </w:r>
    </w:p>
    <w:p>
      <w:pPr>
        <w:jc w:val="both"/>
      </w:pPr>
      <w:r>
        <w:rPr>
          <w:b w:val="0"/>
          <w:i w:val="0"/>
        </w:rPr>
        <w:t>Hong Kong’s public healthcare system has gone digital faster than its oldest citizens can follow. HA Go now consolidates appointments, prescriptions, payments, and records (Hospital Authority, 2025). For digital natives this is convenience; for older adults it is exclusion. Cognitive ageing slows multi-step navigation (Wildenbos, Peute, &amp; Jaspers, 2018; Czaja et al., 2019), small touch targets defeat trembling fingers (Vaportzis, Clausen, &amp; Gow, 2017), and weathered fingertips routinely fail biometric login (Luo et al., 2023). The more we digitise care, the further we push our most care-dependent residents away from it.</w:t>
      </w:r>
    </w:p>
    <w:p>
      <w:pPr>
        <w:jc w:val="both"/>
      </w:pPr>
      <w:r>
        <w:rPr>
          <w:b w:val="0"/>
          <w:i w:val="0"/>
        </w:rPr>
        <w:t>We apply the Technology Readiness and Acceptance Model (Davis, 1989; Parasuraman &amp; Colby, 2015) to diagnose three barriers — perceived complexity, low self-efficacy, and discomfort — and answer with one solution: “Your 24/7 Healthcare Chatbot.” This proposal first evaluates the market gap; then details the solution, implementation, and financial plan; and closes with a call to action.</w:t>
      </w:r>
    </w:p>
    <w:p>
      <w:pPr>
        <w:spacing w:before="200" w:after="80"/>
      </w:pPr>
      <w:r>
        <w:rPr>
          <w:b/>
          <w:color w:val="1F4E79"/>
          <w:sz w:val="28"/>
        </w:rPr>
        <w:t>Section 3: Evaluation of Current Market &amp; Industry Needs</w:t>
      </w:r>
    </w:p>
    <w:p>
      <w:pPr>
        <w:spacing w:before="120" w:after="40"/>
      </w:pPr>
      <w:r>
        <w:rPr>
          <w:b/>
          <w:color w:val="2E74B5"/>
          <w:sz w:val="24"/>
        </w:rPr>
        <w:t>3.1 A demographic and digital double-shock</w:t>
      </w:r>
    </w:p>
    <w:p>
      <w:pPr>
        <w:jc w:val="both"/>
      </w:pPr>
      <w:r>
        <w:rPr>
          <w:b w:val="0"/>
          <w:i w:val="0"/>
        </w:rPr>
        <w:t>Hong Kong is becoming the world’s oldest city. The Census and Statistics Department (2023) reports that 13% of those aged 65+ live alone and 27.3% live only with a spouse, while Lau and Fong (2021) project the 65+ cohort will exceed 25% of the population by 2030. At the same time, the Office of the Government Chief Information Officer (2023) and the Primary Healthcare Blueprint (Health Bureau, 2022) push almost every patient touchpoint online — a soaring elderly population is being asked to use platforms never designed for them (Chau &amp; Yan, 2023).</w:t>
      </w:r>
    </w:p>
    <w:p>
      <w:pPr>
        <w:spacing w:before="120" w:after="40"/>
      </w:pPr>
      <w:r>
        <w:rPr>
          <w:b/>
          <w:color w:val="2E74B5"/>
          <w:sz w:val="24"/>
        </w:rPr>
        <w:t>3.2 Why current HA Go interactions fail seniors</w:t>
      </w:r>
    </w:p>
    <w:p>
      <w:pPr>
        <w:jc w:val="both"/>
      </w:pPr>
      <w:r>
        <w:rPr>
          <w:b w:val="0"/>
          <w:i w:val="0"/>
        </w:rPr>
        <w:t>Three barriers compound one another. First, biometric authentication: Luo et al. (2023) show that age-related changes to epidermal ridges, worsened by housework, cause fingerprint logins to fail repeatedly, turning a routine login into a daily defeat. Second, interface overload: HA Go presents densely nested menus, irrelevant modules such as pregnancy services, and occasional English-only prompts (Hospital Authority, 2025; Luo et al., 2023). The scale is striking — SoCO (2023) found that 92.5% of grassroots seniors struggle with smartphone use, and 57.6% cannot complete even a single-step QR scan in LeaveHomeSafe; if a one-tap app defeats six in ten seniors, a multi-screen healthcare app is far worse. Third, cognitive ageing erodes the memory and processing speed needed for sequential navigation (Wildenbos et al., 2018; Czaja et al., 2019), and Pew Research Center (2022) confirms that even smartphone-owning seniors use only a narrow band of features.</w:t>
      </w:r>
    </w:p>
    <w:p>
      <w:pPr>
        <w:spacing w:before="120" w:after="40"/>
      </w:pPr>
      <w:r>
        <w:rPr>
          <w:b/>
          <w:color w:val="2E74B5"/>
          <w:sz w:val="24"/>
        </w:rPr>
        <w:t>3.3 The communication gap and the case for innovation</w:t>
      </w:r>
    </w:p>
    <w:p>
      <w:pPr>
        <w:jc w:val="both"/>
      </w:pPr>
      <w:r>
        <w:rPr>
          <w:b w:val="0"/>
          <w:i w:val="0"/>
        </w:rPr>
        <w:t>The gap is not a hardware gap; it is a communication gap. Vaportzis et al. (2017) and Bickmore et al. (2018) converge: when older adults are offered natural, conversational interfaces, anxiety drops and usage rises. Conversational AI tailored for seniors has already shown high acceptance in regional pilots (Kim, Hwang, &amp; Park, 2023; DBS Foundation, 2025). The opportunity is clear: replace tapping with talking, icons with intent, and exclusion with inclusion.</w:t>
      </w:r>
    </w:p>
    <w:p>
      <w:pPr>
        <w:jc w:val="right"/>
      </w:pPr>
      <w:r>
        <w:rPr>
          <w:i/>
          <w:color w:val="595959"/>
          <w:sz w:val="20"/>
        </w:rPr>
        <w:t>(310 words)</w:t>
      </w:r>
    </w:p>
    <w:p>
      <w:pPr>
        <w:spacing w:before="200" w:after="80"/>
      </w:pPr>
      <w:r>
        <w:rPr>
          <w:b/>
          <w:color w:val="1F4E79"/>
          <w:sz w:val="28"/>
        </w:rPr>
        <w:t>Section 4: Proposing a Solution</w:t>
      </w:r>
    </w:p>
    <w:p>
      <w:pPr>
        <w:spacing w:before="120" w:after="40"/>
      </w:pPr>
      <w:r>
        <w:rPr>
          <w:b/>
          <w:color w:val="2E74B5"/>
          <w:sz w:val="24"/>
        </w:rPr>
        <w:t>4.1 “Your 24/7 Healthcare Chatbot” — a voice-first companion</w:t>
      </w:r>
    </w:p>
    <w:p>
      <w:pPr>
        <w:jc w:val="both"/>
      </w:pPr>
      <w:r>
        <w:rPr>
          <w:b w:val="0"/>
          <w:i w:val="0"/>
        </w:rPr>
        <w:t>We propose a Cantonese-native, voice-first AI assistant inside HA Go — no separate download, no new account. Seniors press one large microphone button and speak: “明日有何預約？” (“What appointments do I have tomorrow?”). The chatbot replies in warm, phone-call-volume Cantonese synthesised by ElevenLabs’ Cantonese voice model (ElevenLabs, 2024) and mirrors every answer in 22-point on-screen text for users with hearing loss.</w:t>
      </w:r>
    </w:p>
    <w:p>
      <w:pPr>
        <w:spacing w:before="120" w:after="40"/>
      </w:pPr>
      <w:r>
        <w:rPr>
          <w:b/>
          <w:color w:val="2E74B5"/>
          <w:sz w:val="24"/>
        </w:rPr>
        <w:t>4.2 How it dismantles each TRAM barrier</w:t>
      </w:r>
    </w:p>
    <w:p>
      <w:pPr>
        <w:pStyle w:val="ListBullet"/>
      </w:pPr>
      <w:r>
        <w:t>Perceived ease of use: Voice removes 90% of taps. One spoken sentence replaces an average of seven HA Go screens (Hospital Authority, 2025).</w:t>
      </w:r>
    </w:p>
    <w:p>
      <w:pPr>
        <w:pStyle w:val="ListBullet"/>
      </w:pPr>
      <w:r>
        <w:t>Perceived usefulness: A single interface handles appointments, medication reminders, and plain-language explanations of medical jargon, supporting WHO’s call for people-centred digital health (WHO, 2021).</w:t>
      </w:r>
    </w:p>
    <w:p>
      <w:pPr>
        <w:pStyle w:val="ListBullet"/>
      </w:pPr>
      <w:r>
        <w:t>Discomfort and insecurity: Cantonese speech, large fonts, and a forgiving “Ask me again” loop reduce the fear of “doing it wrong” that Czaja et al. (2019) and Vaportzis et al. (2017) identify as the dominant emotional barrier.</w:t>
      </w:r>
    </w:p>
    <w:p>
      <w:pPr>
        <w:spacing w:before="120" w:after="40"/>
      </w:pPr>
      <w:r>
        <w:rPr>
          <w:b/>
          <w:color w:val="2E74B5"/>
          <w:sz w:val="24"/>
        </w:rPr>
        <w:t>4.3 Addressing the opposing view</w:t>
      </w:r>
    </w:p>
    <w:p>
      <w:pPr>
        <w:jc w:val="both"/>
      </w:pPr>
      <w:r>
        <w:rPr>
          <w:b w:val="0"/>
          <w:i w:val="0"/>
        </w:rPr>
        <w:t>We acknowledge a serious counter-argument. Bender, Gebru, McMillan-Major, and Shmitchell (2021) warn that large language models can hallucinate, encode bias, and mislead users — risks unacceptable in clinical settings. Our design answers each risk: the chatbot runs on a closed, retrieval-augmented architecture, answers only from HA-approved content, refuses out-of-scope clinical questions, and routes any symptom enquiry to a registered nurse hotline. Every response is logged and reviewed monthly by HA clinicians, turning Bender et al.’s warning into a design constraint already met.</w:t>
      </w:r>
    </w:p>
    <w:p>
      <w:pPr>
        <w:spacing w:before="120" w:after="40"/>
      </w:pPr>
      <w:r>
        <w:rPr>
          <w:b/>
          <w:color w:val="2E74B5"/>
          <w:sz w:val="24"/>
        </w:rPr>
        <w:t>4.4 Strategic alignment and competitive edge</w:t>
      </w:r>
    </w:p>
    <w:p>
      <w:pPr>
        <w:jc w:val="both"/>
      </w:pPr>
      <w:r>
        <w:rPr>
          <w:b w:val="0"/>
          <w:i w:val="0"/>
        </w:rPr>
        <w:t>The solution aligns with three institutional priorities at once: the Primary Healthcare Blueprint’s shift toward preventive, community-based care (Health Bureau, 2022); the digital inclusion mandate (Office of the Government Chief Information Officer, 2023); and the Hospital Authority’s service-quality KPIs (Hospital Authority, 2025). Ours is the first Cantonese-first, senior-first, HA-integrated voice agent in Hong Kong — a defensible first-mover position.</w:t>
      </w:r>
    </w:p>
    <w:p>
      <w:pPr>
        <w:jc w:val="right"/>
      </w:pPr>
      <w:r>
        <w:rPr>
          <w:i/>
          <w:color w:val="595959"/>
          <w:sz w:val="20"/>
        </w:rPr>
        <w:t>(290 words)</w:t>
      </w:r>
    </w:p>
    <w:p>
      <w:pPr>
        <w:spacing w:before="200" w:after="80"/>
      </w:pPr>
      <w:r>
        <w:rPr>
          <w:b/>
          <w:color w:val="1F4E79"/>
          <w:sz w:val="28"/>
        </w:rPr>
        <w:t>Section 5: Implementation Plan</w:t>
      </w:r>
    </w:p>
    <w:p>
      <w:pPr>
        <w:spacing w:before="120" w:after="40"/>
      </w:pPr>
      <w:r>
        <w:rPr>
          <w:b/>
          <w:color w:val="2E74B5"/>
          <w:sz w:val="24"/>
        </w:rPr>
        <w:t>5.1 Project goal</w:t>
      </w:r>
    </w:p>
    <w:p>
      <w:pPr>
        <w:jc w:val="both"/>
      </w:pPr>
      <w:r>
        <w:rPr>
          <w:b w:val="0"/>
          <w:i w:val="0"/>
        </w:rPr>
        <w:t>Launch a Cantonese voice-first chatbot inside HA Go for 40,000 senior users by Month 18.</w:t>
      </w:r>
    </w:p>
    <w:p>
      <w:pPr>
        <w:spacing w:before="120" w:after="40"/>
      </w:pPr>
      <w:r>
        <w:rPr>
          <w:b/>
          <w:color w:val="2E74B5"/>
          <w:sz w:val="24"/>
        </w:rPr>
        <w:t>5.2 Phased timeline</w:t>
      </w:r>
    </w:p>
    <w:p>
      <w:pPr>
        <w:jc w:val="both"/>
      </w:pPr>
      <w:r>
        <w:rPr>
          <w:b/>
          <w:i w:val="0"/>
        </w:rPr>
        <w:t>Phase 1 — Planning (Months 1–2):</w:t>
      </w:r>
    </w:p>
    <w:p>
      <w:pPr>
        <w:pStyle w:val="ListBullet"/>
      </w:pPr>
      <w:r>
        <w:t>Project Manager: sign data-sharing MOU with the Hospital Authority and define the approved-content scope.</w:t>
      </w:r>
    </w:p>
    <w:p>
      <w:pPr>
        <w:pStyle w:val="ListBullet"/>
      </w:pPr>
      <w:r>
        <w:t>Lead Developer: license the ElevenLabs Cantonese voice (ElevenLabs, 2024) and set up the closed retrieval-augmented backend.</w:t>
      </w:r>
    </w:p>
    <w:p>
      <w:pPr>
        <w:jc w:val="both"/>
      </w:pPr>
      <w:r>
        <w:rPr>
          <w:b/>
          <w:i w:val="0"/>
        </w:rPr>
        <w:t>Phase 2 — Build &amp; senior-centred design (Months 3–7):</w:t>
      </w:r>
    </w:p>
    <w:p>
      <w:pPr>
        <w:pStyle w:val="ListBullet"/>
      </w:pPr>
      <w:r>
        <w:t>UI Designer &amp; Lead Developer: build the one-button voice interface with 22-point fallback text, guided by Bickmore et al. (2018) and Vaportzis et al. (2017).</w:t>
      </w:r>
    </w:p>
    <w:p>
      <w:pPr>
        <w:pStyle w:val="ListBullet"/>
      </w:pPr>
      <w:r>
        <w:t>Clinical Advisor (HA): validate medical content and red-team the bot against hallucination risks raised by Bender et al. (2021).</w:t>
      </w:r>
    </w:p>
    <w:p>
      <w:pPr>
        <w:jc w:val="both"/>
      </w:pPr>
      <w:r>
        <w:rPr>
          <w:b/>
          <w:i w:val="0"/>
        </w:rPr>
        <w:t>Phase 3 — Pilot in three districts (Months 8–12):</w:t>
      </w:r>
    </w:p>
    <w:p>
      <w:pPr>
        <w:pStyle w:val="ListBullet"/>
      </w:pPr>
      <w:r>
        <w:t>Pilot with 2,000 seniors in Sham Shui Po, Kwun Tong, and Wong Tai Sin — the districts with the highest elderly-alone density (Census and Statistics Department, 2023).</w:t>
      </w:r>
    </w:p>
    <w:p>
      <w:pPr>
        <w:pStyle w:val="ListBullet"/>
      </w:pPr>
      <w:r>
        <w:t>Track three KPIs: missed-appointment rate, daily active users, and self-reported confidence.</w:t>
      </w:r>
    </w:p>
    <w:p>
      <w:pPr>
        <w:jc w:val="both"/>
      </w:pPr>
      <w:r>
        <w:rPr>
          <w:b/>
          <w:i w:val="0"/>
        </w:rPr>
        <w:t>Phase 4 — Citywide rollout (Months 13–18):</w:t>
      </w:r>
    </w:p>
    <w:p>
      <w:pPr>
        <w:pStyle w:val="ListBullet"/>
      </w:pPr>
      <w:r>
        <w:t>Scale to all 18 districts, partnering with SoCO (2023) and elderly community centres for in-person onboarding.</w:t>
      </w:r>
    </w:p>
    <w:p>
      <w:pPr>
        <w:spacing w:before="120" w:after="40"/>
      </w:pPr>
      <w:r>
        <w:rPr>
          <w:b/>
          <w:color w:val="2E74B5"/>
          <w:sz w:val="24"/>
        </w:rPr>
        <w:t>5.3 Key milestones</w:t>
      </w:r>
    </w:p>
    <w:p>
      <w:pPr>
        <w:pStyle w:val="ListBullet"/>
      </w:pPr>
      <w:r>
        <w:t>Month 7: Beta passes HA clinical-safety review.</w:t>
      </w:r>
    </w:p>
    <w:p>
      <w:pPr>
        <w:pStyle w:val="ListBullet"/>
      </w:pPr>
      <w:r>
        <w:t>Month 12: Pilot achieves ≥25% drop in missed appointments — trigger for scale-up.</w:t>
      </w:r>
    </w:p>
    <w:p>
      <w:pPr>
        <w:pStyle w:val="ListBullet"/>
      </w:pPr>
      <w:r>
        <w:t>Month 18: 40,000 active senior users; full ROI report delivered.</w:t>
      </w:r>
    </w:p>
    <w:p>
      <w:pPr>
        <w:jc w:val="right"/>
      </w:pPr>
      <w:r>
        <w:rPr>
          <w:i/>
          <w:color w:val="595959"/>
          <w:sz w:val="20"/>
        </w:rPr>
        <w:t>(200 words)</w:t>
      </w:r>
    </w:p>
    <w:p>
      <w:pPr>
        <w:spacing w:before="200" w:after="80"/>
      </w:pPr>
      <w:r>
        <w:rPr>
          <w:b/>
          <w:color w:val="1F4E79"/>
          <w:sz w:val="28"/>
        </w:rPr>
        <w:t>Section 6: Financial Plan</w:t>
      </w:r>
    </w:p>
    <w:p>
      <w:pPr>
        <w:jc w:val="both"/>
      </w:pPr>
      <w:r>
        <w:rPr>
          <w:b w:val="0"/>
          <w:i w:val="0"/>
        </w:rPr>
        <w:t>We request HK$2,000,000, allocated for measurable, scalable impact within 18 months:</w:t>
      </w:r>
    </w:p>
    <w:p>
      <w:pPr>
        <w:pStyle w:val="ListBullet"/>
      </w:pPr>
      <w:r>
        <w:t>AI development &amp; Cantonese voice licensing (35% / HK$700,000): closed-domain LLM fine-tuning and ElevenLabs Cantonese voice (ElevenLabs, 2024).</w:t>
      </w:r>
    </w:p>
    <w:p>
      <w:pPr>
        <w:pStyle w:val="ListBullet"/>
      </w:pPr>
      <w:r>
        <w:t>Clinical content &amp; safety review (20% / HK$400,000): HA clinician hours for content validation and monthly audit — direct mitigation of Bender et al.’s (2021) hallucination risk.</w:t>
      </w:r>
    </w:p>
    <w:p>
      <w:pPr>
        <w:pStyle w:val="ListBullet"/>
      </w:pPr>
      <w:r>
        <w:t>Senior-centred UX research &amp; accessibility testing (15% / HK$300,000): co-design workshops grounded in Czaja et al. (2019) and Vaportzis et al. (2017).</w:t>
      </w:r>
    </w:p>
    <w:p>
      <w:pPr>
        <w:pStyle w:val="ListBullet"/>
      </w:pPr>
      <w:r>
        <w:t>Pilot operations &amp; community onboarding (20% / HK$400,000): partnership with SoCO (2023) and district elderly centres.</w:t>
      </w:r>
    </w:p>
    <w:p>
      <w:pPr>
        <w:pStyle w:val="ListBullet"/>
      </w:pPr>
      <w:r>
        <w:t>Marketing, evaluation, and reporting (10% / HK$200,000): KPI dashboards and a public impact report.</w:t>
      </w:r>
    </w:p>
    <w:p>
      <w:pPr>
        <w:jc w:val="both"/>
      </w:pPr>
      <w:r>
        <w:rPr>
          <w:b w:val="0"/>
          <w:i w:val="0"/>
        </w:rPr>
        <w:t>The return is concrete. At 40,000 senior users in 18 months, the unit cost is HK$50 per senior — well below the HK$1,150 cost of a single missed specialist appointment to the public system (Health Bureau, 2022). A conservative 30% reduction in missed appointments among pilot users alone is projected to save the Hospital Authority over HK$13 million annually, returning the full HK$2 million investment more than six times within the first year of citywide operation.</w:t>
      </w:r>
    </w:p>
    <w:p>
      <w:pPr>
        <w:jc w:val="right"/>
      </w:pPr>
      <w:r>
        <w:rPr>
          <w:i/>
          <w:color w:val="595959"/>
          <w:sz w:val="20"/>
        </w:rPr>
        <w:t>(170 words)</w:t>
      </w:r>
    </w:p>
    <w:p>
      <w:pPr>
        <w:spacing w:before="200" w:after="80"/>
      </w:pPr>
      <w:r>
        <w:rPr>
          <w:b/>
          <w:color w:val="1F4E79"/>
          <w:sz w:val="28"/>
        </w:rPr>
        <w:t>Section 7: Conclusion</w:t>
      </w:r>
    </w:p>
    <w:p>
      <w:pPr>
        <w:jc w:val="both"/>
      </w:pPr>
      <w:r>
        <w:rPr>
          <w:b w:val="0"/>
          <w:i w:val="0"/>
        </w:rPr>
        <w:t>Hong Kong is ageing fast, digitising faster, and leaving its seniors behind faster still. “Your 24/7 Healthcare Chatbot” closes that gap with one promise: if you can speak, you can use HA Go. By replacing taps with Cantonese conversation, icons with intent, and exclusion with inclusion, we restore independence to tens of thousands of older adults while saving the Hospital Authority millions in avoidable costs.</w:t>
      </w:r>
    </w:p>
    <w:p>
      <w:pPr>
        <w:jc w:val="both"/>
      </w:pPr>
      <w:r>
        <w:rPr>
          <w:b/>
          <w:i w:val="0"/>
        </w:rPr>
        <w:t>We invite the Hospital Authority to partner with us to:</w:t>
      </w:r>
    </w:p>
    <w:p>
      <w:pPr>
        <w:pStyle w:val="ListBullet"/>
      </w:pPr>
      <w:r>
        <w:t>close the digital health divide for Hong Kong’s seniors;</w:t>
      </w:r>
    </w:p>
    <w:p>
      <w:pPr>
        <w:pStyle w:val="ListBullet"/>
      </w:pPr>
      <w:r>
        <w:t>cut missed appointments, caregiver strain, and clinic congestion; and</w:t>
      </w:r>
    </w:p>
    <w:p>
      <w:pPr>
        <w:pStyle w:val="ListBullet"/>
      </w:pPr>
      <w:r>
        <w:t>position HA Go as Asia’s most senior-friendly public health platform.</w:t>
      </w:r>
    </w:p>
    <w:p>
      <w:pPr>
        <w:jc w:val="both"/>
      </w:pPr>
      <w:r>
        <w:rPr>
          <w:b w:val="0"/>
          <w:i w:val="0"/>
        </w:rPr>
        <w:t>Approve HK$2,000,000 today, and within 18 months 40,000 grandmothers, grandfathers, uncles, and aunties will speak to HA Go — and HA Go will finally speak back.</w:t>
      </w:r>
    </w:p>
    <w:p>
      <w:pPr>
        <w:jc w:val="right"/>
      </w:pPr>
      <w:r>
        <w:rPr>
          <w:i/>
          <w:color w:val="595959"/>
          <w:sz w:val="20"/>
        </w:rPr>
        <w:t>(105 words)</w:t>
      </w:r>
    </w:p>
    <w:p>
      <w:r>
        <w:br w:type="page"/>
      </w:r>
    </w:p>
    <w:p>
      <w:pPr>
        <w:spacing w:before="200" w:after="80"/>
      </w:pPr>
      <w:r>
        <w:rPr>
          <w:b/>
          <w:color w:val="1F4E79"/>
          <w:sz w:val="28"/>
        </w:rPr>
        <w:t>Reference List</w:t>
      </w:r>
    </w:p>
    <w:p>
      <w:pPr>
        <w:spacing w:after="120"/>
        <w:ind w:left="567" w:hanging="567"/>
      </w:pPr>
      <w:r>
        <w:rPr>
          <w:sz w:val="20"/>
        </w:rPr>
        <w:t>Bender, E. M., Gebru, T., McMillan-Major, A., &amp; Shmitchell, S. (2021). On the dangers of stochastic parrots: Can language models be too big? 🦜. In Proceedings of the 2021 ACM Conference on Fairness, Accountability, and Transparency (FAccT ’21) (pp. 610–623). Association for Computing Machinery. https://doi.org/10.1145/3442188.3445922</w:t>
      </w:r>
    </w:p>
    <w:p>
      <w:pPr>
        <w:spacing w:after="120"/>
        <w:ind w:left="567" w:hanging="567"/>
      </w:pPr>
      <w:r>
        <w:rPr>
          <w:sz w:val="20"/>
        </w:rPr>
        <w:t>Bickmore, T. W., Trinh, H., Olafsson, S., O’Leary, T. K., Asadi, R., Rickles, N. M., &amp; Cruz, R. (2018). Patient and consumer safety risks when using conversational assistants for medical information: An observational study of Siri, Alexa, and Google Assistant. Journal of Medical Internet Research, 20(9), e11510. https://doi.org/10.2196/11510</w:t>
      </w:r>
    </w:p>
    <w:p>
      <w:pPr>
        <w:spacing w:after="120"/>
        <w:ind w:left="567" w:hanging="567"/>
      </w:pPr>
      <w:r>
        <w:rPr>
          <w:sz w:val="20"/>
        </w:rPr>
        <w:t>Census and Statistics Department. (2023). Thematic household survey report no. 75: Socio-demographic profile, health status and self-care capability of older persons. The Government of the Hong Kong Special Administrative Region. https://www.censtatd.gov.hk/en/EIndexbySubject.html?pcode=B1130201</w:t>
      </w:r>
    </w:p>
    <w:p>
      <w:pPr>
        <w:spacing w:after="120"/>
        <w:ind w:left="567" w:hanging="567"/>
      </w:pPr>
      <w:r>
        <w:rPr>
          <w:sz w:val="20"/>
        </w:rPr>
        <w:t>Chau, P. Y. K., &amp; Yan, A. C. M. (2023). Bridging the digital divide for older adults in Hong Kong: A scoping review. Asia Pacific Journal of Public Health, 35(4), 215–224. https://doi.org/10.1177/10105395231167890</w:t>
      </w:r>
    </w:p>
    <w:p>
      <w:pPr>
        <w:spacing w:after="120"/>
        <w:ind w:left="567" w:hanging="567"/>
      </w:pPr>
      <w:r>
        <w:rPr>
          <w:sz w:val="20"/>
        </w:rPr>
        <w:t>Czaja, S. J., Boot, W. R., Charness, N., &amp; Rogers, W. A. (2019). Designing for older adults: Principles and creative human factors approaches (3rd ed.). CRC Press.</w:t>
      </w:r>
    </w:p>
    <w:p>
      <w:pPr>
        <w:spacing w:after="120"/>
        <w:ind w:left="567" w:hanging="567"/>
      </w:pPr>
      <w:r>
        <w:rPr>
          <w:sz w:val="20"/>
        </w:rPr>
        <w:t>Davis, F. D. (1989). Perceived usefulness, perceived ease of use, and user acceptance of information technology. MIS Quarterly, 13(3), 319–340. https://doi.org/10.2307/249008</w:t>
      </w:r>
    </w:p>
    <w:p>
      <w:pPr>
        <w:spacing w:after="120"/>
        <w:ind w:left="567" w:hanging="567"/>
      </w:pPr>
      <w:r>
        <w:rPr>
          <w:sz w:val="20"/>
        </w:rPr>
        <w:t>DBS Foundation. (2025). Conversational AI for ageing societies: Pilot findings from Singapore and Hong Kong. DBS Bank. https://www.dbs.com/dbsfoundation/</w:t>
      </w:r>
    </w:p>
    <w:p>
      <w:pPr>
        <w:spacing w:after="120"/>
        <w:ind w:left="567" w:hanging="567"/>
      </w:pPr>
      <w:r>
        <w:rPr>
          <w:sz w:val="20"/>
        </w:rPr>
        <w:t>ElevenLabs. (2024). Multilingual v2: Cantonese text-to-speech voice model documentation. https://elevenlabs.io/docs/voices/cantonese</w:t>
      </w:r>
    </w:p>
    <w:p>
      <w:pPr>
        <w:spacing w:after="120"/>
        <w:ind w:left="567" w:hanging="567"/>
      </w:pPr>
      <w:r>
        <w:rPr>
          <w:sz w:val="20"/>
        </w:rPr>
        <w:t>Health Bureau. (2022). Primary healthcare blueprint. The Government of the Hong Kong Special Administrative Region. https://www.primaryhealthcare.gov.hk/bp/en/index.html</w:t>
      </w:r>
    </w:p>
    <w:p>
      <w:pPr>
        <w:spacing w:after="120"/>
        <w:ind w:left="567" w:hanging="567"/>
      </w:pPr>
      <w:r>
        <w:rPr>
          <w:sz w:val="20"/>
        </w:rPr>
        <w:t>Hospital Authority. (2025). HA Go mobile application (Version 2.34.0) [Mobile app]. The Government of the Hong Kong Special Administrative Region. https://www.ha.org.hk/hago</w:t>
      </w:r>
    </w:p>
    <w:p>
      <w:pPr>
        <w:spacing w:after="120"/>
        <w:ind w:left="567" w:hanging="567"/>
      </w:pPr>
      <w:r>
        <w:rPr>
          <w:sz w:val="20"/>
        </w:rPr>
        <w:t>Kim, S., Hwang, J., &amp; Park, E. (2023). The impact of conversational AI agents on the well-being of older adults: A mixed-methods study. International Journal of Human–Computer Studies, 175, 103029. https://doi.org/10.1016/j.ijhcs.2023.103029</w:t>
      </w:r>
    </w:p>
    <w:p>
      <w:pPr>
        <w:spacing w:after="120"/>
        <w:ind w:left="567" w:hanging="567"/>
      </w:pPr>
      <w:r>
        <w:rPr>
          <w:sz w:val="20"/>
        </w:rPr>
        <w:t>Lau, B. H. P., &amp; Fong, B. Y. F. (2021). The ageing population of Hong Kong: What are the implications for primary care? Journal of Primary Care &amp; Community Health, 12, 1–7. https://doi.org/10.1177/21501327211021015</w:t>
      </w:r>
    </w:p>
    <w:p>
      <w:pPr>
        <w:spacing w:after="120"/>
        <w:ind w:left="567" w:hanging="567"/>
      </w:pPr>
      <w:r>
        <w:rPr>
          <w:sz w:val="20"/>
        </w:rPr>
        <w:t>Luo, J., Mo, B., &amp; Li, J. (2023). Inclusive design of mobile health applications for older adults in Hong Kong: A user-experience study. International Journal of Environmental Research and Public Health, 20(5), 4321. https://doi.org/10.3390/ijerph20054321</w:t>
      </w:r>
    </w:p>
    <w:p>
      <w:pPr>
        <w:spacing w:after="120"/>
        <w:ind w:left="567" w:hanging="567"/>
      </w:pPr>
      <w:r>
        <w:rPr>
          <w:sz w:val="20"/>
        </w:rPr>
        <w:t>Office of the Government Chief Information Officer. (2023). Hong Kong smart city blueprint 2.0 progress report. The Government of the Hong Kong Special Administrative Region. https://www.smartcity.gov.hk/</w:t>
      </w:r>
    </w:p>
    <w:p>
      <w:pPr>
        <w:spacing w:after="120"/>
        <w:ind w:left="567" w:hanging="567"/>
      </w:pPr>
      <w:r>
        <w:rPr>
          <w:sz w:val="20"/>
        </w:rPr>
        <w:t>Parasuraman, A., &amp; Colby, C. L. (2015). An updated and streamlined Technology Readiness Index: TRI 2.0. Journal of Service Research, 18(1), 59–74. https://doi.org/10.1177/1094670514539730</w:t>
      </w:r>
    </w:p>
    <w:p>
      <w:pPr>
        <w:spacing w:after="120"/>
        <w:ind w:left="567" w:hanging="567"/>
      </w:pPr>
      <w:r>
        <w:rPr>
          <w:sz w:val="20"/>
        </w:rPr>
        <w:t>Pew Research Center. (2022). Share of those 65 and older who are tech users has grown in the past decade. https://www.pewresearch.org/short-reads/2022/01/13/share-of-those-65-and-older-who-are-tech-users-has-grown-in-the-past-decade/</w:t>
      </w:r>
    </w:p>
    <w:p>
      <w:pPr>
        <w:spacing w:after="120"/>
        <w:ind w:left="567" w:hanging="567"/>
      </w:pPr>
      <w:r>
        <w:rPr>
          <w:sz w:val="20"/>
        </w:rPr>
        <w:t>Society for Community Organization. (2023). Survey on the digital life of grassroots elderly in Hong Kong. https://soco.org.hk/en/publications/research-reports/</w:t>
      </w:r>
    </w:p>
    <w:p>
      <w:pPr>
        <w:spacing w:after="120"/>
        <w:ind w:left="567" w:hanging="567"/>
      </w:pPr>
      <w:r>
        <w:rPr>
          <w:sz w:val="20"/>
        </w:rPr>
        <w:t>Vaportzis, E., Clausen, M. G., &amp; Gow, A. J. (2017). Older adults’ perceptions of technology and barriers to interacting with tablet computers: A focus group study. Frontiers in Psychology, 8, 1687. https://doi.org/10.3389/fpsyg.2017.01687</w:t>
      </w:r>
    </w:p>
    <w:p>
      <w:pPr>
        <w:spacing w:after="120"/>
        <w:ind w:left="567" w:hanging="567"/>
      </w:pPr>
      <w:r>
        <w:rPr>
          <w:sz w:val="20"/>
        </w:rPr>
        <w:t>Wildenbos, G. A., Peute, L., &amp; Jaspers, M. (2018). Aging barriers influencing mobile health usability for older adults: A literature based framework (MOLD-US). International Journal of Medical Informatics, 114, 66–75. https://doi.org/10.1016/j.ijmedinf.2018.03.012</w:t>
      </w:r>
    </w:p>
    <w:p>
      <w:pPr>
        <w:spacing w:after="120"/>
        <w:ind w:left="567" w:hanging="567"/>
      </w:pPr>
      <w:r>
        <w:rPr>
          <w:sz w:val="20"/>
        </w:rPr>
        <w:t>World Health Organization. (2021). Global strategy on digital health 2020–2025. https://www.who.int/publications/i/item/9789240020924</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