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d328d326e116fd0fcb6f71fc39fcdd127b4aeb9"/>
    <w:p>
      <w:pPr>
        <w:pStyle w:val="Heading1"/>
      </w:pPr>
      <w:r>
        <w:t xml:space="preserve">Danh sách chờ quyết định (nội bộ, không đưa vào báo cáo)</w:t>
      </w:r>
    </w:p>
    <w:p>
      <w:pPr>
        <w:pStyle w:val="FirstParagraph"/>
      </w:pPr>
      <w:r>
        <w:t xml:space="preserve">Bản rà soát 22/10/2026. Mỗi mục là một đề xuất. Mục nào chưa được trưởng nhóm chốt thì chưa phải quyết định.</w:t>
      </w:r>
    </w:p>
    <w:bookmarkStart w:id="20" w:name="hợp-nhất-mã"/>
    <w:p>
      <w:pPr>
        <w:pStyle w:val="Heading2"/>
      </w:pPr>
      <w:r>
        <w:t xml:space="preserve">Hợp nhất mã</w:t>
      </w:r>
    </w:p>
    <w:p>
      <w:pPr>
        <w:pStyle w:val="FirstParagraph"/>
      </w:pPr>
      <w:r>
        <w:t xml:space="preserve">Bản tích hợp ngày 20/10 và gói ChatGPT dùng chung ký hiệu Q-01..Q-09 nhưng với nội dung khác nhau. Danh sách này đánh lại thành</w:t>
      </w:r>
      <w:r>
        <w:t xml:space="preserve"> </w:t>
      </w:r>
      <w:r>
        <w:rPr>
          <w:bCs/>
          <w:b/>
        </w:rPr>
        <w:t xml:space="preserve">QĐ-01..QĐ-20</w:t>
      </w:r>
      <w:r>
        <w:t xml:space="preserve">. Cột</w:t>
      </w:r>
      <w:r>
        <w:t xml:space="preserve"> </w:t>
      </w:r>
      <w:r>
        <w:t xml:space="preserve">“</w:t>
      </w:r>
      <w:r>
        <w:t xml:space="preserve">Mã cũ</w:t>
      </w:r>
      <w:r>
        <w:t xml:space="preserve">”</w:t>
      </w:r>
      <w:r>
        <w:t xml:space="preserve"> </w:t>
      </w:r>
      <w:r>
        <w:t xml:space="preserve">ghi mã tương ứng trong từng nguồn.</w:t>
      </w:r>
    </w:p>
    <w:p>
      <w:pPr>
        <w:pStyle w:val="BodyText"/>
      </w:pPr>
      <w:r>
        <w:t xml:space="preserve">Viết tắt trong cột</w:t>
      </w:r>
      <w:r>
        <w:t xml:space="preserve"> </w:t>
      </w:r>
      <w:r>
        <w:t xml:space="preserve">“</w:t>
      </w:r>
      <w:r>
        <w:t xml:space="preserve">Mã cũ</w:t>
      </w:r>
      <w:r>
        <w:t xml:space="preserve">”</w:t>
      </w:r>
      <w:r>
        <w:t xml:space="preserve">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GPT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CHOT_NOI_DUNG_CHUNG.md</w:t>
      </w:r>
      <w:r>
        <w:t xml:space="preserve"> </w:t>
      </w:r>
      <w:r>
        <w:t xml:space="preserve">của ChatGPT.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</w:t>
      </w:r>
      <w:r>
        <w:t xml:space="preserve"> </w:t>
      </w:r>
      <w:r>
        <w:t xml:space="preserve">= bản tích hợp: II.3 §5,</w:t>
      </w:r>
      <w:r>
        <w:t xml:space="preserve"> </w:t>
      </w:r>
      <w:r>
        <w:rPr>
          <w:rStyle w:val="VerbatimChar"/>
        </w:rPr>
        <w:t xml:space="preserve">KE_HOACH_SUA_THANH_VIEN.md</w:t>
      </w:r>
      <w:r>
        <w:t xml:space="preserve"> </w:t>
      </w:r>
      <w:r>
        <w:t xml:space="preserve">§4,</w:t>
      </w:r>
      <w:r>
        <w:t xml:space="preserve"> </w:t>
      </w:r>
      <w:r>
        <w:rPr>
          <w:rStyle w:val="VerbatimChar"/>
        </w:rPr>
        <w:t xml:space="preserve">Bang_doi_chieu_PCCN.md</w:t>
      </w:r>
      <w:r>
        <w:t xml:space="preserve">.</w:t>
      </w:r>
    </w:p>
    <w:bookmarkEnd w:id="20"/>
    <w:bookmarkStart w:id="21" w:name="các-mục-cần-chốt"/>
    <w:p>
      <w:pPr>
        <w:pStyle w:val="Heading2"/>
      </w:pPr>
      <w:r>
        <w:t xml:space="preserve">Các mục cần chốt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Câu hỏi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Mã cũ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Đề xuất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Căn cứ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Ảnh hưởng nếu chưa chốt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QĐ-01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PMO có tham gia V4 không? Bảng vai trò I.1.2 không có, nhưng CN-37 và CN-43 có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 Q-01; TH D-P3-01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Có. Bổ sung V4 vào cột</w:t>
            </w:r>
            <w:r>
              <w:t xml:space="preserve"> </w:t>
            </w:r>
            <w:r>
              <w:t xml:space="preserve">“</w:t>
            </w:r>
            <w:r>
              <w:t xml:space="preserve">Tham gia tại</w:t>
            </w:r>
            <w:r>
              <w:t xml:space="preserve">”</w:t>
            </w:r>
            <w:r>
              <w:t xml:space="preserve"> </w:t>
            </w:r>
            <w:r>
              <w:t xml:space="preserve">của PMO trong I.1.2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CN-37, CN-43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II.1 và UCD UC-03 đang vẽ PMO; Phần I chưa khớp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QĐ-02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Bộ tên trạng thái duy nhất của NhuCauNguonLuc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 Q-02; TH Q-01 (II.3), D-07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Dùng các tên có trong CN: đang xây dựng, đã chuyển RM, đã xác nhận, cần bổ sung (trả lại)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CN-03, CN-11, CN-13, CN-14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V2a, V2b, State Machine NhuCauNguonLuc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QĐ-03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 cá nhân của V3 (02.1 hay 02.2) và của V8 (07.1 hay 07.3)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 Q-03; TH D-05, TT-02, TT-04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Giữ 02.1 và 07.1. FDS tóm tắt 02.2, 07.3 trong bản Word đã đủ cho phần chung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HD-PCCN §5; Outline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Phân công II.4 của V3, V8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QĐ-04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Ngưỡng</w:t>
            </w:r>
            <w:r>
              <w:t xml:space="preserve"> </w:t>
            </w:r>
            <w:r>
              <w:t xml:space="preserve">“</w:t>
            </w:r>
            <w:r>
              <w:t xml:space="preserve">dưới 24–48 giờ</w:t>
            </w:r>
            <w:r>
              <w:t xml:space="preserve">”</w:t>
            </w:r>
            <w:r>
              <w:t xml:space="preserve"> </w:t>
            </w:r>
            <w:r>
              <w:t xml:space="preserve">có cần chốt thành một con số không?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 Q-04; TH D-17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Không. Giữ nguyên văn 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CN-58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 trên AD 04.1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QĐ-05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Bội số còn để trống trong II.3 (danh sách bên dưới)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 Q-05; TH Q-02, Q-06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Xem đề xuất từng dòng ở bảng bội số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PCN-02; CN-99, CN-101, CN-102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II.3 Hình II.3-2 đến II.3-6; Sequence, State của V6, V8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QĐ-06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Khoảng 100–120% không thuộc rõ mức nào của thang 5 mức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 Q-06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sửa P1. Trong Phần II chỉ dùng đúng điều kiện có nguồn (QT-33, CN-70)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Thang 5 mức; QT-33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 06.1, 06.2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QĐ-07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Công thức tỷ lệ vượt ngân sách, đơn vị và trường hợp ngân sách còn lại ≤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 Q-07; TH D-20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Trưởng nhóm hoặc V9 đề xuất một công thức, ghi là quy ước của nhóm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QT-51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FDS 08.2, D 08.1 A2, AD V9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QĐ-08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V10 có dự báo một phần khi nguồn cung thiếu dữ liệu không? Danh sách nhu cầu rỗng xử lý thế nào?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 Q-08; TH D-V10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Giữ như bản Word: dừng trước dự báo chính thức; không coi rỗng là cầu bằng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QT-55; CN-113, CN-116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D, AD 09.1, 09.2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QĐ-09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Câu ở I.3.9 bước 7 là điều kiện bắt buộc chuyển hay căn cứ để RM cân nhắc?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 Q-09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Căn cứ để RM cân nhắc; quyết định vẫn do RM ghi (CN-121)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CN-121; I.1.3.10; I.3.9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09.1 bước 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QĐ-10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 trọng tâm của V9: 08.1 đúng phạm vi mã, hay gộp 08.1–08.3 (hoặc cả 08.4)?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 D-03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08.1 đúng phạm vi CN-103–107. Nội dung đã viết chuyển sang FDS 08.2–08.4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HD-PCCN §1; bảng II.1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D, AD V9; bảng II.1 đang ghi theo đề xuất này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QĐ-11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YeuCauNguonLuc (CN-127) có là lớp riêng không?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 Q-03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Chưa vẽ trong bản chính. CN-127 là bước tiếp nhận của 04.1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CN-47, CN-127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II.3; lớp V5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QĐ-12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UC-01.3 bắt đầu theo hai cách: extend từ 01.2 và phản hồi V4/V10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 D-06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Chấp nhận cả hai. Giữ extend 01.3 → 01.2 trên UCD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CN-14, CN-17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UCD UC-01; D 01.3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QĐ-13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CN-73 (hạn 3 ngày của phương án đang xây dựng) thuộc 05.1 hay 05.2?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 D-11, DA-27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05.1, như bảng II.1 đang ghi: đây là trạng thái trong lúc lập phương 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CN-73; QT-31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D, AD 05.1; HD-PCCN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QĐ-14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Ứng viên tuyển ngoài có là NguonLuc không?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 Q-04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Có, phân biệt bằng</w:t>
            </w:r>
            <w:r>
              <w:t xml:space="preserve"> </w:t>
            </w:r>
            <w:r>
              <w:rPr>
                <w:rStyle w:val="VerbatimChar"/>
              </w:rPr>
              <w:t xml:space="preserve">loaiNguon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CN-33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II.3; lớp V4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QĐ-15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Thuộc tính</w:t>
            </w:r>
            <w:r>
              <w:t xml:space="preserve"> </w:t>
            </w:r>
            <w:r>
              <w:rPr>
                <w:rStyle w:val="VerbatimChar"/>
              </w:rPr>
              <w:t xml:space="preserve">mucDapUngVaiTro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khoangThieu</w:t>
            </w:r>
            <w:r>
              <w:t xml:space="preserve"> </w:t>
            </w:r>
            <w:r>
              <w:t xml:space="preserve">của HoSoNangLuc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mới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Kết quả này phụ thuộc vai trò được đối chiếu (CN-26, CN-27). Một hồ sơ không thể có một giá trị duy nhất. Đề xuất: bỏ khỏi HoSoNangLuc; xem là kết quả tính khi đối chiếu với một vai trò, hiển thị ở 02.2 và 03.3 (CN-42)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CN-26, CN-27, CN-42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II.3 Hình II.3-2 hiện vẫn giữ hai thuộc tính theo nguồn nhóm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QĐ-16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DeXuatThayDoi có giữ là lớp không?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 Q-09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Giữ. QT-39 nêu rõ</w:t>
            </w:r>
            <w:r>
              <w:t xml:space="preserve"> </w:t>
            </w:r>
            <w:r>
              <w:t xml:space="preserve">“</w:t>
            </w:r>
            <w:r>
              <w:t xml:space="preserve">đề xuất thay đổi do san bằng nguồn lực</w:t>
            </w:r>
            <w:r>
              <w:t xml:space="preserve">”</w:t>
            </w:r>
            <w:r>
              <w:t xml:space="preserve"> </w:t>
            </w:r>
            <w:r>
              <w:t xml:space="preserve">là đối tượng phải qua V8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QT-39; CN-86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Đã vẽ trong Hình II.3-4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QĐ-17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Thứ tự UC cá nhân, người vẽ sơ đồ II.4 liên vùng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bảng phân công II.4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QĐ-18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Sửa bảng Summary của HD-PCCN (P-01..P-12)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 P-01..P-12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</w:t>
            </w:r>
            <w:r>
              <w:t xml:space="preserve"> </w:t>
            </w:r>
            <w:r>
              <w:rPr>
                <w:rStyle w:val="VerbatimChar"/>
              </w:rPr>
              <w:t xml:space="preserve">Bang_doi_chieu_PCCN.md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HD-PCCN; 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HD-PCCN khác bảng II.1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QĐ-19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DoA và ngưỡng 10% có vẽ thành lớp không?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 Q-08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Không. Giữ là quy tắc nghiệp vụ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QT-40, QT-51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Lớp V8, V9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QĐ-20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Quy ước đánh số mục và chú thích hình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 TB-01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bản Word: Hình II.x-n, Bảng II.x-n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Cấu trúc 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Trình bày</w:t>
            </w:r>
          </w:p>
        </w:tc>
      </w:tr>
    </w:tbl>
    <w:bookmarkEnd w:id="21"/>
    <w:bookmarkStart w:id="22" w:name="bội-số-còn-để-trống-qđ-05"/>
    <w:p>
      <w:pPr>
        <w:pStyle w:val="Heading2"/>
      </w:pPr>
      <w:r>
        <w:t xml:space="preserve">Bội số còn để trống (QĐ-05)</w:t>
      </w:r>
    </w:p>
    <w:p>
      <w:pPr>
        <w:pStyle w:val="FirstParagraph"/>
      </w:pPr>
      <w:r>
        <w:t xml:space="preserve">Trong II.3, các quan hệ dưới đây không ghi bội số, vì nguồn chưa đủ để quyết định. Cột</w:t>
      </w:r>
      <w:r>
        <w:t xml:space="preserve"> </w:t>
      </w:r>
      <w:r>
        <w:t xml:space="preserve">“</w:t>
      </w:r>
      <w:r>
        <w:t xml:space="preserve">Đề xuất</w:t>
      </w:r>
      <w:r>
        <w:t xml:space="preserve">”</w:t>
      </w:r>
      <w:r>
        <w:t xml:space="preserve"> </w:t>
      </w:r>
      <w:r>
        <w:t xml:space="preserve">là đề xuất của bản rà soát. Chỉ ghi lên hình sau khi trưởng nhóm chốt.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Quan hệ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Hình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Đề xuất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Lý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NguonLuc — HoSoNangLuc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II.3-2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—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PCN-02 nói hồ sơ năng lực tập trung, mỗi nguồn lực một hồ sơ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NguonLuc — LichNguonLuc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II.3-3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—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Lịch nguồn lực tập trung; các lần phân bổ là PhanBoNguonLuc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KetQuaDanhGiaPhuHop — KetLuanKhaNangThamGia (</w:t>
            </w:r>
            <w:r>
              <w:t xml:space="preserve">“</w:t>
            </w:r>
            <w:r>
              <w:t xml:space="preserve">shortlist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II.3-3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— 0..1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Chỉ ứng viên trong shortlist mới được V5 đánh giá; mỗi người có một kết luận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ChiTietBoTri — PhanBoNguonLuc (</w:t>
            </w:r>
            <w:r>
              <w:t xml:space="preserve">“</w:t>
            </w:r>
            <w:r>
              <w:t xml:space="preserve">Locked Baseline tạo phân bổ cứng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II.3-4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0..1 — 0..1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Chỉ dòng của phương án đã xác lập Locked Baseline mới tạo phân bổ cứng (CN-99)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PhuongAnBoTri — HoSoTrinhDuyet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II.3-4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— 0..*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Một phương án có thể trình lại sau khi chỉnh sửa (CN-101, CN-102)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ChiTietBoTri — DonGia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II.3-5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0..* —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Mỗi dòng bố trí tính theo một đơn giá áp dụng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HoSoTrinhDuyet — KetQuaDuBao (</w:t>
            </w:r>
            <w:r>
              <w:t xml:space="preserve">“</w:t>
            </w:r>
            <w:r>
              <w:t xml:space="preserve">tham chiếu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II.3-6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0..* — 0..1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Hồ sơ xem kết quả dự báo mới nhất nếu có (CN-94)</w:t>
            </w:r>
          </w:p>
        </w:tc>
      </w:tr>
    </w:tbl>
    <w:bookmarkEnd w:id="22"/>
    <w:bookmarkStart w:id="23" w:name="đã-xử-lý-không-cần-chốt"/>
    <w:p>
      <w:pPr>
        <w:pStyle w:val="Heading2"/>
      </w:pPr>
      <w:r>
        <w:t xml:space="preserve">Đã xử lý, không cần chốt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Mục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Kết quả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Căn cứ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D-18 (A3, A4 của V7)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Bỏ tỷ lệ 50/50 và thuê ngoài khẩn vì P1 không có; giữ tham chiếu làm thêm giờ Mức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Thang 5 mức; QT-37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Ngưỡng</w:t>
            </w:r>
            <w:r>
              <w:t xml:space="preserve"> </w:t>
            </w:r>
            <w:r>
              <w:t xml:space="preserve">“</w:t>
            </w:r>
            <w:r>
              <w:t xml:space="preserve">trên 110% kéo dài trên 2 tuần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2 ngày làm việc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1 ngày làm việc</w:t>
            </w:r>
            <w:r>
              <w:t xml:space="preserve">”</w:t>
            </w:r>
            <w:r>
              <w:t xml:space="preserve"> </w:t>
            </w:r>
            <w:r>
              <w:t xml:space="preserve">trong FDS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 nguồn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QT-41, QT-43, QT-42; CN-84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Mốc</w:t>
            </w:r>
            <w:r>
              <w:t xml:space="preserve"> </w:t>
            </w:r>
            <w:r>
              <w:t xml:space="preserve">“</w:t>
            </w:r>
            <w:r>
              <w:t xml:space="preserve">quá 6 tháng</w:t>
            </w:r>
            <w:r>
              <w:t xml:space="preserve">”</w:t>
            </w:r>
            <w:r>
              <w:t xml:space="preserve"> </w:t>
            </w:r>
            <w:r>
              <w:t xml:space="preserve">của V4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 nguồn gián tiếp: đánh giá lại định kỳ 6 tháng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CN-20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Mã</w:t>
            </w:r>
            <w:r>
              <w:t xml:space="preserve"> </w:t>
            </w:r>
            <w:r>
              <w:t xml:space="preserve">“</w:t>
            </w:r>
            <w:r>
              <w:t xml:space="preserve">D07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D08–D09</w:t>
            </w:r>
            <w:r>
              <w:t xml:space="preserve">”</w:t>
            </w:r>
            <w:r>
              <w:t xml:space="preserve"> </w:t>
            </w:r>
            <w:r>
              <w:t xml:space="preserve">trong FDS ChatGPT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có trong P1 hay danh sách quyết định; đã bỏ khỏi bản 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PMO trên UCD 03.3 của V4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Hình gốc đã có PMO. Bảng kiểm 20/10 ghi sai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Hình UCD trong</w:t>
            </w:r>
            <w:r>
              <w:t xml:space="preserve"> </w:t>
            </w:r>
            <w:r>
              <w:rPr>
                <w:rStyle w:val="VerbatimChar"/>
              </w:rPr>
              <w:t xml:space="preserve">V4 - Phần II.docx</w:t>
            </w:r>
          </w:p>
        </w:tc>
      </w:tr>
    </w:tbl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2026-10-22T18:47:20Z</dcterms:created>
  <dcterms:modified xsi:type="dcterms:W3CDTF">2026-10-22T18:47:20Z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