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color w:val="00b050"/>
        </w:rPr>
      </w:pPr>
      <w:r w:rsidDel="00000000" w:rsidR="00000000" w:rsidRPr="00000000">
        <w:rPr>
          <w:b w:val="1"/>
          <w:color w:val="00b050"/>
          <w:rtl w:val="0"/>
        </w:rPr>
        <w:t xml:space="preserve">Strategy Analysis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step presents a structured analysis based on three foundational documents: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Guidelines of the EC call for proposal,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Stakeholders’ Analysis,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 Tree (overall view).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following steps outline the process for identifying and selecting strategies, beneficiaries, and project partners.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Identification of </w:t>
        <w:tab/>
        <w:t xml:space="preserve">different strategies to Achieve Solutions</w:t>
      </w:r>
    </w:p>
    <w:p w:rsidR="00000000" w:rsidDel="00000000" w:rsidP="00000000" w:rsidRDefault="00000000" w:rsidRPr="00000000" w14:paraId="00000008">
      <w:pPr>
        <w:rPr>
          <w:color w:val="00b050"/>
        </w:rPr>
      </w:pPr>
      <w:r w:rsidDel="00000000" w:rsidR="00000000" w:rsidRPr="00000000">
        <w:rPr>
          <w:rtl w:val="0"/>
        </w:rPr>
        <w:t xml:space="preserve">Drawing from the root documents, </w:t>
      </w:r>
      <w:r w:rsidDel="00000000" w:rsidR="00000000" w:rsidRPr="00000000">
        <w:rPr>
          <w:color w:val="00b050"/>
          <w:rtl w:val="0"/>
        </w:rPr>
        <w:t xml:space="preserve">several strategies are identified to address the core problems and achieve the desired solutions.</w:t>
      </w:r>
      <w:r w:rsidDel="00000000" w:rsidR="00000000" w:rsidRPr="00000000">
        <w:rPr>
          <w:rtl w:val="0"/>
        </w:rPr>
        <w:t xml:space="preserve"> These strategies are formulated with </w:t>
      </w:r>
      <w:r w:rsidDel="00000000" w:rsidR="00000000" w:rsidRPr="00000000">
        <w:rPr>
          <w:color w:val="00b050"/>
          <w:rtl w:val="0"/>
        </w:rPr>
        <w:t xml:space="preserve">reference to the guidelines </w:t>
      </w:r>
      <w:r w:rsidDel="00000000" w:rsidR="00000000" w:rsidRPr="00000000">
        <w:rPr>
          <w:rtl w:val="0"/>
        </w:rPr>
        <w:t xml:space="preserve">provided, the </w:t>
      </w:r>
      <w:r w:rsidDel="00000000" w:rsidR="00000000" w:rsidRPr="00000000">
        <w:rPr>
          <w:color w:val="00b050"/>
          <w:rtl w:val="0"/>
        </w:rPr>
        <w:t xml:space="preserve">interests and influence of stakeholders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color w:val="00b050"/>
          <w:rtl w:val="0"/>
        </w:rPr>
        <w:t xml:space="preserve">comprehensive view of issues presented in the problem tree.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 Selection of the Most Appropriate Strategy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00b050"/>
          <w:rtl w:val="0"/>
        </w:rPr>
        <w:t xml:space="preserve">After evaluating the identified strategies, the strategy that best aligns with the objectives set out in the EC call for proposal and effectively addresses the root problems is chosen</w:t>
      </w:r>
      <w:r w:rsidDel="00000000" w:rsidR="00000000" w:rsidRPr="00000000">
        <w:rPr>
          <w:rtl w:val="0"/>
        </w:rPr>
        <w:t xml:space="preserve">. This selection is justified by its relevance, feasibility, and anticipated impact, as informed by stakeholder analysis and problem assessment.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3. Selection of Final Beneficiaries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00b050"/>
          <w:rtl w:val="0"/>
        </w:rPr>
        <w:t xml:space="preserve">The final beneficiaries of the project are precisely identified </w:t>
      </w:r>
      <w:r w:rsidDel="00000000" w:rsidR="00000000" w:rsidRPr="00000000">
        <w:rPr>
          <w:rtl w:val="0"/>
        </w:rPr>
        <w:t xml:space="preserve">based on the needs and priorities established in the problem tree and stakeholder analysis. This ensures that the project outcomes directly benefit the intended target groups.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4. Choice of Project Partners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00b050"/>
          <w:rtl w:val="0"/>
        </w:rPr>
        <w:t xml:space="preserve">The selection of project partners includes the designation of a lead applicant and co-applicants.</w:t>
      </w:r>
      <w:r w:rsidDel="00000000" w:rsidR="00000000" w:rsidRPr="00000000">
        <w:rPr>
          <w:rtl w:val="0"/>
        </w:rPr>
        <w:t xml:space="preserve"> Additionally, </w:t>
      </w:r>
      <w:r w:rsidDel="00000000" w:rsidR="00000000" w:rsidRPr="00000000">
        <w:rPr>
          <w:color w:val="00b050"/>
          <w:rtl w:val="0"/>
        </w:rPr>
        <w:t xml:space="preserve">associates and affiliated entities </w:t>
      </w:r>
      <w:r w:rsidDel="00000000" w:rsidR="00000000" w:rsidRPr="00000000">
        <w:rPr>
          <w:rtl w:val="0"/>
        </w:rPr>
        <w:t xml:space="preserve">are chosen to support the implementation of the project, ensuring that the consortium is well-positioned to deliver the proposed solutions effectively.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3B307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3B307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3B307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3B307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3B307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3B307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3B307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3B307A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3B307A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3B307A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3B307A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3B307A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3B307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3B307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3B307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3B307A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3B307A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3B307A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3B307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3B307A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3B307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CtrKB4wY7BRSC0714sWq8MFewg==">CgMxLjA4AHIhMWZTam8zSDZWZHJFNDFsejdmQm5qeU1YME44c29tSTRT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2024-11-19T11:50:00Z</dcterms:created>
  <dc:creator>nicole hanssen</dc:creator>
</cp:coreProperties>
</file>