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567" w:right="0" w:hanging="567"/>
        <w:jc w:val="both"/>
        <w:rPr/>
      </w:pPr>
      <w:bookmarkStart w:colFirst="0" w:colLast="0" w:name="_heading=h.fv84w3djt449" w:id="0"/>
      <w:bookmarkEnd w:id="0"/>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Financial allocation provided by the contracting authority</w:t>
      </w:r>
    </w:p>
    <w:p w:rsidR="00000000" w:rsidDel="00000000" w:rsidP="00000000" w:rsidRDefault="00000000" w:rsidRPr="00000000" w14:paraId="00000002">
      <w:pPr>
        <w:rPr/>
      </w:pPr>
      <w:r w:rsidDel="00000000" w:rsidR="00000000" w:rsidRPr="00000000">
        <w:rPr>
          <w:rtl w:val="0"/>
        </w:rPr>
        <w:t xml:space="preserve">The overall indicative amount made available under this call for proposals is EUR 5.950.000. The contracting authority reserves the right not to award all available funds.</w:t>
      </w:r>
    </w:p>
    <w:p w:rsidR="00000000" w:rsidDel="00000000" w:rsidP="00000000" w:rsidRDefault="00000000" w:rsidRPr="00000000" w14:paraId="00000003">
      <w:pPr>
        <w:rPr/>
      </w:pPr>
      <w:r w:rsidDel="00000000" w:rsidR="00000000" w:rsidRPr="00000000">
        <w:rPr>
          <w:rtl w:val="0"/>
        </w:rPr>
        <w:t xml:space="preserve">Size of grants</w:t>
      </w:r>
    </w:p>
    <w:p w:rsidR="00000000" w:rsidDel="00000000" w:rsidP="00000000" w:rsidRDefault="00000000" w:rsidRPr="00000000" w14:paraId="00000004">
      <w:pPr>
        <w:rPr/>
      </w:pPr>
      <w:r w:rsidDel="00000000" w:rsidR="00000000" w:rsidRPr="00000000">
        <w:rPr>
          <w:rtl w:val="0"/>
        </w:rPr>
        <w:t xml:space="preserve">Any grant requested under this call for proposals must not exceed the below maximum amount and must fall between the following minimum and maximum amounts:</w:t>
      </w:r>
    </w:p>
    <w:p w:rsidR="00000000" w:rsidDel="00000000" w:rsidP="00000000" w:rsidRDefault="00000000" w:rsidRPr="00000000" w14:paraId="00000005">
      <w:pPr>
        <w:numPr>
          <w:ilvl w:val="0"/>
          <w:numId w:val="2"/>
        </w:numPr>
        <w:ind w:left="720" w:hanging="360"/>
        <w:rPr/>
      </w:pPr>
      <w:r w:rsidDel="00000000" w:rsidR="00000000" w:rsidRPr="00000000">
        <w:rPr>
          <w:rtl w:val="0"/>
        </w:rPr>
        <w:t xml:space="preserve">minimum amount: EUR 5.900.000</w:t>
      </w:r>
    </w:p>
    <w:p w:rsidR="00000000" w:rsidDel="00000000" w:rsidP="00000000" w:rsidRDefault="00000000" w:rsidRPr="00000000" w14:paraId="00000006">
      <w:pPr>
        <w:numPr>
          <w:ilvl w:val="0"/>
          <w:numId w:val="2"/>
        </w:numPr>
        <w:ind w:left="720" w:hanging="360"/>
        <w:rPr/>
      </w:pPr>
      <w:r w:rsidDel="00000000" w:rsidR="00000000" w:rsidRPr="00000000">
        <w:rPr>
          <w:rtl w:val="0"/>
        </w:rPr>
        <w:t xml:space="preserve">maximum amount: EUR 5.950.000</w:t>
      </w:r>
    </w:p>
    <w:p w:rsidR="00000000" w:rsidDel="00000000" w:rsidP="00000000" w:rsidRDefault="00000000" w:rsidRPr="00000000" w14:paraId="00000007">
      <w:pPr>
        <w:rPr/>
      </w:pPr>
      <w:r w:rsidDel="00000000" w:rsidR="00000000" w:rsidRPr="00000000">
        <w:rPr>
          <w:rtl w:val="0"/>
        </w:rPr>
        <w:t xml:space="preserve">Any grant requested under this call for proposals must not exceed the below maximum percentage and must fall between the following minimum and maximum percentages of total eligible costs of the action:</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Minimum percentage: 80 % of the total eligible costs of the action.</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Maximum percentage: 95 % of the total eligible costs of the action (see also Section 2.1.4). </w:t>
      </w:r>
    </w:p>
    <w:p w:rsidR="00000000" w:rsidDel="00000000" w:rsidP="00000000" w:rsidRDefault="00000000" w:rsidRPr="00000000" w14:paraId="0000000A">
      <w:pPr>
        <w:spacing w:before="120" w:lineRule="auto"/>
        <w:rPr>
          <w:highlight w:val="yellow"/>
        </w:rPr>
      </w:pPr>
      <w:bookmarkStart w:colFirst="0" w:colLast="0" w:name="_heading=h.588gekr3lrxy" w:id="1"/>
      <w:bookmarkEnd w:id="1"/>
      <w:r w:rsidDel="00000000" w:rsidR="00000000" w:rsidRPr="00000000">
        <w:rPr>
          <w:rtl w:val="0"/>
        </w:rPr>
      </w:r>
    </w:p>
    <w:p w:rsidR="00000000" w:rsidDel="00000000" w:rsidP="00000000" w:rsidRDefault="00000000" w:rsidRPr="00000000" w14:paraId="0000000B">
      <w:pPr>
        <w:spacing w:before="120" w:lineRule="auto"/>
        <w:rPr/>
      </w:pPr>
      <w:r w:rsidDel="00000000" w:rsidR="00000000" w:rsidRPr="00000000">
        <w:rPr>
          <w:rtl w:val="0"/>
        </w:rPr>
        <w:t xml:space="preserve">The balance (i.e. the difference between the total cost of the action and the amount requested from the contracting authority) must be financed from sources other than the general budget of the Union or the European Development Fund</w:t>
      </w:r>
      <w:r w:rsidDel="00000000" w:rsidR="00000000" w:rsidRPr="00000000">
        <w:rPr>
          <w:sz w:val="24"/>
          <w:szCs w:val="24"/>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color w:val="c00000"/>
          <w:sz w:val="56"/>
          <w:szCs w:val="56"/>
        </w:rPr>
      </w:pPr>
      <w:r w:rsidDel="00000000" w:rsidR="00000000" w:rsidRPr="00000000">
        <w:rPr>
          <w:b w:val="1"/>
          <w:bCs w:val="1"/>
          <w:color w:val="c00000"/>
          <w:sz w:val="52"/>
          <w:szCs w:val="52"/>
          <w:rtl w:val="0"/>
        </w:rPr>
        <w:t xml:space="preserve">Describe the </w:t>
      </w:r>
      <w:r w:rsidDel="00000000" w:rsidR="00000000" w:rsidRPr="00000000">
        <w:rPr>
          <w:b w:val="1"/>
          <w:bCs w:val="1"/>
          <w:color w:val="c00000"/>
          <w:sz w:val="56"/>
          <w:szCs w:val="56"/>
          <w:rtl w:val="0"/>
        </w:rPr>
        <w:t xml:space="preserve">4 main total  project costs  versus the financing options according to the  EC guidelines</w:t>
      </w:r>
    </w:p>
    <w:p w:rsidR="00000000" w:rsidDel="00000000" w:rsidP="00000000" w:rsidRDefault="00000000" w:rsidRPr="00000000" w14:paraId="0000000F">
      <w:pPr>
        <w:rPr>
          <w:b w:val="1"/>
          <w:bCs w:val="1"/>
          <w:color w:val="c00000"/>
          <w:sz w:val="52"/>
          <w:szCs w:val="52"/>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Where a grant is financed by the European Development Fund, any mention of European Union financing must be understood as referring to European Development Fund financing.</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rFonts w:ascii="Times New Roman" w:cs="Times New Roman" w:eastAsia="Times New Roman" w:hAnsi="Times New Roman"/>
        <w:b w:val="1"/>
        <w:bCs w:val="1"/>
        <w:i w:val="0"/>
        <w:iCs w:val="0"/>
        <w:smallCaps w:val="1"/>
        <w:strike w:val="0"/>
        <w:sz w:val="24"/>
        <w:szCs w:val="24"/>
        <w:u w:val="none"/>
        <w:vertAlign w:val="baseline"/>
      </w:rPr>
    </w:lvl>
    <w:lvl w:ilvl="1">
      <w:start w:val="1"/>
      <w:numFmt w:val="decimal"/>
      <w:lvlText w:val="%1.%2."/>
      <w:lvlJc w:val="left"/>
      <w:pPr>
        <w:ind w:left="567" w:hanging="567"/>
      </w:pPr>
      <w:rPr>
        <w:rFonts w:ascii="Times New Roman" w:cs="Times New Roman" w:eastAsia="Times New Roman" w:hAnsi="Times New Roman"/>
        <w:b w:val="1"/>
        <w:bCs w:val="1"/>
        <w:i w:val="0"/>
        <w:iCs w:val="0"/>
        <w:smallCaps w:val="0"/>
        <w:strike w:val="0"/>
        <w:color w:val="000000"/>
        <w:sz w:val="24"/>
        <w:szCs w:val="24"/>
        <w:u w:val="none"/>
        <w:vertAlign w:val="baseline"/>
      </w:rPr>
    </w:lvl>
    <w:lvl w:ilvl="2">
      <w:start w:val="1"/>
      <w:numFmt w:val="decimal"/>
      <w:lvlText w:val="%1.%2.%3."/>
      <w:lvlJc w:val="left"/>
      <w:pPr>
        <w:ind w:left="851" w:hanging="851"/>
      </w:pPr>
      <w:rPr>
        <w:rFonts w:ascii="Times New Roman" w:cs="Times New Roman" w:eastAsia="Times New Roman" w:hAnsi="Times New Roman"/>
        <w:b w:val="1"/>
        <w:bCs w:val="1"/>
        <w:i w:val="1"/>
        <w:iCs w:val="1"/>
        <w:smallCaps w:val="0"/>
        <w:strike w:val="0"/>
        <w:color w:val="000000"/>
        <w:sz w:val="24"/>
        <w:szCs w:val="24"/>
        <w:u w:val="none"/>
        <w:vertAlign w:val="baseline"/>
      </w:rPr>
    </w:lvl>
    <w:lvl w:ilvl="3">
      <w:start w:val="1"/>
      <w:numFmt w:val="decimal"/>
      <w:lvlText w:val="%1.%2.%3.%4"/>
      <w:lvlJc w:val="left"/>
      <w:pPr>
        <w:ind w:left="567" w:hanging="567"/>
      </w:pPr>
      <w:rPr/>
    </w:lvl>
    <w:lvl w:ilvl="4">
      <w:start w:val="1"/>
      <w:numFmt w:val="decimal"/>
      <w:lvlText w:val="%1.%2.%3.%4.%5"/>
      <w:lvlJc w:val="left"/>
      <w:pPr>
        <w:ind w:left="567" w:hanging="567"/>
      </w:pPr>
      <w:rPr/>
    </w:lvl>
    <w:lvl w:ilvl="5">
      <w:start w:val="1"/>
      <w:numFmt w:val="decimal"/>
      <w:lvlText w:val="%1.%2.%3.%4.%5.%6"/>
      <w:lvlJc w:val="left"/>
      <w:pPr>
        <w:ind w:left="567" w:hanging="567"/>
      </w:pPr>
      <w:rPr/>
    </w:lvl>
    <w:lvl w:ilvl="6">
      <w:start w:val="1"/>
      <w:numFmt w:val="decimal"/>
      <w:lvlText w:val="%1.%2.%3.%4.%5.%6.%7"/>
      <w:lvlJc w:val="left"/>
      <w:pPr>
        <w:ind w:left="567" w:hanging="567"/>
      </w:pPr>
      <w:rPr/>
    </w:lvl>
    <w:lvl w:ilvl="7">
      <w:start w:val="1"/>
      <w:numFmt w:val="decimal"/>
      <w:lvlText w:val="%1.%2.%3.%4.%5.%6.%7.%8"/>
      <w:lvlJc w:val="left"/>
      <w:pPr>
        <w:ind w:left="567" w:hanging="567"/>
      </w:pPr>
      <w:rPr/>
    </w:lvl>
    <w:lvl w:ilvl="8">
      <w:start w:val="1"/>
      <w:numFmt w:val="decimal"/>
      <w:lvlText w:val="%1.%2.%3.%4.%5.%6.%7.%8.%9"/>
      <w:lvlJc w:val="left"/>
      <w:pPr>
        <w:ind w:left="567" w:hanging="567"/>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C44E6F"/>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C44E6F"/>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C44E6F"/>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C44E6F"/>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C44E6F"/>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C44E6F"/>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C44E6F"/>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C44E6F"/>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C44E6F"/>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C44E6F"/>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C44E6F"/>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C44E6F"/>
    <w:rPr>
      <w:rFonts w:cstheme="majorBidi" w:eastAsiaTheme="majorEastAsia"/>
      <w:color w:val="272727" w:themeColor="text1" w:themeTint="0000D8"/>
    </w:rPr>
  </w:style>
  <w:style w:type="character" w:styleId="TitreCar" w:customStyle="1">
    <w:name w:val="Titre Car"/>
    <w:basedOn w:val="Policepardfaut"/>
    <w:link w:val="Titre"/>
    <w:uiPriority w:val="10"/>
    <w:rsid w:val="00C44E6F"/>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C44E6F"/>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C44E6F"/>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C44E6F"/>
    <w:rPr>
      <w:i w:val="1"/>
      <w:iCs w:val="1"/>
      <w:color w:val="404040" w:themeColor="text1" w:themeTint="0000BF"/>
    </w:rPr>
  </w:style>
  <w:style w:type="paragraph" w:styleId="Paragraphedeliste">
    <w:name w:val="List Paragraph"/>
    <w:basedOn w:val="Normal"/>
    <w:uiPriority w:val="34"/>
    <w:qFormat w:val="1"/>
    <w:rsid w:val="00C44E6F"/>
    <w:pPr>
      <w:ind w:left="720"/>
      <w:contextualSpacing w:val="1"/>
    </w:pPr>
  </w:style>
  <w:style w:type="character" w:styleId="Accentuationintense">
    <w:name w:val="Intense Emphasis"/>
    <w:basedOn w:val="Policepardfaut"/>
    <w:uiPriority w:val="21"/>
    <w:qFormat w:val="1"/>
    <w:rsid w:val="00C44E6F"/>
    <w:rPr>
      <w:i w:val="1"/>
      <w:iCs w:val="1"/>
      <w:color w:val="0f4761" w:themeColor="accent1" w:themeShade="0000BF"/>
    </w:rPr>
  </w:style>
  <w:style w:type="paragraph" w:styleId="Citationintense">
    <w:name w:val="Intense Quote"/>
    <w:basedOn w:val="Normal"/>
    <w:next w:val="Normal"/>
    <w:link w:val="CitationintenseCar"/>
    <w:uiPriority w:val="30"/>
    <w:qFormat w:val="1"/>
    <w:rsid w:val="00C44E6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C44E6F"/>
    <w:rPr>
      <w:i w:val="1"/>
      <w:iCs w:val="1"/>
      <w:color w:val="0f4761" w:themeColor="accent1" w:themeShade="0000BF"/>
    </w:rPr>
  </w:style>
  <w:style w:type="character" w:styleId="Rfrenceintense">
    <w:name w:val="Intense Reference"/>
    <w:basedOn w:val="Policepardfaut"/>
    <w:uiPriority w:val="32"/>
    <w:qFormat w:val="1"/>
    <w:rsid w:val="00C44E6F"/>
    <w:rPr>
      <w:b w:val="1"/>
      <w:bCs w:val="1"/>
      <w:smallCaps w:val="1"/>
      <w:color w:val="0f4761" w:themeColor="accent1" w:themeShade="0000BF"/>
      <w:spacing w:val="5"/>
    </w:rPr>
  </w:style>
  <w:style w:type="character" w:styleId="NotedebasdepageCar" w:customStyle="1">
    <w:name w:val="Note de bas de page Car"/>
    <w:aliases w:val="Fußnote Car,Fußnotentextf Car,Note de bas de page Car Car Car Car Car Car Car Car Car Car Car,Note de bas de page Car Car Car Car Car,Note de bas de page Car Car Car Car Car Car Car Car Car Car1,ft Car,f Car"/>
    <w:basedOn w:val="Policepardfaut"/>
    <w:link w:val="Notedebasdepage"/>
    <w:uiPriority w:val="99"/>
    <w:semiHidden w:val="1"/>
    <w:locked w:val="1"/>
    <w:rsid w:val="00C44E6F"/>
    <w:rPr>
      <w:lang w:val="en-GB"/>
    </w:rPr>
  </w:style>
  <w:style w:type="paragraph" w:styleId="Notedebasdepage">
    <w:name w:val="footnote text"/>
    <w:aliases w:val="Fußnote,Fußnotentextf,Note de bas de page Car Car Car Car Car Car Car Car Car Car,Note de bas de page Car Car Car Car,Note de bas de page Car Car Car Car Car Car Car Car Car,ft,f"/>
    <w:basedOn w:val="Normal"/>
    <w:link w:val="NotedebasdepageCar"/>
    <w:autoRedefine w:val="1"/>
    <w:uiPriority w:val="99"/>
    <w:semiHidden w:val="1"/>
    <w:unhideWhenUsed w:val="1"/>
    <w:qFormat w:val="1"/>
    <w:rsid w:val="00C44E6F"/>
    <w:pPr>
      <w:spacing w:after="60"/>
    </w:pPr>
    <w:rPr>
      <w:rFonts w:asciiTheme="minorHAnsi" w:cstheme="minorBidi" w:eastAsiaTheme="minorHAnsi" w:hAnsiTheme="minorHAnsi"/>
      <w:kern w:val="2"/>
      <w:szCs w:val="22"/>
    </w:rPr>
  </w:style>
  <w:style w:type="character" w:styleId="NotedebasdepageCar1" w:customStyle="1">
    <w:name w:val="Note de bas de page Car1"/>
    <w:basedOn w:val="Policepardfaut"/>
    <w:uiPriority w:val="99"/>
    <w:semiHidden w:val="1"/>
    <w:rsid w:val="00C44E6F"/>
    <w:rPr>
      <w:rFonts w:ascii="Times New Roman" w:cs="Times New Roman" w:eastAsia="Times New Roman" w:hAnsi="Times New Roman"/>
      <w:kern w:val="0"/>
      <w:sz w:val="20"/>
      <w:szCs w:val="20"/>
      <w:lang w:val="en-GB"/>
    </w:rPr>
  </w:style>
  <w:style w:type="paragraph" w:styleId="Guidelines2" w:customStyle="1">
    <w:name w:val="Guidelines 2"/>
    <w:basedOn w:val="Normal"/>
    <w:next w:val="Normal"/>
    <w:autoRedefine w:val="1"/>
    <w:qFormat w:val="1"/>
    <w:rsid w:val="00C44E6F"/>
    <w:pPr>
      <w:spacing w:after="120"/>
      <w:outlineLvl w:val="0"/>
    </w:pPr>
    <w:rPr>
      <w:rFonts w:ascii="Times New Roman Bold" w:hAnsi="Times New Roman Bold"/>
      <w:b w:val="1"/>
      <w:smallCaps w:val="1"/>
      <w:sz w:val="24"/>
    </w:rPr>
  </w:style>
  <w:style w:type="character" w:styleId="Appelnotedebasdep">
    <w:name w:val="footnote reference"/>
    <w:aliases w:val="BVI fnr,(Footnote Reference),SUPERS,Footnote Reference/,Footnote symbol,Footnotes refss,Footnote Reference Superscript,Footnote,Footnote reference number,note TESI,EN Footnote Reference,Voetnootverwijzing,Times 10 Point,No,Re"/>
    <w:basedOn w:val="Policepardfaut"/>
    <w:link w:val="Char2"/>
    <w:uiPriority w:val="99"/>
    <w:unhideWhenUsed w:val="1"/>
    <w:qFormat w:val="1"/>
    <w:rsid w:val="00C44E6F"/>
    <w:rPr>
      <w:sz w:val="24"/>
      <w:vertAlign w:val="superscript"/>
    </w:rPr>
  </w:style>
  <w:style w:type="paragraph" w:styleId="Char2" w:customStyle="1">
    <w:name w:val="Char2"/>
    <w:basedOn w:val="Normal"/>
    <w:link w:val="Appelnotedebasdep"/>
    <w:uiPriority w:val="99"/>
    <w:rsid w:val="00C44E6F"/>
    <w:pPr>
      <w:spacing w:after="160" w:before="120" w:line="240" w:lineRule="exact"/>
      <w:jc w:val="left"/>
    </w:pPr>
    <w:rPr>
      <w:rFonts w:asciiTheme="minorHAnsi" w:cstheme="minorBidi" w:eastAsiaTheme="minorHAnsi" w:hAnsiTheme="minorHAnsi"/>
      <w:kern w:val="2"/>
      <w:sz w:val="24"/>
      <w:szCs w:val="22"/>
      <w:vertAlign w:val="superscript"/>
      <w:lang w:val="fr-F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fFm1Kh7jDKtT5qo6f8iqU4x/qw==">CgMxLjAyDmguZnY4NHczZGp0NDQ5Mg5oLjU4OGdla3IzbHJ4eTgAciExTUpwVWM4WEZHVlY5M29LdkVrOGNnRUhsQ3VMZmM1amY=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2025-11-03T09:06:00Z</dcterms:created>
  <dc:creator>nicole hanssen</dc:creator>
</cp:coreProperties>
</file>