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DFAE" w14:textId="77777777" w:rsidR="00C44E6F" w:rsidRDefault="00C44E6F" w:rsidP="00C44E6F">
      <w:pPr>
        <w:pStyle w:val="Guidelines2"/>
        <w:numPr>
          <w:ilvl w:val="1"/>
          <w:numId w:val="1"/>
        </w:numPr>
      </w:pPr>
      <w:bookmarkStart w:id="0" w:name="_Toc74830946"/>
      <w:r>
        <w:t>Financial allocation provided by the contracting authority</w:t>
      </w:r>
      <w:bookmarkEnd w:id="0"/>
    </w:p>
    <w:p w14:paraId="6EA800AE" w14:textId="77777777" w:rsidR="00C44E6F" w:rsidRDefault="00C44E6F" w:rsidP="00C44E6F">
      <w:r>
        <w:t>The overall indicative amount made available under this call for proposals is EUR 5.950.000. The contracting authority reserves the right not to award all available funds.</w:t>
      </w:r>
    </w:p>
    <w:p w14:paraId="3E2F17C2" w14:textId="77777777" w:rsidR="00C44E6F" w:rsidRDefault="00C44E6F" w:rsidP="00C44E6F">
      <w:r>
        <w:t>Size of grants</w:t>
      </w:r>
    </w:p>
    <w:p w14:paraId="2FAF53C1" w14:textId="77777777" w:rsidR="00C44E6F" w:rsidRDefault="00C44E6F" w:rsidP="00C44E6F">
      <w:r>
        <w:t>Any grant requested under this call for proposals must not exceed the below maximum amount and must fall between the following minimum and maximum amounts:</w:t>
      </w:r>
    </w:p>
    <w:p w14:paraId="742CEAA0" w14:textId="77777777" w:rsidR="00C44E6F" w:rsidRDefault="00C44E6F" w:rsidP="00C44E6F">
      <w:pPr>
        <w:numPr>
          <w:ilvl w:val="0"/>
          <w:numId w:val="2"/>
        </w:numPr>
      </w:pPr>
      <w:r>
        <w:t>minimum amount: EUR 5.900.000</w:t>
      </w:r>
    </w:p>
    <w:p w14:paraId="7A320251" w14:textId="77777777" w:rsidR="00C44E6F" w:rsidRDefault="00C44E6F" w:rsidP="00C44E6F">
      <w:pPr>
        <w:numPr>
          <w:ilvl w:val="0"/>
          <w:numId w:val="2"/>
        </w:numPr>
      </w:pPr>
      <w:r>
        <w:t>maximum amount: EUR 5.950.000</w:t>
      </w:r>
    </w:p>
    <w:p w14:paraId="6B8FE9EA" w14:textId="77777777" w:rsidR="00C44E6F" w:rsidRDefault="00C44E6F" w:rsidP="00C44E6F">
      <w:r>
        <w:t>Any grant requested under this call for proposals must not exceed the below maximum percentage and must fall between the following minimum and maximum percentages of total eligible costs of the action:</w:t>
      </w:r>
    </w:p>
    <w:p w14:paraId="0B0DA607" w14:textId="77777777" w:rsidR="00C44E6F" w:rsidRDefault="00C44E6F" w:rsidP="00C44E6F">
      <w:pPr>
        <w:numPr>
          <w:ilvl w:val="0"/>
          <w:numId w:val="3"/>
        </w:numPr>
      </w:pPr>
      <w:r>
        <w:t>Minimum percentage: 80 % of the total eligible costs of the action.</w:t>
      </w:r>
    </w:p>
    <w:p w14:paraId="25A7234D" w14:textId="77777777" w:rsidR="00C44E6F" w:rsidRDefault="00C44E6F" w:rsidP="00C44E6F">
      <w:pPr>
        <w:numPr>
          <w:ilvl w:val="0"/>
          <w:numId w:val="3"/>
        </w:numPr>
      </w:pPr>
      <w:r>
        <w:t xml:space="preserve">Maximum percentage: 95 % of the total eligible costs of the action (see also Section 2.1.4). </w:t>
      </w:r>
    </w:p>
    <w:p w14:paraId="7FDDFCD0" w14:textId="77777777" w:rsidR="00B516F0" w:rsidRDefault="00B516F0" w:rsidP="00C44E6F">
      <w:pPr>
        <w:tabs>
          <w:tab w:val="num" w:pos="0"/>
        </w:tabs>
        <w:spacing w:before="120"/>
        <w:rPr>
          <w:szCs w:val="22"/>
          <w:highlight w:val="yellow"/>
        </w:rPr>
      </w:pPr>
      <w:bookmarkStart w:id="1" w:name="_Hlk213061859"/>
    </w:p>
    <w:p w14:paraId="180202C3" w14:textId="55999460" w:rsidR="00C44E6F" w:rsidRDefault="00C44E6F" w:rsidP="00C44E6F">
      <w:pPr>
        <w:tabs>
          <w:tab w:val="num" w:pos="0"/>
        </w:tabs>
        <w:spacing w:before="120"/>
        <w:rPr>
          <w:szCs w:val="22"/>
        </w:rPr>
      </w:pPr>
      <w:r w:rsidRPr="00A323A4">
        <w:rPr>
          <w:szCs w:val="22"/>
        </w:rPr>
        <w:t>The balance (i.e. the difference between the total cost of the action and the amount requested from the contracting authority) must be financed from sources other than the general budget of the Union or the European Development Fund</w:t>
      </w:r>
      <w:r w:rsidRPr="00A323A4">
        <w:rPr>
          <w:rStyle w:val="Appelnotedebasdep"/>
          <w:rFonts w:eastAsiaTheme="majorEastAsia"/>
        </w:rPr>
        <w:footnoteReference w:id="1"/>
      </w:r>
      <w:r w:rsidRPr="00A323A4">
        <w:rPr>
          <w:szCs w:val="22"/>
        </w:rPr>
        <w:t>.</w:t>
      </w:r>
    </w:p>
    <w:bookmarkEnd w:id="1"/>
    <w:p w14:paraId="14EAEEE1" w14:textId="0E230754" w:rsidR="00E63D84" w:rsidRDefault="00E63D84" w:rsidP="00C44E6F"/>
    <w:p w14:paraId="66040739" w14:textId="77777777" w:rsidR="00492DDE" w:rsidRDefault="00492DDE" w:rsidP="00C44E6F"/>
    <w:p w14:paraId="6CFEFDE7" w14:textId="567915A5" w:rsidR="00492DDE" w:rsidRDefault="00492DDE" w:rsidP="00C44E6F">
      <w:pPr>
        <w:rPr>
          <w:b/>
          <w:bCs/>
          <w:color w:val="C00000"/>
          <w:sz w:val="56"/>
          <w:szCs w:val="56"/>
        </w:rPr>
      </w:pPr>
      <w:r w:rsidRPr="009E4541">
        <w:rPr>
          <w:b/>
          <w:bCs/>
          <w:color w:val="C00000"/>
          <w:sz w:val="52"/>
          <w:szCs w:val="52"/>
        </w:rPr>
        <w:t xml:space="preserve">DESCRIBE THE </w:t>
      </w:r>
      <w:r w:rsidRPr="009E4541">
        <w:rPr>
          <w:b/>
          <w:bCs/>
          <w:color w:val="C00000"/>
          <w:sz w:val="56"/>
          <w:szCs w:val="56"/>
        </w:rPr>
        <w:t>4 main financing options according to the guidelines</w:t>
      </w:r>
    </w:p>
    <w:p w14:paraId="462E2184" w14:textId="5904B007" w:rsidR="009E4541" w:rsidRPr="009E4541" w:rsidRDefault="009E4541" w:rsidP="00C44E6F">
      <w:pPr>
        <w:rPr>
          <w:b/>
          <w:bCs/>
          <w:color w:val="C00000"/>
          <w:sz w:val="52"/>
          <w:szCs w:val="52"/>
        </w:rPr>
      </w:pPr>
    </w:p>
    <w:sectPr w:rsidR="009E4541" w:rsidRPr="009E45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8358" w14:textId="77777777" w:rsidR="00A35F22" w:rsidRDefault="00A35F22" w:rsidP="00C44E6F">
      <w:pPr>
        <w:spacing w:after="0"/>
      </w:pPr>
      <w:r>
        <w:separator/>
      </w:r>
    </w:p>
  </w:endnote>
  <w:endnote w:type="continuationSeparator" w:id="0">
    <w:p w14:paraId="4F18C630" w14:textId="77777777" w:rsidR="00A35F22" w:rsidRDefault="00A35F22" w:rsidP="00C44E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6070" w14:textId="77777777" w:rsidR="00A35F22" w:rsidRDefault="00A35F22" w:rsidP="00C44E6F">
      <w:pPr>
        <w:spacing w:after="0"/>
      </w:pPr>
      <w:r>
        <w:separator/>
      </w:r>
    </w:p>
  </w:footnote>
  <w:footnote w:type="continuationSeparator" w:id="0">
    <w:p w14:paraId="4F600DE3" w14:textId="77777777" w:rsidR="00A35F22" w:rsidRDefault="00A35F22" w:rsidP="00C44E6F">
      <w:pPr>
        <w:spacing w:after="0"/>
      </w:pPr>
      <w:r>
        <w:continuationSeparator/>
      </w:r>
    </w:p>
  </w:footnote>
  <w:footnote w:id="1">
    <w:p w14:paraId="082C634A" w14:textId="77777777" w:rsidR="00C44E6F" w:rsidRDefault="00C44E6F" w:rsidP="00C44E6F">
      <w:pPr>
        <w:pStyle w:val="Notedebasdepage"/>
        <w:rPr>
          <w:szCs w:val="20"/>
        </w:rPr>
      </w:pPr>
      <w:r>
        <w:rPr>
          <w:vertAlign w:val="superscript"/>
        </w:rPr>
        <w:footnoteRef/>
      </w:r>
      <w:r>
        <w:t xml:space="preserve"> Where a grant is financed by the European Development Fund, any mention of European Union financing must be understood as referring to European Development Fund financing.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96D"/>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47D322C2"/>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F3D1618"/>
    <w:multiLevelType w:val="multilevel"/>
    <w:tmpl w:val="FFFFFFFF"/>
    <w:lvl w:ilvl="0">
      <w:start w:val="1"/>
      <w:numFmt w:val="decimal"/>
      <w:lvlText w:val="%1."/>
      <w:lvlJc w:val="left"/>
      <w:pPr>
        <w:ind w:left="567" w:hanging="567"/>
      </w:pPr>
      <w:rPr>
        <w:rFonts w:ascii="Times New Roman Bold" w:hAnsi="Times New Roman Bold" w:cs="Times New Roman" w:hint="default"/>
        <w:b/>
        <w:i w:val="0"/>
        <w:caps/>
        <w:strike w:val="0"/>
        <w:dstrike w:val="0"/>
        <w:outline w:val="0"/>
        <w:shadow w:val="0"/>
        <w:emboss w:val="0"/>
        <w:imprint w:val="0"/>
        <w:sz w:val="24"/>
        <w:u w:val="none"/>
        <w:effect w:val="none"/>
        <w:vertAlign w:val="baseline"/>
      </w:rPr>
    </w:lvl>
    <w:lvl w:ilvl="1">
      <w:start w:val="1"/>
      <w:numFmt w:val="decimal"/>
      <w:lvlText w:val="%1.%2."/>
      <w:lvlJc w:val="left"/>
      <w:pPr>
        <w:ind w:left="567" w:hanging="567"/>
      </w:pPr>
      <w:rPr>
        <w:rFonts w:ascii="Times New Roman Bold" w:hAnsi="Times New Roman Bold" w:cs="Times New Roman" w:hint="default"/>
        <w:b/>
        <w:i w:val="0"/>
        <w:caps w:val="0"/>
        <w:strike w:val="0"/>
        <w:dstrike w:val="0"/>
        <w:outline w:val="0"/>
        <w:shadow w:val="0"/>
        <w:emboss w:val="0"/>
        <w:imprint w:val="0"/>
        <w:vanish w:val="0"/>
        <w:webHidden w:val="0"/>
        <w:color w:val="000000"/>
        <w:sz w:val="24"/>
        <w:u w:val="none"/>
        <w:effect w:val="none"/>
        <w:vertAlign w:val="baseline"/>
        <w:specVanish w:val="0"/>
      </w:rPr>
    </w:lvl>
    <w:lvl w:ilvl="2">
      <w:start w:val="1"/>
      <w:numFmt w:val="decimal"/>
      <w:lvlText w:val="%1.%2.%3."/>
      <w:lvlJc w:val="left"/>
      <w:pPr>
        <w:ind w:left="851" w:hanging="851"/>
      </w:pPr>
      <w:rPr>
        <w:rFonts w:ascii="Times New Roman Bold" w:hAnsi="Times New Roman Bold" w:cs="Times New Roman" w:hint="default"/>
        <w:b/>
        <w:i/>
        <w:caps w:val="0"/>
        <w:strike w:val="0"/>
        <w:dstrike w:val="0"/>
        <w:outline w:val="0"/>
        <w:shadow w:val="0"/>
        <w:emboss w:val="0"/>
        <w:imprint w:val="0"/>
        <w:vanish w:val="0"/>
        <w:webHidden w:val="0"/>
        <w:color w:val="000000"/>
        <w:sz w:val="24"/>
        <w:u w:val="none"/>
        <w:effect w:val="none"/>
        <w:vertAlign w:val="baseline"/>
        <w:specVanish w:val="0"/>
      </w:rPr>
    </w:lvl>
    <w:lvl w:ilvl="3">
      <w:start w:val="1"/>
      <w:numFmt w:val="decimal"/>
      <w:isLgl/>
      <w:lvlText w:val="%1.%2.%3.%4"/>
      <w:lvlJc w:val="left"/>
      <w:pPr>
        <w:ind w:left="567" w:hanging="567"/>
      </w:pPr>
      <w:rPr>
        <w:rFonts w:cs="Times New Roman"/>
      </w:rPr>
    </w:lvl>
    <w:lvl w:ilvl="4">
      <w:start w:val="1"/>
      <w:numFmt w:val="decimal"/>
      <w:isLgl/>
      <w:lvlText w:val="%1.%2.%3.%4.%5"/>
      <w:lvlJc w:val="left"/>
      <w:pPr>
        <w:ind w:left="567" w:hanging="567"/>
      </w:pPr>
      <w:rPr>
        <w:rFonts w:cs="Times New Roman"/>
      </w:rPr>
    </w:lvl>
    <w:lvl w:ilvl="5">
      <w:start w:val="1"/>
      <w:numFmt w:val="decimal"/>
      <w:isLgl/>
      <w:lvlText w:val="%1.%2.%3.%4.%5.%6"/>
      <w:lvlJc w:val="left"/>
      <w:pPr>
        <w:ind w:left="567" w:hanging="567"/>
      </w:pPr>
      <w:rPr>
        <w:rFonts w:cs="Times New Roman"/>
      </w:rPr>
    </w:lvl>
    <w:lvl w:ilvl="6">
      <w:start w:val="1"/>
      <w:numFmt w:val="decimal"/>
      <w:isLgl/>
      <w:lvlText w:val="%1.%2.%3.%4.%5.%6.%7"/>
      <w:lvlJc w:val="left"/>
      <w:pPr>
        <w:ind w:left="567" w:hanging="567"/>
      </w:pPr>
      <w:rPr>
        <w:rFonts w:cs="Times New Roman"/>
      </w:rPr>
    </w:lvl>
    <w:lvl w:ilvl="7">
      <w:start w:val="1"/>
      <w:numFmt w:val="decimal"/>
      <w:isLgl/>
      <w:lvlText w:val="%1.%2.%3.%4.%5.%6.%7.%8"/>
      <w:lvlJc w:val="left"/>
      <w:pPr>
        <w:ind w:left="567" w:hanging="567"/>
      </w:pPr>
      <w:rPr>
        <w:rFonts w:cs="Times New Roman"/>
      </w:rPr>
    </w:lvl>
    <w:lvl w:ilvl="8">
      <w:start w:val="1"/>
      <w:numFmt w:val="decimal"/>
      <w:isLgl/>
      <w:lvlText w:val="%1.%2.%3.%4.%5.%6.%7.%8.%9"/>
      <w:lvlJc w:val="left"/>
      <w:pPr>
        <w:ind w:left="567" w:hanging="567"/>
      </w:pPr>
      <w:rPr>
        <w:rFonts w:cs="Times New Roman"/>
      </w:rPr>
    </w:lvl>
  </w:abstractNum>
  <w:num w:numId="1" w16cid:durableId="1683162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4862886">
    <w:abstractNumId w:val="0"/>
  </w:num>
  <w:num w:numId="3" w16cid:durableId="454523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6F"/>
    <w:rsid w:val="00020308"/>
    <w:rsid w:val="00044AD0"/>
    <w:rsid w:val="001931C0"/>
    <w:rsid w:val="00220470"/>
    <w:rsid w:val="00274791"/>
    <w:rsid w:val="002F184D"/>
    <w:rsid w:val="00334C92"/>
    <w:rsid w:val="00367A0C"/>
    <w:rsid w:val="003A2604"/>
    <w:rsid w:val="003A57A6"/>
    <w:rsid w:val="00492DDE"/>
    <w:rsid w:val="004A244D"/>
    <w:rsid w:val="004D233C"/>
    <w:rsid w:val="00556624"/>
    <w:rsid w:val="00666ECE"/>
    <w:rsid w:val="0072462E"/>
    <w:rsid w:val="007A7209"/>
    <w:rsid w:val="007F5C08"/>
    <w:rsid w:val="007F609A"/>
    <w:rsid w:val="008D5287"/>
    <w:rsid w:val="008E2888"/>
    <w:rsid w:val="00917236"/>
    <w:rsid w:val="009B0778"/>
    <w:rsid w:val="009E4541"/>
    <w:rsid w:val="00A13930"/>
    <w:rsid w:val="00A323A4"/>
    <w:rsid w:val="00A35F22"/>
    <w:rsid w:val="00B516F0"/>
    <w:rsid w:val="00BF2136"/>
    <w:rsid w:val="00C44E6F"/>
    <w:rsid w:val="00C50373"/>
    <w:rsid w:val="00C60B01"/>
    <w:rsid w:val="00CE7EA0"/>
    <w:rsid w:val="00D018C3"/>
    <w:rsid w:val="00E63D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AF0D"/>
  <w15:chartTrackingRefBased/>
  <w15:docId w15:val="{78365EB4-4BE2-4763-AEE9-54269F71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E6F"/>
    <w:pPr>
      <w:spacing w:after="200" w:line="240" w:lineRule="auto"/>
      <w:jc w:val="both"/>
    </w:pPr>
    <w:rPr>
      <w:rFonts w:ascii="Times New Roman" w:eastAsia="Times New Roman" w:hAnsi="Times New Roman" w:cs="Times New Roman"/>
      <w:kern w:val="0"/>
      <w:szCs w:val="20"/>
      <w:lang w:val="en-GB"/>
      <w14:ligatures w14:val="none"/>
    </w:rPr>
  </w:style>
  <w:style w:type="paragraph" w:styleId="Titre1">
    <w:name w:val="heading 1"/>
    <w:basedOn w:val="Normal"/>
    <w:next w:val="Normal"/>
    <w:link w:val="Titre1Car"/>
    <w:uiPriority w:val="9"/>
    <w:qFormat/>
    <w:rsid w:val="00C44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44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44E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4E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4E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4E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4E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4E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4E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4E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44E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44E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44E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44E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44E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44E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44E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44E6F"/>
    <w:rPr>
      <w:rFonts w:eastAsiaTheme="majorEastAsia" w:cstheme="majorBidi"/>
      <w:color w:val="272727" w:themeColor="text1" w:themeTint="D8"/>
    </w:rPr>
  </w:style>
  <w:style w:type="paragraph" w:styleId="Titre">
    <w:name w:val="Title"/>
    <w:basedOn w:val="Normal"/>
    <w:next w:val="Normal"/>
    <w:link w:val="TitreCar"/>
    <w:uiPriority w:val="10"/>
    <w:qFormat/>
    <w:rsid w:val="00C44E6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4E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4E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4E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4E6F"/>
    <w:pPr>
      <w:spacing w:before="160"/>
      <w:jc w:val="center"/>
    </w:pPr>
    <w:rPr>
      <w:i/>
      <w:iCs/>
      <w:color w:val="404040" w:themeColor="text1" w:themeTint="BF"/>
    </w:rPr>
  </w:style>
  <w:style w:type="character" w:customStyle="1" w:styleId="CitationCar">
    <w:name w:val="Citation Car"/>
    <w:basedOn w:val="Policepardfaut"/>
    <w:link w:val="Citation"/>
    <w:uiPriority w:val="29"/>
    <w:rsid w:val="00C44E6F"/>
    <w:rPr>
      <w:i/>
      <w:iCs/>
      <w:color w:val="404040" w:themeColor="text1" w:themeTint="BF"/>
    </w:rPr>
  </w:style>
  <w:style w:type="paragraph" w:styleId="Paragraphedeliste">
    <w:name w:val="List Paragraph"/>
    <w:basedOn w:val="Normal"/>
    <w:uiPriority w:val="34"/>
    <w:qFormat/>
    <w:rsid w:val="00C44E6F"/>
    <w:pPr>
      <w:ind w:left="720"/>
      <w:contextualSpacing/>
    </w:pPr>
  </w:style>
  <w:style w:type="character" w:styleId="Accentuationintense">
    <w:name w:val="Intense Emphasis"/>
    <w:basedOn w:val="Policepardfaut"/>
    <w:uiPriority w:val="21"/>
    <w:qFormat/>
    <w:rsid w:val="00C44E6F"/>
    <w:rPr>
      <w:i/>
      <w:iCs/>
      <w:color w:val="0F4761" w:themeColor="accent1" w:themeShade="BF"/>
    </w:rPr>
  </w:style>
  <w:style w:type="paragraph" w:styleId="Citationintense">
    <w:name w:val="Intense Quote"/>
    <w:basedOn w:val="Normal"/>
    <w:next w:val="Normal"/>
    <w:link w:val="CitationintenseCar"/>
    <w:uiPriority w:val="30"/>
    <w:qFormat/>
    <w:rsid w:val="00C4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4E6F"/>
    <w:rPr>
      <w:i/>
      <w:iCs/>
      <w:color w:val="0F4761" w:themeColor="accent1" w:themeShade="BF"/>
    </w:rPr>
  </w:style>
  <w:style w:type="character" w:styleId="Rfrenceintense">
    <w:name w:val="Intense Reference"/>
    <w:basedOn w:val="Policepardfaut"/>
    <w:uiPriority w:val="32"/>
    <w:qFormat/>
    <w:rsid w:val="00C44E6F"/>
    <w:rPr>
      <w:b/>
      <w:bCs/>
      <w:smallCaps/>
      <w:color w:val="0F4761" w:themeColor="accent1" w:themeShade="BF"/>
      <w:spacing w:val="5"/>
    </w:rPr>
  </w:style>
  <w:style w:type="character" w:customStyle="1" w:styleId="NotedebasdepageCar">
    <w:name w:val="Note de bas de page Car"/>
    <w:aliases w:val="Fußnote Car,Fußnotentextf Car,Note de bas de page Car Car Car Car Car Car Car Car Car Car Car,Note de bas de page Car Car Car Car Car,Note de bas de page Car Car Car Car Car Car Car Car Car Car1,ft Car,f Car"/>
    <w:basedOn w:val="Policepardfaut"/>
    <w:link w:val="Notedebasdepage"/>
    <w:uiPriority w:val="99"/>
    <w:semiHidden/>
    <w:locked/>
    <w:rsid w:val="00C44E6F"/>
    <w:rPr>
      <w:lang w:val="en-GB"/>
    </w:rPr>
  </w:style>
  <w:style w:type="paragraph" w:styleId="Notedebasdepage">
    <w:name w:val="footnote text"/>
    <w:aliases w:val="Fußnote,Fußnotentextf,Note de bas de page Car Car Car Car Car Car Car Car Car Car,Note de bas de page Car Car Car Car,Note de bas de page Car Car Car Car Car Car Car Car Car,ft,f"/>
    <w:basedOn w:val="Normal"/>
    <w:link w:val="NotedebasdepageCar"/>
    <w:autoRedefine/>
    <w:uiPriority w:val="99"/>
    <w:semiHidden/>
    <w:unhideWhenUsed/>
    <w:qFormat/>
    <w:rsid w:val="00C44E6F"/>
    <w:pPr>
      <w:spacing w:after="60"/>
    </w:pPr>
    <w:rPr>
      <w:rFonts w:asciiTheme="minorHAnsi" w:eastAsiaTheme="minorHAnsi" w:hAnsiTheme="minorHAnsi" w:cstheme="minorBidi"/>
      <w:kern w:val="2"/>
      <w:szCs w:val="22"/>
      <w14:ligatures w14:val="standardContextual"/>
    </w:rPr>
  </w:style>
  <w:style w:type="character" w:customStyle="1" w:styleId="NotedebasdepageCar1">
    <w:name w:val="Note de bas de page Car1"/>
    <w:basedOn w:val="Policepardfaut"/>
    <w:uiPriority w:val="99"/>
    <w:semiHidden/>
    <w:rsid w:val="00C44E6F"/>
    <w:rPr>
      <w:rFonts w:ascii="Times New Roman" w:eastAsia="Times New Roman" w:hAnsi="Times New Roman" w:cs="Times New Roman"/>
      <w:kern w:val="0"/>
      <w:sz w:val="20"/>
      <w:szCs w:val="20"/>
      <w:lang w:val="en-GB"/>
      <w14:ligatures w14:val="none"/>
    </w:rPr>
  </w:style>
  <w:style w:type="paragraph" w:customStyle="1" w:styleId="Guidelines2">
    <w:name w:val="Guidelines 2"/>
    <w:basedOn w:val="Normal"/>
    <w:next w:val="Normal"/>
    <w:autoRedefine/>
    <w:qFormat/>
    <w:rsid w:val="00C44E6F"/>
    <w:pPr>
      <w:spacing w:after="120"/>
      <w:outlineLvl w:val="0"/>
    </w:pPr>
    <w:rPr>
      <w:rFonts w:ascii="Times New Roman Bold" w:hAnsi="Times New Roman Bold"/>
      <w:b/>
      <w:smallCaps/>
      <w:sz w:val="24"/>
    </w:rPr>
  </w:style>
  <w:style w:type="character" w:styleId="Appelnotedebasdep">
    <w:name w:val="footnote reference"/>
    <w:aliases w:val="BVI fnr,(Footnote Reference),SUPERS,Footnote Reference/,Footnote symbol,Footnotes refss,Footnote Reference Superscript,Footnote,Footnote reference number,note TESI,EN Footnote Reference,Voetnootverwijzing,Times 10 Point,No,Re"/>
    <w:basedOn w:val="Policepardfaut"/>
    <w:link w:val="Char2"/>
    <w:uiPriority w:val="99"/>
    <w:unhideWhenUsed/>
    <w:qFormat/>
    <w:rsid w:val="00C44E6F"/>
    <w:rPr>
      <w:sz w:val="24"/>
      <w:vertAlign w:val="superscript"/>
    </w:rPr>
  </w:style>
  <w:style w:type="paragraph" w:customStyle="1" w:styleId="Char2">
    <w:name w:val="Char2"/>
    <w:basedOn w:val="Normal"/>
    <w:link w:val="Appelnotedebasdep"/>
    <w:uiPriority w:val="99"/>
    <w:rsid w:val="00C44E6F"/>
    <w:pPr>
      <w:spacing w:before="120" w:after="160" w:line="240" w:lineRule="exact"/>
      <w:jc w:val="left"/>
    </w:pPr>
    <w:rPr>
      <w:rFonts w:asciiTheme="minorHAnsi" w:eastAsiaTheme="minorHAnsi" w:hAnsiTheme="minorHAnsi" w:cstheme="minorBidi"/>
      <w:kern w:val="2"/>
      <w:sz w:val="24"/>
      <w:szCs w:val="22"/>
      <w:vertAlign w:val="superscript"/>
      <w:lang w:val="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174</Words>
  <Characters>957</Characters>
  <Application>Microsoft Office Word</Application>
  <DocSecurity>0</DocSecurity>
  <Lines>7</Lines>
  <Paragraphs>2</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Financial allocation provided by the contracting authority</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hanssen</dc:creator>
  <cp:keywords/>
  <dc:description/>
  <cp:lastModifiedBy>nicole hanssen</cp:lastModifiedBy>
  <cp:revision>26</cp:revision>
  <dcterms:created xsi:type="dcterms:W3CDTF">2025-11-03T09:06:00Z</dcterms:created>
  <dcterms:modified xsi:type="dcterms:W3CDTF">2025-11-12T09:18:00Z</dcterms:modified>
</cp:coreProperties>
</file>