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eia8ky9x78sx" w:id="0"/>
    <w:bookmarkEnd w:id="0"/>
    <w:bookmarkStart w:colFirst="0" w:colLast="0" w:name="bookmark=id.m8hnljsmm8ln" w:id="1"/>
    <w:bookmarkEnd w:id="1"/>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1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1314450" cy="57207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14450" cy="5720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960" w:lineRule="auto"/>
        <w:jc w:val="center"/>
        <w:rPr>
          <w:smallCaps w:val="0"/>
          <w:sz w:val="32"/>
          <w:szCs w:val="32"/>
        </w:rPr>
      </w:pPr>
      <w:r w:rsidDel="00000000" w:rsidR="00000000" w:rsidRPr="00000000">
        <w:rPr>
          <w:b w:val="1"/>
          <w:bCs w:val="1"/>
          <w:smallCaps w:val="0"/>
          <w:sz w:val="32"/>
          <w:szCs w:val="32"/>
          <w:rtl w:val="0"/>
        </w:rPr>
        <w:t xml:space="preserve">Contracting Authority</w:t>
      </w:r>
      <w:r w:rsidDel="00000000" w:rsidR="00000000" w:rsidRPr="00000000">
        <w:rPr>
          <w:smallCaps w:val="0"/>
          <w:sz w:val="32"/>
          <w:szCs w:val="32"/>
          <w:rtl w:val="0"/>
        </w:rPr>
        <w:t xml:space="preserve">: European Commission</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spacing w:before="600" w:lineRule="auto"/>
        <w:rPr>
          <w:smallCaps w:val="0"/>
          <w:sz w:val="32"/>
          <w:szCs w:val="32"/>
        </w:rPr>
      </w:pPr>
      <w:r w:rsidDel="00000000" w:rsidR="00000000" w:rsidRPr="00000000">
        <w:rPr>
          <w:smallCaps w:val="0"/>
          <w:sz w:val="32"/>
          <w:szCs w:val="32"/>
          <w:rtl w:val="0"/>
        </w:rPr>
        <w:t xml:space="preserve">Green and Inclusive Cities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Contributing to improve the sustainable management of solid waste in Bissau through the promotion of the circular economy and solid waste recycling Bissau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Guidelines for grant applicants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Budget line:14.020120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Reference:</w:t>
        <w:br w:type="textWrapping"/>
        <w:t xml:space="preserve">EuropeAid/179335/DD/ACT/GW</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Deadline for submission</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of concept notes: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06/11/2024 at 18:00 (Brussels date and time)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600" w:lineRule="auto"/>
        <w:jc w:val="center"/>
        <w:rPr>
          <w:smallCaps w:val="0"/>
          <w:sz w:val="32"/>
          <w:szCs w:val="32"/>
        </w:rPr>
      </w:pPr>
      <w:r w:rsidDel="00000000" w:rsidR="00000000" w:rsidRPr="00000000">
        <w:br w:type="page"/>
      </w:r>
      <w:r w:rsidDel="00000000" w:rsidR="00000000" w:rsidRPr="00000000">
        <w:rPr>
          <w:smallCaps w:val="0"/>
          <w:sz w:val="32"/>
          <w:szCs w:val="32"/>
          <w:rtl w:val="0"/>
        </w:rPr>
        <w:t xml:space="preserve">Table of contents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sz w:val="32"/>
          <w:szCs w:val="3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60" w:lineRule="auto"/>
        <w:ind w:right="849"/>
        <w:rPr>
          <w:b w:val="1"/>
          <w:bCs w:val="1"/>
          <w:smallCaps w:val="0"/>
          <w:sz w:val="18"/>
          <w:szCs w:val="18"/>
        </w:rPr>
      </w:pPr>
      <w:r w:rsidDel="00000000" w:rsidR="00000000" w:rsidRPr="00000000">
        <w:rPr>
          <w:b w:val="1"/>
          <w:bCs w:val="1"/>
          <w:smallCaps w:val="0"/>
          <w:sz w:val="18"/>
          <w:szCs w:val="18"/>
          <w:rtl w:val="0"/>
        </w:rPr>
        <w:t xml:space="preserve">CONTRIBUTING TO IMPROVE THE SUSTAINABLE MANAGEMENT OF SOLID WASTE IN BISSAU THROUGH THE PROMOTION OF THE CIRCULAR ECONOMY AND SOLID WASTE RECYCLING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1.1.</w:t>
        <w:tab/>
        <w:t xml:space="preserve">Background……………………………………………………………………………………………</w:t>
        <w:tab/>
        <w:t xml:space="preserve">4</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1.2.</w:t>
        <w:tab/>
        <w:t xml:space="preserve">Objectives of the programme and priority issues……………………………………………………..</w:t>
        <w:tab/>
        <w:t xml:space="preserve">4</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1.3.</w:t>
        <w:tab/>
        <w:t xml:space="preserve">Financial allocation provided by the contracting authority…………………………………………...</w:t>
        <w:tab/>
        <w:t xml:space="preserve">5</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360" w:lineRule="auto"/>
        <w:rPr>
          <w:b w:val="1"/>
          <w:bCs w:val="1"/>
          <w:smallCaps w:val="0"/>
          <w:sz w:val="18"/>
          <w:szCs w:val="18"/>
        </w:rPr>
      </w:pPr>
      <w:r w:rsidDel="00000000" w:rsidR="00000000" w:rsidRPr="00000000">
        <w:rPr>
          <w:b w:val="1"/>
          <w:bCs w:val="1"/>
          <w:smallCaps w:val="0"/>
          <w:sz w:val="18"/>
          <w:szCs w:val="18"/>
          <w:rtl w:val="0"/>
        </w:rPr>
        <w:t xml:space="preserve">2.</w:t>
        <w:tab/>
        <w:t xml:space="preserve">RULES FOR THIS CALL FOR PROPOSALS</w:t>
        <w:tab/>
        <w:t xml:space="preserve">6</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2.1.</w:t>
        <w:tab/>
        <w:t xml:space="preserve">Eligibility criteria……………………………………………………………………………………...</w:t>
        <w:tab/>
        <w:t xml:space="preserve">6</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2.1.1.</w:t>
        <w:tab/>
        <w:t xml:space="preserve">Eligibility of applicants (i.e. lead applicant and co-applicant(s))……………………………………..</w:t>
        <w:tab/>
        <w:t xml:space="preserve">6</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2.1.2.</w:t>
        <w:tab/>
        <w:t xml:space="preserve">Associates and contractors…………………………………………………………………………….</w:t>
        <w:tab/>
        <w:t xml:space="preserve">10</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2.1.3.</w:t>
        <w:tab/>
        <w:t xml:space="preserve">Eligible actions: actions for which an application may be made……………………………………...</w:t>
        <w:tab/>
        <w:t xml:space="preserve">10</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2.1.4.</w:t>
        <w:tab/>
        <w:t xml:space="preserve">Eligibility of costs: costs that can be included………………………………………………………...</w:t>
        <w:tab/>
        <w:t xml:space="preserve">13</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2.1.5.</w:t>
        <w:tab/>
        <w:t xml:space="preserve">Ethics clauses and Code of Conduct…………………………………………………………………..</w:t>
        <w:tab/>
        <w:t xml:space="preserve">17</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2.2.</w:t>
        <w:tab/>
        <w:t xml:space="preserve">How to apply and the procedures to follow…………………………………………………………...</w:t>
        <w:tab/>
        <w:t xml:space="preserve">18</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2.2.1.</w:t>
        <w:tab/>
        <w:t xml:space="preserve">Concept note content…………………………………………………………………………………..</w:t>
        <w:tab/>
        <w:t xml:space="preserve">18</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2.2.2.</w:t>
        <w:tab/>
        <w:t xml:space="preserve">Where and how to send concept notes………………………………………………………………...</w:t>
        <w:tab/>
        <w:t xml:space="preserve">19</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2.2.3.</w:t>
        <w:tab/>
        <w:t xml:space="preserve">Deadline for submission of concept notes…………………………………………………………….</w:t>
        <w:tab/>
        <w:t xml:space="preserve">19</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2.2.4.</w:t>
        <w:tab/>
        <w:t xml:space="preserve">Further information about concept notes……………………………………………………………...</w:t>
        <w:tab/>
        <w:t xml:space="preserve">20</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2.2.5.</w:t>
        <w:tab/>
        <w:t xml:space="preserve">Full applications……………………………………………………………………………………….</w:t>
        <w:tab/>
        <w:t xml:space="preserve">20</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2.2.6.</w:t>
        <w:tab/>
        <w:t xml:space="preserve">Where and how to send full applications……………………………………………………………...</w:t>
        <w:tab/>
        <w:t xml:space="preserve">22</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2.2.7.</w:t>
        <w:tab/>
        <w:t xml:space="preserve">Deadline for submission of full applications………………………………………………………….</w:t>
        <w:tab/>
        <w:t xml:space="preserve">23</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2.2.8.</w:t>
        <w:tab/>
        <w:t xml:space="preserve">Further information about full applications…………………………………………………………...</w:t>
        <w:tab/>
        <w:t xml:space="preserve">23</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2.3.</w:t>
        <w:tab/>
        <w:t xml:space="preserve">Evaluation and selection of applications</w:t>
        <w:tab/>
        <w:t xml:space="preserve">………………………………………………………………23</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2.4.</w:t>
        <w:tab/>
        <w:t xml:space="preserve">Submission of supporting documents ………………………………………………………………...</w:t>
        <w:tab/>
        <w:t xml:space="preserve">30</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2.5.</w:t>
        <w:tab/>
        <w:t xml:space="preserve">Notification of the Contracting Authority’s decision…………………………………………………</w:t>
        <w:tab/>
        <w:t xml:space="preserve">30</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2.5.1.</w:t>
        <w:tab/>
        <w:t xml:space="preserve">Content of the decision………………………………………………………………………………..</w:t>
        <w:tab/>
        <w:t xml:space="preserve">30</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2.5.2.</w:t>
        <w:tab/>
        <w:t xml:space="preserve">Indicative timetable</w:t>
        <w:tab/>
        <w:t xml:space="preserve">……………………………………………………………………………………31</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2.6.</w:t>
        <w:tab/>
        <w:t xml:space="preserve">Conditions for implementation after the contracting authority’s decision to award a grant…………..31</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b w:val="1"/>
          <w:bCs w:val="1"/>
          <w:smallCaps w:val="0"/>
          <w:sz w:val="18"/>
          <w:szCs w:val="18"/>
        </w:rPr>
      </w:pPr>
      <w:r w:rsidDel="00000000" w:rsidR="00000000" w:rsidRPr="00000000">
        <w:rPr>
          <w:b w:val="1"/>
          <w:bCs w:val="1"/>
          <w:smallCaps w:val="0"/>
          <w:sz w:val="18"/>
          <w:szCs w:val="18"/>
          <w:rtl w:val="0"/>
        </w:rPr>
        <w:t xml:space="preserve">3.</w:t>
        <w:tab/>
        <w:t xml:space="preserve">LIST OF ANNEXES……………………………………………………………………………………………</w:t>
        <w:tab/>
        <w:t xml:space="preserve">33</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b w:val="1"/>
          <w:bCs w:val="1"/>
          <w:smallCaps w:val="0"/>
          <w:sz w:val="18"/>
          <w:szCs w:val="1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240" w:lineRule="auto"/>
        <w:ind w:left="567" w:right="0" w:hanging="567"/>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contributING to improvE THE sustainable management of solid wastE in Bissau THROUGH THE promotION OF the circular economy AND solid waste recYCLING</w:t>
      </w:r>
    </w:p>
    <w:p w:rsidR="00000000" w:rsidDel="00000000" w:rsidP="00000000" w:rsidRDefault="00000000" w:rsidRPr="00000000" w14:paraId="0000002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pPr>
      <w:bookmarkStart w:colFirst="0" w:colLast="0" w:name="_heading=h.o3d0d7vp05bi" w:id="2"/>
      <w:bookmarkEnd w:id="2"/>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Background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European Union (EU) has been a long-standing partner in the infrastructure sector in the Republic of Guinea-Bissau. In recent years, the EU has financed a series of actions in the urban context and supported training, dissemination and awareness-raising actions on the design, management and maintenance of infrastructures. These actions aim to strengthen the management of existing infrastructure, as well as to improve the conditions for new investments.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 the framework of the Multiannual Indicative Program (MIP) 2021-2027, the EU has chosen to focus on strategic sectors as well as the EU's political agenda. Current programming centres on the following priorities: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Human Development.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Green and Inclusive Economy.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Good Governance and Stability.</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smallCaps w:val="0"/>
          <w:rtl w:val="0"/>
        </w:rPr>
        <w:t xml:space="preserve">The actions foreseen under the "Green and Inclusive Cities" Action Document (AD) fit into priority ii) of the MIP. </w:t>
      </w:r>
      <w:r w:rsidDel="00000000" w:rsidR="00000000" w:rsidRPr="00000000">
        <w:rPr>
          <w:b w:val="1"/>
          <w:bCs w:val="1"/>
          <w:smallCaps w:val="0"/>
          <w:rtl w:val="0"/>
        </w:rPr>
        <w:t xml:space="preserve">In particular, the main purpose of this call for proposals is to achieve the specific objective 2 of the "Green and Inclusive Cities" AD, e.g.</w:t>
      </w:r>
      <w:r w:rsidDel="00000000" w:rsidR="00000000" w:rsidRPr="00000000">
        <w:rPr>
          <w:smallCaps w:val="0"/>
          <w:rtl w:val="0"/>
        </w:rPr>
        <w:t xml:space="preserve"> </w:t>
      </w:r>
      <w:r w:rsidDel="00000000" w:rsidR="00000000" w:rsidRPr="00000000">
        <w:rPr>
          <w:b w:val="1"/>
          <w:bCs w:val="1"/>
          <w:smallCaps w:val="0"/>
          <w:rtl w:val="0"/>
        </w:rPr>
        <w:t xml:space="preserve">"reducing the volume of undifferentiated solid waste (particularly plastic waste) in Bissau".</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country, the only city where a Solid Waste Management (SWM) system formally exists is Bissau, under the responsibility of the Bissau Municipal Council (CMB). However, SWM and street cleaning in Bissau are not sufficient, considering the amount of waste produced daily in Bissau. Only a small proportion of the waste is collected and sent to the Safim dump, without any treatment. The proportion of waste that is not collected is left on the streets and, through rainwater runoff, is either carried into the tidal rivers and the sea or stays to block water channels causing flooding in the capital. In addition, population increase, and uncontrolled urbanisation affect the issue of SWM, which is becoming more complex.</w:t>
      </w:r>
    </w:p>
    <w:p w:rsidR="00000000" w:rsidDel="00000000" w:rsidP="00000000" w:rsidRDefault="00000000" w:rsidRPr="00000000" w14:paraId="0000003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pPr>
      <w:bookmarkStart w:colFirst="0" w:colLast="0" w:name="_heading=h.2iex5tiotjlk" w:id="3"/>
      <w:bookmarkEnd w:id="3"/>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Objectives of the programme and priority issues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w:t>
      </w:r>
      <w:r w:rsidDel="00000000" w:rsidR="00000000" w:rsidRPr="00000000">
        <w:rPr>
          <w:b w:val="1"/>
          <w:bCs w:val="1"/>
          <w:smallCaps w:val="0"/>
          <w:rtl w:val="0"/>
        </w:rPr>
        <w:t xml:space="preserve">global objective</w:t>
      </w:r>
      <w:r w:rsidDel="00000000" w:rsidR="00000000" w:rsidRPr="00000000">
        <w:rPr>
          <w:smallCaps w:val="0"/>
          <w:rtl w:val="0"/>
        </w:rPr>
        <w:t xml:space="preserve"> of this call for proposals is: contributing to improve the sustainable management of solid waste in Bissau through the promotion of the circular economy and solid waste recycling.</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w:t>
      </w:r>
      <w:r w:rsidDel="00000000" w:rsidR="00000000" w:rsidRPr="00000000">
        <w:rPr>
          <w:b w:val="1"/>
          <w:bCs w:val="1"/>
          <w:smallCaps w:val="0"/>
          <w:rtl w:val="0"/>
        </w:rPr>
        <w:t xml:space="preserve">specific objectives </w:t>
      </w:r>
      <w:r w:rsidDel="00000000" w:rsidR="00000000" w:rsidRPr="00000000">
        <w:rPr>
          <w:smallCaps w:val="0"/>
          <w:rtl w:val="0"/>
        </w:rPr>
        <w:t xml:space="preserve">of this call for proposals are: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Rule="auto"/>
        <w:ind w:left="720" w:hanging="720"/>
        <w:rPr>
          <w:smallCaps w:val="0"/>
        </w:rPr>
      </w:pPr>
      <w:r w:rsidDel="00000000" w:rsidR="00000000" w:rsidRPr="00000000">
        <w:rPr>
          <w:smallCaps w:val="0"/>
          <w:rtl w:val="0"/>
        </w:rPr>
        <w:t xml:space="preserve">1.</w:t>
        <w:tab/>
        <w:t xml:space="preserve">To promote the increased adoption of circular economy practices and of solid waste recycling.</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Rule="auto"/>
        <w:ind w:left="720" w:hanging="720"/>
        <w:rPr>
          <w:smallCaps w:val="0"/>
        </w:rPr>
      </w:pPr>
      <w:r w:rsidDel="00000000" w:rsidR="00000000" w:rsidRPr="00000000">
        <w:rPr>
          <w:smallCaps w:val="0"/>
          <w:rtl w:val="0"/>
        </w:rPr>
        <w:t xml:space="preserve">2.</w:t>
        <w:tab/>
        <w:t xml:space="preserve">To improve the capacity of the different stakeholders in Bissau's solid waste management system;</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Rule="auto"/>
        <w:rPr>
          <w:smallCaps w:val="0"/>
        </w:rPr>
      </w:pPr>
      <w:r w:rsidDel="00000000" w:rsidR="00000000" w:rsidRPr="00000000">
        <w:rPr>
          <w:smallCaps w:val="0"/>
          <w:rtl w:val="0"/>
        </w:rPr>
        <w:t xml:space="preserve">3.</w:t>
        <w:tab/>
        <w:t xml:space="preserve">The population of Bissau contributes to keeping the city cleaner and healthier.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Rule="auto"/>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priorities of this call for proposals are: </w:t>
      </w:r>
    </w:p>
    <w:p w:rsidR="00000000" w:rsidDel="00000000" w:rsidP="00000000" w:rsidRDefault="00000000" w:rsidRPr="00000000" w14:paraId="0000003C">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To support the solid waste management system (collection, transport, pre-treatment, treatment and transformation) through innovative actions for the reuse and recovery of organic waste and at least two other types of waste, helping to reduce the uncontrolled accumulation of solid waste in the city of Bissau and supporting the development of economic opportunities, including for vulnerable people.</w:t>
      </w:r>
    </w:p>
    <w:p w:rsidR="00000000" w:rsidDel="00000000" w:rsidP="00000000" w:rsidRDefault="00000000" w:rsidRPr="00000000" w14:paraId="0000003D">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To improve the administrative, organisational and technical capacities of government bodies (Bissau City Council, Ministry of Territorial Administration, Ministry of Public Works, of Housing and Urbanism, Environment Secretariat, Ministry of Health, etc.) and other relevant actors involved in solid waste management in Bissau.</w:t>
      </w:r>
    </w:p>
    <w:p w:rsidR="00000000" w:rsidDel="00000000" w:rsidP="00000000" w:rsidRDefault="00000000" w:rsidRPr="00000000" w14:paraId="0000003E">
      <w:pPr>
        <w:pageBreakBefore w:val="0"/>
        <w:numPr>
          <w:ilvl w:val="0"/>
          <w:numId w:val="12"/>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Raising awareness and improving the knowledge of the different target groups (children, families, governmental and non-governmental organisations, traditional and religious leaders, etc.) about the "environment-sanitation-health" nexus, including the dissemination of good practices.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Proposals must include all the above priorities.</w:t>
      </w:r>
    </w:p>
    <w:p w:rsidR="00000000" w:rsidDel="00000000" w:rsidP="00000000" w:rsidRDefault="00000000" w:rsidRPr="00000000" w14:paraId="0000004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pPr>
      <w:bookmarkStart w:colFirst="0" w:colLast="0" w:name="_heading=h.ictla4sc1cnb" w:id="4"/>
      <w:bookmarkEnd w:id="4"/>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Financial allocation provided by the contracting authority</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overall indicative amount made available under this call for proposals is EUR 5.950.000. The contracting authority reserves the right not to award all available funds.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Size of grants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Any grant requested under this call for proposals must not exceed the below maximum amount and must fall between the following minimum and maximum amounts:</w:t>
      </w:r>
    </w:p>
    <w:p w:rsidR="00000000" w:rsidDel="00000000" w:rsidP="00000000" w:rsidRDefault="00000000" w:rsidRPr="00000000" w14:paraId="00000044">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minimum amount: EUR 5.900.000</w:t>
      </w:r>
    </w:p>
    <w:p w:rsidR="00000000" w:rsidDel="00000000" w:rsidP="00000000" w:rsidRDefault="00000000" w:rsidRPr="00000000" w14:paraId="00000045">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maximum amount: EUR 5.950.000</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Any grant requested under this call for proposals must not exceed the below maximum percentage and must fall between the following minimum and maximum percentages of total eligible costs of the action:</w:t>
      </w:r>
    </w:p>
    <w:p w:rsidR="00000000" w:rsidDel="00000000" w:rsidP="00000000" w:rsidRDefault="00000000" w:rsidRPr="00000000" w14:paraId="00000047">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Minimum percentage: 80 % of the total eligible costs of the action.</w:t>
      </w:r>
    </w:p>
    <w:p w:rsidR="00000000" w:rsidDel="00000000" w:rsidP="00000000" w:rsidRDefault="00000000" w:rsidRPr="00000000" w14:paraId="00000048">
      <w:pPr>
        <w:pageBreakBefore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Maximum percentage: 95 % of the total eligible costs of the action (see also Section 2.1.4).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tabs>
          <w:tab w:val="left" w:leader="none" w:pos="0"/>
        </w:tabs>
        <w:spacing w:before="120" w:lineRule="auto"/>
        <w:rPr>
          <w:smallCaps w:val="0"/>
        </w:rPr>
      </w:pPr>
      <w:r w:rsidDel="00000000" w:rsidR="00000000" w:rsidRPr="00000000">
        <w:rPr>
          <w:smallCaps w:val="0"/>
          <w:rtl w:val="0"/>
        </w:rPr>
        <w:t xml:space="preserve">The balance (i.e. the difference between the total cost of the action and the amount requested from the contracting authority) must be financed from sources other than the general budget of the Union or the European Development Fund</w:t>
      </w:r>
      <w:r w:rsidDel="00000000" w:rsidR="00000000" w:rsidRPr="00000000">
        <w:rPr>
          <w:smallCaps w:val="0"/>
          <w:vertAlign w:val="superscript"/>
        </w:rPr>
        <w:footnoteReference w:customMarkFollows="0" w:id="1"/>
      </w:r>
      <w:r w:rsidDel="00000000" w:rsidR="00000000" w:rsidRPr="00000000">
        <w:rPr>
          <w:smallCaps w:val="0"/>
          <w:rtl w:val="0"/>
        </w:rPr>
        <w:t xml:space="preserve">.</w:t>
      </w:r>
    </w:p>
    <w:p w:rsidR="00000000" w:rsidDel="00000000" w:rsidP="00000000" w:rsidRDefault="00000000" w:rsidRPr="00000000" w14:paraId="0000004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360" w:before="0" w:line="240" w:lineRule="auto"/>
        <w:ind w:left="567" w:right="0" w:hanging="567"/>
        <w:jc w:val="center"/>
      </w:pPr>
      <w:bookmarkStart w:colFirst="0" w:colLast="0" w:name="_heading=h.iq6l2pl808nz" w:id="5"/>
      <w:bookmarkEnd w:id="5"/>
      <w:r w:rsidDel="00000000" w:rsidR="00000000" w:rsidRPr="00000000">
        <w:br w:type="page"/>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Rules FOR thIS call for proposalS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These guidelines set out the rules for the submission, selection and implementation of the actions financed under this call, in conformity with the practical guide, which is applicable to the present call (available on the internet at this address </w:t>
      </w:r>
      <w:hyperlink r:id="rId9">
        <w:r w:rsidDel="00000000" w:rsidR="00000000" w:rsidRPr="00000000">
          <w:rPr>
            <w:smallCaps w:val="0"/>
            <w:color w:val="0000ff"/>
            <w:u w:val="single"/>
            <w:rtl w:val="0"/>
          </w:rPr>
          <w:t xml:space="preserve">https://wikis.ec.europa.eu/display/ExactExternalWiki/ePRAG</w:t>
        </w:r>
      </w:hyperlink>
      <w:r w:rsidDel="00000000" w:rsidR="00000000" w:rsidRPr="00000000">
        <w:rPr>
          <w:smallCaps w:val="0"/>
          <w:rtl w:val="0"/>
        </w:rPr>
        <w:t xml:space="preserve"> ).</w:t>
      </w:r>
      <w:r w:rsidDel="00000000" w:rsidR="00000000" w:rsidRPr="00000000">
        <w:rPr>
          <w:smallCaps w:val="0"/>
          <w:vertAlign w:val="superscript"/>
        </w:rPr>
        <w:footnoteReference w:customMarkFollows="0" w:id="2"/>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pPr>
      <w:bookmarkStart w:colFirst="0" w:colLast="0" w:name="_heading=h.8ucydfam0hjg" w:id="6"/>
      <w:bookmarkEnd w:id="6"/>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Eligibility criteria</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bCs w:val="1"/>
          <w:smallCaps w:val="0"/>
          <w:rtl w:val="0"/>
        </w:rPr>
        <w:t xml:space="preserve">There are three sets of eligibility criteria, relating to</w:t>
      </w:r>
      <w:r w:rsidDel="00000000" w:rsidR="00000000" w:rsidRPr="00000000">
        <w:rPr>
          <w:smallCaps w:val="0"/>
          <w:rtl w:val="0"/>
        </w:rPr>
        <w:t xml:space="preserve">:</w:t>
      </w:r>
    </w:p>
    <w:p w:rsidR="00000000" w:rsidDel="00000000" w:rsidP="00000000" w:rsidRDefault="00000000" w:rsidRPr="00000000" w14:paraId="0000004E">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ind w:left="501" w:hanging="360"/>
      </w:pPr>
      <w:r w:rsidDel="00000000" w:rsidR="00000000" w:rsidRPr="00000000">
        <w:rPr>
          <w:smallCaps w:val="0"/>
          <w:u w:val="single"/>
          <w:rtl w:val="0"/>
        </w:rPr>
        <w:t xml:space="preserve">the actors (2.1.1.):</w:t>
      </w:r>
    </w:p>
    <w:p w:rsidR="00000000" w:rsidDel="00000000" w:rsidP="00000000" w:rsidRDefault="00000000" w:rsidRPr="00000000" w14:paraId="0000004F">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1134" w:hanging="360"/>
      </w:pPr>
      <w:r w:rsidDel="00000000" w:rsidR="00000000" w:rsidRPr="00000000">
        <w:rPr>
          <w:smallCaps w:val="0"/>
          <w:rtl w:val="0"/>
        </w:rPr>
        <w:t xml:space="preserve">The ‘</w:t>
      </w:r>
      <w:r w:rsidDel="00000000" w:rsidR="00000000" w:rsidRPr="00000000">
        <w:rPr>
          <w:b w:val="1"/>
          <w:bCs w:val="1"/>
          <w:smallCaps w:val="0"/>
          <w:rtl w:val="0"/>
        </w:rPr>
        <w:t xml:space="preserve">lead applicant’</w:t>
      </w:r>
      <w:r w:rsidDel="00000000" w:rsidR="00000000" w:rsidRPr="00000000">
        <w:rPr>
          <w:smallCaps w:val="0"/>
          <w:rtl w:val="0"/>
        </w:rPr>
        <w:t xml:space="preserve">, i.e. the entity submitting the application form;</w:t>
      </w:r>
    </w:p>
    <w:p w:rsidR="00000000" w:rsidDel="00000000" w:rsidP="00000000" w:rsidRDefault="00000000" w:rsidRPr="00000000" w14:paraId="00000050">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1134" w:hanging="360"/>
      </w:pPr>
      <w:r w:rsidDel="00000000" w:rsidR="00000000" w:rsidRPr="00000000">
        <w:rPr>
          <w:smallCaps w:val="0"/>
          <w:rtl w:val="0"/>
        </w:rPr>
        <w:t xml:space="preserve">if any, its </w:t>
      </w:r>
      <w:r w:rsidDel="00000000" w:rsidR="00000000" w:rsidRPr="00000000">
        <w:rPr>
          <w:b w:val="1"/>
          <w:bCs w:val="1"/>
          <w:smallCaps w:val="0"/>
          <w:rtl w:val="0"/>
        </w:rPr>
        <w:t xml:space="preserve">co-applicant(s)</w:t>
      </w:r>
      <w:r w:rsidDel="00000000" w:rsidR="00000000" w:rsidRPr="00000000">
        <w:rPr>
          <w:smallCaps w:val="0"/>
          <w:rtl w:val="0"/>
        </w:rPr>
        <w:t xml:space="preserve"> (</w:t>
      </w:r>
      <w:r w:rsidDel="00000000" w:rsidR="00000000" w:rsidRPr="00000000">
        <w:rPr>
          <w:b w:val="1"/>
          <w:bCs w:val="1"/>
          <w:smallCaps w:val="0"/>
          <w:u w:val="single"/>
          <w:rtl w:val="0"/>
        </w:rPr>
        <w:t xml:space="preserve">where it is not specified otherwise the lead applicant and its co-applicant(s) are hereinafter jointly referred as ‘applicant(s)’</w:t>
      </w:r>
      <w:r w:rsidDel="00000000" w:rsidR="00000000" w:rsidRPr="00000000">
        <w:rPr>
          <w:smallCaps w:val="0"/>
          <w:rtl w:val="0"/>
        </w:rPr>
        <w:t xml:space="preserve">);</w:t>
      </w:r>
    </w:p>
    <w:p w:rsidR="00000000" w:rsidDel="00000000" w:rsidP="00000000" w:rsidRDefault="00000000" w:rsidRPr="00000000" w14:paraId="00000051">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1134" w:hanging="360"/>
      </w:pPr>
      <w:r w:rsidDel="00000000" w:rsidR="00000000" w:rsidRPr="00000000">
        <w:rPr>
          <w:smallCaps w:val="0"/>
          <w:rtl w:val="0"/>
        </w:rPr>
        <w:t xml:space="preserve">and, if any, </w:t>
      </w:r>
      <w:r w:rsidDel="00000000" w:rsidR="00000000" w:rsidRPr="00000000">
        <w:rPr>
          <w:b w:val="1"/>
          <w:bCs w:val="1"/>
          <w:smallCaps w:val="0"/>
          <w:rtl w:val="0"/>
        </w:rPr>
        <w:t xml:space="preserve">affiliated entity(ies) </w:t>
      </w:r>
      <w:r w:rsidDel="00000000" w:rsidR="00000000" w:rsidRPr="00000000">
        <w:rPr>
          <w:smallCaps w:val="0"/>
          <w:rtl w:val="0"/>
        </w:rPr>
        <w:t xml:space="preserve">to the lead applicant and/or to a co-applicant(s);</w:t>
      </w:r>
    </w:p>
    <w:p w:rsidR="00000000" w:rsidDel="00000000" w:rsidP="00000000" w:rsidRDefault="00000000" w:rsidRPr="00000000" w14:paraId="00000052">
      <w:pPr>
        <w:pageBreakBefore w:val="0"/>
        <w:numPr>
          <w:ilvl w:val="0"/>
          <w:numId w:val="8"/>
        </w:numPr>
        <w:pBdr>
          <w:top w:space="0" w:sz="0" w:val="nil"/>
          <w:left w:space="0" w:sz="0" w:val="nil"/>
          <w:bottom w:space="0" w:sz="0" w:val="nil"/>
          <w:right w:space="0" w:sz="0" w:val="nil"/>
          <w:between w:space="0" w:sz="0" w:val="nil"/>
        </w:pBdr>
        <w:shd w:fill="auto" w:val="clear"/>
        <w:ind w:left="501" w:hanging="360"/>
      </w:pPr>
      <w:r w:rsidDel="00000000" w:rsidR="00000000" w:rsidRPr="00000000">
        <w:rPr>
          <w:smallCaps w:val="0"/>
          <w:u w:val="single"/>
          <w:rtl w:val="0"/>
        </w:rPr>
        <w:t xml:space="preserve">the actions (2.1.3.):</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smallCaps w:val="0"/>
          <w:sz w:val="28"/>
          <w:szCs w:val="28"/>
          <w:rtl w:val="0"/>
        </w:rPr>
        <w:t xml:space="preserve">•  </w:t>
      </w:r>
      <w:r w:rsidDel="00000000" w:rsidR="00000000" w:rsidRPr="00000000">
        <w:rPr>
          <w:smallCaps w:val="0"/>
          <w:rtl w:val="0"/>
        </w:rPr>
        <w:t xml:space="preserve">    actions for which a grant may be awarded.</w:t>
      </w:r>
    </w:p>
    <w:p w:rsidR="00000000" w:rsidDel="00000000" w:rsidP="00000000" w:rsidRDefault="00000000" w:rsidRPr="00000000" w14:paraId="00000054">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ind w:left="501" w:hanging="360"/>
      </w:pPr>
      <w:r w:rsidDel="00000000" w:rsidR="00000000" w:rsidRPr="00000000">
        <w:rPr>
          <w:smallCaps w:val="0"/>
          <w:u w:val="single"/>
          <w:rtl w:val="0"/>
        </w:rPr>
        <w:t xml:space="preserve">the costs (2.1.4.):</w:t>
      </w:r>
    </w:p>
    <w:p w:rsidR="00000000" w:rsidDel="00000000" w:rsidP="00000000" w:rsidRDefault="00000000" w:rsidRPr="00000000" w14:paraId="00000055">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1134" w:hanging="360"/>
      </w:pPr>
      <w:r w:rsidDel="00000000" w:rsidR="00000000" w:rsidRPr="00000000">
        <w:rPr>
          <w:smallCaps w:val="0"/>
          <w:rtl w:val="0"/>
        </w:rPr>
        <w:t xml:space="preserve">types of cost that may be taken into account in setting the amount of the grant.</w:t>
      </w:r>
    </w:p>
    <w:p w:rsidR="00000000" w:rsidDel="00000000" w:rsidP="00000000" w:rsidRDefault="00000000" w:rsidRPr="00000000" w14:paraId="00000056">
      <w:pPr>
        <w:keepNext w:val="1"/>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beforeAutospacing="0" w:line="240" w:lineRule="auto"/>
        <w:ind w:left="851" w:right="0" w:hanging="851"/>
        <w:jc w:val="left"/>
      </w:pPr>
      <w:bookmarkStart w:colFirst="0" w:colLast="0" w:name="_heading=h.rfu22ixv3fvo" w:id="7"/>
      <w:bookmarkEnd w:id="7"/>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Eligibility of applicants (i.e. lead applicant and co-applicant(s))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240" w:lineRule="auto"/>
        <w:rPr>
          <w:b w:val="1"/>
          <w:bCs w:val="1"/>
          <w:smallCaps w:val="0"/>
        </w:rPr>
      </w:pPr>
      <w:r w:rsidDel="00000000" w:rsidR="00000000" w:rsidRPr="00000000">
        <w:pict>
          <v:rect style="width:0.0pt;height:1.5pt" o:hr="t" o:hrstd="t" o:hralign="center" fillcolor="#A0A0A0" stroked="f"/>
        </w:pict>
      </w:r>
      <w:r w:rsidDel="00000000" w:rsidR="00000000" w:rsidRPr="00000000">
        <w:rPr>
          <w:b w:val="1"/>
          <w:bCs w:val="1"/>
          <w:smallCaps w:val="0"/>
          <w:rtl w:val="0"/>
        </w:rPr>
        <w:t xml:space="preserve">Considering the context of the intervention, consortia creation (between local, national, international, public, private, research organisations, etc.) is encouraged.</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240" w:lineRule="auto"/>
        <w:rPr>
          <w:smallCaps w:val="0"/>
        </w:rPr>
      </w:pPr>
      <w:r w:rsidDel="00000000" w:rsidR="00000000" w:rsidRPr="00000000">
        <w:rPr>
          <w:smallCaps w:val="0"/>
          <w:rtl w:val="0"/>
        </w:rPr>
        <w:t xml:space="preserve">In the proposals submitted, any </w:t>
      </w:r>
      <w:r w:rsidDel="00000000" w:rsidR="00000000" w:rsidRPr="00000000">
        <w:rPr>
          <w:b w:val="1"/>
          <w:bCs w:val="1"/>
          <w:smallCaps w:val="0"/>
          <w:u w:val="single"/>
          <w:rtl w:val="0"/>
        </w:rPr>
        <w:t xml:space="preserve">private for-profit operators</w:t>
      </w:r>
      <w:r w:rsidDel="00000000" w:rsidR="00000000" w:rsidRPr="00000000">
        <w:rPr>
          <w:smallCaps w:val="0"/>
          <w:rtl w:val="0"/>
        </w:rPr>
        <w:t xml:space="preserve"> supported by the action may not appear as lead applicants, co-applicants, affiliated or associated entities, but only as beneficiaries. In any case, clear and objective selection criteria must be defined for the private for-profit operators involved in the action.</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240" w:lineRule="auto"/>
        <w:rPr>
          <w:b w:val="1"/>
          <w:bCs w:val="1"/>
          <w:smallCaps w:val="0"/>
        </w:rPr>
      </w:pPr>
      <w:r w:rsidDel="00000000" w:rsidR="00000000" w:rsidRPr="00000000">
        <w:rPr>
          <w:b w:val="1"/>
          <w:bCs w:val="1"/>
          <w:smallCaps w:val="0"/>
          <w:rtl w:val="0"/>
        </w:rPr>
        <w:t xml:space="preserve">Lead applicant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426" w:hanging="426"/>
        <w:rPr>
          <w:smallCaps w:val="0"/>
        </w:rPr>
      </w:pPr>
      <w:r w:rsidDel="00000000" w:rsidR="00000000" w:rsidRPr="00000000">
        <w:rPr>
          <w:smallCaps w:val="0"/>
          <w:rtl w:val="0"/>
        </w:rPr>
        <w:t xml:space="preserve">(1)</w:t>
        <w:tab/>
        <w:t xml:space="preserve">In order to be eligible for a grant, the lead applicant must:</w:t>
      </w:r>
    </w:p>
    <w:p w:rsidR="00000000" w:rsidDel="00000000" w:rsidP="00000000" w:rsidRDefault="00000000" w:rsidRPr="00000000" w14:paraId="0000005B">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567" w:hanging="360"/>
      </w:pPr>
      <w:r w:rsidDel="00000000" w:rsidR="00000000" w:rsidRPr="00000000">
        <w:rPr>
          <w:smallCaps w:val="0"/>
          <w:rtl w:val="0"/>
        </w:rPr>
        <w:t xml:space="preserve"> be a legal person </w:t>
      </w:r>
      <w:r w:rsidDel="00000000" w:rsidR="00000000" w:rsidRPr="00000000">
        <w:rPr>
          <w:b w:val="1"/>
          <w:bCs w:val="1"/>
          <w:smallCaps w:val="0"/>
          <w:rtl w:val="0"/>
        </w:rPr>
        <w:t xml:space="preserve">and </w:t>
      </w:r>
    </w:p>
    <w:p w:rsidR="00000000" w:rsidDel="00000000" w:rsidP="00000000" w:rsidRDefault="00000000" w:rsidRPr="00000000" w14:paraId="0000005C">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567" w:hanging="360"/>
      </w:pPr>
      <w:r w:rsidDel="00000000" w:rsidR="00000000" w:rsidRPr="00000000">
        <w:rPr>
          <w:smallCaps w:val="0"/>
          <w:rtl w:val="0"/>
        </w:rPr>
        <w:t xml:space="preserve">be non-profit-making </w:t>
      </w:r>
      <w:r w:rsidDel="00000000" w:rsidR="00000000" w:rsidRPr="00000000">
        <w:rPr>
          <w:b w:val="1"/>
          <w:bCs w:val="1"/>
          <w:smallCaps w:val="0"/>
          <w:rtl w:val="0"/>
        </w:rPr>
        <w:t xml:space="preserve">and</w:t>
      </w:r>
    </w:p>
    <w:p w:rsidR="00000000" w:rsidDel="00000000" w:rsidP="00000000" w:rsidRDefault="00000000" w:rsidRPr="00000000" w14:paraId="0000005D">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afterAutospacing="0" w:before="0" w:beforeAutospacing="0" w:lineRule="auto"/>
        <w:ind w:left="567" w:hanging="360"/>
      </w:pPr>
      <w:r w:rsidDel="00000000" w:rsidR="00000000" w:rsidRPr="00000000">
        <w:rPr>
          <w:smallCaps w:val="0"/>
          <w:rtl w:val="0"/>
        </w:rPr>
        <w:t xml:space="preserve">be a specific type of organisation such as: non-governmental organisation, international (inter-governmental) organisation as defined by Article 156 of the EU Financial Regulation</w:t>
      </w:r>
      <w:r w:rsidDel="00000000" w:rsidR="00000000" w:rsidRPr="00000000">
        <w:rPr>
          <w:smallCaps w:val="0"/>
          <w:vertAlign w:val="superscript"/>
        </w:rPr>
        <w:footnoteReference w:customMarkFollows="0" w:id="3"/>
      </w:r>
      <w:r w:rsidDel="00000000" w:rsidR="00000000" w:rsidRPr="00000000">
        <w:rPr>
          <w:smallCaps w:val="0"/>
          <w:rtl w:val="0"/>
        </w:rPr>
        <w:t xml:space="preserve"> </w:t>
      </w:r>
      <w:r w:rsidDel="00000000" w:rsidR="00000000" w:rsidRPr="00000000">
        <w:rPr>
          <w:b w:val="1"/>
          <w:bCs w:val="1"/>
          <w:smallCaps w:val="0"/>
          <w:rtl w:val="0"/>
        </w:rPr>
        <w:t xml:space="preserve">and </w:t>
      </w:r>
    </w:p>
    <w:p w:rsidR="00000000" w:rsidDel="00000000" w:rsidP="00000000" w:rsidRDefault="00000000" w:rsidRPr="00000000" w14:paraId="0000005E">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1440"/>
          <w:tab w:val="left" w:leader="none" w:pos="-720"/>
        </w:tabs>
        <w:spacing w:before="0" w:beforeAutospacing="0" w:lineRule="auto"/>
        <w:ind w:left="1211" w:hanging="360"/>
      </w:pPr>
      <w:r w:rsidDel="00000000" w:rsidR="00000000" w:rsidRPr="00000000">
        <w:rPr>
          <w:smallCaps w:val="0"/>
          <w:rtl w:val="0"/>
        </w:rPr>
        <w:t xml:space="preserve">be established in </w:t>
      </w:r>
      <w:r w:rsidDel="00000000" w:rsidR="00000000" w:rsidRPr="00000000">
        <w:rPr>
          <w:b w:val="1"/>
          <w:bCs w:val="1"/>
          <w:smallCaps w:val="0"/>
          <w:rtl w:val="0"/>
        </w:rPr>
        <w:t xml:space="preserve">Guinea-Bissau</w:t>
      </w:r>
      <w:r w:rsidDel="00000000" w:rsidR="00000000" w:rsidRPr="00000000">
        <w:rPr>
          <w:smallCaps w:val="0"/>
          <w:rtl w:val="0"/>
        </w:rPr>
        <w:t xml:space="preserve"> or in</w:t>
      </w:r>
      <w:r w:rsidDel="00000000" w:rsidR="00000000" w:rsidRPr="00000000">
        <w:rPr>
          <w:smallCaps w:val="0"/>
          <w:vertAlign w:val="superscript"/>
        </w:rPr>
        <w:footnoteReference w:customMarkFollows="0" w:id="4"/>
      </w:r>
      <w:r w:rsidDel="00000000" w:rsidR="00000000" w:rsidRPr="00000000">
        <w:rPr>
          <w:smallCaps w:val="0"/>
          <w:rtl w:val="0"/>
        </w:rPr>
        <w:t xml:space="preserve"> a Member State of the European Union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s>
        <w:spacing w:before="120" w:lineRule="auto"/>
        <w:rPr>
          <w:b w:val="1"/>
          <w:bCs w:val="1"/>
          <w:smallCaps w:val="0"/>
        </w:rPr>
      </w:pPr>
      <w:r w:rsidDel="00000000" w:rsidR="00000000" w:rsidRPr="00000000">
        <w:rPr>
          <w:b w:val="1"/>
          <w:bCs w:val="1"/>
          <w:smallCaps w:val="0"/>
          <w:rtl w:val="0"/>
        </w:rPr>
        <w:t xml:space="preserve">and</w:t>
      </w:r>
    </w:p>
    <w:p w:rsidR="00000000" w:rsidDel="00000000" w:rsidP="00000000" w:rsidRDefault="00000000" w:rsidRPr="00000000" w14:paraId="00000060">
      <w:pPr>
        <w:pageBreakBefore w:val="0"/>
        <w:numPr>
          <w:ilvl w:val="0"/>
          <w:numId w:val="4"/>
        </w:numPr>
        <w:pBdr>
          <w:top w:space="0" w:sz="0" w:val="nil"/>
          <w:left w:space="0" w:sz="0" w:val="nil"/>
          <w:bottom w:space="0" w:sz="0" w:val="nil"/>
          <w:right w:space="0" w:sz="0" w:val="nil"/>
          <w:between w:space="0" w:sz="0" w:val="nil"/>
        </w:pBdr>
        <w:shd w:fill="auto" w:val="clear"/>
        <w:ind w:left="567" w:hanging="360"/>
      </w:pPr>
      <w:r w:rsidDel="00000000" w:rsidR="00000000" w:rsidRPr="00000000">
        <w:rPr>
          <w:smallCaps w:val="0"/>
          <w:rtl w:val="0"/>
        </w:rPr>
        <w:t xml:space="preserve">be directly responsible for the preparation and management of the action with the co-applicant(s) and affiliated entity(ies), not acting as an intermediary.</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567" w:firstLine="0"/>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lead applicant may act individually or with co-applicant.</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Lead applicants who are not established in Guinea-Bissau may apply to this call for proposals but they must do so with at least one co-applicant who is established in Guinea-Bissau.</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awarded the grant contract, the lead applicant will become the beneficiary identified as the coordinator in Annex G (special conditions). The coordinator is the sole interlocutor of the contracting authority. It represents and acts on behalf of any other co-beneficiary (if any) and coordinate the design and implementation of the action.</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Co-applicant(s)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Co-applicants participate in designing and implementing the action, and the costs they incur are eligible in the same way as those incurred by the lead applicant.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Co-applicants must satisfy the eligibility criteria as applicable to the lead applicant himself.</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addition to the categories referred to in Section 2.1.1, the following are however also eligible: public sector operators and local authorities.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Co-applicants must sign the mandate in Annex A.2 Section 5.</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awarded the grant contract, the co-applicant(s) (if any) will become beneficiary(ies) in the action (together with the coordinator)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Affiliated entities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lead applicant and its co-applicant(s) may act with affiliated entity(ies).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Only the following entities may be considered as affiliated entities to the lead applicant and/or to co-applicant(s):</w:t>
      </w:r>
    </w:p>
    <w:p w:rsidR="00000000" w:rsidDel="00000000" w:rsidP="00000000" w:rsidRDefault="00000000" w:rsidRPr="00000000" w14:paraId="0000006F">
      <w:pPr>
        <w:keepNext w:val="1"/>
        <w:pageBreakBefore w:val="0"/>
        <w:pBdr>
          <w:top w:space="0" w:sz="0" w:val="nil"/>
          <w:left w:space="0" w:sz="0" w:val="nil"/>
          <w:bottom w:space="0" w:sz="0" w:val="nil"/>
          <w:right w:space="0" w:sz="0" w:val="nil"/>
          <w:between w:space="0" w:sz="0" w:val="nil"/>
        </w:pBdr>
        <w:shd w:fill="auto" w:val="clear"/>
        <w:spacing w:after="120" w:line="276" w:lineRule="auto"/>
        <w:rPr>
          <w:smallCaps w:val="0"/>
        </w:rPr>
      </w:pPr>
      <w:r w:rsidDel="00000000" w:rsidR="00000000" w:rsidRPr="00000000">
        <w:rPr>
          <w:smallCaps w:val="0"/>
          <w:rtl w:val="0"/>
        </w:rPr>
        <w:t xml:space="preserve">Only entities having a structural link with the applicants (i.e. the lead applicant or a co-applicant), in particular a legal or capital link.</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276" w:lineRule="auto"/>
        <w:rPr>
          <w:smallCaps w:val="0"/>
        </w:rPr>
      </w:pPr>
      <w:r w:rsidDel="00000000" w:rsidR="00000000" w:rsidRPr="00000000">
        <w:rPr>
          <w:smallCaps w:val="0"/>
          <w:rtl w:val="0"/>
        </w:rPr>
        <w:t xml:space="preserve">This structural link encompasses mainly two notions: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276" w:lineRule="auto"/>
        <w:ind w:left="720" w:hanging="567"/>
        <w:rPr>
          <w:smallCaps w:val="0"/>
        </w:rPr>
      </w:pPr>
      <w:r w:rsidDel="00000000" w:rsidR="00000000" w:rsidRPr="00000000">
        <w:rPr>
          <w:smallCaps w:val="0"/>
          <w:rtl w:val="0"/>
        </w:rPr>
        <w:t xml:space="preserve">(i) </w:t>
        <w:tab/>
        <w:t xml:space="preserve">Control, as defined in Directive 2013/34/EU on the annual financial statements, consolidated financial statements and related reports of certain types of undertakings: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120" w:line="276" w:lineRule="auto"/>
        <w:ind w:left="709" w:firstLine="0"/>
        <w:rPr>
          <w:smallCaps w:val="0"/>
        </w:rPr>
      </w:pPr>
      <w:r w:rsidDel="00000000" w:rsidR="00000000" w:rsidRPr="00000000">
        <w:rPr>
          <w:smallCaps w:val="0"/>
          <w:rtl w:val="0"/>
        </w:rPr>
        <w:t xml:space="preserve">Entities affiliated to an applicant may hence be:</w:t>
      </w:r>
    </w:p>
    <w:p w:rsidR="00000000" w:rsidDel="00000000" w:rsidP="00000000" w:rsidRDefault="00000000" w:rsidRPr="00000000" w14:paraId="00000073">
      <w:pPr>
        <w:pageBreakBefore w:val="0"/>
        <w:numPr>
          <w:ilvl w:val="0"/>
          <w:numId w:val="11"/>
        </w:numPr>
        <w:pBdr>
          <w:top w:space="0" w:sz="0" w:val="nil"/>
          <w:left w:space="0" w:sz="0" w:val="nil"/>
          <w:bottom w:space="0" w:sz="0" w:val="nil"/>
          <w:right w:space="0" w:sz="0" w:val="nil"/>
          <w:between w:space="0" w:sz="0" w:val="nil"/>
        </w:pBdr>
        <w:shd w:fill="auto" w:val="clear"/>
        <w:spacing w:after="0" w:line="276" w:lineRule="auto"/>
        <w:ind w:left="1276" w:hanging="283"/>
      </w:pPr>
      <w:r w:rsidDel="00000000" w:rsidR="00000000" w:rsidRPr="00000000">
        <w:rPr>
          <w:smallCaps w:val="0"/>
          <w:rtl w:val="0"/>
        </w:rPr>
        <w:t xml:space="preserve">Entities directly or indirectly controlled by the applicant (daughter companies or first-tier subsidiaries). They may also be entities controlled by an entity controlled by the applicant (granddaughter companies or second-tier subsidiaries) and the same applies to further tiers of control;</w:t>
      </w:r>
    </w:p>
    <w:p w:rsidR="00000000" w:rsidDel="00000000" w:rsidP="00000000" w:rsidRDefault="00000000" w:rsidRPr="00000000" w14:paraId="00000074">
      <w:pPr>
        <w:pageBreakBefore w:val="0"/>
        <w:numPr>
          <w:ilvl w:val="0"/>
          <w:numId w:val="11"/>
        </w:numPr>
        <w:pBdr>
          <w:top w:space="0" w:sz="0" w:val="nil"/>
          <w:left w:space="0" w:sz="0" w:val="nil"/>
          <w:bottom w:space="0" w:sz="0" w:val="nil"/>
          <w:right w:space="0" w:sz="0" w:val="nil"/>
          <w:between w:space="0" w:sz="0" w:val="nil"/>
        </w:pBdr>
        <w:shd w:fill="auto" w:val="clear"/>
        <w:spacing w:after="0" w:line="276" w:lineRule="auto"/>
        <w:ind w:left="1276" w:hanging="283"/>
      </w:pPr>
      <w:r w:rsidDel="00000000" w:rsidR="00000000" w:rsidRPr="00000000">
        <w:rPr>
          <w:smallCaps w:val="0"/>
          <w:rtl w:val="0"/>
        </w:rPr>
        <w:t xml:space="preserve">Entities directly or indirectly controlling the applicant (parent companies). Likewise, they may be entities controlling an entity controlling the applicant;</w:t>
      </w:r>
    </w:p>
    <w:p w:rsidR="00000000" w:rsidDel="00000000" w:rsidP="00000000" w:rsidRDefault="00000000" w:rsidRPr="00000000" w14:paraId="00000075">
      <w:pPr>
        <w:pageBreakBefore w:val="0"/>
        <w:numPr>
          <w:ilvl w:val="0"/>
          <w:numId w:val="11"/>
        </w:numPr>
        <w:pBdr>
          <w:top w:space="0" w:sz="0" w:val="nil"/>
          <w:left w:space="0" w:sz="0" w:val="nil"/>
          <w:bottom w:space="0" w:sz="0" w:val="nil"/>
          <w:right w:space="0" w:sz="0" w:val="nil"/>
          <w:between w:space="0" w:sz="0" w:val="nil"/>
        </w:pBdr>
        <w:shd w:fill="auto" w:val="clear"/>
        <w:spacing w:after="0" w:line="276" w:lineRule="auto"/>
        <w:ind w:left="1276" w:hanging="283"/>
      </w:pPr>
      <w:r w:rsidDel="00000000" w:rsidR="00000000" w:rsidRPr="00000000">
        <w:rPr>
          <w:smallCaps w:val="0"/>
          <w:rtl w:val="0"/>
        </w:rPr>
        <w:t xml:space="preserve">Entities under the same direct or indirect control as the applicant (sister companies).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76" w:lineRule="auto"/>
        <w:ind w:left="720" w:hanging="578"/>
        <w:rPr>
          <w:smallCaps w:val="0"/>
        </w:rPr>
      </w:pPr>
      <w:r w:rsidDel="00000000" w:rsidR="00000000" w:rsidRPr="00000000">
        <w:rPr>
          <w:smallCaps w:val="0"/>
          <w:rtl w:val="0"/>
        </w:rPr>
        <w:t xml:space="preserve">(ii) </w:t>
        <w:tab/>
        <w:t xml:space="preserve">Membership, i.e. the applicant is legally defined as a e.g. network, federation, association in which the proposed affiliated entities also participate or the applicant participates in the same entity (e.g.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276" w:lineRule="auto"/>
        <w:rPr>
          <w:smallCaps w:val="0"/>
        </w:rPr>
      </w:pPr>
      <w:r w:rsidDel="00000000" w:rsidR="00000000" w:rsidRPr="00000000">
        <w:rPr>
          <w:rtl w:val="0"/>
        </w:rPr>
      </w:r>
    </w:p>
    <w:p w:rsidR="00000000" w:rsidDel="00000000" w:rsidP="00000000" w:rsidRDefault="00000000" w:rsidRPr="00000000" w14:paraId="00000078">
      <w:pPr>
        <w:keepNext w:val="1"/>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120" w:line="240" w:lineRule="auto"/>
        <w:ind w:left="851" w:right="0" w:hanging="851"/>
        <w:jc w:val="left"/>
      </w:pPr>
      <w:bookmarkStart w:colFirst="0" w:colLast="0" w:name="_heading=h.g8sxiuiuvv1w" w:id="8"/>
      <w:bookmarkEnd w:id="8"/>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Associates and contractors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before="240" w:lineRule="auto"/>
        <w:rPr>
          <w:smallCaps w:val="0"/>
        </w:rPr>
      </w:pPr>
      <w:r w:rsidDel="00000000" w:rsidR="00000000" w:rsidRPr="00000000">
        <w:pict>
          <v:rect style="width:0.0pt;height:1.5pt" o:hr="t" o:hrstd="t" o:hralign="center" fillcolor="#A0A0A0" stroked="f"/>
        </w:pict>
      </w:r>
      <w:r w:rsidDel="00000000" w:rsidR="00000000" w:rsidRPr="00000000">
        <w:rPr>
          <w:smallCaps w:val="0"/>
          <w:rtl w:val="0"/>
        </w:rPr>
        <w:t xml:space="preserve">The following entities are not applicants nor affiliated entities and do not have to sign the ‘mandate for co-applicant(s)’ or ‘affiliated entities' statement:</w:t>
      </w:r>
    </w:p>
    <w:p w:rsidR="00000000" w:rsidDel="00000000" w:rsidP="00000000" w:rsidRDefault="00000000" w:rsidRPr="00000000" w14:paraId="0000007A">
      <w:pPr>
        <w:pageBreakBefore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Associates</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Other organisations or individuals may be involved in the action. Such associates play a real role in the action but may not receive funding from the grant, with the exception of per diem or travel costs. Associates do not have to meet the eligibility criteria referred to in Section 2.1.1. Associates must be mentioned in Annex A.2 Section 4 — ‘Associates participating in the action’. </w:t>
      </w:r>
    </w:p>
    <w:p w:rsidR="00000000" w:rsidDel="00000000" w:rsidP="00000000" w:rsidRDefault="00000000" w:rsidRPr="00000000" w14:paraId="0000007C">
      <w:pPr>
        <w:pageBreakBefore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Contractors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beneficiaries and their affiliated entities are permitted to award contracts. Associates or affiliated entity(ies) cannot be also contractors in the project. Contractors are subject to the procurement rules set out in Annex IV to the standard grant contract.</w:t>
      </w:r>
    </w:p>
    <w:p w:rsidR="00000000" w:rsidDel="00000000" w:rsidP="00000000" w:rsidRDefault="00000000" w:rsidRPr="00000000" w14:paraId="0000007E">
      <w:pPr>
        <w:keepNext w:val="1"/>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120" w:line="240" w:lineRule="auto"/>
        <w:ind w:left="851" w:right="0" w:hanging="851"/>
        <w:jc w:val="left"/>
      </w:pPr>
      <w:bookmarkStart w:colFirst="0" w:colLast="0" w:name="_heading=h.vsd9r93zbegy" w:id="9"/>
      <w:bookmarkEnd w:id="9"/>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Eligible actions: actions for which an application may be made</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before="240" w:lineRule="auto"/>
        <w:rPr>
          <w:smallCaps w:val="0"/>
        </w:rPr>
      </w:pPr>
      <w:r w:rsidDel="00000000" w:rsidR="00000000" w:rsidRPr="00000000">
        <w:pict>
          <v:rect style="width:0.0pt;height:1.5pt" o:hr="t" o:hrstd="t" o:hralign="center" fillcolor="#A0A0A0" stroked="f"/>
        </w:pict>
      </w:r>
      <w:r w:rsidDel="00000000" w:rsidR="00000000" w:rsidRPr="00000000">
        <w:rPr>
          <w:smallCaps w:val="0"/>
          <w:rtl w:val="0"/>
        </w:rPr>
        <w:t xml:space="preserve">Definition: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 action is composed of a set of activities.</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Duration</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initial planned duration of an action may not be lower than nor exceed 54 months.</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Sectors or themes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actions should cover the themes and priorities described in section 1.2 of the guidelines.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Location</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smallCaps w:val="0"/>
          <w:rtl w:val="0"/>
        </w:rPr>
        <w:t xml:space="preserve">Actions must take place in the </w:t>
      </w:r>
      <w:r w:rsidDel="00000000" w:rsidR="00000000" w:rsidRPr="00000000">
        <w:rPr>
          <w:b w:val="1"/>
          <w:bCs w:val="1"/>
          <w:smallCaps w:val="0"/>
          <w:rtl w:val="0"/>
        </w:rPr>
        <w:t xml:space="preserve">Autonomous Sector of Bissau (Guinea-Bissau).</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Types of action</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actions to be financed must be coherent and autonomous sets of activities designed to achieve the objectives</w:t>
      </w:r>
      <w:r w:rsidDel="00000000" w:rsidR="00000000" w:rsidRPr="00000000">
        <w:rPr>
          <w:smallCaps w:val="0"/>
          <w:vertAlign w:val="superscript"/>
        </w:rPr>
        <w:footnoteReference w:customMarkFollows="0" w:id="5"/>
      </w:r>
      <w:r w:rsidDel="00000000" w:rsidR="00000000" w:rsidRPr="00000000">
        <w:rPr>
          <w:smallCaps w:val="0"/>
          <w:rtl w:val="0"/>
        </w:rPr>
        <w:t xml:space="preserve"> in all the priority areas indicated in section 1.2 within a specific timetable.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Actions must have clear objectives and target groups and be designed to produce specific and measurable results with relevant indicators.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Its justification must be based on recent reliable information and on broad consultation and participation of the actions' target groups and other interested parties.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not available before the start of the action, it is recommended to develop a baseline as one of the first activities. It is also recommended to implement a solid monitoring system and external evaluation processes.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Actions must be designed to contribute to structural change and have a long-term impact.</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following types of action are ineligible:</w:t>
      </w:r>
    </w:p>
    <w:p w:rsidR="00000000" w:rsidDel="00000000" w:rsidP="00000000" w:rsidRDefault="00000000" w:rsidRPr="00000000" w14:paraId="0000008E">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actions concerned only or mainly with individual sponsorships for participation in workshops, seminars, conferences and congresses;</w:t>
      </w:r>
    </w:p>
    <w:p w:rsidR="00000000" w:rsidDel="00000000" w:rsidP="00000000" w:rsidRDefault="00000000" w:rsidRPr="00000000" w14:paraId="0000008F">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actions concerned only or mainly with individual scholarships for studies or training courses.</w:t>
      </w:r>
    </w:p>
    <w:p w:rsidR="00000000" w:rsidDel="00000000" w:rsidP="00000000" w:rsidRDefault="00000000" w:rsidRPr="00000000" w14:paraId="00000090">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One-off conferences. Conferences can only be funded if they form part of a wider range of activities to be implemented over the life of the project;</w:t>
      </w:r>
    </w:p>
    <w:p w:rsidR="00000000" w:rsidDel="00000000" w:rsidP="00000000" w:rsidRDefault="00000000" w:rsidRPr="00000000" w14:paraId="00000091">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Actions consisting exclusively or mainly of capital expenditure;</w:t>
      </w:r>
    </w:p>
    <w:p w:rsidR="00000000" w:rsidDel="00000000" w:rsidP="00000000" w:rsidRDefault="00000000" w:rsidRPr="00000000" w14:paraId="00000092">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Actions that discriminate individuals or groups of people because of their gender, sexual orientation, religious beliefs or lack thereof, or their ethnic origin;</w:t>
      </w:r>
    </w:p>
    <w:p w:rsidR="00000000" w:rsidDel="00000000" w:rsidP="00000000" w:rsidRDefault="00000000" w:rsidRPr="00000000" w14:paraId="00000093">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Actions in support of individual political parties; </w:t>
      </w:r>
    </w:p>
    <w:p w:rsidR="00000000" w:rsidDel="00000000" w:rsidP="00000000" w:rsidRDefault="00000000" w:rsidRPr="00000000" w14:paraId="00000094">
      <w:pPr>
        <w:pageBreakBefore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Actions including proselytising.</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Types of activity- The following activities are indicative, not exhaustive and not listed in order of priority.</w:t>
      </w:r>
    </w:p>
    <w:p w:rsidR="00000000" w:rsidDel="00000000" w:rsidP="00000000" w:rsidRDefault="00000000" w:rsidRPr="00000000" w14:paraId="00000097">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training and capacity building of Bissau City Council and the national authorities involved (Territorial Administration Ministry, Public Works, Housing and Urbanism Ministry, Environment Secretary, Health Ministry, etc.) and other relevant actors on the subject of integrated solid waste management, data collection and analysis, monitoring and control, participatory development of the solid waste management strategy, financial management, waste sorting and selective collection and the recyclable waste flow;</w:t>
      </w:r>
    </w:p>
    <w:p w:rsidR="00000000" w:rsidDel="00000000" w:rsidP="00000000" w:rsidRDefault="00000000" w:rsidRPr="00000000" w14:paraId="00000098">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Bissau City Council and the national authorities involved (Territorial Administration Ministry, Public Works, Housing and Urbanism Ministry, Environment Secretary, Health Ministry, etc.) in the institutional coordination, preparation and monitoring of the action during its implementation.</w:t>
      </w:r>
    </w:p>
    <w:p w:rsidR="00000000" w:rsidDel="00000000" w:rsidP="00000000" w:rsidRDefault="00000000" w:rsidRPr="00000000" w14:paraId="00000099">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Bissau City Council in collecting solid waste in at least 5 pilot neighbourhoods.</w:t>
      </w:r>
    </w:p>
    <w:p w:rsidR="00000000" w:rsidDel="00000000" w:rsidP="00000000" w:rsidRDefault="00000000" w:rsidRPr="00000000" w14:paraId="0000009A">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the creation and/or structuring of waste picker groups in at least 5 pilot neighbourhoods;</w:t>
      </w:r>
    </w:p>
    <w:p w:rsidR="00000000" w:rsidDel="00000000" w:rsidP="00000000" w:rsidRDefault="00000000" w:rsidRPr="00000000" w14:paraId="0000009B">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the development and functionalisation of a transparent and effective waste collection payment system in the pilot neighbourhoods;</w:t>
      </w:r>
    </w:p>
    <w:p w:rsidR="00000000" w:rsidDel="00000000" w:rsidP="00000000" w:rsidRDefault="00000000" w:rsidRPr="00000000" w14:paraId="0000009C">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draw up feasibility studies and to provide technical assistance for the rehabilitation and/or integration of new construction/s of key urban infrastructures in the sector (e.g. main waste collection and treatment centres, landfill interventions, etc.).</w:t>
      </w:r>
    </w:p>
    <w:p w:rsidR="00000000" w:rsidDel="00000000" w:rsidP="00000000" w:rsidRDefault="00000000" w:rsidRPr="00000000" w14:paraId="0000009D">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build and/or to rehabilitate and/or integrate key urban infrastructures in the sector (e.g. collection centres, waste storage points, waste treatment, landfill interventions, etc.), using sustainable construction materials that take into account climate change adaptations/mitigations, biodiversity conservation and disaster risk reduction.</w:t>
      </w:r>
    </w:p>
    <w:p w:rsidR="00000000" w:rsidDel="00000000" w:rsidP="00000000" w:rsidRDefault="00000000" w:rsidRPr="00000000" w14:paraId="0000009E">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draw up a business plan for each type of waste that will be reused (organic material collected and at least two other non-organic materials), as the basis for the circular economy processes that are to be developed/supported.</w:t>
      </w:r>
    </w:p>
    <w:p w:rsidR="00000000" w:rsidDel="00000000" w:rsidP="00000000" w:rsidRDefault="00000000" w:rsidRPr="00000000" w14:paraId="0000009F">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the creation and/or strengthening of private companies and/or cooperatives and social businesses that reuse solid waste derived from the organic material collected and at least two other non-organic materials (through the construction/rehabilitation of premises, training, acquisition of machinery, subsidies, market access, marketing, etc.);</w:t>
      </w:r>
    </w:p>
    <w:p w:rsidR="00000000" w:rsidDel="00000000" w:rsidP="00000000" w:rsidRDefault="00000000" w:rsidRPr="00000000" w14:paraId="000000A0">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the training and capacity building of the different actors involved in the solid waste management system (polluters, waste pickers, etc.);</w:t>
      </w:r>
    </w:p>
    <w:p w:rsidR="00000000" w:rsidDel="00000000" w:rsidP="00000000" w:rsidRDefault="00000000" w:rsidRPr="00000000" w14:paraId="000000A1">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promote awareness-raising campaigns adapted to the different target groups (children, families, companies, national and international organisations, public administration, etc.) on the connection between sanitation-environment-health, the polluter-pays logic, safety at work, the reuse of different materials, etc.</w:t>
      </w:r>
    </w:p>
    <w:p w:rsidR="00000000" w:rsidDel="00000000" w:rsidP="00000000" w:rsidRDefault="00000000" w:rsidRPr="00000000" w14:paraId="000000A2">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local actors, particularly through financial support for third parties (sub-granting);</w:t>
      </w:r>
    </w:p>
    <w:p w:rsidR="00000000" w:rsidDel="00000000" w:rsidP="00000000" w:rsidRDefault="00000000" w:rsidRPr="00000000" w14:paraId="000000A3">
      <w:pPr>
        <w:pageBreakBefore w:val="0"/>
        <w:numPr>
          <w:ilvl w:val="0"/>
          <w:numId w:val="13"/>
        </w:numPr>
        <w:pBdr>
          <w:top w:space="0" w:sz="0" w:val="nil"/>
          <w:left w:space="0" w:sz="0" w:val="nil"/>
          <w:bottom w:space="0" w:sz="0" w:val="nil"/>
          <w:right w:space="0" w:sz="0" w:val="nil"/>
          <w:between w:space="0" w:sz="0" w:val="nil"/>
        </w:pBdr>
        <w:shd w:fill="auto" w:val="clear"/>
        <w:ind w:left="709" w:hanging="360"/>
      </w:pPr>
      <w:r w:rsidDel="00000000" w:rsidR="00000000" w:rsidRPr="00000000">
        <w:rPr>
          <w:smallCaps w:val="0"/>
          <w:rtl w:val="0"/>
        </w:rPr>
        <w:t xml:space="preserve">Baseline studies, monitoring and evaluation.</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Financial support to third parties</w:t>
      </w:r>
      <w:r w:rsidDel="00000000" w:rsidR="00000000" w:rsidRPr="00000000">
        <w:rPr>
          <w:smallCaps w:val="0"/>
          <w:u w:val="single"/>
          <w:vertAlign w:val="superscript"/>
        </w:rPr>
        <w:footnoteReference w:customMarkFollows="0" w:id="6"/>
      </w:r>
      <w:r w:rsidDel="00000000" w:rsidR="00000000" w:rsidRPr="00000000">
        <w:rPr>
          <w:smallCaps w:val="0"/>
          <w:u w:val="single"/>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Applicants may propose financial support to third parties in order to help achieving the objectives of the action.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maximum amount of financial support per third party is EUR 60 000 except where achieving the objectives of the actions would otherwise be impossible or overly difficult, in which case this threshold can be exceeded.  A threshold below EUR 60 000 can be set if appropriate.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compliance with the present guidelines and notably of any conditions or restrictions in this Section, the lead applicant should define mandatorily in Section 2.1.1 of Annex A.2 (Grant application form – Full application): </w:t>
      </w:r>
    </w:p>
    <w:p w:rsidR="00000000" w:rsidDel="00000000" w:rsidP="00000000" w:rsidRDefault="00000000" w:rsidRPr="00000000" w14:paraId="000000A9">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851"/>
        </w:tabs>
        <w:spacing w:after="0" w:afterAutospacing="0"/>
        <w:ind w:left="851" w:hanging="425"/>
      </w:pPr>
      <w:r w:rsidDel="00000000" w:rsidR="00000000" w:rsidRPr="00000000">
        <w:rPr>
          <w:smallCaps w:val="0"/>
          <w:rtl w:val="0"/>
        </w:rPr>
        <w:t xml:space="preserve">the overall objectives, the specific objective(s) and the outputs</w:t>
      </w:r>
      <w:r w:rsidDel="00000000" w:rsidR="00000000" w:rsidRPr="00000000">
        <w:rPr>
          <w:smallCaps w:val="0"/>
          <w:vertAlign w:val="superscript"/>
        </w:rPr>
        <w:footnoteReference w:customMarkFollows="0" w:id="7"/>
      </w:r>
      <w:r w:rsidDel="00000000" w:rsidR="00000000" w:rsidRPr="00000000">
        <w:rPr>
          <w:smallCaps w:val="0"/>
          <w:rtl w:val="0"/>
        </w:rPr>
        <w:t xml:space="preserve"> (i.e. the results) to be achieved with the financial support </w:t>
      </w:r>
    </w:p>
    <w:p w:rsidR="00000000" w:rsidDel="00000000" w:rsidP="00000000" w:rsidRDefault="00000000" w:rsidRPr="00000000" w14:paraId="000000AA">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851"/>
        </w:tabs>
        <w:spacing w:after="0" w:afterAutospacing="0"/>
        <w:ind w:left="851" w:hanging="425"/>
      </w:pPr>
      <w:r w:rsidDel="00000000" w:rsidR="00000000" w:rsidRPr="00000000">
        <w:rPr>
          <w:smallCaps w:val="0"/>
          <w:rtl w:val="0"/>
        </w:rPr>
        <w:t xml:space="preserve">the different types of activities eligible for financial support, on the basis of a fixed list </w:t>
      </w:r>
    </w:p>
    <w:p w:rsidR="00000000" w:rsidDel="00000000" w:rsidP="00000000" w:rsidRDefault="00000000" w:rsidRPr="00000000" w14:paraId="000000AB">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851"/>
        </w:tabs>
        <w:ind w:left="851" w:hanging="425"/>
      </w:pPr>
      <w:r w:rsidDel="00000000" w:rsidR="00000000" w:rsidRPr="00000000">
        <w:rPr>
          <w:smallCaps w:val="0"/>
          <w:rtl w:val="0"/>
        </w:rPr>
        <w:t xml:space="preserve">the types of persons or categories of persons which may receive financial support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tabs>
          <w:tab w:val="left" w:leader="none" w:pos="851"/>
        </w:tabs>
        <w:ind w:left="851" w:hanging="425"/>
        <w:rPr>
          <w:smallCaps w:val="0"/>
        </w:rPr>
      </w:pPr>
      <w:r w:rsidDel="00000000" w:rsidR="00000000" w:rsidRPr="00000000">
        <w:rPr>
          <w:smallCaps w:val="0"/>
          <w:rtl w:val="0"/>
        </w:rPr>
        <w:t xml:space="preserve">(iv)</w:t>
        <w:tab/>
        <w:t xml:space="preserve">the criteria for selecting these entities and giving the financial support  </w:t>
      </w:r>
    </w:p>
    <w:p w:rsidR="00000000" w:rsidDel="00000000" w:rsidP="00000000" w:rsidRDefault="00000000" w:rsidRPr="00000000" w14:paraId="000000AD">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851"/>
        </w:tabs>
        <w:spacing w:after="0" w:afterAutospacing="0"/>
        <w:ind w:left="851" w:hanging="425"/>
      </w:pPr>
      <w:r w:rsidDel="00000000" w:rsidR="00000000" w:rsidRPr="00000000">
        <w:rPr>
          <w:smallCaps w:val="0"/>
          <w:rtl w:val="0"/>
        </w:rPr>
        <w:t xml:space="preserve">the criteria for determining the exact amount of financial support for each third entity, and </w:t>
      </w:r>
    </w:p>
    <w:p w:rsidR="00000000" w:rsidDel="00000000" w:rsidP="00000000" w:rsidRDefault="00000000" w:rsidRPr="00000000" w14:paraId="000000AE">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851"/>
        </w:tabs>
        <w:ind w:left="851" w:hanging="425"/>
      </w:pPr>
      <w:r w:rsidDel="00000000" w:rsidR="00000000" w:rsidRPr="00000000">
        <w:rPr>
          <w:smallCaps w:val="0"/>
          <w:rtl w:val="0"/>
        </w:rPr>
        <w:t xml:space="preserve">the maximum amount which may be given.</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In all events, the mandatory conditions set above for giving financial support (points (i) to (vi)) have to be strictly defined in the grant contract as to avoid any exercise of discretion.</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Private operators, cooperatives and associations operating in waste collection and/or waste transport and/or waste pre-collection and/or waste separation and/or waste treatment and/or sale of products and/or awareness raising derived from waste recycling are eligible for financial support.</w:t>
      </w:r>
    </w:p>
    <w:p w:rsidR="00000000" w:rsidDel="00000000" w:rsidP="00000000" w:rsidRDefault="00000000" w:rsidRPr="00000000" w14:paraId="000000B1">
      <w:pPr>
        <w:keepNext w:val="1"/>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Visibility</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applicants must take all necessary steps to publicise the fact that the European Union has financed or co-financed the action. Unless the European Commission agrees otherwise, actions that are wholly or partially funded by the European Union must ensure the visibility of EU financing by displaying the EU emblem in accordance with the guidelines set out in the Operational guidelines for recipients of EU funding, published by the European Commission.  If applicable, communication activities may be undertaken to raise the awareness of specific or general audiences of the reasons for the action and the EU support for the action in the country or region concerned, as well as the results and the impact of this support.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All measures and activities relating to visibility and, if applicable, communication, must comply with the latest Communication and Visibility Requirements for EU-funded external action, laid down and published by the European Commission  </w:t>
      </w:r>
      <w:hyperlink r:id="rId10">
        <w:r w:rsidDel="00000000" w:rsidR="00000000" w:rsidRPr="00000000">
          <w:rPr>
            <w:smallCaps w:val="0"/>
            <w:color w:val="0000ff"/>
            <w:u w:val="single"/>
            <w:rtl w:val="0"/>
          </w:rPr>
          <w:t xml:space="preserve">Communication and Visibility Requirements for EU External Actions | International Partnerships (europa.eu)</w:t>
        </w:r>
      </w:hyperlink>
      <w:r w:rsidDel="00000000" w:rsidR="00000000" w:rsidRPr="00000000">
        <w:rPr>
          <w:smallCaps w:val="0"/>
          <w:rtl w:val="0"/>
        </w:rPr>
        <w:t xml:space="preserve">.</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p w:rsidR="00000000" w:rsidDel="00000000" w:rsidP="00000000" w:rsidRDefault="00000000" w:rsidRPr="00000000" w14:paraId="000000B5">
      <w:pPr>
        <w:keepNext w:val="1"/>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120" w:line="240" w:lineRule="auto"/>
        <w:ind w:left="851" w:right="0" w:hanging="851"/>
        <w:jc w:val="left"/>
      </w:pPr>
      <w:bookmarkStart w:colFirst="0" w:colLast="0" w:name="_heading=h.cqsd2fdxg2p6" w:id="10"/>
      <w:bookmarkEnd w:id="10"/>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Ethics clauses and Code of Conduct </w:t>
      </w:r>
    </w:p>
    <w:p w:rsidR="00000000" w:rsidDel="00000000" w:rsidP="00000000" w:rsidRDefault="00000000" w:rsidRPr="00000000" w14:paraId="000000B6">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u w:val="single"/>
        </w:rPr>
      </w:pPr>
      <w:r w:rsidDel="00000000" w:rsidR="00000000" w:rsidRPr="00000000">
        <w:pict>
          <v:rect style="width:0.0pt;height:1.5pt" o:hr="t" o:hrstd="t" o:hralign="center" fillcolor="#A0A0A0" stroked="f"/>
        </w:pict>
      </w:r>
      <w:r w:rsidDel="00000000" w:rsidR="00000000" w:rsidRPr="00000000">
        <w:rPr>
          <w:smallCaps w:val="0"/>
          <w:u w:val="single"/>
          <w:rtl w:val="0"/>
        </w:rPr>
        <w:t xml:space="preserve">a) Absence of conflict of interest</w:t>
      </w:r>
    </w:p>
    <w:p w:rsidR="00000000" w:rsidDel="00000000" w:rsidP="00000000" w:rsidRDefault="00000000" w:rsidRPr="00000000" w14:paraId="000000B7">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rPr>
          <w:smallCaps w:val="0"/>
          <w:rtl w:val="0"/>
        </w:rPr>
        <w:t xml:space="preserve">The applicant must not be affected by any conflict of interest and must have no equivalent relation in that respect with other applicants or parties involved in the actions. Any attempt by an applicant to obtain confidential information, enter into unlawful agreements with competitors or influence the evaluation committee or the contracting authority during the process of examining, clarifying, evaluating and comparing applications will lead to the rejection of its application and may result in administrative penalties according to the Financial Regulation in force. </w:t>
      </w:r>
    </w:p>
    <w:p w:rsidR="00000000" w:rsidDel="00000000" w:rsidP="00000000" w:rsidRDefault="00000000" w:rsidRPr="00000000" w14:paraId="000000B8">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rPr>
          <w:smallCaps w:val="0"/>
          <w:rtl w:val="0"/>
        </w:rPr>
        <w:t xml:space="preserve">b) </w:t>
      </w:r>
      <w:r w:rsidDel="00000000" w:rsidR="00000000" w:rsidRPr="00000000">
        <w:rPr>
          <w:smallCaps w:val="0"/>
          <w:u w:val="single"/>
          <w:rtl w:val="0"/>
        </w:rPr>
        <w:t xml:space="preserve">Respect for human rights as well as environmental legislation and core labour standards</w:t>
      </w:r>
      <w:r w:rsidDel="00000000" w:rsidR="00000000" w:rsidRPr="00000000">
        <w:rPr>
          <w:smallCaps w:val="0"/>
          <w:rtl w:val="0"/>
        </w:rPr>
        <w:t xml:space="preserve"> </w:t>
      </w:r>
    </w:p>
    <w:p w:rsidR="00000000" w:rsidDel="00000000" w:rsidP="00000000" w:rsidRDefault="00000000" w:rsidRPr="00000000" w14:paraId="000000B9">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rPr>
          <w:smallCaps w:val="0"/>
          <w:rtl w:val="0"/>
        </w:rPr>
        <w:t xml:space="preserve">The applicant and its staff must comply with human rights. In particular and in accordance with the applicable act, applicants who have been awarded contracts must comply with the environmental legislation including multilateral environmental agreements, and with the core labour standards as applicable and as defined in the relevant International Labour Organisation conventions (such as the conventions on freedom of association and collective bargaining; elimination of forced and compulsory labour; abolition of child labour).</w:t>
      </w:r>
    </w:p>
    <w:p w:rsidR="00000000" w:rsidDel="00000000" w:rsidP="00000000" w:rsidRDefault="00000000" w:rsidRPr="00000000" w14:paraId="000000BA">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b w:val="1"/>
          <w:bCs w:val="1"/>
          <w:smallCaps w:val="0"/>
        </w:rPr>
      </w:pPr>
      <w:r w:rsidDel="00000000" w:rsidR="00000000" w:rsidRPr="00000000">
        <w:pict>
          <v:rect style="width:0.0pt;height:1.5pt" o:hr="t" o:hrstd="t" o:hralign="center" fillcolor="#A0A0A0" stroked="f"/>
        </w:pict>
      </w:r>
      <w:r w:rsidDel="00000000" w:rsidR="00000000" w:rsidRPr="00000000">
        <w:rPr>
          <w:b w:val="1"/>
          <w:bCs w:val="1"/>
          <w:smallCaps w:val="0"/>
          <w:rtl w:val="0"/>
        </w:rPr>
        <w:t xml:space="preserve">Zero tolerance for sexual exploitation, abuse and harassment:</w:t>
      </w:r>
    </w:p>
    <w:p w:rsidR="00000000" w:rsidDel="00000000" w:rsidP="00000000" w:rsidRDefault="00000000" w:rsidRPr="00000000" w14:paraId="000000BB">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smallCaps w:val="0"/>
          <w:rtl w:val="0"/>
        </w:rPr>
        <w:t xml:space="preserve">The European Commission applies a policy of 'zero tolerance' in relation to all wrongful conduct which has an impact on the professional credibility of the applicant.  </w:t>
      </w:r>
    </w:p>
    <w:p w:rsidR="00000000" w:rsidDel="00000000" w:rsidP="00000000" w:rsidRDefault="00000000" w:rsidRPr="00000000" w14:paraId="000000BC">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smallCaps w:val="0"/>
          <w:rtl w:val="0"/>
        </w:rPr>
        <w:t xml:space="preserve">Physical abuse or punishment, or threats of physical abuse, sexual abuse or exploitation, harassment and verbal abuse, as well as other forms of intimidation shall be prohibited. </w:t>
      </w:r>
    </w:p>
    <w:p w:rsidR="00000000" w:rsidDel="00000000" w:rsidP="00000000" w:rsidRDefault="00000000" w:rsidRPr="00000000" w14:paraId="000000BD">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smallCaps w:val="0"/>
          <w:rtl w:val="0"/>
        </w:rPr>
        <w:t xml:space="preserve">Applicants (and affiliated entities) other than (i) natural persons (ii) pillar-assessed entities and (iii) governments and other public bodies whose application has been pre-selected or placed in a reserve list, shall assess their internal policy against sexual exploitation, abuse and harassment (SEA-H) through a self-evaluation questionnaire (Annex L). For grants of EUR 60 000 or less no self-evaluation is required. Such self-evaluation questionnaire is not part of the evaluation of the full application by the contracting authority, but is an administrative requirement. See section 2.5.6 of the PRAG.</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ind w:left="420" w:firstLine="0"/>
        <w:rPr>
          <w:smallCaps w:val="0"/>
        </w:rPr>
      </w:pPr>
      <w:r w:rsidDel="00000000" w:rsidR="00000000" w:rsidRPr="00000000">
        <w:pict>
          <v:rect style="width:0.0pt;height:1.5pt" o:hr="t" o:hrstd="t" o:hralign="center" fillcolor="#A0A0A0" stroked="f"/>
        </w:pict>
      </w:r>
      <w:r w:rsidDel="00000000" w:rsidR="00000000" w:rsidRPr="00000000">
        <w:rPr>
          <w:smallCaps w:val="0"/>
          <w:u w:val="single"/>
          <w:rtl w:val="0"/>
        </w:rPr>
        <w:t xml:space="preserve">c) Anti-corruption and anti-bribery</w:t>
      </w:r>
      <w:r w:rsidDel="00000000" w:rsidR="00000000" w:rsidRPr="00000000">
        <w:rPr>
          <w:smallCaps w:val="0"/>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ind w:left="420" w:firstLine="0"/>
        <w:rPr>
          <w:smallCaps w:val="0"/>
        </w:rPr>
      </w:pPr>
      <w:r w:rsidDel="00000000" w:rsidR="00000000" w:rsidRPr="00000000">
        <w:rPr>
          <w:smallCaps w:val="0"/>
          <w:rtl w:val="0"/>
        </w:rPr>
        <w:t xml:space="preserve">The applicant shall comply with all applicable laws and regulations and codes relating to anti-bribery and anti-corruption. The contracting authority reserves the right to suspend or cancel project financing if corrupt practices of any kind are discovered at any stage of the award process or during the execution of a contract and if the contracting authority fails to take all appropriate measures to remedy the situation. For the purposes of this provision, ‘corrupt practices’ are the offer of a bribe, gift, gratuity or commission to any person as an inducement or reward for performing or refraining from any act relating to the award of a contract or execution of a contract already concluded with the contracting authority.</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120" w:before="120" w:lineRule="auto"/>
        <w:ind w:left="567" w:hanging="567"/>
        <w:rPr>
          <w:smallCaps w:val="0"/>
        </w:rPr>
      </w:pPr>
      <w:r w:rsidDel="00000000" w:rsidR="00000000" w:rsidRPr="00000000">
        <w:rPr>
          <w:smallCaps w:val="0"/>
          <w:rtl w:val="0"/>
        </w:rPr>
        <w:t xml:space="preserve">      d)  </w:t>
      </w:r>
      <w:r w:rsidDel="00000000" w:rsidR="00000000" w:rsidRPr="00000000">
        <w:rPr>
          <w:smallCaps w:val="0"/>
          <w:u w:val="single"/>
          <w:rtl w:val="0"/>
        </w:rPr>
        <w:t xml:space="preserve">Unusual commercial expenses</w:t>
      </w:r>
      <w:r w:rsidDel="00000000" w:rsidR="00000000" w:rsidRPr="00000000">
        <w:rPr>
          <w:smallCaps w:val="0"/>
          <w:rtl w:val="0"/>
        </w:rPr>
        <w:t xml:space="preserve">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120" w:before="120" w:lineRule="auto"/>
        <w:ind w:left="397" w:firstLine="0"/>
        <w:rPr>
          <w:smallCaps w:val="0"/>
        </w:rPr>
      </w:pPr>
      <w:r w:rsidDel="00000000" w:rsidR="00000000" w:rsidRPr="00000000">
        <w:rPr>
          <w:smallCaps w:val="0"/>
          <w:rtl w:val="0"/>
        </w:rPr>
        <w:t xml:space="preserve">Applications will be rejected or contracts terminated if it emerges that the award or execution of a contract has given rise to unusual commercial expenses. Such unusual commercial expenses are commissions not mentioned in the main contract or not stemming from a properly concluded contract referring to the main contract, commissions not paid in return for any actual and legitimate service, commissions remitted to a tax haven, commissions paid to a payee who is not clearly identified or commissions paid to a company which has every appearance of being a front company.</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120" w:before="120" w:lineRule="auto"/>
        <w:ind w:left="397" w:firstLine="0"/>
        <w:rPr>
          <w:smallCaps w:val="0"/>
        </w:rPr>
      </w:pPr>
      <w:r w:rsidDel="00000000" w:rsidR="00000000" w:rsidRPr="00000000">
        <w:rPr>
          <w:smallCaps w:val="0"/>
          <w:rtl w:val="0"/>
        </w:rPr>
        <w:t xml:space="preserve">Grant beneficiaries found to have paid unusual commercial expenses on projects funded by the European Union are liable, depending on the seriousness of the facts observed, to have their contracts terminated or to be permanently excluded from receiving EU/EDF funds.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120" w:before="120" w:lineRule="auto"/>
        <w:ind w:left="397" w:firstLine="0"/>
        <w:rPr>
          <w:smallCaps w:val="0"/>
          <w:u w:val="single"/>
        </w:rPr>
      </w:pPr>
      <w:r w:rsidDel="00000000" w:rsidR="00000000" w:rsidRPr="00000000">
        <w:rPr>
          <w:smallCaps w:val="0"/>
          <w:rtl w:val="0"/>
        </w:rPr>
        <w:t xml:space="preserve">e) </w:t>
      </w:r>
      <w:r w:rsidDel="00000000" w:rsidR="00000000" w:rsidRPr="00000000">
        <w:rPr>
          <w:smallCaps w:val="0"/>
          <w:u w:val="single"/>
          <w:rtl w:val="0"/>
        </w:rPr>
        <w:t xml:space="preserve">Breach of obligations, irregularities or fraud</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120" w:before="120" w:lineRule="auto"/>
        <w:ind w:left="397" w:firstLine="0"/>
        <w:rPr>
          <w:smallCaps w:val="0"/>
        </w:rPr>
      </w:pPr>
      <w:r w:rsidDel="00000000" w:rsidR="00000000" w:rsidRPr="00000000">
        <w:rPr>
          <w:smallCaps w:val="0"/>
          <w:rtl w:val="0"/>
        </w:rPr>
        <w:t xml:space="preserve">The contracting authority reserves the right to suspend or cancel the procedure, where the award procedure proves to have been subject to substantial breach of obligations, irregularities or fraud. If substantial breach of obligations, irregularities or fraud are discovered after the award of the contract, the contracting authority may refrain from concluding the contract.</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120" w:before="120" w:lineRule="auto"/>
        <w:ind w:left="397" w:firstLine="0"/>
        <w:rPr>
          <w:smallCaps w:val="0"/>
        </w:rPr>
      </w:pPr>
      <w:r w:rsidDel="00000000" w:rsidR="00000000" w:rsidRPr="00000000">
        <w:rPr>
          <w:rtl w:val="0"/>
        </w:rPr>
      </w:r>
    </w:p>
    <w:p w:rsidR="00000000" w:rsidDel="00000000" w:rsidP="00000000" w:rsidRDefault="00000000" w:rsidRPr="00000000" w14:paraId="000000C6">
      <w:pPr>
        <w:pageBreakBefore w:val="0"/>
        <w:numPr>
          <w:ilvl w:val="0"/>
          <w:numId w:val="6"/>
        </w:numPr>
        <w:pBdr>
          <w:top w:space="0" w:sz="0" w:val="nil"/>
          <w:left w:space="0" w:sz="0" w:val="nil"/>
          <w:bottom w:space="0" w:sz="0" w:val="nil"/>
          <w:right w:space="0" w:sz="0" w:val="nil"/>
          <w:between w:space="0" w:sz="0" w:val="nil"/>
        </w:pBdr>
        <w:shd w:fill="auto" w:val="clear"/>
        <w:tabs>
          <w:tab w:val="left" w:leader="none" w:pos="426"/>
          <w:tab w:val="left" w:leader="none" w:pos="1418"/>
        </w:tabs>
        <w:ind w:left="1418" w:hanging="1418"/>
        <w:jc w:val="left"/>
      </w:pPr>
      <w:r w:rsidDel="00000000" w:rsidR="00000000" w:rsidRPr="00000000">
        <w:br w:type="page"/>
      </w:r>
      <w:r w:rsidDel="00000000" w:rsidR="00000000" w:rsidRPr="00000000">
        <w:rPr>
          <w:b w:val="1"/>
          <w:bCs w:val="1"/>
          <w:smallCaps w:val="0"/>
          <w:sz w:val="24"/>
          <w:szCs w:val="24"/>
          <w:rtl w:val="0"/>
        </w:rPr>
        <w:t xml:space="preserve">STEP 1:</w:t>
        <w:tab/>
        <w:t xml:space="preserve">ADMINISTRATIVE CHECKS AND CONCEPT NOTE EVALUATION</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During the opening and administrative check the following will be assessed:</w:t>
      </w:r>
    </w:p>
    <w:p w:rsidR="00000000" w:rsidDel="00000000" w:rsidP="00000000" w:rsidRDefault="00000000" w:rsidRPr="00000000" w14:paraId="000000C8">
      <w:pPr>
        <w:pageBreakBefore w:val="0"/>
        <w:numPr>
          <w:ilvl w:val="2"/>
          <w:numId w:val="7"/>
        </w:numPr>
        <w:pBdr>
          <w:top w:space="0" w:sz="0" w:val="nil"/>
          <w:left w:space="0" w:sz="0" w:val="nil"/>
          <w:bottom w:space="0" w:sz="0" w:val="nil"/>
          <w:right w:space="0" w:sz="0" w:val="nil"/>
          <w:between w:space="0" w:sz="0" w:val="nil"/>
        </w:pBdr>
        <w:shd w:fill="auto" w:val="clear"/>
        <w:spacing w:after="0" w:afterAutospacing="0" w:before="120" w:lineRule="auto"/>
        <w:ind w:left="709" w:hanging="360"/>
      </w:pPr>
      <w:r w:rsidDel="00000000" w:rsidR="00000000" w:rsidRPr="00000000">
        <w:rPr>
          <w:smallCaps w:val="0"/>
          <w:rtl w:val="0"/>
        </w:rPr>
        <w:t xml:space="preserve">If the deadline has been met. Otherwise, the application will be automatically rejected.</w:t>
      </w:r>
    </w:p>
    <w:p w:rsidR="00000000" w:rsidDel="00000000" w:rsidP="00000000" w:rsidRDefault="00000000" w:rsidRPr="00000000" w14:paraId="000000C9">
      <w:pPr>
        <w:pageBreakBefore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If the  concept note  satisfies all the criteria specified in the checklist in Annex A.1, Instructions of the grant application form. This includes also an assessment of the eligibility of the action. If any of the requested information is missing or is incorrect, the application may be rejected on that </w:t>
      </w:r>
      <w:r w:rsidDel="00000000" w:rsidR="00000000" w:rsidRPr="00000000">
        <w:rPr>
          <w:b w:val="1"/>
          <w:bCs w:val="1"/>
          <w:smallCaps w:val="0"/>
          <w:u w:val="single"/>
          <w:rtl w:val="0"/>
        </w:rPr>
        <w:t xml:space="preserve">sole</w:t>
      </w:r>
      <w:r w:rsidDel="00000000" w:rsidR="00000000" w:rsidRPr="00000000">
        <w:rPr>
          <w:smallCaps w:val="0"/>
          <w:rtl w:val="0"/>
        </w:rPr>
        <w:t xml:space="preserve"> basis and the application will not be evaluated further.</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concept notes that pass this check will be evaluated on the relevance and design of the proposed action.</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concept notes will receive an overall score out of 50 using the breakdown in the evaluation grid below. The evaluation will also check on compliance with the instructions on how to complete the concept note, which can be found in Annex A.1.</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smallCaps w:val="0"/>
        </w:rPr>
      </w:pPr>
      <w:bookmarkStart w:colFirst="0" w:colLast="0" w:name="_heading=h.r8if8kk1qo1b" w:id="11"/>
      <w:bookmarkEnd w:id="11"/>
      <w:r w:rsidDel="00000000" w:rsidR="00000000" w:rsidRPr="00000000">
        <w:rPr>
          <w:smallCaps w:val="0"/>
          <w:rtl w:val="0"/>
        </w:rPr>
        <w:t xml:space="preserve">The </w:t>
      </w:r>
      <w:r w:rsidDel="00000000" w:rsidR="00000000" w:rsidRPr="00000000">
        <w:rPr>
          <w:smallCaps w:val="0"/>
          <w:u w:val="single"/>
          <w:rtl w:val="0"/>
        </w:rPr>
        <w:t xml:space="preserve">evaluation criteria</w:t>
      </w:r>
      <w:r w:rsidDel="00000000" w:rsidR="00000000" w:rsidRPr="00000000">
        <w:rPr>
          <w:smallCaps w:val="0"/>
          <w:rtl w:val="0"/>
        </w:rPr>
        <w:t xml:space="preserve"> are divided into headings and subheadings. Each subheading will be given a score between 1 and 5 as follows: 1 = very poor; 2 = poor; 3 = adequate; 4 = good; 5 = very good.</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Evaluation Grid</w:t>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2"/>
        <w:gridCol w:w="1307.9999999999995"/>
        <w:tblGridChange w:id="0">
          <w:tblGrid>
            <w:gridCol w:w="8682"/>
            <w:gridCol w:w="1307.9999999999995"/>
          </w:tblGrid>
        </w:tblGridChange>
      </w:tblGrid>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Section</w:t>
            </w:r>
          </w:p>
        </w:tc>
        <w:tc>
          <w:tcPr>
            <w:shd w:fill="auto" w:val="clear"/>
            <w:tcMar>
              <w:top w:w="0.0" w:type="dxa"/>
              <w:left w:w="108.0" w:type="dxa"/>
              <w:bottom w:w="0.0" w:type="dxa"/>
              <w:right w:w="108.0" w:type="dxa"/>
            </w:tcMar>
            <w:vAlign w:val="center"/>
          </w:tcPr>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jc w:val="center"/>
              <w:rPr>
                <w:b w:val="1"/>
                <w:bCs w:val="1"/>
                <w:smallCaps w:val="0"/>
              </w:rPr>
            </w:pPr>
            <w:r w:rsidDel="00000000" w:rsidR="00000000" w:rsidRPr="00000000">
              <w:rPr>
                <w:b w:val="1"/>
                <w:bCs w:val="1"/>
                <w:smallCaps w:val="0"/>
                <w:rtl w:val="0"/>
              </w:rPr>
              <w:t xml:space="preserve">Maximum Score</w:t>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jc w:val="left"/>
              <w:rPr>
                <w:b w:val="1"/>
                <w:bCs w:val="1"/>
                <w:smallCaps w:val="0"/>
              </w:rPr>
            </w:pPr>
            <w:r w:rsidDel="00000000" w:rsidR="00000000" w:rsidRPr="00000000">
              <w:rPr>
                <w:b w:val="1"/>
                <w:bCs w:val="1"/>
                <w:smallCaps w:val="0"/>
                <w:rtl w:val="0"/>
              </w:rPr>
              <w:t xml:space="preserve">1. Relevance of the action</w:t>
            </w:r>
          </w:p>
        </w:tc>
        <w:tc>
          <w:tcPr>
            <w:shd w:fill="auto" w:val="clear"/>
            <w:tcMar>
              <w:top w:w="0.0" w:type="dxa"/>
              <w:left w:w="108.0" w:type="dxa"/>
              <w:bottom w:w="0.0" w:type="dxa"/>
              <w:right w:w="108.0" w:type="dxa"/>
            </w:tcMar>
            <w:vAlign w:val="top"/>
          </w:tcPr>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120" w:before="120" w:lineRule="auto"/>
              <w:rPr>
                <w:b w:val="1"/>
                <w:bCs w:val="1"/>
                <w:smallCaps w:val="0"/>
              </w:rPr>
            </w:pPr>
            <w:r w:rsidDel="00000000" w:rsidR="00000000" w:rsidRPr="00000000">
              <w:rPr>
                <w:b w:val="1"/>
                <w:bCs w:val="1"/>
                <w:smallCaps w:val="0"/>
                <w:rtl w:val="0"/>
              </w:rPr>
              <w:t xml:space="preserve">20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120" w:before="120" w:lineRule="auto"/>
              <w:ind w:left="340" w:hanging="340"/>
              <w:rPr>
                <w:smallCaps w:val="0"/>
              </w:rPr>
            </w:pPr>
            <w:r w:rsidDel="00000000" w:rsidR="00000000" w:rsidRPr="00000000">
              <w:rPr>
                <w:smallCaps w:val="0"/>
                <w:rtl w:val="0"/>
              </w:rPr>
              <w:t xml:space="preserve">1.1. How relevant is the proposal to the objectives and priorities of the call for proposals and to the specific themes/sectors/areas or any other specific requirement stated in the guidelines for applicants? Are the expected results of the action aligned with the priorities defined in the guidelines for applicants (section 1.2)?</w:t>
            </w:r>
          </w:p>
        </w:tc>
        <w:tc>
          <w:tcPr>
            <w:shd w:fill="auto" w:val="clear"/>
            <w:tcMar>
              <w:top w:w="0.0" w:type="dxa"/>
              <w:left w:w="108.0" w:type="dxa"/>
              <w:bottom w:w="0.0" w:type="dxa"/>
              <w:right w:w="108.0" w:type="dxa"/>
            </w:tcMar>
            <w:vAlign w:val="top"/>
          </w:tcPr>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120" w:before="120" w:lineRule="auto"/>
              <w:ind w:left="340" w:hanging="340"/>
              <w:rPr>
                <w:smallCaps w:val="0"/>
              </w:rPr>
            </w:pPr>
            <w:r w:rsidDel="00000000" w:rsidR="00000000" w:rsidRPr="00000000">
              <w:rPr>
                <w:smallCaps w:val="0"/>
                <w:rtl w:val="0"/>
              </w:rPr>
              <w:t xml:space="preserve">1.2. How relevant is the proposal to the particular needs and constraints of the target country(ies), region(s) and/or relevant sectors (including synergy with other development initiatives and avoidance of duplication)?</w:t>
            </w:r>
          </w:p>
        </w:tc>
        <w:tc>
          <w:tcPr>
            <w:shd w:fill="auto" w:val="clear"/>
            <w:tcMar>
              <w:top w:w="0.0" w:type="dxa"/>
              <w:left w:w="108.0" w:type="dxa"/>
              <w:bottom w:w="0.0" w:type="dxa"/>
              <w:right w:w="108.0" w:type="dxa"/>
            </w:tcMar>
            <w:vAlign w:val="top"/>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120" w:before="120" w:lineRule="auto"/>
              <w:ind w:left="340" w:hanging="340"/>
              <w:rPr>
                <w:smallCaps w:val="0"/>
              </w:rPr>
            </w:pPr>
            <w:r w:rsidDel="00000000" w:rsidR="00000000" w:rsidRPr="00000000">
              <w:rPr>
                <w:smallCaps w:val="0"/>
                <w:rtl w:val="0"/>
              </w:rPr>
              <w:t xml:space="preserve">1.3. How clearly defined and strategically chosen are those involved (final beneficiaries, target groups)? Have their needs (as rights holders and/or duty bearers) and constraints been clearly defined and does the proposal address them appropriately?</w:t>
            </w:r>
          </w:p>
        </w:tc>
        <w:tc>
          <w:tcPr>
            <w:shd w:fill="auto" w:val="clear"/>
            <w:tcMar>
              <w:top w:w="0.0" w:type="dxa"/>
              <w:left w:w="108.0" w:type="dxa"/>
              <w:bottom w:w="0.0" w:type="dxa"/>
              <w:right w:w="108.0" w:type="dxa"/>
            </w:tcMar>
            <w:vAlign w:val="top"/>
          </w:tcPr>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120" w:before="120" w:lineRule="auto"/>
              <w:ind w:left="340" w:hanging="340"/>
              <w:rPr>
                <w:smallCaps w:val="0"/>
              </w:rPr>
            </w:pPr>
            <w:r w:rsidDel="00000000" w:rsidR="00000000" w:rsidRPr="00000000">
              <w:rPr>
                <w:smallCaps w:val="0"/>
                <w:rtl w:val="0"/>
              </w:rPr>
              <w:t xml:space="preserve">1.4. Does the proposal contain particular added-value elements (e.g. innovation, best practices) ? [and the other additional elements indicated under 1.2. of the guidelines for applicants]</w:t>
            </w:r>
          </w:p>
        </w:tc>
        <w:tc>
          <w:tcPr>
            <w:shd w:fill="auto" w:val="clear"/>
            <w:tcMar>
              <w:top w:w="0.0" w:type="dxa"/>
              <w:left w:w="108.0" w:type="dxa"/>
              <w:bottom w:w="0.0" w:type="dxa"/>
              <w:right w:w="108.0" w:type="dxa"/>
            </w:tcMar>
            <w:vAlign w:val="top"/>
          </w:tcPr>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jc w:val="left"/>
              <w:rPr>
                <w:b w:val="1"/>
                <w:bCs w:val="1"/>
                <w:smallCaps w:val="0"/>
              </w:rPr>
            </w:pPr>
            <w:r w:rsidDel="00000000" w:rsidR="00000000" w:rsidRPr="00000000">
              <w:rPr>
                <w:b w:val="1"/>
                <w:bCs w:val="1"/>
                <w:smallCaps w:val="0"/>
                <w:rtl w:val="0"/>
              </w:rPr>
              <w:t xml:space="preserve">2. Design of the action</w:t>
            </w:r>
          </w:p>
        </w:tc>
        <w:tc>
          <w:tcPr>
            <w:shd w:fill="auto" w:val="clear"/>
            <w:tcMar>
              <w:top w:w="0.0" w:type="dxa"/>
              <w:left w:w="108.0" w:type="dxa"/>
              <w:bottom w:w="0.0" w:type="dxa"/>
              <w:right w:w="108.0" w:type="dxa"/>
            </w:tcMar>
            <w:vAlign w:val="top"/>
          </w:tcPr>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120" w:before="120" w:lineRule="auto"/>
              <w:rPr>
                <w:b w:val="1"/>
                <w:bCs w:val="1"/>
                <w:smallCaps w:val="0"/>
              </w:rPr>
            </w:pPr>
            <w:r w:rsidDel="00000000" w:rsidR="00000000" w:rsidRPr="00000000">
              <w:rPr>
                <w:b w:val="1"/>
                <w:bCs w:val="1"/>
                <w:smallCaps w:val="0"/>
                <w:rtl w:val="0"/>
              </w:rPr>
              <w:t xml:space="preserve">30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2.1. How coherent is the overall design of the action? Does the proposal indicate the expected results to be achieved by the action? Does the intervention logic explain the rationale to achieve the expected results? </w:t>
            </w:r>
          </w:p>
        </w:tc>
        <w:tc>
          <w:tcPr>
            <w:shd w:fill="auto" w:val="clear"/>
            <w:tcMar>
              <w:top w:w="0.0" w:type="dxa"/>
              <w:left w:w="108.0" w:type="dxa"/>
              <w:bottom w:w="0.0" w:type="dxa"/>
              <w:right w:w="108.0" w:type="dxa"/>
            </w:tcMar>
            <w:vAlign w:val="top"/>
          </w:tcPr>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5x2**</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2.2. Does the design reflect a robust analysis of the problems involved, and the capacities of the relevant stakeholders? </w:t>
            </w:r>
          </w:p>
        </w:tc>
        <w:tc>
          <w:tcPr>
            <w:shd w:fill="auto" w:val="clear"/>
            <w:tcMar>
              <w:top w:w="0.0" w:type="dxa"/>
              <w:left w:w="108.0" w:type="dxa"/>
              <w:bottom w:w="0.0" w:type="dxa"/>
              <w:right w:w="108.0" w:type="dxa"/>
            </w:tcMar>
            <w:vAlign w:val="top"/>
          </w:tcPr>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2.3. Does the design take into account external factors (risks and assumptions)? </w:t>
            </w:r>
          </w:p>
        </w:tc>
        <w:tc>
          <w:tcPr>
            <w:shd w:fill="auto" w:val="clear"/>
            <w:tcMar>
              <w:top w:w="0.0" w:type="dxa"/>
              <w:left w:w="108.0" w:type="dxa"/>
              <w:bottom w:w="0.0" w:type="dxa"/>
              <w:right w:w="108.0" w:type="dxa"/>
            </w:tcMar>
            <w:vAlign w:val="top"/>
          </w:tcPr>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2.4. Are the activities feasible and consistent in relation to the expected results (including timeframe)? Are results (output, outcome and impact) realistic? </w:t>
            </w:r>
          </w:p>
        </w:tc>
        <w:tc>
          <w:tcPr>
            <w:shd w:fill="auto" w:val="clear"/>
            <w:tcMar>
              <w:top w:w="0.0" w:type="dxa"/>
              <w:left w:w="108.0" w:type="dxa"/>
              <w:bottom w:w="0.0" w:type="dxa"/>
              <w:right w:w="108.0" w:type="dxa"/>
            </w:tcMar>
            <w:vAlign w:val="top"/>
          </w:tcPr>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2.5. To which extent does the proposal integrate relevant cross-cutting elements such as environmental/climate change issues, promotion of gender equality and equal opportunities, needs of disabled people, rights of minorities and rights of indigenous peoples, youth, combating HIV/AIDS (if there is a strong prevalence in the target country/region)? </w:t>
            </w:r>
          </w:p>
        </w:tc>
        <w:tc>
          <w:tcPr>
            <w:shd w:fill="auto" w:val="clear"/>
            <w:tcMar>
              <w:top w:w="0.0" w:type="dxa"/>
              <w:left w:w="108.0" w:type="dxa"/>
              <w:bottom w:w="0.0" w:type="dxa"/>
              <w:right w:w="108.0" w:type="dxa"/>
            </w:tcMar>
            <w:vAlign w:val="top"/>
          </w:tcPr>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jc w:val="left"/>
              <w:rPr>
                <w:b w:val="1"/>
                <w:bCs w:val="1"/>
                <w:smallCaps w:val="0"/>
              </w:rPr>
            </w:pPr>
            <w:r w:rsidDel="00000000" w:rsidR="00000000" w:rsidRPr="00000000">
              <w:rPr>
                <w:b w:val="1"/>
                <w:bCs w:val="1"/>
                <w:smallCaps w:val="0"/>
                <w:rtl w:val="0"/>
              </w:rPr>
              <w:t xml:space="preserve">Maximum total score</w:t>
            </w:r>
          </w:p>
        </w:tc>
        <w:tc>
          <w:tcPr>
            <w:shd w:fill="auto" w:val="clear"/>
            <w:tcMar>
              <w:top w:w="0.0" w:type="dxa"/>
              <w:left w:w="108.0" w:type="dxa"/>
              <w:bottom w:w="0.0" w:type="dxa"/>
              <w:right w:w="108.0" w:type="dxa"/>
            </w:tcMar>
            <w:vAlign w:val="top"/>
          </w:tcPr>
          <w:p w:rsidR="00000000" w:rsidDel="00000000" w:rsidP="00000000" w:rsidRDefault="00000000" w:rsidRPr="00000000" w14:paraId="000000E7">
            <w:pPr>
              <w:keepNext w:val="1"/>
              <w:pageBreakBefore w:val="0"/>
              <w:pBdr>
                <w:top w:space="0" w:sz="0" w:val="nil"/>
                <w:left w:space="0" w:sz="0" w:val="nil"/>
                <w:bottom w:space="0" w:sz="0" w:val="nil"/>
                <w:right w:space="0" w:sz="0" w:val="nil"/>
                <w:between w:space="0" w:sz="0" w:val="nil"/>
              </w:pBdr>
              <w:shd w:fill="auto" w:val="clear"/>
              <w:spacing w:after="120" w:before="120" w:lineRule="auto"/>
              <w:jc w:val="center"/>
              <w:rPr>
                <w:b w:val="1"/>
                <w:bCs w:val="1"/>
                <w:smallCaps w:val="0"/>
              </w:rPr>
            </w:pPr>
            <w:r w:rsidDel="00000000" w:rsidR="00000000" w:rsidRPr="00000000">
              <w:rPr>
                <w:b w:val="1"/>
                <w:bCs w:val="1"/>
                <w:smallCaps w:val="0"/>
                <w:rtl w:val="0"/>
              </w:rPr>
              <w:t xml:space="preserve">50</w:t>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this score is multiplied by 2 because of its importance</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Once all concept notes have been assessed, a list will be drawn up with the proposed actions ranked according to their total score. </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Firstly, only the concept notes with a score of at least 30 will be considered for pre-selection. </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Secondly, the number of concept notes will be reduced, taking account of the ranking, to the number of concept notes whose total aggregate amount of requested contributions is equal to at least 200% of the available budget for this call for proposals. The amount of requested contributions of each concept note will be based on the indicative financial envelopes for each lot, where relevant.</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Lead applicants will receive a letter indicating the reference number of their application and the respective results. This letter will automatically appear online in the PROSPECT profile of the lead applicant.[Lead applicants who, in exceptional cases (see section 2.2), had to submit their application by post, private courier service or hand-delivery will receive the letter by email or by post if no e-mail address was provided.]</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pre-selected lead applicants will subsequently be invited to submit full applications.</w:t>
      </w:r>
    </w:p>
    <w:p w:rsidR="00000000" w:rsidDel="00000000" w:rsidP="00000000" w:rsidRDefault="00000000" w:rsidRPr="00000000" w14:paraId="000000EE">
      <w:pPr>
        <w:pageBreakBefore w:val="0"/>
        <w:numPr>
          <w:ilvl w:val="0"/>
          <w:numId w:val="6"/>
        </w:numPr>
        <w:pBdr>
          <w:top w:space="0" w:sz="0" w:val="nil"/>
          <w:left w:space="0" w:sz="0" w:val="nil"/>
          <w:bottom w:space="0" w:sz="0" w:val="nil"/>
          <w:right w:space="0" w:sz="0" w:val="nil"/>
          <w:between w:space="0" w:sz="0" w:val="nil"/>
        </w:pBdr>
        <w:shd w:fill="auto" w:val="clear"/>
        <w:spacing w:before="240" w:lineRule="auto"/>
        <w:ind w:left="357" w:hanging="357"/>
        <w:jc w:val="left"/>
      </w:pPr>
      <w:bookmarkStart w:colFirst="0" w:colLast="0" w:name="_heading=h.rlec5o7qk5hr" w:id="12"/>
      <w:bookmarkEnd w:id="12"/>
      <w:r w:rsidDel="00000000" w:rsidR="00000000" w:rsidRPr="00000000">
        <w:br w:type="page"/>
      </w:r>
      <w:r w:rsidDel="00000000" w:rsidR="00000000" w:rsidRPr="00000000">
        <w:rPr>
          <w:b w:val="1"/>
          <w:bCs w:val="1"/>
          <w:smallCaps w:val="0"/>
          <w:rtl w:val="0"/>
        </w:rPr>
        <w:t xml:space="preserve">Useful links: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Rule="auto"/>
        <w:jc w:val="left"/>
        <w:rPr>
          <w:b w:val="1"/>
          <w:bCs w:val="1"/>
          <w:smallCaps w:val="0"/>
        </w:rPr>
      </w:pPr>
      <w:r w:rsidDel="00000000" w:rsidR="00000000" w:rsidRPr="00000000">
        <w:rPr>
          <w:b w:val="1"/>
          <w:bCs w:val="1"/>
          <w:smallCaps w:val="0"/>
          <w:rtl w:val="0"/>
        </w:rPr>
        <w:t xml:space="preserve">Project Cycle Management Guidelines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https://ec.europa.eu/international-partnerships/funding/managing-project_en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120" w:before="120" w:lineRule="auto"/>
        <w:jc w:val="left"/>
        <w:rPr>
          <w:b w:val="1"/>
          <w:bCs w:val="1"/>
          <w:smallCaps w:val="0"/>
        </w:rPr>
      </w:pPr>
      <w:r w:rsidDel="00000000" w:rsidR="00000000" w:rsidRPr="00000000">
        <w:rPr>
          <w:b w:val="1"/>
          <w:bCs w:val="1"/>
          <w:smallCaps w:val="0"/>
          <w:rtl w:val="0"/>
        </w:rPr>
        <w:t xml:space="preserve">The implementation of grant contracts</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Rule="auto"/>
        <w:jc w:val="left"/>
        <w:rPr>
          <w:b w:val="1"/>
          <w:bCs w:val="1"/>
          <w:smallCaps w:val="0"/>
        </w:rPr>
      </w:pPr>
      <w:r w:rsidDel="00000000" w:rsidR="00000000" w:rsidRPr="00000000">
        <w:rPr>
          <w:b w:val="1"/>
          <w:bCs w:val="1"/>
          <w:smallCaps w:val="0"/>
          <w:rtl w:val="0"/>
        </w:rPr>
        <w:t xml:space="preserve">A Users' Guide</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120" w:lineRule="auto"/>
        <w:jc w:val="left"/>
        <w:rPr>
          <w:smallCaps w:val="0"/>
        </w:rPr>
      </w:pPr>
      <w:hyperlink r:id="rId12">
        <w:r w:rsidDel="00000000" w:rsidR="00000000" w:rsidRPr="00000000">
          <w:rPr>
            <w:smallCaps w:val="0"/>
            <w:color w:val="0000ff"/>
            <w:u w:val="single"/>
            <w:rtl w:val="0"/>
          </w:rPr>
          <w:t xml:space="preserve">https://wikis.ec.europa.eu/pages/viewpage.action?pageId=48169235</w:t>
        </w:r>
      </w:hyperlink>
      <w:r w:rsidDel="00000000" w:rsidR="00000000" w:rsidRPr="00000000">
        <w:rPr>
          <w:smallCaps w:val="0"/>
          <w:rtl w:val="0"/>
        </w:rPr>
        <w:t xml:space="preserve"> </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120" w:lineRule="auto"/>
        <w:jc w:val="left"/>
        <w:rPr>
          <w:smallCaps w:val="0"/>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120" w:lineRule="auto"/>
        <w:jc w:val="left"/>
        <w:rPr>
          <w:smallCaps w:val="0"/>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120" w:lineRule="auto"/>
        <w:jc w:val="left"/>
        <w:rPr>
          <w:b w:val="1"/>
          <w:bCs w:val="1"/>
          <w:smallCaps w:val="0"/>
        </w:rPr>
      </w:pPr>
      <w:r w:rsidDel="00000000" w:rsidR="00000000" w:rsidRPr="00000000">
        <w:rPr>
          <w:b w:val="1"/>
          <w:bCs w:val="1"/>
          <w:smallCaps w:val="0"/>
          <w:rtl w:val="0"/>
        </w:rPr>
        <w:t xml:space="preserve">Financial Toolkit</w:t>
        <w:tab/>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https://ec.europa.eu/international-partnerships/financial-management-toolkit_en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Rule="auto"/>
        <w:rPr>
          <w:smallCaps w:val="0"/>
          <w:color w:val="000000"/>
        </w:rPr>
      </w:pPr>
      <w:r w:rsidDel="00000000" w:rsidR="00000000" w:rsidRPr="00000000">
        <w:rPr>
          <w:smallCaps w:val="0"/>
          <w:color w:val="000000"/>
          <w:rtl w:val="0"/>
        </w:rPr>
        <w:t xml:space="preserve">Please note: the toolkit is not part of the grant contract and has no legal value. It merely provides general guidance and may in some details differ from the signed grant contract. In order to ensure compliance with their contractual obligations beneficiaries should not exclusively rely on the toolkit but always consult their individual contract documents.</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Rule="auto"/>
        <w:jc w:val="center"/>
        <w:rPr>
          <w:smallCaps w:val="0"/>
          <w:color w:val="000000"/>
        </w:rPr>
      </w:pPr>
      <w:r w:rsidDel="00000000" w:rsidR="00000000" w:rsidRPr="00000000">
        <w:rPr>
          <w:smallCaps w:val="0"/>
          <w:color w:val="000000"/>
          <w:rtl w:val="0"/>
        </w:rPr>
        <w:t xml:space="preserve">* * *</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rtl w:val="0"/>
        </w:rPr>
      </w:r>
    </w:p>
    <w:sectPr>
      <w:pgSz w:h="16838" w:w="11906" w:orient="portrait"/>
      <w:pgMar w:bottom="1021" w:top="1021"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Time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1">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Where a grant is financed by the European Development Fund, any mention of European Union financing must be understood as referring to European Development Fund financing.</w:t>
      </w:r>
    </w:p>
  </w:footnote>
  <w:footnote w:id="2">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Note that a lead applicant (i.e. a coordinator) whose pillars have been positively assessed by the European Commission and who is awarded a grant will not sign the standard grant contract published with these guidelines, but a contribution agreement based on the contribution agreement template. All references in these guidelines and other documents related to this call to the standard grant contract shall in this case be understood as referring to the relevant provisions of the contribution agreement template.</w:t>
      </w:r>
    </w:p>
  </w:footnote>
  <w:footnote w:id="3">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International organisations are international public-sector organisations set up by intergovernmental agreements as well as specialised agencies set up by them; the International Committee of the Red Cross (ICRC) and the International Federation of National Red Cross and Red Crescent Societies are also recognised as international organisations.</w:t>
      </w:r>
    </w:p>
  </w:footnote>
  <w:footnote w:id="4">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5">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https://wikis.ec.europa.eu/display/ExactExternalWiki/Intervention+Cycle+Methodology+Guide</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footnote>
  <w:footnote w:id="6">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third parties are neither affiliated entity(ies) nor associates nor contractors.</w:t>
      </w:r>
    </w:p>
  </w:footnote>
  <w:footnote w:id="7">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per OECD DAC definition, the term ‘results’ includes: ‘impact’ (overall objective), ‘outcome(s)’ (specific objective(s) and ‘output(s)’.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Arial" w:cs="Arial" w:eastAsia="Arial" w:hAnsi="Arial"/>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mallCaps w:val="0"/>
        <w:strike w:val="0"/>
        <w:color w:val="000000"/>
        <w:sz w:val="20"/>
        <w:szCs w:val="20"/>
        <w:u w:val="none"/>
        <w:shd w:fill="auto" w:val="clear"/>
        <w:vertAlign w:val="baseline"/>
      </w:rPr>
    </w:lvl>
  </w:abstractNum>
  <w:abstractNum w:abstractNumId="2">
    <w:lvl w:ilvl="0">
      <w:start w:val="1"/>
      <w:numFmt w:val="bullet"/>
      <w:lvlText w:val="∙"/>
      <w:lvlJc w:val="left"/>
      <w:pPr>
        <w:ind w:left="720" w:hanging="720"/>
      </w:pPr>
      <w:rPr>
        <w:rFonts w:ascii="Arial" w:cs="Arial" w:eastAsia="Arial" w:hAnsi="Arial"/>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mallCaps w:val="0"/>
        <w:strike w:val="0"/>
        <w:color w:val="000000"/>
        <w:sz w:val="20"/>
        <w:szCs w:val="20"/>
        <w:u w:val="none"/>
        <w:shd w:fill="auto" w:val="clear"/>
        <w:vertAlign w:val="baseline"/>
      </w:rPr>
    </w:lvl>
  </w:abstractNum>
  <w:abstractNum w:abstractNumId="3">
    <w:lvl w:ilvl="0">
      <w:start w:val="1"/>
      <w:numFmt w:val="bullet"/>
      <w:lvlText w:val="∙"/>
      <w:lvlJc w:val="left"/>
      <w:pPr>
        <w:ind w:left="720" w:hanging="720"/>
      </w:pPr>
      <w:rPr>
        <w:rFonts w:ascii="Arial" w:cs="Arial" w:eastAsia="Arial" w:hAnsi="Arial"/>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mallCaps w:val="0"/>
        <w:strike w:val="0"/>
        <w:color w:val="000000"/>
        <w:sz w:val="20"/>
        <w:szCs w:val="20"/>
        <w:u w:val="none"/>
        <w:shd w:fill="auto" w:val="clear"/>
        <w:vertAlign w:val="baseline"/>
      </w:rPr>
    </w:lvl>
  </w:abstractNum>
  <w:abstractNum w:abstractNumId="4">
    <w:lvl w:ilvl="0">
      <w:start w:val="1"/>
      <w:numFmt w:val="bullet"/>
      <w:lvlText w:val="∙"/>
      <w:lvlJc w:val="left"/>
      <w:pPr>
        <w:ind w:left="1211" w:hanging="1211"/>
      </w:pPr>
      <w:rPr>
        <w:rFonts w:ascii="Arial" w:cs="Arial" w:eastAsia="Arial" w:hAnsi="Arial"/>
        <w:b w:val="0"/>
        <w:bCs w:val="0"/>
        <w:i w:val="0"/>
        <w:iCs w:val="0"/>
        <w:smallCaps w:val="0"/>
        <w:strike w:val="0"/>
        <w:color w:val="000000"/>
        <w:sz w:val="20"/>
        <w:szCs w:val="20"/>
        <w:u w:val="none"/>
        <w:shd w:fill="auto" w:val="clear"/>
        <w:vertAlign w:val="baseline"/>
      </w:rPr>
    </w:lvl>
    <w:lvl w:ilvl="1">
      <w:start w:val="1"/>
      <w:numFmt w:val="bullet"/>
      <w:lvlText w:val="○"/>
      <w:lvlJc w:val="left"/>
      <w:pPr>
        <w:ind w:left="1931" w:hanging="1931"/>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651" w:hanging="2651"/>
      </w:pPr>
      <w:rPr>
        <w:rFonts w:ascii="Arial" w:cs="Arial" w:eastAsia="Arial" w:hAnsi="Arial"/>
        <w:b w:val="0"/>
        <w:bCs w:val="0"/>
        <w:i w:val="0"/>
        <w:iCs w:val="0"/>
        <w:smallCaps w:val="0"/>
        <w:strike w:val="0"/>
        <w:color w:val="000000"/>
        <w:sz w:val="20"/>
        <w:szCs w:val="20"/>
        <w:u w:val="none"/>
        <w:shd w:fill="auto" w:val="clear"/>
        <w:vertAlign w:val="baseline"/>
      </w:rPr>
    </w:lvl>
    <w:lvl w:ilvl="3">
      <w:start w:val="1"/>
      <w:numFmt w:val="bullet"/>
      <w:lvlText w:val="∙"/>
      <w:lvlJc w:val="left"/>
      <w:pPr>
        <w:ind w:left="3371" w:hanging="3371"/>
      </w:pPr>
      <w:rPr>
        <w:rFonts w:ascii="Arial" w:cs="Arial" w:eastAsia="Arial" w:hAnsi="Arial"/>
        <w:b w:val="0"/>
        <w:bCs w:val="0"/>
        <w:i w:val="0"/>
        <w:iCs w:val="0"/>
        <w:smallCaps w:val="0"/>
        <w:strike w:val="0"/>
        <w:color w:val="000000"/>
        <w:sz w:val="20"/>
        <w:szCs w:val="20"/>
        <w:u w:val="none"/>
        <w:shd w:fill="auto" w:val="clear"/>
        <w:vertAlign w:val="baseline"/>
      </w:rPr>
    </w:lvl>
    <w:lvl w:ilvl="4">
      <w:start w:val="1"/>
      <w:numFmt w:val="bullet"/>
      <w:lvlText w:val="○"/>
      <w:lvlJc w:val="left"/>
      <w:pPr>
        <w:ind w:left="4091" w:hanging="4091"/>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4811" w:hanging="4811"/>
      </w:pPr>
      <w:rPr>
        <w:rFonts w:ascii="Arial" w:cs="Arial" w:eastAsia="Arial" w:hAnsi="Arial"/>
        <w:b w:val="0"/>
        <w:bCs w:val="0"/>
        <w:i w:val="0"/>
        <w:iCs w:val="0"/>
        <w:smallCaps w:val="0"/>
        <w:strike w:val="0"/>
        <w:color w:val="000000"/>
        <w:sz w:val="20"/>
        <w:szCs w:val="20"/>
        <w:u w:val="none"/>
        <w:shd w:fill="auto" w:val="clear"/>
        <w:vertAlign w:val="baseline"/>
      </w:rPr>
    </w:lvl>
    <w:lvl w:ilvl="6">
      <w:start w:val="1"/>
      <w:numFmt w:val="bullet"/>
      <w:lvlText w:val="∙"/>
      <w:lvlJc w:val="left"/>
      <w:pPr>
        <w:ind w:left="5531" w:hanging="5531"/>
      </w:pPr>
      <w:rPr>
        <w:rFonts w:ascii="Arial" w:cs="Arial" w:eastAsia="Arial" w:hAnsi="Arial"/>
        <w:b w:val="0"/>
        <w:bCs w:val="0"/>
        <w:i w:val="0"/>
        <w:iCs w:val="0"/>
        <w:smallCaps w:val="0"/>
        <w:strike w:val="0"/>
        <w:color w:val="000000"/>
        <w:sz w:val="20"/>
        <w:szCs w:val="20"/>
        <w:u w:val="none"/>
        <w:shd w:fill="auto" w:val="clear"/>
        <w:vertAlign w:val="baseline"/>
      </w:rPr>
    </w:lvl>
    <w:lvl w:ilvl="7">
      <w:start w:val="1"/>
      <w:numFmt w:val="bullet"/>
      <w:lvlText w:val="○"/>
      <w:lvlJc w:val="left"/>
      <w:pPr>
        <w:ind w:left="6251" w:hanging="6251"/>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6971" w:hanging="6971"/>
      </w:pPr>
      <w:rPr>
        <w:rFonts w:ascii="Arial" w:cs="Arial" w:eastAsia="Arial" w:hAnsi="Arial"/>
        <w:b w:val="0"/>
        <w:bCs w:val="0"/>
        <w:i w:val="0"/>
        <w:iCs w:val="0"/>
        <w:smallCaps w:val="0"/>
        <w:strike w:val="0"/>
        <w:color w:val="000000"/>
        <w:sz w:val="20"/>
        <w:szCs w:val="20"/>
        <w:u w:val="none"/>
        <w:shd w:fill="auto" w:val="clear"/>
        <w:vertAlign w:val="baseline"/>
      </w:rPr>
    </w:lvl>
  </w:abstractNum>
  <w:abstractNum w:abstractNumId="5">
    <w:lvl w:ilvl="0">
      <w:start w:val="1"/>
      <w:numFmt w:val="bullet"/>
      <w:lvlText w:val="∙"/>
      <w:lvlJc w:val="left"/>
      <w:pPr>
        <w:ind w:left="720" w:hanging="720"/>
      </w:pPr>
      <w:rPr>
        <w:rFonts w:ascii="Arial" w:cs="Arial" w:eastAsia="Arial" w:hAnsi="Arial"/>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567" w:hanging="567"/>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7">
    <w:lvl w:ilvl="0">
      <w:start w:val="1"/>
      <w:numFmt w:val="bullet"/>
      <w:lvlText w:val="∙"/>
      <w:lvlJc w:val="left"/>
      <w:pPr>
        <w:ind w:left="720" w:hanging="720"/>
      </w:pPr>
      <w:rPr>
        <w:rFonts w:ascii="Arial" w:cs="Arial" w:eastAsia="Arial" w:hAnsi="Arial"/>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mallCaps w:val="0"/>
        <w:strike w:val="0"/>
        <w:color w:val="000000"/>
        <w:sz w:val="20"/>
        <w:szCs w:val="20"/>
        <w:u w:val="none"/>
        <w:shd w:fill="auto" w:val="clear"/>
        <w:vertAlign w:val="baseline"/>
      </w:rPr>
    </w:lvl>
  </w:abstractNum>
  <w:abstractNum w:abstractNumId="8">
    <w:lvl w:ilvl="0">
      <w:start w:val="1"/>
      <w:numFmt w:val="decimal"/>
      <w:lvlText w:val="(%1)"/>
      <w:lvlJc w:val="left"/>
      <w:pPr>
        <w:ind w:left="501" w:hanging="501"/>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9">
    <w:lvl w:ilvl="0">
      <w:start w:val="1"/>
      <w:numFmt w:val="lowerRoman"/>
      <w:lvlText w:val="(%1)"/>
      <w:lvlJc w:val="left"/>
      <w:pPr>
        <w:ind w:left="1080" w:hanging="10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0">
    <w:lvl w:ilvl="0">
      <w:start w:val="1"/>
      <w:numFmt w:val="lowerRoman"/>
      <w:lvlText w:val="(%1)"/>
      <w:lvlJc w:val="left"/>
      <w:pPr>
        <w:ind w:left="1080" w:hanging="10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1">
    <w:lvl w:ilvl="0">
      <w:start w:val="1"/>
      <w:numFmt w:val="bullet"/>
      <w:lvlText w:val="-"/>
      <w:lvlJc w:val="left"/>
      <w:pPr>
        <w:ind w:left="742" w:hanging="742"/>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bullet"/>
      <w:lvlText w:val="○"/>
      <w:lvlJc w:val="left"/>
      <w:pPr>
        <w:ind w:left="1462" w:hanging="1462"/>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82" w:hanging="2182"/>
      </w:pPr>
      <w:rPr>
        <w:rFonts w:ascii="Arial" w:cs="Arial" w:eastAsia="Arial" w:hAnsi="Arial"/>
        <w:b w:val="0"/>
        <w:bCs w:val="0"/>
        <w:i w:val="0"/>
        <w:iCs w:val="0"/>
        <w:smallCaps w:val="0"/>
        <w:strike w:val="0"/>
        <w:color w:val="000000"/>
        <w:sz w:val="20"/>
        <w:szCs w:val="20"/>
        <w:u w:val="none"/>
        <w:shd w:fill="auto" w:val="clear"/>
        <w:vertAlign w:val="baseline"/>
      </w:rPr>
    </w:lvl>
    <w:lvl w:ilvl="3">
      <w:start w:val="1"/>
      <w:numFmt w:val="bullet"/>
      <w:lvlText w:val="∙"/>
      <w:lvlJc w:val="left"/>
      <w:pPr>
        <w:ind w:left="2902" w:hanging="2902"/>
      </w:pPr>
      <w:rPr>
        <w:rFonts w:ascii="Arial" w:cs="Arial" w:eastAsia="Arial" w:hAnsi="Arial"/>
        <w:b w:val="0"/>
        <w:bCs w:val="0"/>
        <w:i w:val="0"/>
        <w:iCs w:val="0"/>
        <w:smallCaps w:val="0"/>
        <w:strike w:val="0"/>
        <w:color w:val="000000"/>
        <w:sz w:val="20"/>
        <w:szCs w:val="20"/>
        <w:u w:val="none"/>
        <w:shd w:fill="auto" w:val="clear"/>
        <w:vertAlign w:val="baseline"/>
      </w:rPr>
    </w:lvl>
    <w:lvl w:ilvl="4">
      <w:start w:val="1"/>
      <w:numFmt w:val="bullet"/>
      <w:lvlText w:val="○"/>
      <w:lvlJc w:val="left"/>
      <w:pPr>
        <w:ind w:left="3622" w:hanging="3622"/>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4342" w:hanging="4342"/>
      </w:pPr>
      <w:rPr>
        <w:rFonts w:ascii="Arial" w:cs="Arial" w:eastAsia="Arial" w:hAnsi="Arial"/>
        <w:b w:val="0"/>
        <w:bCs w:val="0"/>
        <w:i w:val="0"/>
        <w:iCs w:val="0"/>
        <w:smallCaps w:val="0"/>
        <w:strike w:val="0"/>
        <w:color w:val="000000"/>
        <w:sz w:val="20"/>
        <w:szCs w:val="20"/>
        <w:u w:val="none"/>
        <w:shd w:fill="auto" w:val="clear"/>
        <w:vertAlign w:val="baseline"/>
      </w:rPr>
    </w:lvl>
    <w:lvl w:ilvl="6">
      <w:start w:val="1"/>
      <w:numFmt w:val="bullet"/>
      <w:lvlText w:val="∙"/>
      <w:lvlJc w:val="left"/>
      <w:pPr>
        <w:ind w:left="5062" w:hanging="5062"/>
      </w:pPr>
      <w:rPr>
        <w:rFonts w:ascii="Arial" w:cs="Arial" w:eastAsia="Arial" w:hAnsi="Arial"/>
        <w:b w:val="0"/>
        <w:bCs w:val="0"/>
        <w:i w:val="0"/>
        <w:iCs w:val="0"/>
        <w:smallCaps w:val="0"/>
        <w:strike w:val="0"/>
        <w:color w:val="000000"/>
        <w:sz w:val="20"/>
        <w:szCs w:val="20"/>
        <w:u w:val="none"/>
        <w:shd w:fill="auto" w:val="clear"/>
        <w:vertAlign w:val="baseline"/>
      </w:rPr>
    </w:lvl>
    <w:lvl w:ilvl="7">
      <w:start w:val="1"/>
      <w:numFmt w:val="bullet"/>
      <w:lvlText w:val="○"/>
      <w:lvlJc w:val="left"/>
      <w:pPr>
        <w:ind w:left="5782" w:hanging="5782"/>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6502" w:hanging="6502"/>
      </w:pPr>
      <w:rPr>
        <w:rFonts w:ascii="Arial" w:cs="Arial" w:eastAsia="Arial" w:hAnsi="Arial"/>
        <w:b w:val="0"/>
        <w:bCs w:val="0"/>
        <w:i w:val="0"/>
        <w:iCs w:val="0"/>
        <w:smallCaps w:val="0"/>
        <w:strike w:val="0"/>
        <w:color w:val="000000"/>
        <w:sz w:val="20"/>
        <w:szCs w:val="20"/>
        <w:u w:val="none"/>
        <w:shd w:fill="auto" w:val="clear"/>
        <w:vertAlign w:val="baseline"/>
      </w:rPr>
    </w:lvl>
  </w:abstractNum>
  <w:abstractNum w:abstractNumId="12">
    <w:lvl w:ilvl="0">
      <w:start w:val="1"/>
      <w:numFmt w:val="lowerLetter"/>
      <w:lvlText w:val="%1)"/>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13">
    <w:lvl w:ilvl="0">
      <w:start w:val="1"/>
      <w:numFmt w:val="bullet"/>
      <w:lvlText w:val="∙"/>
      <w:lvlJc w:val="left"/>
      <w:pPr>
        <w:ind w:left="1211" w:hanging="1211"/>
      </w:pPr>
      <w:rPr>
        <w:rFonts w:ascii="Arial" w:cs="Arial" w:eastAsia="Arial" w:hAnsi="Arial"/>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mallCaps w:val="0"/>
        <w:strike w:val="0"/>
        <w:color w:val="000000"/>
        <w:sz w:val="20"/>
        <w:szCs w:val="20"/>
        <w:u w:val="none"/>
        <w:shd w:fill="auto" w:val="clear"/>
        <w:vertAlign w:val="baseline"/>
      </w:rPr>
    </w:lvl>
  </w:abstractNum>
  <w:abstractNum w:abstractNumId="14">
    <w:lvl w:ilvl="0">
      <w:start w:val="1"/>
      <w:numFmt w:val="decimal"/>
      <w:lvlText w:val="%1."/>
      <w:lvlJc w:val="left"/>
      <w:pPr>
        <w:ind w:left="567" w:hanging="567"/>
      </w:pPr>
      <w:rPr>
        <w:rFonts w:ascii="Times" w:cs="Times" w:eastAsia="Times" w:hAnsi="Times"/>
        <w:b w:val="1"/>
        <w:bCs w:val="1"/>
        <w:i w:val="0"/>
        <w:iCs w:val="0"/>
        <w:smallCaps w:val="0"/>
        <w:strike w:val="0"/>
        <w:color w:val="000000"/>
        <w:sz w:val="24"/>
        <w:szCs w:val="24"/>
        <w:u w:val="none"/>
        <w:shd w:fill="auto" w:val="clear"/>
        <w:vertAlign w:val="baseline"/>
      </w:rPr>
    </w:lvl>
    <w:lvl w:ilvl="1">
      <w:start w:val="1"/>
      <w:numFmt w:val="decimal"/>
      <w:lvlText w:val="%1.%2."/>
      <w:lvlJc w:val="left"/>
      <w:pPr>
        <w:ind w:left="567" w:hanging="567"/>
      </w:pPr>
      <w:rPr>
        <w:rFonts w:ascii="Times" w:cs="Times" w:eastAsia="Times" w:hAnsi="Times"/>
        <w:b w:val="1"/>
        <w:bCs w:val="1"/>
        <w:i w:val="0"/>
        <w:iCs w:val="0"/>
        <w:smallCaps w:val="0"/>
        <w:strike w:val="0"/>
        <w:color w:val="000000"/>
        <w:sz w:val="24"/>
        <w:szCs w:val="24"/>
        <w:u w:val="none"/>
        <w:shd w:fill="auto" w:val="clear"/>
        <w:vertAlign w:val="baseline"/>
      </w:rPr>
    </w:lvl>
    <w:lvl w:ilvl="2">
      <w:start w:val="1"/>
      <w:numFmt w:val="decimal"/>
      <w:lvlText w:val="%1.%2.%3."/>
      <w:lvlJc w:val="left"/>
      <w:pPr>
        <w:ind w:left="851" w:hanging="851"/>
      </w:pPr>
      <w:rPr>
        <w:rFonts w:ascii="Times" w:cs="Times" w:eastAsia="Times" w:hAnsi="Times"/>
        <w:b w:val="1"/>
        <w:bCs w:val="1"/>
        <w:i w:val="1"/>
        <w:iCs w:val="1"/>
        <w:smallCaps w:val="0"/>
        <w:strike w:val="0"/>
        <w:color w:val="000000"/>
        <w:sz w:val="24"/>
        <w:szCs w:val="24"/>
        <w:u w:val="none"/>
        <w:shd w:fill="auto" w:val="clear"/>
        <w:vertAlign w:val="baseline"/>
      </w:rPr>
    </w:lvl>
    <w:lvl w:ilvl="3">
      <w:start w:val="1"/>
      <w:numFmt w:val="decimal"/>
      <w:lvlText w:val="%1.%2.%3.%4"/>
      <w:lvlJc w:val="left"/>
      <w:pPr>
        <w:ind w:left="567" w:hanging="567"/>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1.%2.%3.%4.%5"/>
      <w:lvlJc w:val="left"/>
      <w:pPr>
        <w:ind w:left="567" w:hanging="567"/>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1.%2.%3.%4.%5.%6"/>
      <w:lvlJc w:val="left"/>
      <w:pPr>
        <w:ind w:left="567" w:hanging="567"/>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1.%2.%3.%4.%5.%6.%7"/>
      <w:lvlJc w:val="left"/>
      <w:pPr>
        <w:ind w:left="567" w:hanging="567"/>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1.%2.%3.%4.%5.%6.%7.%8"/>
      <w:lvlJc w:val="left"/>
      <w:pPr>
        <w:ind w:left="567" w:hanging="567"/>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1.%2.%3.%4.%5.%6.%7.%8.%9"/>
      <w:lvlJc w:val="left"/>
      <w:pPr>
        <w:ind w:left="567" w:hanging="567"/>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8"/>
      <w:szCs w:val="28"/>
    </w:rPr>
  </w:style>
  <w:style w:type="paragraph" w:styleId="Heading2">
    <w:name w:val="heading 2"/>
    <w:basedOn w:val="Normal"/>
    <w:next w:val="Normal"/>
    <w:pPr>
      <w:keepNext w:val="1"/>
      <w:keepLines w:val="1"/>
      <w:pageBreakBefore w:val="0"/>
      <w:pBdr>
        <w:top w:space="0" w:sz="0" w:val="nil"/>
        <w:left w:space="0" w:sz="0" w:val="nil"/>
        <w:bottom w:space="0" w:sz="0" w:val="nil"/>
        <w:right w:space="0" w:sz="0" w:val="nil"/>
        <w:between w:space="0" w:sz="0" w:val="nil"/>
      </w:pBdr>
      <w:shd w:fill="auto" w:val="clear"/>
      <w:tabs>
        <w:tab w:val="left" w:leader="none" w:pos="283"/>
        <w:tab w:val="left" w:leader="none" w:pos="567"/>
      </w:tabs>
      <w:spacing w:after="120" w:lineRule="auto"/>
      <w:ind w:left="283" w:hanging="283"/>
    </w:pPr>
    <w:rPr>
      <w:b w:val="1"/>
      <w:bCs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tabs>
        <w:tab w:val="left" w:leader="none" w:pos="283"/>
        <w:tab w:val="left" w:leader="none" w:pos="1440"/>
      </w:tabs>
      <w:spacing w:after="60" w:before="240" w:lineRule="auto"/>
      <w:ind w:left="283" w:hanging="283"/>
    </w:pPr>
    <w:rPr>
      <w:b w:val="1"/>
      <w:bCs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240" w:lineRule="auto"/>
      <w:ind w:left="1984" w:hanging="782"/>
    </w:pPr>
    <w:rPr>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tabs>
        <w:tab w:val="left" w:leader="none" w:pos="0"/>
      </w:tabs>
      <w:spacing w:after="60" w:before="240" w:lineRule="auto"/>
      <w:ind w:left="360" w:hanging="360"/>
    </w:pPr>
    <w:rPr>
      <w:rFonts w:ascii="Arial" w:cs="Arial" w:eastAsia="Arial" w:hAnsi="Arial"/>
      <w:smallCaps w:val="0"/>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tabs>
        <w:tab w:val="left" w:leader="none" w:pos="0"/>
      </w:tabs>
      <w:spacing w:after="60" w:before="240" w:lineRule="auto"/>
      <w:ind w:left="360" w:hanging="360"/>
    </w:pPr>
    <w:rPr>
      <w:rFonts w:ascii="Arial" w:cs="Arial" w:eastAsia="Arial" w:hAnsi="Arial"/>
      <w:i w:val="1"/>
      <w:iCs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480" w:lineRule="auto"/>
      <w:jc w:val="center"/>
    </w:pPr>
    <w:rPr>
      <w:b w:val="1"/>
      <w:bCs w:val="1"/>
      <w:smallCaps w:val="0"/>
      <w:sz w:val="48"/>
      <w:szCs w:val="48"/>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120" w:before="120" w:lineRule="auto"/>
      <w:jc w:val="center"/>
    </w:pPr>
    <w:rPr>
      <w:rFonts w:ascii="Arial" w:cs="Arial" w:eastAsia="Arial" w:hAnsi="Arial"/>
      <w:b w:val="1"/>
      <w:bCs w:val="1"/>
      <w:smallCaps w:val="0"/>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c.europa.eu/international-partnerships/funding/managing-project_en" TargetMode="External"/><Relationship Id="rId10" Type="http://schemas.openxmlformats.org/officeDocument/2006/relationships/hyperlink" Target="https://ec.europa.eu/international-partnerships/comm-visibility-requirements_en" TargetMode="External"/><Relationship Id="rId13" Type="http://schemas.openxmlformats.org/officeDocument/2006/relationships/hyperlink" Target="https://ec.europa.eu/international-partnerships/financial-management-toolkit_en" TargetMode="External"/><Relationship Id="rId12" Type="http://schemas.openxmlformats.org/officeDocument/2006/relationships/hyperlink" Target="https://wikis.ec.europa.eu/pages/viewpage.action?pageId=481692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ikis.ec.europa.eu/display/ExactExternalWiki/ePRA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wikis.ec.europa.eu/display/ExactExternalWiki/Intervention+Cycle+Methodology+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461ojnQ3S7UL1Ot6QQ61a6R5g==">CgMxLjAyD2lkLmVpYThreTl4NzhzeDIPaWQubThobmxqc21tOGxuMg5oLm8zZDBkN3ZwMDViaTIOaC4yaWV4NXRpb3RqbGsyDmguaWN0bGE0c2MxY25iMg5oLmlxNmwycGw4MDhuejIOaC44dWN5ZGZhbTBoamcyDmgucmZ1MjJpeHYzZnZvMg5oLmc4c3hpdWl1dnYxdzIOaC52c2Q5cjkzemJlZ3kyDmguY3FzZDJmZHhnMnA2Mg5oLnI4aWY4a2sxcW8xYjIOaC5ybGVjNW83cWs1aHI4AXIhMXdPcDZEVDlhLWh2eW9HN1JCVHlLN1B0bW9qemJhRH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