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06858" w:rsidRDefault="004751D5">
      <w:pPr>
        <w:pStyle w:val="Ttulo3"/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Start w:id="1" w:name="_GoBack"/>
      <w:bookmarkEnd w:id="0"/>
      <w:r>
        <w:rPr>
          <w:b/>
          <w:lang w:val="pt-BR" w:bidi="pt-BR"/>
        </w:rPr>
        <w:t>Módulo 7 - Aprendizagem não supervisionada</w:t>
      </w:r>
      <w:r>
        <w:rPr>
          <w:b/>
          <w:lang w:val="pt-BR" w:bidi="pt-BR"/>
        </w:rPr>
        <w:br/>
      </w:r>
      <w:r>
        <w:rPr>
          <w:lang w:val="pt-BR" w:bidi="pt-BR"/>
        </w:rPr>
        <w:t>Aula 52a - Introdução ao clustering hierárquico</w:t>
      </w:r>
    </w:p>
    <w:p w:rsidR="00C06858" w:rsidRDefault="00C06858">
      <w:pPr>
        <w:pBdr>
          <w:top w:val="nil"/>
          <w:left w:val="nil"/>
          <w:bottom w:val="nil"/>
          <w:right w:val="nil"/>
          <w:between w:val="nil"/>
        </w:pBdr>
      </w:pPr>
    </w:p>
    <w:p w:rsidR="00C06858" w:rsidRDefault="004751D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  <w:lang w:val="pt-BR" w:bidi="pt-BR"/>
        </w:rPr>
        <w:t>Objetivos de aprendizagem</w:t>
      </w:r>
    </w:p>
    <w:p w:rsidR="00C06858" w:rsidRDefault="004751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sz w:val="20"/>
          <w:szCs w:val="20"/>
        </w:rPr>
      </w:pPr>
      <w:r>
        <w:rPr>
          <w:sz w:val="20"/>
          <w:szCs w:val="20"/>
          <w:lang w:val="pt-BR" w:bidi="pt-BR"/>
        </w:rPr>
        <w:t>Introduzir conceitos vinculados ao clustering hierárquico</w:t>
      </w:r>
    </w:p>
    <w:p w:rsidR="00C06858" w:rsidRDefault="004751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sz w:val="20"/>
          <w:szCs w:val="20"/>
        </w:rPr>
      </w:pPr>
      <w:r>
        <w:rPr>
          <w:sz w:val="20"/>
          <w:szCs w:val="20"/>
          <w:lang w:val="pt-BR" w:bidi="pt-BR"/>
        </w:rPr>
        <w:t>Entender o que é um dendrograma</w:t>
      </w:r>
    </w:p>
    <w:p w:rsidR="00C06858" w:rsidRDefault="004751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sz w:val="20"/>
          <w:szCs w:val="20"/>
        </w:rPr>
      </w:pPr>
      <w:r>
        <w:rPr>
          <w:sz w:val="20"/>
          <w:szCs w:val="20"/>
          <w:lang w:val="pt-BR" w:bidi="pt-BR"/>
        </w:rPr>
        <w:t>Avançar na compreensão de aspectos vinculados às diferentes medidas de diferença</w:t>
      </w:r>
    </w:p>
    <w:p w:rsidR="00C06858" w:rsidRDefault="004751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sz w:val="20"/>
          <w:szCs w:val="20"/>
        </w:rPr>
      </w:pPr>
      <w:r>
        <w:rPr>
          <w:sz w:val="20"/>
          <w:szCs w:val="20"/>
          <w:lang w:val="pt-BR" w:bidi="pt-BR"/>
        </w:rPr>
        <w:t>Identificar as diferenças e semelhanças com o método de K-Means</w:t>
      </w:r>
    </w:p>
    <w:p w:rsidR="00C06858" w:rsidRDefault="00C06858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C06858" w:rsidRDefault="004751D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0"/>
          <w:szCs w:val="20"/>
          <w:u w:val="single"/>
          <w:lang w:val="pt-BR" w:bidi="pt-BR"/>
        </w:rPr>
        <w:t>Conteúdo</w:t>
      </w:r>
    </w:p>
    <w:p w:rsidR="00C06858" w:rsidRDefault="004751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sz w:val="20"/>
          <w:szCs w:val="20"/>
        </w:rPr>
      </w:pPr>
      <w:r>
        <w:rPr>
          <w:sz w:val="20"/>
          <w:szCs w:val="20"/>
          <w:lang w:val="pt-BR" w:bidi="pt-BR"/>
        </w:rPr>
        <w:t>Clustering hierárquico</w:t>
      </w:r>
    </w:p>
    <w:p w:rsidR="00C06858" w:rsidRDefault="004751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sz w:val="20"/>
          <w:szCs w:val="20"/>
        </w:rPr>
      </w:pPr>
      <w:r>
        <w:rPr>
          <w:sz w:val="20"/>
          <w:szCs w:val="20"/>
          <w:lang w:val="pt-BR" w:bidi="pt-BR"/>
        </w:rPr>
        <w:t>Dendrogramas: interpretação</w:t>
      </w:r>
    </w:p>
    <w:p w:rsidR="00C06858" w:rsidRDefault="004751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sz w:val="20"/>
          <w:szCs w:val="20"/>
        </w:rPr>
      </w:pPr>
      <w:r>
        <w:rPr>
          <w:sz w:val="20"/>
          <w:szCs w:val="20"/>
          <w:lang w:val="pt-BR" w:bidi="pt-BR"/>
        </w:rPr>
        <w:t>Medidas de diferença (“Linkage”):</w:t>
      </w:r>
    </w:p>
    <w:p w:rsidR="00C06858" w:rsidRDefault="004751D5">
      <w:pPr>
        <w:numPr>
          <w:ilvl w:val="1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  <w:lang w:val="pt-BR" w:bidi="pt-BR"/>
        </w:rPr>
        <w:t>Single linkage</w:t>
      </w:r>
    </w:p>
    <w:p w:rsidR="00C06858" w:rsidRDefault="004751D5">
      <w:pPr>
        <w:numPr>
          <w:ilvl w:val="1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  <w:lang w:val="pt-BR" w:bidi="pt-BR"/>
        </w:rPr>
        <w:t>Complete linkage</w:t>
      </w:r>
    </w:p>
    <w:p w:rsidR="00C06858" w:rsidRDefault="004751D5">
      <w:pPr>
        <w:numPr>
          <w:ilvl w:val="1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  <w:lang w:val="pt-BR" w:bidi="pt-BR"/>
        </w:rPr>
        <w:t>Average linkage</w:t>
      </w:r>
    </w:p>
    <w:p w:rsidR="00C06858" w:rsidRDefault="004751D5">
      <w:pPr>
        <w:numPr>
          <w:ilvl w:val="1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  <w:lang w:val="pt-BR" w:bidi="pt-BR"/>
        </w:rPr>
        <w:t>Ward linkage</w:t>
      </w:r>
    </w:p>
    <w:p w:rsidR="00C06858" w:rsidRDefault="004751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contextualSpacing/>
        <w:rPr>
          <w:sz w:val="20"/>
          <w:szCs w:val="20"/>
        </w:rPr>
      </w:pPr>
      <w:r>
        <w:rPr>
          <w:sz w:val="20"/>
          <w:szCs w:val="20"/>
          <w:lang w:val="pt-BR" w:bidi="pt-BR"/>
        </w:rPr>
        <w:t>Diferenças e semelhanças com K-Means</w:t>
      </w:r>
    </w:p>
    <w:p w:rsidR="00C06858" w:rsidRDefault="00C06858">
      <w:pPr>
        <w:pBdr>
          <w:top w:val="nil"/>
          <w:left w:val="nil"/>
          <w:bottom w:val="nil"/>
          <w:right w:val="nil"/>
          <w:between w:val="nil"/>
        </w:pBdr>
      </w:pPr>
    </w:p>
    <w:p w:rsidR="00C06858" w:rsidRDefault="004751D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0"/>
          <w:szCs w:val="20"/>
          <w:u w:val="single"/>
          <w:lang w:val="pt-BR" w:bidi="pt-BR"/>
        </w:rPr>
        <w:t>Modalidades de aula incluídas</w:t>
      </w:r>
    </w:p>
    <w:p w:rsidR="00C06858" w:rsidRDefault="00C06858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8625"/>
      </w:tblGrid>
      <w:tr w:rsidR="00C06858">
        <w:trPr>
          <w:trHeight w:val="540"/>
        </w:trPr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s-AR" w:eastAsia="es-AR"/>
              </w:rPr>
              <w:drawing>
                <wp:inline distT="114300" distB="114300" distL="114300" distR="114300">
                  <wp:extent cx="323850" cy="279400"/>
                  <wp:effectExtent l="0" t="0" r="0" b="0"/>
                  <wp:docPr id="5" name="image8.png" descr="habla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hablar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7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</w:pPr>
            <w:r>
              <w:rPr>
                <w:sz w:val="20"/>
                <w:szCs w:val="20"/>
                <w:lang w:val="pt-BR" w:bidi="pt-BR"/>
              </w:rPr>
              <w:t>Exposição teórica oral e interativa, com material de apoio por escrito</w:t>
            </w:r>
          </w:p>
        </w:tc>
      </w:tr>
    </w:tbl>
    <w:p w:rsidR="00C06858" w:rsidRDefault="00C06858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8625"/>
      </w:tblGrid>
      <w:tr w:rsidR="00C06858">
        <w:trPr>
          <w:trHeight w:val="540"/>
        </w:trPr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s-AR" w:eastAsia="es-AR"/>
              </w:rPr>
              <w:drawing>
                <wp:inline distT="114300" distB="114300" distL="114300" distR="114300">
                  <wp:extent cx="323850" cy="292100"/>
                  <wp:effectExtent l="0" t="0" r="0" b="0"/>
                  <wp:docPr id="6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9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</w:pPr>
            <w:r>
              <w:rPr>
                <w:sz w:val="20"/>
                <w:szCs w:val="20"/>
                <w:lang w:val="pt-BR" w:bidi="pt-BR"/>
              </w:rPr>
              <w:t>Práticas interativas, grupais e individuais, usando notebooks</w:t>
            </w:r>
          </w:p>
        </w:tc>
      </w:tr>
    </w:tbl>
    <w:p w:rsidR="00C06858" w:rsidRDefault="00C06858">
      <w:pPr>
        <w:pBdr>
          <w:top w:val="nil"/>
          <w:left w:val="nil"/>
          <w:bottom w:val="nil"/>
          <w:right w:val="nil"/>
          <w:between w:val="nil"/>
        </w:pBdr>
      </w:pPr>
    </w:p>
    <w:p w:rsidR="00C06858" w:rsidRDefault="00C06858">
      <w:pPr>
        <w:pBdr>
          <w:top w:val="nil"/>
          <w:left w:val="nil"/>
          <w:bottom w:val="nil"/>
          <w:right w:val="nil"/>
          <w:between w:val="nil"/>
        </w:pBdr>
      </w:pPr>
    </w:p>
    <w:p w:rsidR="00C06858" w:rsidRDefault="004751D5">
      <w:pPr>
        <w:pBdr>
          <w:top w:val="nil"/>
          <w:left w:val="nil"/>
          <w:bottom w:val="nil"/>
          <w:right w:val="nil"/>
          <w:between w:val="nil"/>
        </w:pBdr>
      </w:pPr>
      <w:r>
        <w:rPr>
          <w:lang w:val="pt-BR" w:bidi="pt-BR"/>
        </w:rPr>
        <w:br w:type="page"/>
      </w:r>
    </w:p>
    <w:p w:rsidR="00C06858" w:rsidRDefault="004751D5">
      <w:pPr>
        <w:pStyle w:val="Ttulo3"/>
        <w:pBdr>
          <w:top w:val="nil"/>
          <w:left w:val="nil"/>
          <w:bottom w:val="nil"/>
          <w:right w:val="nil"/>
          <w:between w:val="nil"/>
        </w:pBdr>
      </w:pPr>
      <w:bookmarkStart w:id="2" w:name="_30j0zll" w:colFirst="0" w:colLast="0"/>
      <w:bookmarkEnd w:id="2"/>
      <w:r>
        <w:rPr>
          <w:lang w:val="pt-BR" w:bidi="pt-BR"/>
        </w:rPr>
        <w:lastRenderedPageBreak/>
        <w:t>Roteiro da aula</w:t>
      </w:r>
    </w:p>
    <w:p w:rsidR="00C06858" w:rsidRDefault="00C06858">
      <w:pPr>
        <w:pBdr>
          <w:top w:val="nil"/>
          <w:left w:val="nil"/>
          <w:bottom w:val="nil"/>
          <w:right w:val="nil"/>
          <w:between w:val="nil"/>
        </w:pBdr>
      </w:pPr>
    </w:p>
    <w:p w:rsidR="00C06858" w:rsidRDefault="00C06858"/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7125"/>
        <w:gridCol w:w="2235"/>
      </w:tblGrid>
      <w:tr w:rsidR="00C06858">
        <w:trPr>
          <w:trHeight w:val="520"/>
        </w:trPr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numPr>
                <w:ilvl w:val="0"/>
                <w:numId w:val="5"/>
              </w:numPr>
              <w:contextualSpacing/>
              <w:rPr>
                <w:b/>
              </w:rPr>
            </w:pPr>
            <w:r>
              <w:rPr>
                <w:b/>
                <w:lang w:val="pt-BR" w:bidi="pt-BR"/>
              </w:rPr>
              <w:t>Boas-vindas</w:t>
            </w:r>
          </w:p>
        </w:tc>
        <w:tc>
          <w:tcPr>
            <w:tcW w:w="2235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widowControl w:val="0"/>
              <w:spacing w:line="240" w:lineRule="auto"/>
              <w:jc w:val="right"/>
            </w:pPr>
            <w:r>
              <w:rPr>
                <w:b/>
                <w:lang w:val="pt-BR" w:bidi="pt-BR"/>
              </w:rPr>
              <w:t>5 minutos</w:t>
            </w:r>
          </w:p>
        </w:tc>
      </w:tr>
    </w:tbl>
    <w:p w:rsidR="00C06858" w:rsidRDefault="00C06858"/>
    <w:tbl>
      <w:tblPr>
        <w:tblStyle w:val="a2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8640"/>
      </w:tblGrid>
      <w:tr w:rsidR="00C06858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widowControl w:val="0"/>
              <w:spacing w:line="240" w:lineRule="auto"/>
            </w:pPr>
            <w:r>
              <w:rPr>
                <w:noProof/>
                <w:lang w:val="es-AR" w:eastAsia="es-AR"/>
              </w:rPr>
              <w:drawing>
                <wp:inline distT="114300" distB="114300" distL="114300" distR="114300">
                  <wp:extent cx="323850" cy="279400"/>
                  <wp:effectExtent l="0" t="0" r="0" b="0"/>
                  <wp:docPr id="2" name="image3.png" descr="habla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ablar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7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numPr>
                <w:ilvl w:val="0"/>
                <w:numId w:val="4"/>
              </w:numPr>
              <w:contextualSpacing/>
            </w:pPr>
            <w:r>
              <w:rPr>
                <w:lang w:val="pt-BR" w:bidi="pt-BR"/>
              </w:rPr>
              <w:t>Verificar se os PCs estão funcionando corretamente</w:t>
            </w:r>
          </w:p>
          <w:p w:rsidR="00C06858" w:rsidRDefault="004751D5">
            <w:pPr>
              <w:numPr>
                <w:ilvl w:val="0"/>
                <w:numId w:val="4"/>
              </w:numPr>
              <w:contextualSpacing/>
            </w:pPr>
            <w:r>
              <w:rPr>
                <w:lang w:val="pt-BR" w:bidi="pt-BR"/>
              </w:rPr>
              <w:t xml:space="preserve">Fazer uma revisão das noções gerais de clustering k-means e sua avaliação </w:t>
            </w:r>
          </w:p>
        </w:tc>
      </w:tr>
    </w:tbl>
    <w:p w:rsidR="00C06858" w:rsidRDefault="00C06858"/>
    <w:p w:rsidR="00C06858" w:rsidRDefault="00C06858"/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7125"/>
        <w:gridCol w:w="2235"/>
      </w:tblGrid>
      <w:tr w:rsidR="00C06858">
        <w:trPr>
          <w:trHeight w:val="520"/>
        </w:trPr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numPr>
                <w:ilvl w:val="0"/>
                <w:numId w:val="5"/>
              </w:numPr>
              <w:contextualSpacing/>
              <w:rPr>
                <w:b/>
              </w:rPr>
            </w:pPr>
            <w:r>
              <w:rPr>
                <w:b/>
                <w:lang w:val="pt-BR" w:bidi="pt-BR"/>
              </w:rPr>
              <w:t>Clustering hierárquico: Conceito</w:t>
            </w:r>
          </w:p>
        </w:tc>
        <w:tc>
          <w:tcPr>
            <w:tcW w:w="2235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widowControl w:val="0"/>
              <w:spacing w:line="240" w:lineRule="auto"/>
              <w:jc w:val="right"/>
            </w:pPr>
            <w:r>
              <w:rPr>
                <w:b/>
                <w:lang w:val="pt-BR" w:bidi="pt-BR"/>
              </w:rPr>
              <w:t>10 minutos</w:t>
            </w:r>
          </w:p>
        </w:tc>
      </w:tr>
    </w:tbl>
    <w:p w:rsidR="00C06858" w:rsidRDefault="00C06858"/>
    <w:tbl>
      <w:tblPr>
        <w:tblStyle w:val="a4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8640"/>
      </w:tblGrid>
      <w:tr w:rsidR="00C06858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widowControl w:val="0"/>
              <w:spacing w:line="240" w:lineRule="auto"/>
            </w:pPr>
            <w:r>
              <w:rPr>
                <w:noProof/>
                <w:lang w:val="es-AR" w:eastAsia="es-AR"/>
              </w:rPr>
              <w:drawing>
                <wp:inline distT="114300" distB="114300" distL="114300" distR="114300">
                  <wp:extent cx="323850" cy="279400"/>
                  <wp:effectExtent l="0" t="0" r="0" b="0"/>
                  <wp:docPr id="7" name="image10.png" descr="habla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hablar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7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numPr>
                <w:ilvl w:val="0"/>
                <w:numId w:val="4"/>
              </w:numPr>
              <w:contextualSpacing/>
            </w:pPr>
            <w:r>
              <w:rPr>
                <w:lang w:val="pt-BR" w:bidi="pt-BR"/>
              </w:rPr>
              <w:t>Visão geral do algoritmo</w:t>
            </w:r>
          </w:p>
          <w:p w:rsidR="00C06858" w:rsidRDefault="004751D5">
            <w:pPr>
              <w:numPr>
                <w:ilvl w:val="0"/>
                <w:numId w:val="4"/>
              </w:numPr>
              <w:contextualSpacing/>
            </w:pPr>
            <w:r>
              <w:rPr>
                <w:lang w:val="pt-BR" w:bidi="pt-BR"/>
              </w:rPr>
              <w:t>Visualização gráfica</w:t>
            </w:r>
          </w:p>
        </w:tc>
      </w:tr>
    </w:tbl>
    <w:p w:rsidR="00C06858" w:rsidRDefault="00C06858"/>
    <w:p w:rsidR="00C06858" w:rsidRDefault="00C06858"/>
    <w:p w:rsidR="00C06858" w:rsidRDefault="00C06858"/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7125"/>
        <w:gridCol w:w="2235"/>
      </w:tblGrid>
      <w:tr w:rsidR="00C06858">
        <w:trPr>
          <w:trHeight w:val="520"/>
        </w:trPr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numPr>
                <w:ilvl w:val="0"/>
                <w:numId w:val="5"/>
              </w:numPr>
              <w:contextualSpacing/>
              <w:rPr>
                <w:b/>
              </w:rPr>
            </w:pPr>
            <w:r>
              <w:rPr>
                <w:b/>
                <w:lang w:val="pt-BR" w:bidi="pt-BR"/>
              </w:rPr>
              <w:t>Interpretação do dendrograma</w:t>
            </w:r>
          </w:p>
        </w:tc>
        <w:tc>
          <w:tcPr>
            <w:tcW w:w="2235" w:type="dxa"/>
            <w:tcBorders>
              <w:lef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widowControl w:val="0"/>
              <w:spacing w:line="240" w:lineRule="auto"/>
              <w:jc w:val="right"/>
            </w:pPr>
            <w:r>
              <w:rPr>
                <w:b/>
                <w:lang w:val="pt-BR" w:bidi="pt-BR"/>
              </w:rPr>
              <w:t>15 minutos</w:t>
            </w:r>
          </w:p>
        </w:tc>
      </w:tr>
    </w:tbl>
    <w:p w:rsidR="00C06858" w:rsidRDefault="00C06858"/>
    <w:tbl>
      <w:tblPr>
        <w:tblStyle w:val="a6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8640"/>
      </w:tblGrid>
      <w:tr w:rsidR="00C06858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widowControl w:val="0"/>
              <w:spacing w:line="240" w:lineRule="auto"/>
            </w:pPr>
            <w:r>
              <w:rPr>
                <w:noProof/>
                <w:lang w:val="es-AR" w:eastAsia="es-AR"/>
              </w:rPr>
              <w:drawing>
                <wp:inline distT="114300" distB="114300" distL="114300" distR="114300">
                  <wp:extent cx="323850" cy="279400"/>
                  <wp:effectExtent l="0" t="0" r="0" b="0"/>
                  <wp:docPr id="1" name="image2.png" descr="habla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ablar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7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numPr>
                <w:ilvl w:val="0"/>
                <w:numId w:val="4"/>
              </w:numPr>
              <w:contextualSpacing/>
            </w:pPr>
            <w:r>
              <w:rPr>
                <w:lang w:val="pt-BR" w:bidi="pt-BR"/>
              </w:rPr>
              <w:t xml:space="preserve">Importância visual do dendrograma: </w:t>
            </w:r>
          </w:p>
          <w:p w:rsidR="00C06858" w:rsidRDefault="004751D5">
            <w:pPr>
              <w:numPr>
                <w:ilvl w:val="1"/>
                <w:numId w:val="4"/>
              </w:numPr>
              <w:contextualSpacing/>
            </w:pPr>
            <w:r>
              <w:rPr>
                <w:lang w:val="pt-BR" w:bidi="pt-BR"/>
              </w:rPr>
              <w:t>permite ter uma ideia visual da quantidade de clusters ideal observada no conjunto de dados</w:t>
            </w:r>
          </w:p>
          <w:p w:rsidR="00C06858" w:rsidRDefault="004751D5">
            <w:pPr>
              <w:numPr>
                <w:ilvl w:val="0"/>
                <w:numId w:val="4"/>
              </w:numPr>
              <w:contextualSpacing/>
            </w:pPr>
            <w:r>
              <w:rPr>
                <w:lang w:val="pt-BR" w:bidi="pt-BR"/>
              </w:rPr>
              <w:t>Destacar a disposição gráfica do dendrograma:</w:t>
            </w:r>
          </w:p>
          <w:p w:rsidR="00C06858" w:rsidRDefault="004751D5">
            <w:pPr>
              <w:numPr>
                <w:ilvl w:val="1"/>
                <w:numId w:val="4"/>
              </w:numPr>
              <w:contextualSpacing/>
            </w:pPr>
            <w:r>
              <w:rPr>
                <w:lang w:val="pt-BR" w:bidi="pt-BR"/>
              </w:rPr>
              <w:t xml:space="preserve">Ao final do dendrograma, cada observação é apenas um cluster. </w:t>
            </w:r>
          </w:p>
          <w:p w:rsidR="00C06858" w:rsidRDefault="004751D5">
            <w:pPr>
              <w:numPr>
                <w:ilvl w:val="1"/>
                <w:numId w:val="4"/>
              </w:numPr>
              <w:contextualSpacing/>
            </w:pPr>
            <w:r>
              <w:rPr>
                <w:lang w:val="pt-BR" w:bidi="pt-BR"/>
              </w:rPr>
              <w:t>Conforme vamos subindo pela árvore, algumas folhas começam a se juntar: aquelas que correspondem a observações muito semelhantes.</w:t>
            </w:r>
          </w:p>
          <w:p w:rsidR="00C06858" w:rsidRDefault="004751D5">
            <w:pPr>
              <w:numPr>
                <w:ilvl w:val="1"/>
                <w:numId w:val="4"/>
              </w:numPr>
              <w:contextualSpacing/>
            </w:pPr>
            <w:r>
              <w:rPr>
                <w:lang w:val="pt-BR" w:bidi="pt-BR"/>
              </w:rPr>
              <w:t xml:space="preserve">Conforme vamos subindo pela árvore, um número cada vez maior de observações se </w:t>
            </w:r>
            <w:r w:rsidR="00E83B38">
              <w:rPr>
                <w:lang w:val="pt-BR" w:bidi="pt-BR"/>
              </w:rPr>
              <w:t>juntou</w:t>
            </w:r>
            <w:r>
              <w:rPr>
                <w:lang w:val="pt-BR" w:bidi="pt-BR"/>
              </w:rPr>
              <w:t>. Quanto mais cedo (parte mais baixa da árvore) duas observações se juntam, mais similares são entre si.</w:t>
            </w:r>
          </w:p>
          <w:p w:rsidR="00C06858" w:rsidRDefault="004751D5">
            <w:pPr>
              <w:numPr>
                <w:ilvl w:val="1"/>
                <w:numId w:val="4"/>
              </w:numPr>
              <w:contextualSpacing/>
            </w:pPr>
            <w:r>
              <w:rPr>
                <w:lang w:val="pt-BR" w:bidi="pt-BR"/>
              </w:rPr>
              <w:t>As observações que se juntam mais para cima são as mais diferentes.</w:t>
            </w:r>
          </w:p>
        </w:tc>
      </w:tr>
    </w:tbl>
    <w:p w:rsidR="00C06858" w:rsidRDefault="00C06858"/>
    <w:p w:rsidR="00C06858" w:rsidRDefault="00C06858"/>
    <w:p w:rsidR="00C06858" w:rsidRDefault="00C06858"/>
    <w:p w:rsidR="00C06858" w:rsidRDefault="00C06858"/>
    <w:p w:rsidR="00C06858" w:rsidRDefault="00C06858"/>
    <w:p w:rsidR="00C06858" w:rsidRDefault="00C06858"/>
    <w:p w:rsidR="00C06858" w:rsidRDefault="00C06858"/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7125"/>
        <w:gridCol w:w="2235"/>
      </w:tblGrid>
      <w:tr w:rsidR="00C06858"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numPr>
                <w:ilvl w:val="0"/>
                <w:numId w:val="5"/>
              </w:numPr>
              <w:contextualSpacing/>
              <w:rPr>
                <w:b/>
              </w:rPr>
            </w:pPr>
            <w:r>
              <w:rPr>
                <w:b/>
                <w:lang w:val="pt-BR" w:bidi="pt-BR"/>
              </w:rPr>
              <w:lastRenderedPageBreak/>
              <w:t>Formação de clusters em clustering hierárquico: Linkage</w:t>
            </w:r>
          </w:p>
        </w:tc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widowControl w:val="0"/>
              <w:spacing w:line="240" w:lineRule="auto"/>
              <w:jc w:val="right"/>
            </w:pPr>
            <w:r>
              <w:rPr>
                <w:b/>
                <w:lang w:val="pt-BR" w:bidi="pt-BR"/>
              </w:rPr>
              <w:t>25 minutos</w:t>
            </w:r>
          </w:p>
        </w:tc>
      </w:tr>
    </w:tbl>
    <w:p w:rsidR="00C06858" w:rsidRDefault="00C06858"/>
    <w:tbl>
      <w:tblPr>
        <w:tblStyle w:val="a8"/>
        <w:tblW w:w="8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7800"/>
      </w:tblGrid>
      <w:tr w:rsidR="00C06858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widowControl w:val="0"/>
              <w:spacing w:line="240" w:lineRule="auto"/>
            </w:pPr>
            <w:r>
              <w:rPr>
                <w:noProof/>
                <w:lang w:val="es-AR" w:eastAsia="es-AR"/>
              </w:rPr>
              <w:drawing>
                <wp:inline distT="114300" distB="114300" distL="114300" distR="114300">
                  <wp:extent cx="276225" cy="254000"/>
                  <wp:effectExtent l="0" t="0" r="0" b="0"/>
                  <wp:docPr id="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rPr>
                <w:lang w:val="pt-BR" w:bidi="pt-BR"/>
              </w:rPr>
              <w:t>Mostrar as formas mais comuns e as diferenças entre elas</w:t>
            </w:r>
          </w:p>
          <w:p w:rsidR="00C06858" w:rsidRDefault="004751D5">
            <w:pPr>
              <w:widowControl w:val="0"/>
              <w:numPr>
                <w:ilvl w:val="1"/>
                <w:numId w:val="3"/>
              </w:numPr>
              <w:spacing w:line="240" w:lineRule="auto"/>
              <w:contextualSpacing/>
            </w:pPr>
            <w:r>
              <w:rPr>
                <w:lang w:val="pt-BR" w:bidi="pt-BR"/>
              </w:rPr>
              <w:t>Single linkage</w:t>
            </w:r>
          </w:p>
          <w:p w:rsidR="00C06858" w:rsidRDefault="004751D5">
            <w:pPr>
              <w:widowControl w:val="0"/>
              <w:numPr>
                <w:ilvl w:val="1"/>
                <w:numId w:val="3"/>
              </w:numPr>
              <w:spacing w:line="240" w:lineRule="auto"/>
              <w:contextualSpacing/>
            </w:pPr>
            <w:r>
              <w:rPr>
                <w:lang w:val="pt-BR" w:bidi="pt-BR"/>
              </w:rPr>
              <w:t>Complete linkage</w:t>
            </w:r>
          </w:p>
          <w:p w:rsidR="00C06858" w:rsidRDefault="004751D5">
            <w:pPr>
              <w:widowControl w:val="0"/>
              <w:numPr>
                <w:ilvl w:val="1"/>
                <w:numId w:val="3"/>
              </w:numPr>
              <w:spacing w:line="240" w:lineRule="auto"/>
              <w:contextualSpacing/>
            </w:pPr>
            <w:r>
              <w:rPr>
                <w:lang w:val="pt-BR" w:bidi="pt-BR"/>
              </w:rPr>
              <w:t>Average linkage</w:t>
            </w:r>
          </w:p>
          <w:p w:rsidR="00C06858" w:rsidRDefault="004751D5">
            <w:pPr>
              <w:widowControl w:val="0"/>
              <w:numPr>
                <w:ilvl w:val="1"/>
                <w:numId w:val="3"/>
              </w:numPr>
              <w:spacing w:line="240" w:lineRule="auto"/>
              <w:contextualSpacing/>
            </w:pPr>
            <w:r>
              <w:rPr>
                <w:lang w:val="pt-BR" w:bidi="pt-BR"/>
              </w:rPr>
              <w:t>Ward linkage</w:t>
            </w:r>
          </w:p>
          <w:p w:rsidR="00C06858" w:rsidRDefault="004751D5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rPr>
                <w:lang w:val="pt-BR" w:bidi="pt-BR"/>
              </w:rPr>
              <w:t>Apresentar o Copehenetic Correlation Coefficient para medir a correlação entre as distâncias entre clusters e as distâncias entre pontos originais</w:t>
            </w:r>
          </w:p>
          <w:p w:rsidR="00C06858" w:rsidRDefault="004751D5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rPr>
                <w:lang w:val="pt-BR" w:bidi="pt-BR"/>
              </w:rPr>
              <w:t>Destacar como o uso de diferentes métodos de linkage dá resultados diferentes</w:t>
            </w:r>
          </w:p>
        </w:tc>
      </w:tr>
    </w:tbl>
    <w:p w:rsidR="00C06858" w:rsidRDefault="00C06858"/>
    <w:p w:rsidR="00C06858" w:rsidRDefault="00C06858"/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7125"/>
        <w:gridCol w:w="2235"/>
      </w:tblGrid>
      <w:tr w:rsidR="00C06858"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numPr>
                <w:ilvl w:val="0"/>
                <w:numId w:val="5"/>
              </w:numPr>
              <w:contextualSpacing/>
              <w:rPr>
                <w:b/>
              </w:rPr>
            </w:pPr>
            <w:r>
              <w:rPr>
                <w:b/>
                <w:lang w:val="pt-BR" w:bidi="pt-BR"/>
              </w:rPr>
              <w:t xml:space="preserve">Prática guiada: Clustering hierárquico no conjunto de dados </w:t>
            </w:r>
            <w:r w:rsidR="00E83B38">
              <w:rPr>
                <w:b/>
                <w:lang w:val="pt-BR" w:bidi="pt-BR"/>
              </w:rPr>
              <w:t>IRIS</w:t>
            </w:r>
          </w:p>
        </w:tc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widowControl w:val="0"/>
              <w:spacing w:line="240" w:lineRule="auto"/>
              <w:jc w:val="right"/>
            </w:pPr>
            <w:r>
              <w:rPr>
                <w:b/>
                <w:lang w:val="pt-BR" w:bidi="pt-BR"/>
              </w:rPr>
              <w:t>30 minutos</w:t>
            </w:r>
          </w:p>
        </w:tc>
      </w:tr>
    </w:tbl>
    <w:p w:rsidR="00C06858" w:rsidRDefault="00C06858"/>
    <w:tbl>
      <w:tblPr>
        <w:tblStyle w:val="aa"/>
        <w:tblW w:w="8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7800"/>
      </w:tblGrid>
      <w:tr w:rsidR="00C06858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widowControl w:val="0"/>
              <w:spacing w:line="240" w:lineRule="auto"/>
            </w:pPr>
            <w:r>
              <w:rPr>
                <w:noProof/>
                <w:lang w:val="es-AR" w:eastAsia="es-AR"/>
              </w:rPr>
              <w:drawing>
                <wp:inline distT="114300" distB="114300" distL="114300" distR="114300">
                  <wp:extent cx="276225" cy="254000"/>
                  <wp:effectExtent l="0" t="0" r="0" b="0"/>
                  <wp:docPr id="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5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rPr>
                <w:lang w:val="pt-BR" w:bidi="pt-BR"/>
              </w:rPr>
              <w:t>Utilizando SciPy, construir um dendrograma e avaliar a quantidade de clusters que existem a partir do método de linkage de Ward</w:t>
            </w:r>
          </w:p>
          <w:p w:rsidR="00C06858" w:rsidRDefault="004751D5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rPr>
                <w:lang w:val="pt-BR" w:bidi="pt-BR"/>
              </w:rPr>
              <w:t>Fazer uma inspeção visual deles</w:t>
            </w:r>
          </w:p>
          <w:p w:rsidR="00C06858" w:rsidRDefault="004751D5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rPr>
                <w:lang w:val="pt-BR" w:bidi="pt-BR"/>
              </w:rPr>
              <w:t>Calcular outros dendrogramas para outros métodos de linkage (complete, single, average e weighted) e comparar os resultados</w:t>
            </w:r>
          </w:p>
        </w:tc>
      </w:tr>
    </w:tbl>
    <w:p w:rsidR="00C06858" w:rsidRDefault="00C06858"/>
    <w:p w:rsidR="00C06858" w:rsidRDefault="00C06858"/>
    <w:p w:rsidR="00C06858" w:rsidRDefault="00C06858"/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7125"/>
        <w:gridCol w:w="2235"/>
      </w:tblGrid>
      <w:tr w:rsidR="00C06858"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numPr>
                <w:ilvl w:val="0"/>
                <w:numId w:val="5"/>
              </w:numPr>
              <w:contextualSpacing/>
              <w:rPr>
                <w:b/>
              </w:rPr>
            </w:pPr>
            <w:r>
              <w:rPr>
                <w:b/>
                <w:lang w:val="pt-BR" w:bidi="pt-BR"/>
              </w:rPr>
              <w:t>Conclusão</w:t>
            </w:r>
          </w:p>
        </w:tc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widowControl w:val="0"/>
              <w:spacing w:line="240" w:lineRule="auto"/>
              <w:jc w:val="right"/>
            </w:pPr>
            <w:r>
              <w:rPr>
                <w:b/>
                <w:lang w:val="pt-BR" w:bidi="pt-BR"/>
              </w:rPr>
              <w:t>5 minutos</w:t>
            </w:r>
          </w:p>
        </w:tc>
      </w:tr>
    </w:tbl>
    <w:p w:rsidR="00C06858" w:rsidRDefault="00C06858"/>
    <w:tbl>
      <w:tblPr>
        <w:tblStyle w:val="ac"/>
        <w:tblW w:w="8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7800"/>
      </w:tblGrid>
      <w:tr w:rsidR="00C06858">
        <w:tc>
          <w:tcPr>
            <w:tcW w:w="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widowControl w:val="0"/>
              <w:spacing w:line="240" w:lineRule="auto"/>
            </w:pPr>
            <w:r>
              <w:rPr>
                <w:noProof/>
                <w:lang w:val="es-AR" w:eastAsia="es-AR"/>
              </w:rPr>
              <w:drawing>
                <wp:inline distT="114300" distB="114300" distL="114300" distR="114300">
                  <wp:extent cx="285750" cy="241300"/>
                  <wp:effectExtent l="0" t="0" r="0" b="0"/>
                  <wp:docPr id="8" name="image11.png" descr="habla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hablar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858" w:rsidRDefault="004751D5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rPr>
                <w:lang w:val="pt-BR" w:bidi="pt-BR"/>
              </w:rPr>
              <w:t>Apresentar métodos de clustering hierárquicos</w:t>
            </w:r>
          </w:p>
          <w:p w:rsidR="00C06858" w:rsidRDefault="004751D5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rPr>
                <w:lang w:val="pt-BR" w:bidi="pt-BR"/>
              </w:rPr>
              <w:t>Oferecem uma vantagem em relação a K-Means, pois não exigem a definição prévia da quantidade de clusters a criar.</w:t>
            </w:r>
          </w:p>
          <w:p w:rsidR="00C06858" w:rsidRDefault="004751D5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rPr>
                <w:lang w:val="pt-BR" w:bidi="pt-BR"/>
              </w:rPr>
              <w:t>Oferecem uma representação gráfica (dendrograma) do processo de geração de clusters</w:t>
            </w:r>
          </w:p>
          <w:p w:rsidR="00C06858" w:rsidRDefault="004751D5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rPr>
                <w:lang w:val="pt-BR" w:bidi="pt-BR"/>
              </w:rPr>
              <w:t>Existem vários métodos para definir a forma de união (linkage) entre os diferentes clusters</w:t>
            </w:r>
          </w:p>
        </w:tc>
      </w:tr>
    </w:tbl>
    <w:p w:rsidR="00C06858" w:rsidRDefault="00C06858"/>
    <w:bookmarkEnd w:id="1"/>
    <w:p w:rsidR="00C06858" w:rsidRDefault="00C06858">
      <w:pPr>
        <w:pBdr>
          <w:top w:val="nil"/>
          <w:left w:val="nil"/>
          <w:bottom w:val="nil"/>
          <w:right w:val="nil"/>
          <w:between w:val="nil"/>
        </w:pBdr>
      </w:pPr>
    </w:p>
    <w:sectPr w:rsidR="00C0685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E66B3"/>
    <w:multiLevelType w:val="multilevel"/>
    <w:tmpl w:val="38A68D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5B13820"/>
    <w:multiLevelType w:val="multilevel"/>
    <w:tmpl w:val="C2D4EC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7BF3A96"/>
    <w:multiLevelType w:val="multilevel"/>
    <w:tmpl w:val="B3A08A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23B62AF"/>
    <w:multiLevelType w:val="multilevel"/>
    <w:tmpl w:val="6406D5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7CBD4190"/>
    <w:multiLevelType w:val="multilevel"/>
    <w:tmpl w:val="F1329A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D7012F7"/>
    <w:multiLevelType w:val="multilevel"/>
    <w:tmpl w:val="6E064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06858"/>
    <w:rsid w:val="004751D5"/>
    <w:rsid w:val="00C06858"/>
    <w:rsid w:val="00E8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751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51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751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51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433</Words>
  <Characters>2385</Characters>
  <Application>Microsoft Office Word</Application>
  <DocSecurity>0</DocSecurity>
  <Lines>19</Lines>
  <Paragraphs>5</Paragraphs>
  <ScaleCrop>false</ScaleCrop>
  <Company>Organization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Latinlingua</cp:lastModifiedBy>
  <cp:revision>4</cp:revision>
  <dcterms:created xsi:type="dcterms:W3CDTF">2018-07-04T14:09:00Z</dcterms:created>
  <dcterms:modified xsi:type="dcterms:W3CDTF">2018-07-04T14:19:00Z</dcterms:modified>
</cp:coreProperties>
</file>