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A5F"/>
          <w:sz w:val="72"/>
          <w:szCs w:val="72"/>
        </w:rPr>
        <w:t xml:space="preserve">FleetSpecial</w:t>
      </w:r>
    </w:p>
    <w:p>
      <w:pPr>
        <w:spacing w:after="80"/>
        <w:jc w:val="center"/>
      </w:pPr>
      <w:r>
        <w:rPr>
          <w:color w:val="2E6DA4"/>
          <w:sz w:val="32"/>
          <w:szCs w:val="32"/>
        </w:rPr>
        <w:t xml:space="preserve">Blueprint Empresarial y Tecnológico</w:t>
      </w:r>
    </w:p>
    <w:p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Resumen Ejecutivo</w:t>
      </w:r>
    </w:p>
    <w:p>
      <w:pPr>
        <w:spacing w:after="40"/>
        <w:jc w:val="center"/>
      </w:pPr>
      <w:r>
        <w:rPr>
          <w:color w:val="000000"/>
          <w:sz w:val="24"/>
          <w:szCs w:val="24"/>
        </w:rPr>
        <w:t xml:space="preserve">Plataforma SaaS para empresas de transporte especial y flotas pequeñas en Colombia</w:t>
      </w:r>
    </w:p>
    <w:p>
      <w:pPr>
        <w:spacing w:after="900"/>
        <w:jc w:val="center"/>
      </w:pPr>
      <w:r>
        <w:rPr>
          <w:color w:val="555555"/>
          <w:sz w:val="22"/>
          <w:szCs w:val="22"/>
        </w:rPr>
        <w:t xml:space="preserve">Gestión de cumplimiento · operación offline · modelo multiempresa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Resumen ejecutivo del blueprint v1.0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Metodologías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SDD · DDD · Clean Architecture · API First · Offline First · Cloud Native · AI Agent Friendly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Alcance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10 fases: análisis, dominio, specs, EDT, arquitectura, offline, SaaS, agentes IA, repo, roadmap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Junio de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de análisis y diseño (sin código de producción)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before="0" w:line="276"/>
      </w:pPr>
      <w:r>
        <w:rPr>
          <w:b/>
          <w:bCs/>
        </w:rPr>
        <w:t xml:space="preserve">FleetSpecial</w:t>
      </w:r>
      <w:r>
        <w:t xml:space="preserve"> es una plataforma SaaS que centraliza el cumplimiento documental, la operación y los costos de las empresas de transporte especial y flotas pequeñas en Colombia (de un propietario afiliado a flotas de 5 a 30 vehículos). Hoy este segmento gestiona vencimientos, planillas, servicios, combustible y mantenimiento con WhatsApp, Excel y papel. El dolor no es un problema aislado sino la </w:t>
      </w:r>
      <w:r>
        <w:rPr>
          <w:i/>
          <w:iCs/>
        </w:rPr>
        <w:t xml:space="preserve">fragmentación</w:t>
      </w:r>
      <w:r>
        <w:t xml:space="preserve">: un documento vencido que nadie avisó significa vehículo varado, multa o servicio rechazado.</w:t>
      </w:r>
    </w:p>
    <w:p>
      <w:pPr>
        <w:spacing w:after="120" w:before="0" w:line="276"/>
      </w:pPr>
      <w:r>
        <w:t xml:space="preserve">La propuesta de valor central es doble: (1) </w:t>
      </w:r>
      <w:r>
        <w:rPr>
          <w:b/>
          <w:bCs/>
        </w:rPr>
        <w:t xml:space="preserve">que un vencimiento nunca sorprenda</w:t>
      </w:r>
      <w:r>
        <w:t xml:space="preserve"> — un semáforo de cumplimiento con alertas anticipadas; y (2) </w:t>
      </w:r>
      <w:r>
        <w:rPr>
          <w:b/>
          <w:bCs/>
        </w:rPr>
        <w:t xml:space="preserve">ordenar la operación</w:t>
      </w:r>
      <w:r>
        <w:t xml:space="preserve"> — servicios, asignaciones, combustible y mantenimiento en un solo lugar — con una app para el conductor que </w:t>
      </w:r>
      <w:r>
        <w:rPr>
          <w:b/>
          <w:bCs/>
        </w:rPr>
        <w:t xml:space="preserve">funciona sin señal</w:t>
      </w:r>
      <w:r>
        <w:t xml:space="preserve"> (offline-first), un diferenciador defendible en un país de conectividad irregular.</w:t>
      </w:r>
    </w:p>
    <w:p>
      <w:pPr>
        <w:pBdr>
          <w:left w:val="single" w:color="2E6DA4" w:sz="18" w:space="8"/>
        </w:pBdr>
        <w:spacing w:after="40" w:line="276"/>
      </w:pPr>
      <w:r>
        <w:rPr>
          <w:b/>
          <w:bCs/>
          <w:color w:val="1F3A5F"/>
        </w:rPr>
        <w:t xml:space="preserve">Principio rector</w:t>
      </w:r>
    </w:p>
    <w:p>
      <w:pPr>
        <w:pBdr>
          <w:left w:val="single" w:color="2E6DA4" w:sz="18" w:space="8"/>
        </w:pBdr>
        <w:spacing w:after="160" w:line="276"/>
      </w:pPr>
      <w:r>
        <w:rPr>
          <w:color w:val="555555"/>
        </w:rPr>
        <w:t xml:space="preserve">La herramienta debe ser útil para UN solo vehículo antes de ser útil para mil. Si no le ahorra tiempo al fundador con su Renault Duster, no le ahorrará tiempo a nadie.</w:t>
      </w:r>
    </w:p>
    <w:p>
      <w:pPr>
        <w:spacing w:after="120" w:before="0" w:line="276"/>
      </w:pPr>
      <w:r>
        <w:t xml:space="preserve">El modelo de entrada al mercado es de bajo riesgo: el fundador </w:t>
      </w:r>
      <w:r>
        <w:rPr>
          <w:b/>
          <w:bCs/>
        </w:rPr>
        <w:t xml:space="preserve">opera una Renault Duster afiliada</w:t>
      </w:r>
      <w:r>
        <w:t xml:space="preserve"> a una transportadora para validar el dolor real y construir la herramienta usándola él mismo (dogfooding), antes de escalar a empresa propia y comercializar el software como SaaS con suscripción por vehículo activo al mes.</w:t>
      </w:r>
    </w:p>
    <w:p>
      <w:pPr>
        <w:pStyle w:val="Heading1"/>
      </w:pPr>
      <w:r>
        <w:t xml:space="preserve">2. Problema y oportunidad de mercado</w:t>
      </w:r>
    </w:p>
    <w:p>
      <w:pPr>
        <w:pStyle w:val="Heading2"/>
      </w:pPr>
      <w:r>
        <w:t xml:space="preserve">2.1 El problema</w:t>
      </w:r>
    </w:p>
    <w:p>
      <w:pPr>
        <w:spacing w:after="120" w:before="0" w:line="276"/>
      </w:pPr>
      <w:r>
        <w:t xml:space="preserve">El transportador especial colombiano enfrenta una operación intensiva en documentos, plazos y cumplimiento, sin una herramienta asequible que la centralice. Los puntos de dolor validados como hipótesis: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Vencimientos invisibles.</w:t>
      </w:r>
      <w:r>
        <w:t xml:space="preserve"> SOAT, revisión técnico-mecánica, tarjeta de operación, licencias, exámenes médicos y pólizas. Se descubren cuando ya es tarde.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Planilla y afiliación manuales.</w:t>
      </w:r>
      <w:r>
        <w:t xml:space="preserve"> El propietario afiliado depende de ida y vuelta con la transportadora, lento y propenso a error.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Programación artesanal.</w:t>
      </w:r>
      <w:r>
        <w:t xml:space="preserve"> Asignar conductor y vehículo a un servicio se hace de memoria o por chat.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Costos sin trazabilidad.</w:t>
      </w:r>
      <w:r>
        <w:t xml:space="preserve"> No se conoce el costo real por kilómetro ni el próximo mantenimiento; se reacciona a la falla.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El conductor opera sin señal.</w:t>
      </w:r>
      <w:r>
        <w:t xml:space="preserve"> Cualquier herramienta que exija conexión permanente es inservible en carretera.</w:t>
      </w:r>
    </w:p>
    <w:p>
      <w:pPr>
        <w:pStyle w:val="Heading2"/>
      </w:pPr>
      <w:r>
        <w:t xml:space="preserve">2.2 La oportunidad</w:t>
      </w:r>
    </w:p>
    <w:p>
      <w:pPr>
        <w:spacing w:after="120" w:before="0" w:line="276"/>
      </w:pPr>
      <w:r>
        <w:t xml:space="preserve">El nicho está desatendido por arriba y por abajo: los TMS globales apuntan a flotas grandes y cobran en dólares (caros y sobredimensionados para 1 a 30 vehículos), mientras las apps de GPS barato resuelven solo rastreo, no cumplimiento ni operación. El medio — cumplimiento más operación más offline, en pesos y en español colombiano — está vacío.</w:t>
      </w:r>
    </w:p>
    <w:p>
      <w:pPr>
        <w:spacing w:after="120" w:before="0" w:line="276"/>
      </w:pPr>
      <w:r>
        <w:t xml:space="preserve">La tesis </w:t>
      </w:r>
      <w:r>
        <w:rPr>
          <w:b/>
          <w:bCs/>
        </w:rPr>
        <w:t xml:space="preserve">no depende de un mercado enorme</w:t>
      </w:r>
      <w:r>
        <w:t xml:space="preserve">, sino de un dolor agudo y recurrente con baja competencia directa: capturar unos cientos de vehículos pagando una suscripción mensual modesta ya constituye un negocio sostenible para un fundador. La presión regulatoria creciente (facturación electrónica, planilla, controles de tránsito) empuja a la digitalización, y las empresas afiliadoras — que agrupan a decenas de propietarios — son un canal natural de distribución B2B2C.</w:t>
      </w:r>
    </w:p>
    <w:p>
      <w:pPr>
        <w:pStyle w:val="Heading1"/>
      </w:pPr>
      <w:r>
        <w:t xml:space="preserve">3. Usuarios</w:t>
      </w:r>
    </w:p>
    <w:p>
      <w:pPr>
        <w:spacing w:after="120" w:before="0" w:line="276"/>
      </w:pPr>
      <w:r>
        <w:t xml:space="preserve">Dos superficies muy distintas que comparten dominio y API, no interfaz: la app del conductor (offline, simple, un flujo a la vez) y el portal web administrativo (visión de conjunto, listas, control).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Necesidad central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Dispositivo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Conductor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su servicio del día, registrar combustible/novedades, documentos a mano — todo offline.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móvil (Flutter)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Dueño de vehículo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Saber que sus documentos están al día, cuánto gasta, cuándo toca mantenimiento.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Web + móvil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 / operador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Programar servicios, asignar recursos, ver alertas de vencimiento.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web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Gestor de planilla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Generar y controlar planillas, mantener documentación de afiliación.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web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Visión de cumplimiento, reportes, control y aprobación.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web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 del servicio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y seguir su servicio (horizonte futuro).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Web/móvil</w:t>
            </w:r>
          </w:p>
        </w:tc>
      </w:tr>
    </w:tbl>
    <w:p>
      <w:pPr>
        <w:pStyle w:val="Heading1"/>
      </w:pPr>
      <w:r>
        <w:t xml:space="preserve">4. MVP recomendado</w:t>
      </w:r>
    </w:p>
    <w:p>
      <w:pPr>
        <w:spacing w:after="120" w:before="0" w:line="276"/>
      </w:pPr>
      <w:r>
        <w:rPr>
          <w:b/>
          <w:bCs/>
        </w:rPr>
        <w:t xml:space="preserve">Hipótesis a validar: </w:t>
      </w:r>
      <w:r>
        <w:rPr>
          <w:i/>
          <w:iCs/>
        </w:rPr>
        <w:t xml:space="preserve">“un transportador pequeño pagará una suscripción mensual por una herramienta que le evite vencimientos sorpresa y le ordene servicios, combustible y mantenimiento, y que su conductor pueda usar sin señal.”</w:t>
      </w:r>
    </w:p>
    <w:p>
      <w:pPr>
        <w:pStyle w:val="Heading2"/>
      </w:pPr>
      <w:r>
        <w:t xml:space="preserve">4.1 Qué SÍ entra</w:t>
      </w:r>
    </w:p>
    <w:p>
      <w:pPr>
        <w:spacing w:after="120" w:before="0" w:line="276"/>
      </w:pPr>
      <w:r>
        <w:t xml:space="preserve">El MVP es deliberadamente pequeño y centrado en el caso del fundador (una Duster afiliada), pero construido sobre los cimientos correctos (multi-tenant, offline, API-first) para no reescribir al escalar: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Multi-tenant base. </w:t>
      </w:r>
      <w:r>
        <w:t xml:space="preserve">Aislamiento de datos por empresa desde el día 1 — un cimiento, no una feature.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Vehículos y conductores. </w:t>
      </w:r>
      <w:r>
        <w:t xml:space="preserve">Alta y datos básicos con sus invariantes (placa única, odómetro monótono).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Cumplimiento documental + alertas. </w:t>
      </w:r>
      <w:r>
        <w:t xml:space="preserve">El corazón del valor: documentos, vencimientos, semáforo verde/amarillo/rojo, avisos 30/15/3 días.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Programación de servicios. </w:t>
      </w:r>
      <w:r>
        <w:t xml:space="preserve">Crear, asignar conductor + vehículo, agenda, detección de choques de horario.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Combustible. </w:t>
      </w:r>
      <w:r>
        <w:t xml:space="preserve">Registro con odómetro y costo básico (append-only, offline).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Mantenimiento. </w:t>
      </w:r>
      <w:r>
        <w:t xml:space="preserve">Registro y programación preventiva por umbral.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App del conductor offline. </w:t>
      </w:r>
      <w:r>
        <w:t xml:space="preserve">“Mi día”, ver servicio y documentos sin señal, registrar y sincronizar al reconectar.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Portal web administrativo. </w:t>
      </w:r>
      <w:r>
        <w:t xml:space="preserve">Para los roles de oficina.</w:t>
      </w:r>
    </w:p>
    <w:p>
      <w:pPr>
        <w:pStyle w:val="Heading2"/>
      </w:pPr>
      <w:r>
        <w:t xml:space="preserve">4.2 Qué NO entra (antídoto contra la sobreingeniería)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Diferido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esperar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GPS en tiempo real / telemetría live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Caro y no es el dolor #1. El MVP captura traza offline y la envía al reconectar; el live es upsell V1/V2.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Facturación electrónica DIAN integrada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 complejidad regulatoria. Llega en V1 cuando haya ingresos que la justifiquen.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Marketplace / módulo de clientes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tiene sentido con masa crítica de operadores. Horizonte tardío.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Microservicios, multi-DB, event sourcing completo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Sobreingeniería para 1 a 30 vehículos. Monolito modular + PostgreSQL + outbox de eventos.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Reportería avanzada / BI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Un par de vistas resumen bastan. BI es upsell.</w:t>
            </w:r>
          </w:p>
        </w:tc>
      </w:tr>
    </w:tbl>
    <w:p>
      <w:pPr>
        <w:pBdr>
          <w:left w:val="single" w:color="2E6DA4" w:sz="18" w:space="8"/>
        </w:pBdr>
        <w:spacing w:after="40" w:line="276"/>
      </w:pPr>
      <w:r>
        <w:rPr>
          <w:b/>
          <w:bCs/>
          <w:color w:val="1F3A5F"/>
        </w:rPr>
        <w:t xml:space="preserve">Criterio de éxito del MVP</w:t>
      </w:r>
    </w:p>
    <w:p>
      <w:pPr>
        <w:pBdr>
          <w:left w:val="single" w:color="2E6DA4" w:sz="18" w:space="8"/>
        </w:pBdr>
        <w:spacing w:after="160" w:line="276"/>
      </w:pPr>
      <w:r>
        <w:rPr>
          <w:color w:val="555555"/>
        </w:rPr>
        <w:t xml:space="preserve">El fundador opera su Duster real durante ≥ 8 semanas usando solo la herramienta; cero vencimientos sorpresa; 3 a 5 pilotos externos con datos reales semanales; y señal de disposición a pagar al terminar la prueba.</w:t>
      </w:r>
    </w:p>
    <w:p>
      <w:pPr>
        <w:pStyle w:val="Heading1"/>
      </w:pPr>
      <w:r>
        <w:t xml:space="preserve">5. Modelo de dominio (DDD)</w:t>
      </w:r>
    </w:p>
    <w:p>
      <w:pPr>
        <w:spacing w:after="120" w:before="0" w:line="276"/>
      </w:pPr>
      <w:r>
        <w:t xml:space="preserve">El dominio se organiza en ocho contextos acotados (bounded contexts). La inversión de diseño se concentra en el núcleo (CORE), donde está la ventaja competitiva; lo demás se resuelve de forma pragmática o se adopta de soluciones estándar.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60"/>
        <w:gridCol w:w="21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Identidad, multi-tenant, roles.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Generic/Support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Fleet Management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Vehículos, placa, odómetro autoritativo.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Driver Management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Conductores y licencias.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Compliance &amp; Documents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Documentos, vencimientos, semáforo, alertas, renovación.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Scheduling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Servicios, asignación sin choques, ciclo de vida, offline.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Fuel Management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Tanqueo append-only, costo por km.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Maintenance Management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Preventivo por umbral y correctivo.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Billing &amp; Subscriptions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Planes, suscripción por vehículo/mes, DIAN.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Generic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6DA4" w:sz="18" w:space="8"/>
        </w:pBdr>
        <w:spacing w:after="40" w:line="276"/>
      </w:pPr>
      <w:r>
        <w:rPr>
          <w:b/>
          <w:bCs/>
          <w:color w:val="1F3A5F"/>
        </w:rPr>
        <w:t xml:space="preserve">La regla de oro del negocio</w:t>
      </w:r>
    </w:p>
    <w:p>
      <w:pPr>
        <w:pBdr>
          <w:left w:val="single" w:color="2E6DA4" w:sz="18" w:space="8"/>
        </w:pBdr>
        <w:spacing w:after="160" w:line="276"/>
      </w:pPr>
      <w:r>
        <w:rPr>
          <w:color w:val="555555"/>
        </w:rPr>
        <w:t xml:space="preserve">No se puede asignar un servicio a un vehículo o conductor que no esté al día documentalmente: el semáforo en rojo bloquea la asignación; el amarillo advierte. Esta regla cruza Service Scheduling con Compliance mediante una capa anticorrupción y es el punto donde más valor entrega el producto.</w:t>
      </w:r>
    </w:p>
    <w:p>
      <w:pPr>
        <w:spacing w:after="120" w:before="0" w:line="276"/>
      </w:pPr>
      <w:r>
        <w:t xml:space="preserve">Toda comunicación asíncrona y la sincronización offline se apoyan en una </w:t>
      </w:r>
      <w:r>
        <w:rPr>
          <w:b/>
          <w:bCs/>
        </w:rPr>
        <w:t xml:space="preserve">columna vertebral de eventos de dominio</w:t>
      </w:r>
      <w:r>
        <w:t xml:space="preserve"> (patrón outbox): cada cambio relevante (DocumentoPorVencer, ServicioFinalizado, OdometroActualizado, CombustibleRegistrado…) se persiste transaccionalmente y se publica de forma confiable. Aunque el modelo conceptual es rico, en el MVP todo vive en </w:t>
      </w:r>
      <w:r>
        <w:rPr>
          <w:b/>
          <w:bCs/>
        </w:rPr>
        <w:t xml:space="preserve">un único monolito modular</w:t>
      </w:r>
      <w:r>
        <w:t xml:space="preserve">: los contextos son módulos separados por paquetes, no servicios desplegables.</w:t>
      </w:r>
    </w:p>
    <w:p>
      <w:pPr>
        <w:pStyle w:val="Heading1"/>
      </w:pPr>
      <w:r>
        <w:t xml:space="preserve">6. Arquitectura técnica</w:t>
      </w:r>
    </w:p>
    <w:p>
      <w:pPr>
        <w:spacing w:after="120" w:before="0" w:line="276"/>
      </w:pPr>
      <w:r>
        <w:t xml:space="preserve">La arquitectura honra siete principios sin caer en sobreingeniería. La recomendación de stack prioriza la productividad de un equipo diminuto y el bajo costo operativo, manteniendo independencia de proveedor.</w:t>
      </w:r>
    </w:p>
    <w:p>
      <w:pPr>
        <w:pStyle w:val="Heading2"/>
      </w:pPr>
      <w:r>
        <w:t xml:space="preserve">6.1 Stack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móvil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Flutter + Drift/SQLite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Multiplataforma con un código; base local para offline-first.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web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 / React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SPA/SSR moderno, i18n español, consume la API.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NestJS (TypeScript)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Mismo lenguaje que la web (un equipo diminuto), tipado fuerte, ecosistema.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sola DB relacional; multi-tenant con Row Level Security.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y eventos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 + OpenAPI; outbox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First (contrato primero); eventos sin broker en el MVP.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+ Terraform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Contenedores e IaC portables; VPS/PaaS barato, ruta a Kubernetes.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Observabilidad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OpenTelemetry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Logs, métricas y trazas estándar.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IA en producto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Interfaz AIProvider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Claude/OpenAI/Gemini/local intercambiables, sin lock-in.</w:t>
            </w:r>
          </w:p>
        </w:tc>
      </w:tr>
    </w:tbl>
    <w:p>
      <w:pPr>
        <w:pStyle w:val="Heading2"/>
      </w:pPr>
      <w:r>
        <w:t xml:space="preserve">6.2 Principios y cómo se cumplen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Principio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 arquitectónica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Spec Driven Development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specs en Gherkin son la fuente de verdad; el código y las pruebas derivan de ellas.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Domain Driven Design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Ocho bounded contexts con lenguaje ubicuo; núcleo en cumplimiento y programación.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Clean Architecture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Capas domain → application → infraestructura; el dominio no importa frameworks.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First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OpenAPI/AsyncAPI antes de implementar; clientes generados.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Offline First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El dispositivo es la fuente de verdad temporal del conductor; sync en segundo plano.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Native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Contenedores, IaC, 12-factor, observabilidad.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AI Agent Friendly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predecible, ADRs, prompts portables; IA tras capa de abstracción.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t xml:space="preserve">Las decisiones se documentan en ocho </w:t>
      </w:r>
      <w:r>
        <w:rPr>
          <w:b/>
          <w:bCs/>
        </w:rPr>
        <w:t xml:space="preserve">Architecture Decision Records (ADR)</w:t>
      </w:r>
      <w:r>
        <w:t xml:space="preserve">: monolito modular vs. microservicios, stack backend, PostgreSQL única, eventos con outbox sin broker, offline con SQLite y sync, independencia de nube, independencia de proveedor de IA, y multi-tenant con Row Level Security.</w:t>
      </w:r>
    </w:p>
    <w:p>
      <w:pPr>
        <w:pStyle w:val="Heading1"/>
      </w:pPr>
      <w:r>
        <w:t xml:space="preserve">7. Estrategia Offline First</w:t>
      </w:r>
    </w:p>
    <w:p>
      <w:pPr>
        <w:spacing w:after="120" w:before="0" w:line="276"/>
      </w:pPr>
      <w:r>
        <w:t xml:space="preserve">El offline-first es el diferenciador del producto y, a la vez, el riesgo técnico número uno. La estrategia evita la sobreingeniería clasificando los datos por dificultad de sincronización y atacándolos en ese orden: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Clase de dato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lectura (cacheado)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Agenda, documentos, datos del vehículo.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descargan y refrescan; el cliente no los edita → sin conflictos.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Append-only (generado en cliente)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Tanqueo, novedades, puntos GPS.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El cliente solo añade; se encolan con UUID e idempotencia → casi sin conflictos. EMPEZAR AQUÍ.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mutable compartido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Servicio iniciado/finalizado.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Aquí viven los conflictos: Last-Write-Wins + reglas de dominio (el conductor en campo tiene autoridad).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t xml:space="preserve">La mayoría de las escrituras del conductor son </w:t>
      </w:r>
      <w:r>
        <w:rPr>
          <w:b/>
          <w:bCs/>
        </w:rPr>
        <w:t xml:space="preserve">append-only</w:t>
      </w:r>
      <w:r>
        <w:t xml:space="preserve">, lo que reduce drásticamente el problema. Garantía clave: </w:t>
      </w:r>
      <w:r>
        <w:rPr>
          <w:b/>
          <w:bCs/>
        </w:rPr>
        <w:t xml:space="preserve">nada se borra del dispositivo hasta que el servidor confirma</w:t>
      </w:r>
      <w:r>
        <w:t xml:space="preserve">; los conflictos no resolubles automáticamente se exponen al administrador, nunca se descartan datos del conductor en silencio. La base local va cifrada (Habeas Data) y la cola de cambios sobrevive a cierres y fallos de la app.</w:t>
      </w:r>
    </w:p>
    <w:p>
      <w:pPr>
        <w:pStyle w:val="Heading1"/>
      </w:pPr>
      <w:r>
        <w:t xml:space="preserve">8. Estrategia SaaS Multi-Tenant</w:t>
      </w:r>
    </w:p>
    <w:p>
      <w:pPr>
        <w:spacing w:after="120" w:before="0" w:line="276"/>
      </w:pPr>
      <w:r>
        <w:t xml:space="preserve">Se adopta el modelo </w:t>
      </w:r>
      <w:r>
        <w:rPr>
          <w:b/>
          <w:bCs/>
        </w:rPr>
        <w:t xml:space="preserve">pool</w:t>
      </w:r>
      <w:r>
        <w:t xml:space="preserve"> (una base de datos compartida con identificador de tenant y Row Level Security de PostgreSQL): el patrón más barato y simple para bootstrapping sin sacrificar aislamiento. RLS es defensa en profundidad — aunque el código tenga un bug y olvide filtrar, la base no devuelve datos de otro tenant. La ruta para extraer clientes enterprise a recursos dedicados (silo) queda preparada sin reescribir.</w:t>
      </w:r>
    </w:p>
    <w:p>
      <w:pPr>
        <w:pStyle w:val="Heading2"/>
      </w:pPr>
      <w:r>
        <w:t xml:space="preserve">8.1 Planes (monetización)</w:t>
      </w:r>
    </w:p>
    <w:p>
      <w:pPr>
        <w:spacing w:after="120" w:before="0" w:line="276"/>
      </w:pPr>
      <w:r>
        <w:t xml:space="preserve">Métrica de cobro por vehículo activo al mes, que alinea precio con valor. Precios a definir tras la validación.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44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Incluye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 vehículo (el fundador, viralidad)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Cumplimiento, servicios, combustible, mantenimiento, app offline.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Flotas pequeñas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 de Free + más vehículos y usuarios.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 / Flota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Flotas en crecimiento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GPS en tiempo real, reportes avanzados, integraciones.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Afiliadoras y flotas grandes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Aislamiento silo, SSO, SLAs, soporte dedicado.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t xml:space="preserve">El cobro contempla medios locales (PSE, tarjetas, proveedor abstraído) y </w:t>
      </w:r>
      <w:r>
        <w:rPr>
          <w:b/>
          <w:bCs/>
        </w:rPr>
        <w:t xml:space="preserve">facturación electrónica DIAN</w:t>
      </w:r>
      <w:r>
        <w:t xml:space="preserve"> vía proveedor tecnológico autorizado (diferida a V1). Cada tenant es responsable del tratamiento de los datos de sus conductores y clientes; FleetSpecial actúa como encargado, con aislamiento por RLS y soporte a exportación y eliminación de datos.</w:t>
      </w:r>
    </w:p>
    <w:p>
      <w:pPr>
        <w:pStyle w:val="Heading1"/>
      </w:pPr>
      <w:r>
        <w:t xml:space="preserve">9. Capa de agentes de IA</w:t>
      </w:r>
    </w:p>
    <w:p>
      <w:pPr>
        <w:spacing w:after="120" w:before="0" w:line="276"/>
      </w:pPr>
      <w:r>
        <w:t xml:space="preserve">El blueprint es </w:t>
      </w:r>
      <w:r>
        <w:rPr>
          <w:b/>
          <w:bCs/>
        </w:rPr>
        <w:t xml:space="preserve">“AI Agent Friendly”</w:t>
      </w:r>
      <w:r>
        <w:t xml:space="preserve">: specs legibles por máquina, contratos OpenAPI, lenguaje ubicuo documentado, ADRs que explican el porqué y una estructura predecible. Esto permite que un fundador casi solo </w:t>
      </w:r>
      <w:r>
        <w:rPr>
          <w:b/>
          <w:bCs/>
        </w:rPr>
        <w:t xml:space="preserve">multiplique su capacidad</w:t>
      </w:r>
      <w:r>
        <w:t xml:space="preserve"> delegando a agentes especializados — y que cualquier herramienta (ChatGPT, Claude, Gemini, Cursor, Windsurf, Cline, Roo Code, Gravity, OpenAI Agents y futuras) los opere, porque los prompts son portables y sin sintaxis propietaria.</w:t>
      </w:r>
    </w:p>
    <w:p>
      <w:pPr>
        <w:spacing w:after="120" w:before="0" w:line="276"/>
      </w:pPr>
      <w:r>
        <w:t xml:space="preserve">Se definen ocho roles, cada uno con responsabilidades, entradas, salidas, límites, un prompt base listo para usar y una definición de “hecho”: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el MVP, prioriza el backlog, conecta negocio con specs.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Elicita requisitos, escribe specs en Gherkin, mantiene el lenguaje ubicuo.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Architect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Mantiene los ADRs, vela por Clean Architecture/DDD y detecta sobreingeniería.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 los contextos en NestJS siguiendo specs, contratos, outbox y RLS.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web Next.js/React, consume la API, i18n y accesibilidad.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Mobile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Flutter offline-first, base local, cola de sync, UX simple.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QA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Deriva pruebas de los criterios Gherkin, pruebas de sync offline y casos de error.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DevOps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CI/CD, Docker, Terraform, ambientes, observabilidad e independencia de nube.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6DA4" w:sz="18" w:space="8"/>
        </w:pBdr>
        <w:spacing w:after="40" w:line="276"/>
      </w:pPr>
      <w:r>
        <w:rPr>
          <w:b/>
          <w:bCs/>
          <w:color w:val="1F3A5F"/>
        </w:rPr>
        <w:t xml:space="preserve">Independencia de proveedor de IA</w:t>
      </w:r>
    </w:p>
    <w:p>
      <w:pPr>
        <w:pBdr>
          <w:left w:val="single" w:color="2E6DA4" w:sz="18" w:space="8"/>
        </w:pBdr>
        <w:spacing w:after="160" w:line="276"/>
      </w:pPr>
      <w:r>
        <w:rPr>
          <w:color w:val="555555"/>
        </w:rPr>
        <w:t xml:space="preserve">Tanto los agentes de desarrollo (prompts portables) como la IA dentro del producto (detrás de una interfaz AIProvider) permiten intercambiar el modelo o proveedor sin tocar el dominio. Ningún horizonte introduce lock-in de nube, IA ni framework.</w:t>
      </w:r>
    </w:p>
    <w:p>
      <w:pPr>
        <w:pStyle w:val="Heading1"/>
      </w:pPr>
      <w:r>
        <w:t xml:space="preserve">10. Plan de trabajo (EDT) y estimación</w:t>
      </w:r>
    </w:p>
    <w:p>
      <w:pPr>
        <w:spacing w:after="120" w:before="0" w:line="276"/>
      </w:pPr>
      <w:r>
        <w:t xml:space="preserve">El trabajo se descompone en epics (Epic → Feature → Story → Task → Subtask) con prioridad, complejidad, dependencias y estimación en puntos. La ruta crítica del MVP es: fundamentos → identidad/multi-tenant → vehículos y conductores → cumplimiento (CORE) → programación (CORE) → app del conductor offline.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Epic (resumen)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Esfuerzo aprox.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E0 Fundamentos de plataforma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55 pts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E1 Identidad y multi-tenant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42 pts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E2 Gestión de flota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21 pts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E3 Gestión de conductores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18 pts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E4 Cumplimiento y documentos (CORE)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55 pts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E5 Programación de servicios (CORE)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50 pts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E6 App del conductor offline-first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60 pts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E7 Combustible · E8 Mantenimiento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37 pts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E9 Suscripciones y billing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34 pts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E10 GPS · E11 DIAN · E12 IA en producto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V1/V2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71 pts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E13 Observabilidad y QA (continuo)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MVP→cont.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26 pts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rPr>
          <w:b/>
          <w:bCs/>
        </w:rPr>
        <w:t xml:space="preserve">Estimación honesta: </w:t>
      </w:r>
      <w:r>
        <w:t xml:space="preserve">el MVP más los fundamentos suman del orden de 320 puntos, lo que para un solo desarrollador equivale a aproximadamente 3 a 4 meses de trabajo efectivo (descontando soporte y dogfooding), consistente con el roadmap. La incorporación de agentes IA o de un segundo desarrollador comprime el plazo. Las cifras son órdenes de magnitud para planear, no compromisos.</w:t>
      </w:r>
    </w:p>
    <w:p>
      <w:pPr>
        <w:pStyle w:val="Heading1"/>
      </w:pPr>
      <w:r>
        <w:t xml:space="preserve">11. Roadmap por horizontes</w:t>
      </w:r>
    </w:p>
    <w:p>
      <w:pPr>
        <w:spacing w:after="120" w:before="0" w:line="276"/>
      </w:pPr>
      <w:r>
        <w:t xml:space="preserve">Cada horizonte responde una pregunta de negocio; no se avanza sin responder la del horizonte actual.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60"/>
        <w:gridCol w:w="33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 al salir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¿Esto le ahorra dolor real a un transportador?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Dogfooding exitoso con la Duster.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¿Otros pagarán por esto?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Primeros tenants pagos self-service.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¿Podemos cumplir y diferenciarnos a escala?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DIAN, GPS live e IA; producto robusto.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Escalamiento SaaS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¿Crece de forma rentable y operable?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de adquisición y retención (LTV&gt;CAC).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Marketplace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¿Hay efecto de red entre operadores y terceros?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Transacciones de red e integraciones.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Enterprise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¿Sirve a flotas y afiliadoras grandes?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Silo, SSO, SLAs; afiliadoras como clientes.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rPr>
          <w:b/>
          <w:bCs/>
        </w:rPr>
        <w:t xml:space="preserve">Filosofía del roadmap: </w:t>
      </w:r>
      <w:r>
        <w:t xml:space="preserve">construir sobre cimientos correctos (multi-tenant y offline desde el MVP, porque retrofitearlos es carísimo) pero diferir lo caro (DIAN, GPS live, marketplace) hasta que la demanda real lo pida. Las costuras para crecer — extraer un servicio, añadir un broker de eventos, activar aislamiento silo, portar a Kubernetes — quedan diseñadas pero solo se activan cuando el horizonte las exige.</w:t>
      </w:r>
    </w:p>
    <w:p>
      <w:pPr>
        <w:pStyle w:val="Heading1"/>
      </w:pPr>
      <w:r>
        <w:t xml:space="preserve">12. Riesgos principales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Prob./Impacto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 disposición a pagar del segmento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 / Alto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Dogfooding + pilotos con métrica de valor (vencimientos evitados); precio bajo de entrada; plan gratis como gancho.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Offline-first subestimado (sync con conflictos)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 / Alto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Diseñar sync desde el día 1; empezar por datos append-only; pruebas de cortes de red, duplicado y conflicto.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Complejidad regulatoria (planilla, DIAN)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 / Alto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Sacar DIAN del MVP; validar planilla con la afiliadora real; asesoría legal puntual.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Sobreingeniería que quema presupuesto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 / Alto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Monolito modular, una DB; revisión de ADRs antes de añadir complejidad.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Fundador como único recurso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 / Medio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Blueprint + agentes IA para multiplicar throughput; horizontes cortos.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Adopción del conductor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 / Medio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UX ultra simple, offline real, sin fricción de login constante.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Lock-in de nube/IA/framework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 / Medio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Capas de abstracción y Clean Architecture; contenedores e IaC portables.</w:t>
            </w:r>
          </w:p>
        </w:tc>
      </w:tr>
    </w:tbl>
    <w:p>
      <w:pPr>
        <w:pStyle w:val="Heading1"/>
      </w:pPr>
      <w:r>
        <w:t xml:space="preserve">13. Supuestos a validar y nota legal</w:t>
      </w:r>
    </w:p>
    <w:p>
      <w:pPr>
        <w:spacing w:after="120" w:before="0" w:line="276"/>
      </w:pPr>
      <w:r>
        <w:t xml:space="preserve">La fase de validación con la Duster existe para resolver supuestos, no para construir features. Cada uno tiene un experimento barato asociado: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De mercado: </w:t>
      </w:r>
      <w:r>
        <w:t xml:space="preserve">el dolor de vencimientos es el #1; el segmento pagaría una suscripción modesta; el mercado alcanzable sostiene el negocio; la afiliadora puede ser canal de distribución.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De producto: </w:t>
      </w:r>
      <w:r>
        <w:t xml:space="preserve">el conductor adoptará una app offline simple; el semáforo de cumplimiento aporta valor suficiente sin integraciones complejas.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Legales (confirmar con abogado/contador): </w:t>
      </w:r>
      <w:r>
        <w:t xml:space="preserve">Habeas Data (Ley 1581 de 2012 y decretos); planilla/extracto de viaje de transporte especial (marco del Decreto 1079 de 2015 y reglamentación vigente); facturación electrónica DIAN; catálogo y vigencias de documentos obligatorios (SOAT, RTM, tarjeta de operación, exámenes, pólizas).</w:t>
      </w:r>
    </w:p>
    <w:p>
      <w:pPr>
        <w:pBdr>
          <w:left w:val="single" w:color="2E6DA4" w:sz="18" w:space="8"/>
        </w:pBdr>
        <w:spacing w:after="40" w:line="276"/>
      </w:pPr>
      <w:r>
        <w:rPr>
          <w:b/>
          <w:bCs/>
          <w:color w:val="1F3A5F"/>
        </w:rPr>
        <w:t xml:space="preserve">⚠ Nota legal</w:t>
      </w:r>
    </w:p>
    <w:p>
      <w:pPr>
        <w:pBdr>
          <w:left w:val="single" w:color="2E6DA4" w:sz="18" w:space="8"/>
        </w:pBdr>
        <w:spacing w:after="160" w:line="276"/>
      </w:pPr>
      <w:r>
        <w:rPr>
          <w:color w:val="555555"/>
        </w:rPr>
        <w:t xml:space="preserve">Este documento asume el marco normativo colombiano conocido y estable y no constituye asesoría legal. La normativa de transporte y tributaria se actualiza con frecuencia; antes de operar comercialmente debe confirmarse con un profesional la reglamentación vigente a la fecha. Por ello, el catálogo de tipos de documento del sistema se diseña configurable, para absorber cambios normativos sin necesidad de redespliegue.</w:t>
      </w:r>
    </w:p>
    <w:p>
      <w:pPr>
        <w:pStyle w:val="Heading1"/>
      </w:pPr>
      <w:r>
        <w:t xml:space="preserve">14. Conclusión</w:t>
      </w:r>
    </w:p>
    <w:p>
      <w:pPr>
        <w:spacing w:after="120" w:before="0" w:line="276"/>
      </w:pPr>
      <w:r>
        <w:t xml:space="preserve">FleetSpecial es un negocio de dolor agudo, nicho desatendido y entrada de bajo riesgo. El blueprint entrega un camino </w:t>
      </w:r>
      <w:r>
        <w:rPr>
          <w:b/>
          <w:bCs/>
        </w:rPr>
        <w:t xml:space="preserve">ejecutable, reutilizable y agnóstico a la plataforma</w:t>
      </w:r>
      <w:r>
        <w:t xml:space="preserve">: un MVP pequeño que el propio fundador valida operando su vehículo, sobre cimientos (multi-tenant, offline, API-first, eventos) que permiten escalar a SaaS comercial sin reescribir. La disciplina anti-sobreingeniería y la independencia de nube, IA y framework protegen el presupuesto y el futuro. El detalle completo de las diez fases — incluyendo diagramas, specs en Gherkin, ADRs y los prompts de los agentes — vive en el repositorio del proyecto.</w:t>
      </w:r>
    </w:p>
    <w:p>
      <w:pPr>
        <w:spacing w:after="200"/>
      </w:pPr>
      <w:r>
        <w:t xml:space="preserve"/>
      </w:r>
    </w:p>
    <w:p>
      <w:pPr>
        <w:pBdr>
          <w:top w:val="single" w:color="2E6DA4" w:sz="6" w:space="6"/>
        </w:pBdr>
        <w:jc w:val="center"/>
      </w:pPr>
      <w:r>
        <w:rPr>
          <w:i/>
          <w:iCs/>
          <w:color w:val="555555"/>
          <w:sz w:val="18"/>
          <w:szCs w:val="18"/>
        </w:rPr>
        <w:t xml:space="preserve">FleetSpecial · Blueprint v1.0 · Documento generado como resumen ejecutivo del repositorio del proyecto.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before="0"/>
    </w:pPr>
    <w:r>
      <w:rPr>
        <w:color w:val="555555"/>
        <w:sz w:val="16"/>
        <w:szCs w:val="16"/>
      </w:rPr>
      <w:t xml:space="preserve">Blueprint v1.0</w:t>
    </w:r>
    <w:r>
      <w:t xml:space="preserve">	</w:t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0"/>
      <w:jc w:val="right"/>
    </w:pPr>
    <w:r>
      <w:rPr>
        <w:color w:val="555555"/>
        <w:sz w:val="16"/>
        <w:szCs w:val="16"/>
      </w:rPr>
      <w:t xml:space="preserve">FleetSpecial — Resumen Ejecutivo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1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6F1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FleetSpecial — Resumen Ejecutivo del Blueprint</dc:title>
  <dc:creator>FleetSpecial</dc:creator>
  <dc:description>Blueprint empresarial y tecnológico — SaaS de transporte especial en Colombia</dc:description>
  <cp:lastModifiedBy>Un-named</cp:lastModifiedBy>
  <cp:revision>1</cp:revision>
  <dcterms:created xsi:type="dcterms:W3CDTF">2026-06-24T20:29:15.202Z</dcterms:created>
  <dcterms:modified xsi:type="dcterms:W3CDTF">2026-06-24T20:29:15.203Z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