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Bdr>
          <w:top w:val="none" w:color="000000" w:sz="0" w:space="0"/>
          <w:left w:val="none" w:color="000000" w:sz="0" w:space="0"/>
          <w:bottom w:val="none" w:color="000000" w:sz="0" w:space="0"/>
          <w:right w:val="none" w:color="000000" w:sz="0" w:space="0"/>
        </w:pBdr>
        <w:autoSpaceDN w:val="0"/>
        <w:snapToGrid w:val="0"/>
        <w:spacing w:line="360" w:lineRule="auto"/>
        <w:jc w:val="center"/>
        <w:rPr>
          <w:rFonts w:ascii="黑体" w:hAnsi="黑体" w:eastAsia="黑体"/>
          <w:sz w:val="36"/>
          <w:szCs w:val="36"/>
        </w:rPr>
      </w:pPr>
      <w:r>
        <w:rPr>
          <w:rFonts w:hint="eastAsia" w:ascii="黑体" w:hAnsi="黑体" w:eastAsia="黑体"/>
          <w:sz w:val="36"/>
          <w:szCs w:val="36"/>
        </w:rPr>
        <w:t>上海黄金交易所上海金集中定价交易业务规则</w:t>
      </w:r>
    </w:p>
    <w:p>
      <w:pPr>
        <w:pBdr>
          <w:top w:val="none" w:color="000000" w:sz="0" w:space="0"/>
          <w:left w:val="none" w:color="000000" w:sz="0" w:space="0"/>
          <w:bottom w:val="none" w:color="000000" w:sz="0" w:space="0"/>
          <w:right w:val="none" w:color="000000" w:sz="0" w:space="0"/>
        </w:pBdr>
        <w:autoSpaceDN w:val="0"/>
        <w:snapToGrid w:val="0"/>
        <w:spacing w:line="360" w:lineRule="auto"/>
        <w:jc w:val="center"/>
        <w:rPr>
          <w:rFonts w:ascii="黑体" w:hAnsi="黑体" w:eastAsia="黑体"/>
          <w:sz w:val="30"/>
          <w:szCs w:val="30"/>
        </w:rPr>
      </w:pPr>
      <w:bookmarkStart w:id="0" w:name="第一章"/>
      <w:bookmarkEnd w:id="0"/>
      <w:r>
        <w:rPr>
          <w:rFonts w:hint="eastAsia" w:ascii="黑体" w:hAnsi="黑体" w:eastAsia="黑体"/>
          <w:sz w:val="30"/>
          <w:szCs w:val="30"/>
        </w:rPr>
        <w:t>（试    行）</w:t>
      </w:r>
    </w:p>
    <w:p>
      <w:pPr>
        <w:pBdr>
          <w:top w:val="none" w:color="000000" w:sz="0" w:space="0"/>
          <w:left w:val="none" w:color="000000" w:sz="0" w:space="0"/>
          <w:bottom w:val="none" w:color="000000" w:sz="0" w:space="0"/>
          <w:right w:val="none" w:color="000000" w:sz="0" w:space="0"/>
        </w:pBdr>
        <w:autoSpaceDN w:val="0"/>
        <w:snapToGrid w:val="0"/>
        <w:spacing w:line="360" w:lineRule="auto"/>
        <w:ind w:firstLine="288" w:firstLineChars="96"/>
        <w:jc w:val="center"/>
        <w:rPr>
          <w:rFonts w:ascii="黑体" w:hAnsi="黑体" w:eastAsia="黑体"/>
          <w:sz w:val="30"/>
          <w:szCs w:val="30"/>
        </w:rPr>
      </w:pPr>
    </w:p>
    <w:p>
      <w:pPr>
        <w:pBdr>
          <w:top w:val="none" w:color="000000" w:sz="0" w:space="0"/>
          <w:left w:val="none" w:color="000000" w:sz="0" w:space="0"/>
          <w:bottom w:val="none" w:color="000000" w:sz="0" w:space="0"/>
          <w:right w:val="none" w:color="000000" w:sz="0" w:space="0"/>
        </w:pBdr>
        <w:autoSpaceDN w:val="0"/>
        <w:snapToGrid w:val="0"/>
        <w:spacing w:line="360" w:lineRule="auto"/>
        <w:jc w:val="center"/>
        <w:rPr>
          <w:rFonts w:ascii="仿宋" w:hAnsi="仿宋" w:eastAsia="仿宋" w:cs="仿宋"/>
          <w:sz w:val="28"/>
          <w:szCs w:val="28"/>
        </w:rPr>
      </w:pPr>
      <w:r>
        <w:rPr>
          <w:rFonts w:ascii="黑体" w:hAnsi="黑体" w:eastAsia="黑体"/>
          <w:sz w:val="30"/>
          <w:szCs w:val="30"/>
        </w:rPr>
        <w:t>第一章  总  则</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424" w:firstLineChars="156"/>
        <w:rPr>
          <w:rFonts w:ascii="仿宋" w:hAnsi="仿宋" w:eastAsia="仿宋" w:cs="仿宋"/>
          <w:spacing w:val="-4"/>
          <w:sz w:val="28"/>
          <w:szCs w:val="28"/>
        </w:rPr>
      </w:pPr>
      <w:r>
        <w:rPr>
          <w:rFonts w:hint="eastAsia" w:ascii="仿宋" w:hAnsi="仿宋" w:eastAsia="仿宋" w:cs="仿宋"/>
          <w:spacing w:val="-4"/>
          <w:sz w:val="28"/>
          <w:szCs w:val="28"/>
        </w:rPr>
        <w:t xml:space="preserve"> 为规范上海金集中定价交易，维护交易各方的合法权益，根据《上海黄金交易所章程》和《上海黄金交易所现货交易规则》等有关规定制定本规则。上海金集中定价交易</w:t>
      </w:r>
      <w:r>
        <w:rPr>
          <w:rFonts w:hint="eastAsia" w:ascii="仿宋" w:hAnsi="仿宋" w:eastAsia="仿宋" w:cs="仿宋"/>
          <w:sz w:val="28"/>
          <w:szCs w:val="28"/>
        </w:rPr>
        <w:t>接受中国人民银行的监管。</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413" w:firstLineChars="152"/>
        <w:rPr>
          <w:rFonts w:ascii="仿宋" w:hAnsi="仿宋" w:eastAsia="仿宋" w:cs="仿宋"/>
          <w:sz w:val="28"/>
          <w:szCs w:val="28"/>
        </w:rPr>
      </w:pPr>
      <w:r>
        <w:rPr>
          <w:rFonts w:hint="eastAsia" w:ascii="仿宋" w:hAnsi="仿宋" w:eastAsia="仿宋" w:cs="仿宋"/>
          <w:spacing w:val="-4"/>
          <w:sz w:val="28"/>
          <w:szCs w:val="28"/>
        </w:rPr>
        <w:t>上海黄金交易所（以下简称“交易所”）</w:t>
      </w:r>
      <w:r>
        <w:rPr>
          <w:rFonts w:hint="eastAsia" w:ascii="仿宋" w:hAnsi="仿宋" w:eastAsia="仿宋" w:cs="仿宋"/>
          <w:sz w:val="28"/>
          <w:szCs w:val="28"/>
        </w:rPr>
        <w:t>遵循公平、公开、公正和诚信的原则，组织集中定价的交易、清算和交割。</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426"/>
        <w:rPr>
          <w:rFonts w:ascii="仿宋" w:hAnsi="仿宋" w:eastAsia="仿宋" w:cs="仿宋"/>
          <w:spacing w:val="-4"/>
          <w:sz w:val="28"/>
          <w:szCs w:val="28"/>
        </w:rPr>
      </w:pPr>
      <w:r>
        <w:rPr>
          <w:rFonts w:hint="eastAsia" w:ascii="仿宋" w:hAnsi="仿宋" w:eastAsia="仿宋" w:cs="仿宋"/>
          <w:spacing w:val="-4"/>
          <w:sz w:val="28"/>
          <w:szCs w:val="28"/>
        </w:rPr>
        <w:t>上海金集中定价交易是指市场参与者在交易所平台上，按照</w:t>
      </w:r>
      <w:r>
        <w:rPr>
          <w:rFonts w:hint="eastAsia" w:ascii="仿宋" w:hAnsi="仿宋" w:eastAsia="仿宋" w:cs="仿宋"/>
          <w:sz w:val="28"/>
          <w:szCs w:val="28"/>
        </w:rPr>
        <w:t>以价询量、数量撮合的</w:t>
      </w:r>
      <w:r>
        <w:rPr>
          <w:rFonts w:hint="eastAsia" w:ascii="仿宋" w:hAnsi="仿宋" w:eastAsia="仿宋" w:cs="仿宋"/>
          <w:spacing w:val="-4"/>
          <w:sz w:val="28"/>
          <w:szCs w:val="28"/>
        </w:rPr>
        <w:t>集中交易方式，在达到市场量价相对平衡后，最终形成上海金人民币基准价的</w:t>
      </w:r>
      <w:r>
        <w:rPr>
          <w:rFonts w:ascii="仿宋" w:hAnsi="仿宋" w:eastAsia="仿宋" w:cs="仿宋"/>
          <w:spacing w:val="-4"/>
          <w:sz w:val="28"/>
          <w:szCs w:val="28"/>
        </w:rPr>
        <w:t>交易</w:t>
      </w:r>
      <w:r>
        <w:rPr>
          <w:rFonts w:hint="eastAsia" w:ascii="仿宋" w:hAnsi="仿宋" w:eastAsia="仿宋" w:cs="仿宋"/>
          <w:spacing w:val="-4"/>
          <w:sz w:val="28"/>
          <w:szCs w:val="28"/>
        </w:rPr>
        <w:t>。</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经交易所核准</w:t>
      </w:r>
      <w:r>
        <w:rPr>
          <w:rFonts w:ascii="仿宋" w:hAnsi="仿宋" w:eastAsia="仿宋" w:cs="仿宋"/>
          <w:sz w:val="28"/>
          <w:szCs w:val="28"/>
        </w:rPr>
        <w:t>的</w:t>
      </w:r>
      <w:r>
        <w:rPr>
          <w:rFonts w:hint="eastAsia" w:ascii="仿宋" w:hAnsi="仿宋" w:eastAsia="仿宋" w:cs="仿宋"/>
          <w:sz w:val="28"/>
          <w:szCs w:val="28"/>
        </w:rPr>
        <w:t>会员、客户、指定仓库、指定结算银行及其工作人员在上海金集中定价交易活动中必须遵守本规则。</w:t>
      </w:r>
    </w:p>
    <w:p>
      <w:pPr>
        <w:pBdr>
          <w:top w:val="none" w:color="000000" w:sz="0" w:space="0"/>
          <w:left w:val="none" w:color="000000" w:sz="0" w:space="0"/>
          <w:bottom w:val="none" w:color="000000" w:sz="0" w:space="0"/>
          <w:right w:val="none" w:color="000000" w:sz="0" w:space="0"/>
        </w:pBdr>
        <w:autoSpaceDN w:val="0"/>
        <w:snapToGrid w:val="0"/>
        <w:spacing w:line="360" w:lineRule="auto"/>
        <w:ind w:firstLine="269" w:firstLineChars="96"/>
        <w:jc w:val="center"/>
        <w:rPr>
          <w:rFonts w:ascii="仿宋" w:hAnsi="仿宋" w:eastAsia="仿宋" w:cs="仿宋"/>
          <w:sz w:val="28"/>
          <w:szCs w:val="28"/>
        </w:rPr>
      </w:pPr>
      <w:r>
        <w:rPr>
          <w:rFonts w:hint="eastAsia" w:ascii="仿宋" w:hAnsi="仿宋" w:eastAsia="仿宋" w:cs="仿宋"/>
          <w:sz w:val="28"/>
          <w:szCs w:val="28"/>
        </w:rPr>
        <w:t xml:space="preserve">  </w:t>
      </w:r>
      <w:bookmarkStart w:id="1" w:name="第二章"/>
    </w:p>
    <w:p>
      <w:pPr>
        <w:pBdr>
          <w:top w:val="none" w:color="000000" w:sz="0" w:space="0"/>
          <w:left w:val="none" w:color="000000" w:sz="0" w:space="0"/>
          <w:bottom w:val="none" w:color="000000" w:sz="0" w:space="0"/>
          <w:right w:val="none" w:color="000000" w:sz="0" w:space="0"/>
        </w:pBdr>
        <w:autoSpaceDN w:val="0"/>
        <w:snapToGrid w:val="0"/>
        <w:spacing w:line="360" w:lineRule="auto"/>
        <w:jc w:val="center"/>
        <w:rPr>
          <w:rFonts w:ascii="黑体" w:hAnsi="黑体" w:eastAsia="黑体"/>
          <w:sz w:val="30"/>
          <w:szCs w:val="30"/>
        </w:rPr>
      </w:pPr>
      <w:r>
        <w:rPr>
          <w:rFonts w:hint="eastAsia" w:ascii="黑体" w:hAnsi="黑体" w:eastAsia="黑体"/>
          <w:sz w:val="30"/>
          <w:szCs w:val="30"/>
        </w:rPr>
        <w:t>第二章　参与主体</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398" w:firstLineChars="142"/>
        <w:rPr>
          <w:rFonts w:ascii="仿宋" w:hAnsi="仿宋" w:eastAsia="仿宋" w:cs="仿宋"/>
          <w:sz w:val="28"/>
          <w:szCs w:val="28"/>
        </w:rPr>
      </w:pPr>
      <w:r>
        <w:rPr>
          <w:rFonts w:hint="eastAsia" w:ascii="仿宋" w:hAnsi="仿宋" w:eastAsia="仿宋" w:cs="仿宋"/>
          <w:sz w:val="28"/>
          <w:szCs w:val="28"/>
        </w:rPr>
        <w:t>经交易所批准同意的会员、客户均可参与上海金集中定价交易业务。会员和客户参与上海金集中定价交易，需向交易所提出申请，填写申请表（见附表１），客户申请由会员代理。</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398"/>
        <w:rPr>
          <w:rFonts w:ascii="仿宋" w:hAnsi="仿宋" w:eastAsia="仿宋" w:cs="仿宋"/>
          <w:sz w:val="28"/>
          <w:szCs w:val="28"/>
        </w:rPr>
      </w:pPr>
      <w:r>
        <w:rPr>
          <w:rFonts w:hint="eastAsia" w:ascii="仿宋" w:hAnsi="仿宋" w:eastAsia="仿宋" w:cs="仿宋"/>
          <w:sz w:val="28"/>
          <w:szCs w:val="28"/>
        </w:rPr>
        <w:t>上海金集中定价交易实行定价成员和提供参考价成员机制。定价成员是指在集中定价交易开始前规定时间段内提供参考价报价，承担为集中定价交易提供平衡供求职责的机构。提供参考价成员是指在集中定价交易开始前规定时间段内提供首轮集中定价参考价报</w:t>
      </w:r>
      <w:r>
        <w:rPr>
          <w:rFonts w:ascii="仿宋" w:hAnsi="仿宋" w:eastAsia="仿宋" w:cs="仿宋"/>
          <w:sz w:val="28"/>
          <w:szCs w:val="28"/>
        </w:rPr>
        <w:t>价</w:t>
      </w:r>
      <w:r>
        <w:rPr>
          <w:rFonts w:hint="eastAsia" w:ascii="仿宋" w:hAnsi="仿宋" w:eastAsia="仿宋" w:cs="仿宋"/>
          <w:sz w:val="28"/>
          <w:szCs w:val="28"/>
        </w:rPr>
        <w:t>的机构。</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398" w:firstLineChars="142"/>
        <w:rPr>
          <w:rFonts w:ascii="仿宋" w:hAnsi="仿宋" w:eastAsia="仿宋" w:cs="仿宋"/>
          <w:sz w:val="28"/>
          <w:szCs w:val="28"/>
        </w:rPr>
      </w:pPr>
      <w:r>
        <w:rPr>
          <w:rFonts w:hint="eastAsia" w:ascii="仿宋" w:hAnsi="仿宋" w:eastAsia="仿宋" w:cs="仿宋"/>
          <w:sz w:val="28"/>
          <w:szCs w:val="28"/>
        </w:rPr>
        <w:t>交易所对定价成员和提供参考价成员资质实行审批制。</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398" w:firstLineChars="142"/>
        <w:rPr>
          <w:rFonts w:ascii="仿宋" w:hAnsi="仿宋" w:eastAsia="仿宋" w:cs="仿宋"/>
          <w:sz w:val="28"/>
          <w:szCs w:val="28"/>
        </w:rPr>
      </w:pPr>
      <w:r>
        <w:rPr>
          <w:rFonts w:hint="eastAsia" w:ascii="仿宋" w:hAnsi="仿宋" w:eastAsia="仿宋" w:cs="仿宋"/>
          <w:sz w:val="28"/>
          <w:szCs w:val="28"/>
        </w:rPr>
        <w:t>申请成为定价成员需要满足以下条件：</w:t>
      </w:r>
    </w:p>
    <w:p>
      <w:pPr>
        <w:pBdr>
          <w:top w:val="none" w:color="000000" w:sz="0" w:space="0"/>
          <w:left w:val="none" w:color="000000" w:sz="0" w:space="0"/>
          <w:bottom w:val="none" w:color="000000" w:sz="0" w:space="0"/>
          <w:right w:val="none" w:color="000000" w:sz="0" w:space="0"/>
        </w:pBdr>
        <w:autoSpaceDN w:val="0"/>
        <w:snapToGrid w:val="0"/>
        <w:spacing w:line="360" w:lineRule="auto"/>
        <w:ind w:firstLine="398" w:firstLineChars="142"/>
        <w:rPr>
          <w:rFonts w:ascii="仿宋" w:hAnsi="仿宋" w:eastAsia="仿宋" w:cs="仿宋"/>
          <w:sz w:val="28"/>
          <w:szCs w:val="28"/>
        </w:rPr>
      </w:pPr>
      <w:r>
        <w:rPr>
          <w:rFonts w:hint="eastAsia" w:ascii="仿宋" w:hAnsi="仿宋" w:eastAsia="仿宋" w:cs="仿宋"/>
          <w:sz w:val="28"/>
          <w:szCs w:val="28"/>
        </w:rPr>
        <w:t>（一）须为金融机构；</w:t>
      </w:r>
    </w:p>
    <w:p>
      <w:pPr>
        <w:pBdr>
          <w:top w:val="none" w:color="000000" w:sz="0" w:space="0"/>
          <w:left w:val="none" w:color="000000" w:sz="0" w:space="0"/>
          <w:bottom w:val="none" w:color="000000" w:sz="0" w:space="0"/>
          <w:right w:val="none" w:color="000000" w:sz="0" w:space="0"/>
        </w:pBdr>
        <w:autoSpaceDN w:val="0"/>
        <w:snapToGrid w:val="0"/>
        <w:spacing w:line="360" w:lineRule="auto"/>
        <w:ind w:firstLine="398" w:firstLineChars="142"/>
        <w:rPr>
          <w:rFonts w:ascii="仿宋" w:hAnsi="仿宋" w:eastAsia="仿宋" w:cs="仿宋"/>
          <w:sz w:val="28"/>
          <w:szCs w:val="28"/>
        </w:rPr>
      </w:pPr>
      <w:r>
        <w:rPr>
          <w:rFonts w:hint="eastAsia" w:ascii="仿宋" w:hAnsi="仿宋" w:eastAsia="仿宋" w:cs="仿宋"/>
          <w:sz w:val="28"/>
          <w:szCs w:val="28"/>
        </w:rPr>
        <w:t>（二）具有</w:t>
      </w:r>
      <w:r>
        <w:rPr>
          <w:rFonts w:ascii="仿宋" w:hAnsi="仿宋" w:eastAsia="仿宋" w:cs="仿宋"/>
          <w:sz w:val="28"/>
          <w:szCs w:val="28"/>
        </w:rPr>
        <w:t>1</w:t>
      </w:r>
      <w:r>
        <w:rPr>
          <w:rFonts w:hint="eastAsia" w:ascii="仿宋" w:hAnsi="仿宋" w:eastAsia="仿宋" w:cs="仿宋"/>
          <w:sz w:val="28"/>
          <w:szCs w:val="28"/>
        </w:rPr>
        <w:t>亿元人民币或等值的注册资本和净资产；</w:t>
      </w:r>
    </w:p>
    <w:p>
      <w:pPr>
        <w:pBdr>
          <w:top w:val="none" w:color="000000" w:sz="0" w:space="0"/>
          <w:left w:val="none" w:color="000000" w:sz="0" w:space="0"/>
          <w:bottom w:val="none" w:color="000000" w:sz="0" w:space="0"/>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（三）具有良好的信誉和经营历史，近两年内无违法行为记录；</w:t>
      </w:r>
      <w:r>
        <w:rPr>
          <w:rFonts w:ascii="仿宋" w:hAnsi="仿宋" w:eastAsia="仿宋" w:cs="仿宋"/>
          <w:sz w:val="28"/>
          <w:szCs w:val="28"/>
        </w:rPr>
        <w:t xml:space="preserve"> </w:t>
      </w:r>
    </w:p>
    <w:p>
      <w:pPr>
        <w:pBdr>
          <w:top w:val="none" w:color="000000" w:sz="0" w:space="0"/>
          <w:left w:val="none" w:color="000000" w:sz="0" w:space="0"/>
          <w:bottom w:val="none" w:color="000000" w:sz="0" w:space="0"/>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（四）有健全的组织机构和账务管理制度及完善的内部控制和风险管理制度；</w:t>
      </w:r>
    </w:p>
    <w:p>
      <w:pPr>
        <w:pBdr>
          <w:top w:val="none" w:color="000000" w:sz="0" w:space="0"/>
          <w:left w:val="none" w:color="000000" w:sz="0" w:space="0"/>
          <w:bottom w:val="none" w:color="000000" w:sz="0" w:space="0"/>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（五）在交易所现货市场或国际黄金市场交易活跃、年交易量位居前列；</w:t>
      </w:r>
    </w:p>
    <w:p>
      <w:pPr>
        <w:pBdr>
          <w:top w:val="none" w:color="000000" w:sz="0" w:space="0"/>
          <w:left w:val="none" w:color="000000" w:sz="0" w:space="0"/>
          <w:bottom w:val="none" w:color="000000" w:sz="0" w:space="0"/>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（六）遵守执行</w:t>
      </w:r>
      <w:r>
        <w:rPr>
          <w:rFonts w:ascii="仿宋" w:hAnsi="仿宋" w:eastAsia="仿宋" w:cs="仿宋"/>
          <w:sz w:val="28"/>
          <w:szCs w:val="28"/>
        </w:rPr>
        <w:t>交易所的</w:t>
      </w:r>
      <w:r>
        <w:rPr>
          <w:rFonts w:hint="eastAsia" w:ascii="仿宋" w:hAnsi="仿宋" w:eastAsia="仿宋" w:cs="仿宋"/>
          <w:sz w:val="28"/>
          <w:szCs w:val="28"/>
        </w:rPr>
        <w:t>规章</w:t>
      </w:r>
      <w:r>
        <w:rPr>
          <w:rFonts w:ascii="仿宋" w:hAnsi="仿宋" w:eastAsia="仿宋" w:cs="仿宋"/>
          <w:sz w:val="28"/>
          <w:szCs w:val="28"/>
        </w:rPr>
        <w:t>制度</w:t>
      </w:r>
      <w:r>
        <w:rPr>
          <w:rFonts w:hint="eastAsia" w:ascii="仿宋" w:hAnsi="仿宋" w:eastAsia="仿宋" w:cs="仿宋"/>
          <w:sz w:val="28"/>
          <w:szCs w:val="28"/>
        </w:rPr>
        <w:t>；</w:t>
      </w:r>
    </w:p>
    <w:p>
      <w:pPr>
        <w:pBdr>
          <w:top w:val="none" w:color="000000" w:sz="0" w:space="0"/>
          <w:left w:val="none" w:color="000000" w:sz="0" w:space="0"/>
          <w:bottom w:val="none" w:color="000000" w:sz="0" w:space="0"/>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（七）交易所规定的其它条件。</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符合上述条件、并愿意成为集中定价业务定价成员的金融机构，应向交易所提交以下资格申请材料：</w:t>
      </w:r>
    </w:p>
    <w:p>
      <w:pPr>
        <w:pBdr>
          <w:top w:val="none" w:color="000000" w:sz="0" w:space="0"/>
          <w:left w:val="none" w:color="000000" w:sz="0" w:space="0"/>
          <w:bottom w:val="none" w:color="000000" w:sz="0" w:space="0"/>
          <w:right w:val="none" w:color="000000" w:sz="0" w:space="0"/>
        </w:pBdr>
        <w:autoSpaceDN w:val="0"/>
        <w:snapToGrid w:val="0"/>
        <w:spacing w:line="360" w:lineRule="auto"/>
        <w:ind w:left="420"/>
        <w:rPr>
          <w:rFonts w:ascii="仿宋" w:hAnsi="仿宋" w:eastAsia="仿宋" w:cs="仿宋"/>
          <w:sz w:val="28"/>
          <w:szCs w:val="28"/>
        </w:rPr>
      </w:pPr>
      <w:r>
        <w:rPr>
          <w:rFonts w:hint="eastAsia" w:ascii="仿宋" w:hAnsi="仿宋" w:eastAsia="仿宋" w:cs="仿宋"/>
          <w:sz w:val="28"/>
          <w:szCs w:val="28"/>
        </w:rPr>
        <w:t>（一）申请成为集中定价成员的书面申请书；</w:t>
      </w:r>
    </w:p>
    <w:p>
      <w:pPr>
        <w:pBdr>
          <w:top w:val="none" w:color="000000" w:sz="0" w:space="0"/>
          <w:left w:val="none" w:color="000000" w:sz="0" w:space="0"/>
          <w:bottom w:val="none" w:color="000000" w:sz="0" w:space="0"/>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（二）经会计师事务所或审计师事务所审计的最近一年的年度会计报告；</w:t>
      </w:r>
    </w:p>
    <w:p>
      <w:pPr>
        <w:pBdr>
          <w:top w:val="none" w:color="000000" w:sz="0" w:space="0"/>
          <w:left w:val="none" w:color="000000" w:sz="0" w:space="0"/>
          <w:bottom w:val="none" w:color="000000" w:sz="0" w:space="0"/>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（三）申请机构关于上海金集中定价业务风险控制的相关说明材料；</w:t>
      </w:r>
    </w:p>
    <w:p>
      <w:pPr>
        <w:pBdr>
          <w:top w:val="none" w:color="000000" w:sz="0" w:space="0"/>
          <w:left w:val="none" w:color="000000" w:sz="0" w:space="0"/>
          <w:bottom w:val="none" w:color="000000" w:sz="0" w:space="0"/>
          <w:right w:val="none" w:color="000000" w:sz="0" w:space="0"/>
        </w:pBdr>
        <w:autoSpaceDN w:val="0"/>
        <w:snapToGrid w:val="0"/>
        <w:spacing w:line="360" w:lineRule="auto"/>
        <w:ind w:left="420"/>
        <w:rPr>
          <w:rFonts w:ascii="仿宋" w:hAnsi="仿宋" w:eastAsia="仿宋" w:cs="仿宋"/>
          <w:sz w:val="28"/>
          <w:szCs w:val="28"/>
        </w:rPr>
      </w:pPr>
      <w:r>
        <w:rPr>
          <w:rFonts w:hint="eastAsia" w:ascii="仿宋" w:hAnsi="仿宋" w:eastAsia="仿宋" w:cs="仿宋"/>
          <w:sz w:val="28"/>
          <w:szCs w:val="28"/>
        </w:rPr>
        <w:t>（四）申请机构近两年无违法行为的说明材料；</w:t>
      </w:r>
    </w:p>
    <w:p>
      <w:pPr>
        <w:pBdr>
          <w:top w:val="none" w:color="000000" w:sz="0" w:space="0"/>
          <w:left w:val="none" w:color="000000" w:sz="0" w:space="0"/>
          <w:bottom w:val="none" w:color="000000" w:sz="0" w:space="0"/>
          <w:right w:val="none" w:color="000000" w:sz="0" w:space="0"/>
        </w:pBdr>
        <w:autoSpaceDN w:val="0"/>
        <w:snapToGrid w:val="0"/>
        <w:spacing w:line="360" w:lineRule="auto"/>
        <w:ind w:left="420"/>
        <w:rPr>
          <w:rFonts w:ascii="仿宋" w:hAnsi="仿宋" w:eastAsia="仿宋" w:cs="仿宋"/>
          <w:sz w:val="28"/>
          <w:szCs w:val="28"/>
        </w:rPr>
      </w:pPr>
      <w:r>
        <w:rPr>
          <w:rFonts w:hint="eastAsia" w:ascii="仿宋" w:hAnsi="仿宋" w:eastAsia="仿宋" w:cs="仿宋"/>
          <w:sz w:val="28"/>
          <w:szCs w:val="28"/>
        </w:rPr>
        <w:t>（五）交易所要求提供的其他材料。</w:t>
      </w:r>
    </w:p>
    <w:p>
      <w:pPr>
        <w:pStyle w:val="12"/>
        <w:numPr>
          <w:ilvl w:val="0"/>
          <w:numId w:val="1"/>
        </w:numPr>
        <w:pBdr>
          <w:top w:val="none" w:color="000000" w:sz="0" w:space="0"/>
          <w:left w:val="none" w:color="000000" w:sz="0" w:space="0"/>
          <w:bottom w:val="none" w:color="000000" w:sz="0" w:space="1"/>
          <w:right w:val="none" w:color="000000" w:sz="0" w:space="0"/>
        </w:pBdr>
        <w:autoSpaceDN w:val="0"/>
        <w:snapToGrid w:val="0"/>
        <w:spacing w:line="360" w:lineRule="auto"/>
        <w:ind w:firstLineChars="0"/>
        <w:rPr>
          <w:rFonts w:ascii="仿宋" w:hAnsi="仿宋" w:eastAsia="仿宋" w:cs="仿宋"/>
          <w:sz w:val="28"/>
          <w:szCs w:val="28"/>
        </w:rPr>
      </w:pPr>
      <w:r>
        <w:rPr>
          <w:rFonts w:hint="eastAsia" w:ascii="仿宋" w:hAnsi="仿宋" w:eastAsia="仿宋" w:cs="仿宋"/>
          <w:sz w:val="28"/>
          <w:szCs w:val="28"/>
        </w:rPr>
        <w:t>提供参考价成员需要满足以下条件：</w:t>
      </w:r>
    </w:p>
    <w:p>
      <w:pPr>
        <w:pBdr>
          <w:top w:val="none" w:color="000000" w:sz="0" w:space="0"/>
          <w:left w:val="none" w:color="000000" w:sz="0" w:space="0"/>
          <w:bottom w:val="none" w:color="000000" w:sz="0" w:space="1"/>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（一）在行业中处于龙头地位的产、用金企业；</w:t>
      </w:r>
    </w:p>
    <w:p>
      <w:pPr>
        <w:pBdr>
          <w:top w:val="none" w:color="000000" w:sz="0" w:space="0"/>
          <w:left w:val="none" w:color="000000" w:sz="0" w:space="0"/>
          <w:bottom w:val="none" w:color="000000" w:sz="0" w:space="1"/>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（二）具有</w:t>
      </w:r>
      <w:r>
        <w:rPr>
          <w:rFonts w:ascii="仿宋" w:hAnsi="仿宋" w:eastAsia="仿宋" w:cs="仿宋"/>
          <w:sz w:val="28"/>
          <w:szCs w:val="28"/>
        </w:rPr>
        <w:t>5,000</w:t>
      </w:r>
      <w:r>
        <w:rPr>
          <w:rFonts w:hint="eastAsia" w:ascii="仿宋" w:hAnsi="仿宋" w:eastAsia="仿宋" w:cs="仿宋"/>
          <w:sz w:val="28"/>
          <w:szCs w:val="28"/>
        </w:rPr>
        <w:t>万元人民币或等值的注册资本和净资产；</w:t>
      </w:r>
    </w:p>
    <w:p>
      <w:pPr>
        <w:pBdr>
          <w:top w:val="none" w:color="000000" w:sz="0" w:space="0"/>
          <w:left w:val="none" w:color="000000" w:sz="0" w:space="0"/>
          <w:bottom w:val="none" w:color="000000" w:sz="0" w:space="1"/>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（三）具有良好的信誉和经营历史，近两年内无违法行为记录；</w:t>
      </w:r>
    </w:p>
    <w:p>
      <w:pPr>
        <w:pBdr>
          <w:top w:val="none" w:color="000000" w:sz="0" w:space="0"/>
          <w:left w:val="none" w:color="000000" w:sz="0" w:space="0"/>
          <w:bottom w:val="none" w:color="000000" w:sz="0" w:space="1"/>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（四）在交易所现货市场或国际市场交易活跃、年交易量位居前列；</w:t>
      </w:r>
    </w:p>
    <w:p>
      <w:pPr>
        <w:pBdr>
          <w:top w:val="none" w:color="000000" w:sz="0" w:space="0"/>
          <w:left w:val="none" w:color="000000" w:sz="0" w:space="0"/>
          <w:bottom w:val="none" w:color="000000" w:sz="0" w:space="1"/>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（五）参加黄金实物的生产、加工、贸易和投资等；</w:t>
      </w:r>
    </w:p>
    <w:p>
      <w:pPr>
        <w:pBdr>
          <w:top w:val="none" w:color="000000" w:sz="0" w:space="0"/>
          <w:left w:val="none" w:color="000000" w:sz="0" w:space="0"/>
          <w:bottom w:val="none" w:color="000000" w:sz="0" w:space="1"/>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（六）遵守</w:t>
      </w:r>
      <w:r>
        <w:rPr>
          <w:rFonts w:ascii="仿宋" w:hAnsi="仿宋" w:eastAsia="仿宋" w:cs="仿宋"/>
          <w:sz w:val="28"/>
          <w:szCs w:val="28"/>
        </w:rPr>
        <w:t>执行交易所的规章制度；</w:t>
      </w:r>
    </w:p>
    <w:p>
      <w:pPr>
        <w:pBdr>
          <w:top w:val="none" w:color="000000" w:sz="0" w:space="0"/>
          <w:left w:val="none" w:color="000000" w:sz="0" w:space="0"/>
          <w:bottom w:val="none" w:color="000000" w:sz="0" w:space="1"/>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（七）交易所规定的其它条件。</w:t>
      </w:r>
    </w:p>
    <w:p>
      <w:pPr>
        <w:numPr>
          <w:ilvl w:val="0"/>
          <w:numId w:val="1"/>
        </w:numPr>
        <w:pBdr>
          <w:top w:val="none" w:color="000000" w:sz="0" w:space="0"/>
          <w:left w:val="none" w:color="000000" w:sz="0" w:space="0"/>
          <w:bottom w:val="none" w:color="000000" w:sz="0" w:space="1"/>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符合上述条件并愿意成为提供参考价成员的机构，应向交易所提交以下资格申请材料：</w:t>
      </w:r>
    </w:p>
    <w:p>
      <w:pPr>
        <w:pBdr>
          <w:top w:val="none" w:color="000000" w:sz="0" w:space="0"/>
          <w:left w:val="none" w:color="000000" w:sz="0" w:space="0"/>
          <w:bottom w:val="none" w:color="000000" w:sz="0" w:space="1"/>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（一）申请成为参考价成员的书面申请书；</w:t>
      </w:r>
    </w:p>
    <w:p>
      <w:pPr>
        <w:pBdr>
          <w:top w:val="none" w:color="000000" w:sz="0" w:space="0"/>
          <w:left w:val="none" w:color="000000" w:sz="0" w:space="0"/>
          <w:bottom w:val="none" w:color="000000" w:sz="0" w:space="1"/>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（二）经会计师事务所或审计师事务所审计的最近一年的年度会计报告；</w:t>
      </w:r>
    </w:p>
    <w:p>
      <w:pPr>
        <w:pBdr>
          <w:top w:val="none" w:color="000000" w:sz="0" w:space="0"/>
          <w:left w:val="none" w:color="000000" w:sz="0" w:space="0"/>
          <w:bottom w:val="none" w:color="000000" w:sz="0" w:space="1"/>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（三）申请机构近两年有、无违法行为的说明材料；</w:t>
      </w:r>
    </w:p>
    <w:p>
      <w:pPr>
        <w:pBdr>
          <w:top w:val="none" w:color="000000" w:sz="0" w:space="0"/>
          <w:left w:val="none" w:color="000000" w:sz="0" w:space="0"/>
          <w:bottom w:val="none" w:color="000000" w:sz="0" w:space="1"/>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（四）交易所要求提供的其他材料。</w:t>
      </w:r>
    </w:p>
    <w:p>
      <w:pPr>
        <w:numPr>
          <w:ilvl w:val="0"/>
          <w:numId w:val="1"/>
        </w:numPr>
        <w:pBdr>
          <w:top w:val="none" w:color="000000" w:sz="0" w:space="0"/>
          <w:left w:val="none" w:color="000000" w:sz="0" w:space="0"/>
          <w:bottom w:val="none" w:color="000000" w:sz="0" w:space="1"/>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经交易所审批同意后，定价成员或提供参考价成员有以下义务和权利：</w:t>
      </w:r>
    </w:p>
    <w:p>
      <w:pPr>
        <w:pBdr>
          <w:top w:val="none" w:color="000000" w:sz="0" w:space="0"/>
          <w:left w:val="none" w:color="000000" w:sz="0" w:space="0"/>
          <w:bottom w:val="none" w:color="000000" w:sz="0" w:space="1"/>
          <w:right w:val="none" w:color="000000" w:sz="0" w:space="0"/>
        </w:pBdr>
        <w:tabs>
          <w:tab w:val="left" w:pos="426"/>
        </w:tabs>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（一）遵守</w:t>
      </w:r>
      <w:r>
        <w:rPr>
          <w:rFonts w:ascii="仿宋" w:hAnsi="仿宋" w:eastAsia="仿宋" w:cs="仿宋"/>
          <w:sz w:val="28"/>
          <w:szCs w:val="28"/>
        </w:rPr>
        <w:t>交易所的规</w:t>
      </w:r>
      <w:r>
        <w:rPr>
          <w:rFonts w:hint="eastAsia" w:ascii="仿宋" w:hAnsi="仿宋" w:eastAsia="仿宋" w:cs="仿宋"/>
          <w:sz w:val="28"/>
          <w:szCs w:val="28"/>
        </w:rPr>
        <w:t>章</w:t>
      </w:r>
      <w:r>
        <w:rPr>
          <w:rFonts w:ascii="仿宋" w:hAnsi="仿宋" w:eastAsia="仿宋" w:cs="仿宋"/>
          <w:sz w:val="28"/>
          <w:szCs w:val="28"/>
        </w:rPr>
        <w:t>制度</w:t>
      </w:r>
      <w:r>
        <w:rPr>
          <w:rFonts w:hint="eastAsia" w:ascii="仿宋" w:hAnsi="仿宋" w:eastAsia="仿宋" w:cs="仿宋"/>
          <w:sz w:val="28"/>
          <w:szCs w:val="28"/>
        </w:rPr>
        <w:t>。</w:t>
      </w:r>
    </w:p>
    <w:p>
      <w:pPr>
        <w:pBdr>
          <w:top w:val="none" w:color="000000" w:sz="0" w:space="0"/>
          <w:left w:val="none" w:color="000000" w:sz="0" w:space="0"/>
          <w:bottom w:val="none" w:color="000000" w:sz="0" w:space="1"/>
          <w:right w:val="none" w:color="000000" w:sz="0" w:space="0"/>
        </w:pBdr>
        <w:autoSpaceDN w:val="0"/>
        <w:snapToGrid w:val="0"/>
        <w:spacing w:line="360" w:lineRule="auto"/>
        <w:ind w:firstLine="708" w:firstLineChars="253"/>
        <w:rPr>
          <w:rFonts w:ascii="仿宋" w:hAnsi="仿宋" w:eastAsia="仿宋" w:cs="仿宋"/>
          <w:sz w:val="28"/>
          <w:szCs w:val="28"/>
        </w:rPr>
      </w:pPr>
      <w:r>
        <w:rPr>
          <w:rFonts w:hint="eastAsia" w:ascii="仿宋" w:hAnsi="仿宋" w:eastAsia="仿宋" w:cs="仿宋"/>
          <w:sz w:val="28"/>
          <w:szCs w:val="28"/>
        </w:rPr>
        <w:t>(二）定价成员须承担在集中定价交易开始前规定时间段内提供符合</w:t>
      </w:r>
      <w:r>
        <w:rPr>
          <w:rFonts w:ascii="仿宋" w:hAnsi="仿宋" w:eastAsia="仿宋" w:cs="仿宋"/>
          <w:sz w:val="28"/>
          <w:szCs w:val="28"/>
        </w:rPr>
        <w:t>当时</w:t>
      </w:r>
      <w:r>
        <w:rPr>
          <w:rFonts w:hint="eastAsia" w:ascii="仿宋" w:hAnsi="仿宋" w:eastAsia="仿宋" w:cs="仿宋"/>
          <w:sz w:val="28"/>
          <w:szCs w:val="28"/>
        </w:rPr>
        <w:t>市</w:t>
      </w:r>
      <w:r>
        <w:rPr>
          <w:rFonts w:ascii="仿宋" w:hAnsi="仿宋" w:eastAsia="仿宋" w:cs="仿宋"/>
          <w:sz w:val="28"/>
          <w:szCs w:val="28"/>
        </w:rPr>
        <w:t>况</w:t>
      </w:r>
      <w:r>
        <w:rPr>
          <w:rFonts w:hint="eastAsia" w:ascii="仿宋" w:hAnsi="仿宋" w:eastAsia="仿宋" w:cs="仿宋"/>
          <w:sz w:val="28"/>
          <w:szCs w:val="28"/>
        </w:rPr>
        <w:t>的参考价</w:t>
      </w:r>
      <w:r>
        <w:rPr>
          <w:rFonts w:ascii="仿宋" w:hAnsi="仿宋" w:eastAsia="仿宋" w:cs="仿宋"/>
          <w:sz w:val="28"/>
          <w:szCs w:val="28"/>
        </w:rPr>
        <w:t>报价</w:t>
      </w:r>
      <w:r>
        <w:rPr>
          <w:rFonts w:hint="eastAsia" w:ascii="仿宋" w:hAnsi="仿宋" w:eastAsia="仿宋" w:cs="仿宋"/>
          <w:sz w:val="28"/>
          <w:szCs w:val="28"/>
        </w:rPr>
        <w:t>和接</w:t>
      </w:r>
      <w:r>
        <w:rPr>
          <w:rFonts w:ascii="仿宋" w:hAnsi="仿宋" w:eastAsia="仿宋" w:cs="仿宋"/>
          <w:sz w:val="28"/>
          <w:szCs w:val="28"/>
        </w:rPr>
        <w:t>受</w:t>
      </w:r>
      <w:r>
        <w:rPr>
          <w:rFonts w:hint="eastAsia" w:ascii="仿宋" w:hAnsi="仿宋" w:eastAsia="仿宋" w:cs="仿宋"/>
          <w:sz w:val="28"/>
          <w:szCs w:val="28"/>
        </w:rPr>
        <w:t>分配规定数量量差的义务，并享有在补充申报时段报量的权利。</w:t>
      </w:r>
    </w:p>
    <w:p>
      <w:pPr>
        <w:pBdr>
          <w:top w:val="none" w:color="000000" w:sz="0" w:space="0"/>
          <w:left w:val="none" w:color="000000" w:sz="0" w:space="0"/>
          <w:bottom w:val="none" w:color="000000" w:sz="0" w:space="1"/>
          <w:right w:val="none" w:color="000000" w:sz="0" w:space="0"/>
        </w:pBdr>
        <w:autoSpaceDN w:val="0"/>
        <w:snapToGrid w:val="0"/>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（三）提供参考价成员须承担在集中定价交易开始前规定时间段内提供符合</w:t>
      </w:r>
      <w:r>
        <w:rPr>
          <w:rFonts w:ascii="仿宋" w:hAnsi="仿宋" w:eastAsia="仿宋" w:cs="仿宋"/>
          <w:sz w:val="28"/>
          <w:szCs w:val="28"/>
        </w:rPr>
        <w:t>当时</w:t>
      </w:r>
      <w:r>
        <w:rPr>
          <w:rFonts w:hint="eastAsia" w:ascii="仿宋" w:hAnsi="仿宋" w:eastAsia="仿宋" w:cs="仿宋"/>
          <w:sz w:val="28"/>
          <w:szCs w:val="28"/>
        </w:rPr>
        <w:t>市</w:t>
      </w:r>
      <w:r>
        <w:rPr>
          <w:rFonts w:ascii="仿宋" w:hAnsi="仿宋" w:eastAsia="仿宋" w:cs="仿宋"/>
          <w:sz w:val="28"/>
          <w:szCs w:val="28"/>
        </w:rPr>
        <w:t>况</w:t>
      </w:r>
      <w:r>
        <w:rPr>
          <w:rFonts w:hint="eastAsia" w:ascii="仿宋" w:hAnsi="仿宋" w:eastAsia="仿宋" w:cs="仿宋"/>
          <w:sz w:val="28"/>
          <w:szCs w:val="28"/>
        </w:rPr>
        <w:t>的参考价</w:t>
      </w:r>
      <w:r>
        <w:rPr>
          <w:rFonts w:ascii="仿宋" w:hAnsi="仿宋" w:eastAsia="仿宋" w:cs="仿宋"/>
          <w:sz w:val="28"/>
          <w:szCs w:val="28"/>
        </w:rPr>
        <w:t>报价</w:t>
      </w:r>
      <w:r>
        <w:rPr>
          <w:rFonts w:hint="eastAsia" w:ascii="仿宋" w:hAnsi="仿宋" w:eastAsia="仿宋" w:cs="仿宋"/>
          <w:sz w:val="28"/>
          <w:szCs w:val="28"/>
        </w:rPr>
        <w:t>的义务。</w:t>
      </w:r>
    </w:p>
    <w:p>
      <w:pPr>
        <w:pBdr>
          <w:top w:val="none" w:color="000000" w:sz="0" w:space="0"/>
          <w:left w:val="none" w:color="000000" w:sz="0" w:space="0"/>
          <w:bottom w:val="none" w:color="000000" w:sz="0" w:space="0"/>
          <w:right w:val="none" w:color="000000" w:sz="0" w:space="0"/>
        </w:pBdr>
        <w:autoSpaceDN w:val="0"/>
        <w:snapToGrid w:val="0"/>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（四）交易所规定的其他义务和权利。</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交易所收到符合要求的申请材料后，应于20个工作日内提出是否同意的办理意见。</w:t>
      </w:r>
    </w:p>
    <w:p>
      <w:pPr>
        <w:pStyle w:val="11"/>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jc w:val="left"/>
        <w:rPr>
          <w:rFonts w:ascii="黑体" w:hAnsi="黑体" w:eastAsia="黑体"/>
          <w:sz w:val="30"/>
          <w:szCs w:val="30"/>
        </w:rPr>
      </w:pPr>
      <w:r>
        <w:rPr>
          <w:rFonts w:hint="eastAsia" w:ascii="仿宋" w:hAnsi="仿宋" w:eastAsia="仿宋" w:cs="仿宋"/>
          <w:sz w:val="28"/>
          <w:szCs w:val="28"/>
        </w:rPr>
        <w:t>交易所将对定价成员和提供参考价成员每年进行适当性审查，可以对成员资格进行相应调整。</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定价成员或提供参考价成员要求终止资格的，须提前三个月向交易所提出书面申请。</w:t>
      </w:r>
    </w:p>
    <w:p>
      <w:pPr>
        <w:pBdr>
          <w:top w:val="none" w:color="000000" w:sz="0" w:space="0"/>
          <w:left w:val="none" w:color="000000" w:sz="0" w:space="0"/>
          <w:bottom w:val="none" w:color="000000" w:sz="0" w:space="0"/>
          <w:right w:val="none" w:color="000000" w:sz="0" w:space="0"/>
        </w:pBdr>
        <w:autoSpaceDN w:val="0"/>
        <w:snapToGrid w:val="0"/>
        <w:spacing w:line="360" w:lineRule="auto"/>
        <w:jc w:val="center"/>
        <w:rPr>
          <w:rFonts w:ascii="仿宋" w:hAnsi="仿宋" w:eastAsia="仿宋" w:cs="仿宋"/>
          <w:sz w:val="28"/>
          <w:szCs w:val="28"/>
        </w:rPr>
      </w:pPr>
      <w:r>
        <w:rPr>
          <w:rFonts w:hint="eastAsia" w:ascii="黑体" w:hAnsi="黑体" w:eastAsia="黑体"/>
          <w:sz w:val="30"/>
          <w:szCs w:val="30"/>
        </w:rPr>
        <w:t>第三章　</w:t>
      </w:r>
      <w:bookmarkEnd w:id="1"/>
      <w:r>
        <w:rPr>
          <w:rFonts w:hint="eastAsia" w:ascii="黑体" w:hAnsi="黑体" w:eastAsia="黑体"/>
          <w:sz w:val="30"/>
          <w:szCs w:val="30"/>
        </w:rPr>
        <w:t>交　易</w:t>
      </w:r>
      <w:r>
        <w:rPr>
          <w:rFonts w:hint="eastAsia" w:ascii="仿宋" w:hAnsi="仿宋" w:eastAsia="仿宋" w:cs="仿宋"/>
          <w:sz w:val="28"/>
          <w:szCs w:val="28"/>
        </w:rPr>
        <w:t xml:space="preserve"> </w:t>
      </w:r>
    </w:p>
    <w:p>
      <w:pPr>
        <w:pStyle w:val="11"/>
        <w:numPr>
          <w:ilvl w:val="0"/>
          <w:numId w:val="1"/>
        </w:numPr>
        <w:ind w:firstLine="566" w:firstLineChars="202"/>
      </w:pPr>
      <w:r>
        <w:rPr>
          <w:rFonts w:hint="eastAsia" w:ascii="仿宋" w:hAnsi="仿宋" w:eastAsia="仿宋" w:cs="仿宋"/>
          <w:sz w:val="28"/>
          <w:szCs w:val="28"/>
        </w:rPr>
        <w:t>上海</w:t>
      </w:r>
      <w:r>
        <w:rPr>
          <w:rFonts w:ascii="仿宋" w:hAnsi="仿宋" w:eastAsia="仿宋" w:cs="仿宋"/>
          <w:sz w:val="28"/>
          <w:szCs w:val="28"/>
        </w:rPr>
        <w:t>金</w:t>
      </w:r>
      <w:r>
        <w:rPr>
          <w:rFonts w:hint="eastAsia" w:ascii="仿宋" w:hAnsi="仿宋" w:eastAsia="仿宋" w:cs="仿宋"/>
          <w:sz w:val="28"/>
          <w:szCs w:val="28"/>
        </w:rPr>
        <w:t>集中定价合约交易标的为经交易所认可的标准重量1千克、成色不低于99.99％的金锭。</w:t>
      </w:r>
    </w:p>
    <w:p>
      <w:pPr>
        <w:pStyle w:val="11"/>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上海金集中定价合约的交易代码为SHAU，报价单位为人民币元/克，最小变动价位为0.01元。合约交易单位为“手”，每手为１千克。合约最小申报量为1手，单一客户每场单边最大申报量为30,000手。交割时间为T+2日。</w:t>
      </w:r>
    </w:p>
    <w:p>
      <w:pPr>
        <w:pStyle w:val="11"/>
        <w:pBdr>
          <w:top w:val="none" w:color="000000" w:sz="0" w:space="0"/>
          <w:left w:val="none" w:color="000000" w:sz="0" w:space="0"/>
          <w:bottom w:val="none" w:color="000000" w:sz="0" w:space="0"/>
          <w:right w:val="none" w:color="000000" w:sz="0" w:space="0"/>
        </w:pBdr>
        <w:autoSpaceDN w:val="0"/>
        <w:snapToGrid w:val="0"/>
        <w:spacing w:line="360" w:lineRule="auto"/>
        <w:ind w:firstLine="560"/>
        <w:rPr>
          <w:rFonts w:ascii="仿宋" w:hAnsi="仿宋" w:eastAsia="仿宋" w:cs="仿宋"/>
          <w:sz w:val="28"/>
          <w:szCs w:val="28"/>
        </w:rPr>
      </w:pPr>
      <w:r>
        <w:rPr>
          <w:rFonts w:hint="eastAsia" w:ascii="仿宋" w:hAnsi="仿宋" w:eastAsia="仿宋" w:cs="仿宋"/>
          <w:sz w:val="28"/>
          <w:szCs w:val="28"/>
        </w:rPr>
        <w:t>具体合约参数参见《上海黄金交易所上海金集中定价合约参数表》（附表２）。</w:t>
      </w:r>
    </w:p>
    <w:p>
      <w:pPr>
        <w:pStyle w:val="11"/>
        <w:pBdr>
          <w:top w:val="none" w:color="000000" w:sz="0" w:space="0"/>
          <w:left w:val="none" w:color="000000" w:sz="0" w:space="0"/>
          <w:bottom w:val="none" w:color="000000" w:sz="0" w:space="0"/>
          <w:right w:val="none" w:color="000000" w:sz="0" w:space="0"/>
        </w:pBdr>
        <w:autoSpaceDN w:val="0"/>
        <w:snapToGrid w:val="0"/>
        <w:spacing w:line="360" w:lineRule="auto"/>
        <w:ind w:left="566" w:firstLine="0" w:firstLineChars="0"/>
        <w:rPr>
          <w:rFonts w:ascii="仿宋" w:hAnsi="仿宋" w:eastAsia="仿宋" w:cs="仿宋"/>
          <w:sz w:val="28"/>
          <w:szCs w:val="28"/>
        </w:rPr>
      </w:pPr>
      <w:r>
        <w:rPr>
          <w:rFonts w:hint="eastAsia" w:ascii="仿宋" w:hAnsi="仿宋" w:eastAsia="仿宋" w:cs="仿宋"/>
          <w:sz w:val="28"/>
          <w:szCs w:val="28"/>
        </w:rPr>
        <w:t>调整合约参数按交易所公告执行。</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上海金集中定价交易分为早盘定价交易和午盘定价交易两场，早盘定价交易开始时间为10:15，午盘定价交易开始时间为14:15。在市场量价相对平衡，形成上海金人民币基准价后对外发布。</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会员和客户参与上海金集中定价交易的申报，只在该场定价过程中有效。</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上海金集中定价交易不设价格涨跌停板。</w:t>
      </w:r>
    </w:p>
    <w:p>
      <w:pPr>
        <w:pStyle w:val="11"/>
        <w:numPr>
          <w:ilvl w:val="0"/>
          <w:numId w:val="1"/>
        </w:numPr>
        <w:ind w:firstLine="567" w:firstLineChars="0"/>
        <w:rPr>
          <w:rFonts w:ascii="仿宋" w:hAnsi="仿宋" w:eastAsia="仿宋" w:cs="仿宋"/>
          <w:sz w:val="28"/>
          <w:szCs w:val="28"/>
        </w:rPr>
      </w:pPr>
      <w:r>
        <w:rPr>
          <w:rFonts w:hint="eastAsia" w:ascii="仿宋" w:hAnsi="仿宋" w:eastAsia="仿宋" w:cs="仿宋"/>
          <w:sz w:val="28"/>
          <w:szCs w:val="28"/>
        </w:rPr>
        <w:t>上海金集中定价交易实行保证金交易制度。交易所对申报成功的买卖单即时冻结保证金，最低交易保证金比例根据交易所的公告执行。</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每一场上海金集中定价过程由三个环节组成：1.上海金集中定价交易系统根据定价成员和提供参考价成员报出的参考价进行计算，形成初始价并公布（以下简称“初始价”）；2.会员和客户针对初始价或可能调整的价格申报买卖意向和数量（以下简称“报量”）；3.形成上海金集中</w:t>
      </w:r>
      <w:r>
        <w:rPr>
          <w:rFonts w:ascii="仿宋" w:hAnsi="仿宋" w:eastAsia="仿宋" w:cs="仿宋"/>
          <w:sz w:val="28"/>
          <w:szCs w:val="28"/>
        </w:rPr>
        <w:t>定价</w:t>
      </w:r>
      <w:r>
        <w:rPr>
          <w:rFonts w:hint="eastAsia" w:ascii="仿宋" w:hAnsi="仿宋" w:eastAsia="仿宋" w:cs="仿宋"/>
          <w:sz w:val="28"/>
          <w:szCs w:val="28"/>
        </w:rPr>
        <w:t>基准价格，在该基准价格上的</w:t>
      </w:r>
      <w:r>
        <w:rPr>
          <w:rFonts w:ascii="仿宋" w:hAnsi="仿宋" w:eastAsia="仿宋" w:cs="仿宋"/>
          <w:sz w:val="28"/>
          <w:szCs w:val="28"/>
        </w:rPr>
        <w:t>所有</w:t>
      </w:r>
      <w:r>
        <w:rPr>
          <w:rFonts w:hint="eastAsia" w:ascii="仿宋" w:hAnsi="仿宋" w:eastAsia="仿宋" w:cs="仿宋"/>
          <w:sz w:val="28"/>
          <w:szCs w:val="28"/>
        </w:rPr>
        <w:t>有效</w:t>
      </w:r>
      <w:r>
        <w:rPr>
          <w:rFonts w:ascii="仿宋" w:hAnsi="仿宋" w:eastAsia="仿宋" w:cs="仿宋"/>
          <w:sz w:val="28"/>
          <w:szCs w:val="28"/>
        </w:rPr>
        <w:t>申报全部</w:t>
      </w:r>
      <w:r>
        <w:rPr>
          <w:rFonts w:hint="eastAsia" w:ascii="仿宋" w:hAnsi="仿宋" w:eastAsia="仿宋" w:cs="仿宋"/>
          <w:sz w:val="28"/>
          <w:szCs w:val="28"/>
        </w:rPr>
        <w:t>以该基准价格</w:t>
      </w:r>
      <w:r>
        <w:rPr>
          <w:rFonts w:ascii="仿宋" w:hAnsi="仿宋" w:eastAsia="仿宋" w:cs="仿宋"/>
          <w:sz w:val="28"/>
          <w:szCs w:val="28"/>
        </w:rPr>
        <w:t>成交</w:t>
      </w:r>
      <w:r>
        <w:rPr>
          <w:rFonts w:hint="eastAsia" w:ascii="仿宋" w:hAnsi="仿宋" w:eastAsia="仿宋" w:cs="仿宋"/>
          <w:sz w:val="28"/>
          <w:szCs w:val="28"/>
        </w:rPr>
        <w:t>（以</w:t>
      </w:r>
      <w:r>
        <w:rPr>
          <w:rFonts w:ascii="仿宋" w:hAnsi="仿宋" w:eastAsia="仿宋" w:cs="仿宋"/>
          <w:sz w:val="28"/>
          <w:szCs w:val="28"/>
        </w:rPr>
        <w:t>下简称“</w:t>
      </w:r>
      <w:r>
        <w:rPr>
          <w:rFonts w:hint="eastAsia" w:ascii="仿宋" w:hAnsi="仿宋" w:eastAsia="仿宋" w:cs="仿宋"/>
          <w:sz w:val="28"/>
          <w:szCs w:val="28"/>
        </w:rPr>
        <w:t>成</w:t>
      </w:r>
      <w:r>
        <w:rPr>
          <w:rFonts w:ascii="仿宋" w:hAnsi="仿宋" w:eastAsia="仿宋" w:cs="仿宋"/>
          <w:sz w:val="28"/>
          <w:szCs w:val="28"/>
        </w:rPr>
        <w:t>交”</w:t>
      </w:r>
      <w:r>
        <w:rPr>
          <w:rFonts w:hint="eastAsia" w:ascii="仿宋" w:hAnsi="仿宋" w:eastAsia="仿宋" w:cs="仿宋"/>
          <w:sz w:val="28"/>
          <w:szCs w:val="28"/>
        </w:rPr>
        <w:t>）。</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早盘定价和午盘定价开始前规定时间段内，定价成员和提供参考价成员通过交易终端向交易所提交本场集中定价的参考价。</w:t>
      </w:r>
    </w:p>
    <w:p>
      <w:pPr>
        <w:pStyle w:val="12"/>
        <w:numPr>
          <w:ilvl w:val="0"/>
          <w:numId w:val="1"/>
        </w:numPr>
        <w:ind w:firstLine="567" w:firstLineChars="0"/>
        <w:rPr>
          <w:rFonts w:ascii="仿宋" w:hAnsi="仿宋" w:eastAsia="仿宋" w:cs="仿宋"/>
          <w:sz w:val="28"/>
          <w:szCs w:val="28"/>
        </w:rPr>
      </w:pPr>
      <w:r>
        <w:rPr>
          <w:rFonts w:hint="eastAsia" w:ascii="仿宋" w:hAnsi="仿宋" w:eastAsia="仿宋" w:cs="仿宋"/>
          <w:sz w:val="28"/>
          <w:szCs w:val="28"/>
        </w:rPr>
        <w:t>初始价的计算和确定分为以下三个层次：1.定价成员和提供参考价成员在</w:t>
      </w:r>
      <w:r>
        <w:rPr>
          <w:rFonts w:ascii="仿宋" w:hAnsi="仿宋" w:eastAsia="仿宋" w:cs="仿宋"/>
          <w:sz w:val="28"/>
          <w:szCs w:val="28"/>
        </w:rPr>
        <w:t>规定时间</w:t>
      </w:r>
      <w:r>
        <w:rPr>
          <w:rFonts w:hint="eastAsia" w:ascii="仿宋" w:hAnsi="仿宋" w:eastAsia="仿宋" w:cs="仿宋"/>
          <w:sz w:val="28"/>
          <w:szCs w:val="28"/>
        </w:rPr>
        <w:t>段</w:t>
      </w:r>
      <w:r>
        <w:rPr>
          <w:rFonts w:ascii="仿宋" w:hAnsi="仿宋" w:eastAsia="仿宋" w:cs="仿宋"/>
          <w:sz w:val="28"/>
          <w:szCs w:val="28"/>
        </w:rPr>
        <w:t>内</w:t>
      </w:r>
      <w:r>
        <w:rPr>
          <w:rFonts w:hint="eastAsia" w:ascii="仿宋" w:hAnsi="仿宋" w:eastAsia="仿宋" w:cs="仿宋"/>
          <w:sz w:val="28"/>
          <w:szCs w:val="28"/>
        </w:rPr>
        <w:t>提供参考价，若参与报价的成员数大于</w:t>
      </w:r>
      <w:r>
        <w:rPr>
          <w:rFonts w:ascii="仿宋" w:hAnsi="仿宋" w:eastAsia="仿宋" w:cs="仿宋"/>
          <w:sz w:val="28"/>
          <w:szCs w:val="28"/>
        </w:rPr>
        <w:t>等</w:t>
      </w:r>
      <w:r>
        <w:rPr>
          <w:rFonts w:hint="eastAsia" w:ascii="仿宋" w:hAnsi="仿宋" w:eastAsia="仿宋" w:cs="仿宋"/>
          <w:sz w:val="28"/>
          <w:szCs w:val="28"/>
        </w:rPr>
        <w:t>于总数的50%，交易所去除申</w:t>
      </w:r>
      <w:r>
        <w:rPr>
          <w:rFonts w:ascii="仿宋" w:hAnsi="仿宋" w:eastAsia="仿宋" w:cs="仿宋"/>
          <w:sz w:val="28"/>
          <w:szCs w:val="28"/>
        </w:rPr>
        <w:t>报的</w:t>
      </w:r>
      <w:r>
        <w:rPr>
          <w:rFonts w:hint="eastAsia" w:ascii="仿宋" w:hAnsi="仿宋" w:eastAsia="仿宋" w:cs="仿宋"/>
          <w:sz w:val="28"/>
          <w:szCs w:val="28"/>
        </w:rPr>
        <w:t>全部参考价中一个最高价和一个最低价后，以剩余参考价的算术平均价，作为第一轮集中定价的初始价。2.若参与报价的成员数少于总数的50%，则认定该场参考价申</w:t>
      </w:r>
      <w:r>
        <w:rPr>
          <w:rFonts w:ascii="仿宋" w:hAnsi="仿宋" w:eastAsia="仿宋" w:cs="仿宋"/>
          <w:sz w:val="28"/>
          <w:szCs w:val="28"/>
        </w:rPr>
        <w:t>报</w:t>
      </w:r>
      <w:r>
        <w:rPr>
          <w:rFonts w:hint="eastAsia" w:ascii="仿宋" w:hAnsi="仿宋" w:eastAsia="仿宋" w:cs="仿宋"/>
          <w:sz w:val="28"/>
          <w:szCs w:val="28"/>
        </w:rPr>
        <w:t>无效。交易所将以黄</w:t>
      </w:r>
      <w:r>
        <w:rPr>
          <w:rFonts w:ascii="仿宋" w:hAnsi="仿宋" w:eastAsia="仿宋" w:cs="仿宋"/>
          <w:sz w:val="28"/>
          <w:szCs w:val="28"/>
        </w:rPr>
        <w:t>金现货</w:t>
      </w:r>
      <w:r>
        <w:rPr>
          <w:rFonts w:hint="eastAsia" w:ascii="仿宋" w:hAnsi="仿宋" w:eastAsia="仿宋" w:cs="仿宋"/>
          <w:sz w:val="28"/>
          <w:szCs w:val="28"/>
        </w:rPr>
        <w:t>合</w:t>
      </w:r>
      <w:r>
        <w:rPr>
          <w:rFonts w:ascii="仿宋" w:hAnsi="仿宋" w:eastAsia="仿宋" w:cs="仿宋"/>
          <w:sz w:val="28"/>
          <w:szCs w:val="28"/>
        </w:rPr>
        <w:t>约A</w:t>
      </w:r>
      <w:r>
        <w:rPr>
          <w:rFonts w:hint="eastAsia" w:ascii="仿宋" w:hAnsi="仿宋" w:eastAsia="仿宋" w:cs="仿宋"/>
          <w:sz w:val="28"/>
          <w:szCs w:val="28"/>
        </w:rPr>
        <w:t>u9999在提供参考价时间段内的市场成交的</w:t>
      </w:r>
      <w:r>
        <w:rPr>
          <w:rFonts w:ascii="仿宋" w:hAnsi="仿宋" w:eastAsia="仿宋" w:cs="仿宋"/>
          <w:sz w:val="28"/>
          <w:szCs w:val="28"/>
        </w:rPr>
        <w:t>算术平均价作为</w:t>
      </w:r>
      <w:r>
        <w:rPr>
          <w:rFonts w:hint="eastAsia" w:ascii="仿宋" w:hAnsi="仿宋" w:eastAsia="仿宋" w:cs="仿宋"/>
          <w:sz w:val="28"/>
          <w:szCs w:val="28"/>
        </w:rPr>
        <w:t>本</w:t>
      </w:r>
      <w:r>
        <w:rPr>
          <w:rFonts w:ascii="仿宋" w:hAnsi="仿宋" w:eastAsia="仿宋" w:cs="仿宋"/>
          <w:sz w:val="28"/>
          <w:szCs w:val="28"/>
        </w:rPr>
        <w:t>场次的初始价</w:t>
      </w:r>
      <w:r>
        <w:rPr>
          <w:rFonts w:hint="eastAsia" w:ascii="仿宋" w:hAnsi="仿宋" w:eastAsia="仿宋" w:cs="仿宋"/>
          <w:sz w:val="28"/>
          <w:szCs w:val="28"/>
        </w:rPr>
        <w:t>。3.若A</w:t>
      </w:r>
      <w:r>
        <w:rPr>
          <w:rFonts w:ascii="仿宋" w:hAnsi="仿宋" w:eastAsia="仿宋" w:cs="仿宋"/>
          <w:sz w:val="28"/>
          <w:szCs w:val="28"/>
        </w:rPr>
        <w:t>u9999</w:t>
      </w:r>
      <w:r>
        <w:rPr>
          <w:rFonts w:hint="eastAsia" w:ascii="仿宋" w:hAnsi="仿宋" w:eastAsia="仿宋" w:cs="仿宋"/>
          <w:sz w:val="28"/>
          <w:szCs w:val="28"/>
        </w:rPr>
        <w:t>在提供参考价时间段内没有</w:t>
      </w:r>
      <w:r>
        <w:rPr>
          <w:rFonts w:ascii="仿宋" w:hAnsi="仿宋" w:eastAsia="仿宋" w:cs="仿宋"/>
          <w:sz w:val="28"/>
          <w:szCs w:val="28"/>
        </w:rPr>
        <w:t>有效</w:t>
      </w:r>
      <w:r>
        <w:rPr>
          <w:rFonts w:hint="eastAsia" w:ascii="仿宋" w:hAnsi="仿宋" w:eastAsia="仿宋" w:cs="仿宋"/>
          <w:sz w:val="28"/>
          <w:szCs w:val="28"/>
        </w:rPr>
        <w:t>价</w:t>
      </w:r>
      <w:r>
        <w:rPr>
          <w:rFonts w:ascii="仿宋" w:hAnsi="仿宋" w:eastAsia="仿宋" w:cs="仿宋"/>
          <w:sz w:val="28"/>
          <w:szCs w:val="28"/>
        </w:rPr>
        <w:t>格</w:t>
      </w:r>
      <w:r>
        <w:rPr>
          <w:rFonts w:hint="eastAsia" w:ascii="仿宋" w:hAnsi="仿宋" w:eastAsia="仿宋" w:cs="仿宋"/>
          <w:sz w:val="28"/>
          <w:szCs w:val="28"/>
        </w:rPr>
        <w:t>，则</w:t>
      </w:r>
      <w:r>
        <w:rPr>
          <w:rFonts w:ascii="仿宋" w:hAnsi="仿宋" w:eastAsia="仿宋" w:cs="仿宋"/>
          <w:sz w:val="28"/>
          <w:szCs w:val="28"/>
        </w:rPr>
        <w:t>以</w:t>
      </w:r>
      <w:r>
        <w:rPr>
          <w:rFonts w:hint="eastAsia" w:ascii="仿宋" w:hAnsi="仿宋" w:eastAsia="仿宋" w:cs="仿宋"/>
          <w:sz w:val="28"/>
          <w:szCs w:val="28"/>
        </w:rPr>
        <w:t>上个场次的上海金人民币基准价作为本场次的初始价。</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每场的报量环节由市场申报和补充申报两个倒计时时段组成。会员、客户可参与市场申报，定价成员可参与市场申报和补充申报。</w:t>
      </w:r>
      <w:r>
        <w:rPr>
          <w:rFonts w:hint="eastAsia" w:ascii="仿宋" w:hAnsi="仿宋" w:eastAsia="仿宋" w:cs="仿宋"/>
          <w:sz w:val="28"/>
          <w:szCs w:val="28"/>
        </w:rPr>
        <w:br w:type="textWrapping"/>
      </w:r>
      <w:r>
        <w:rPr>
          <w:rFonts w:hint="eastAsia" w:ascii="仿宋" w:hAnsi="仿宋" w:eastAsia="仿宋" w:cs="仿宋"/>
          <w:sz w:val="28"/>
          <w:szCs w:val="28"/>
        </w:rPr>
        <w:t xml:space="preserve">    每一次市场申报和补充申报合称为一轮。首轮市场申报时段和补充申报时段的时间安排分别为60秒和10秒。自第二轮开始，每轮市场申报时段和补充申报时段的时间安排分别为30秒和10秒。</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会员和客户针对每一轮出价申报买入量或卖出量。</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上海金集中定价交易买</w:t>
      </w:r>
      <w:r>
        <w:rPr>
          <w:rFonts w:ascii="仿宋" w:hAnsi="仿宋" w:eastAsia="仿宋" w:cs="仿宋"/>
          <w:sz w:val="28"/>
          <w:szCs w:val="28"/>
        </w:rPr>
        <w:t>入与卖出</w:t>
      </w:r>
      <w:r>
        <w:rPr>
          <w:rFonts w:hint="eastAsia" w:ascii="仿宋" w:hAnsi="仿宋" w:eastAsia="仿宋" w:cs="仿宋"/>
          <w:sz w:val="28"/>
          <w:szCs w:val="28"/>
        </w:rPr>
        <w:t>的量差（以下简称“量差”）是指申报买入量与申报卖出量的差额对应的千克数。当量差等于或小于成交阀值，则满足集中定价成交条件。成交阀值根据交易所公告执行。</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会员和客户在前后轮次之间的撤单需遵循“价优不减量”原则，即某轮集中定价申报未满足成交条件进入下一轮，当出价相对上轮下跌时，系统自动撤销卖方的所有申报，不允许买方减少或撤销申报；当出价相对上轮上涨时，系统自动撤销买方的所有申报，不允许卖方减少或撤销申报。被撤销一方的会员和客户认同新一轮出价的，需要重新报量。</w:t>
      </w:r>
    </w:p>
    <w:p>
      <w:pPr>
        <w:numPr>
          <w:ilvl w:val="0"/>
          <w:numId w:val="1"/>
        </w:numPr>
        <w:pBdr>
          <w:top w:val="none" w:color="000000" w:sz="0" w:space="0"/>
          <w:left w:val="none" w:color="000000" w:sz="0" w:space="1"/>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定价成员在某轮补充申报时段的申报量，仅用于补足市场申报的买卖量差额，不能反转本轮市场申报时段确立的买卖对比方向。按照时间优先的原则，大于市场申报买卖差额部分的补充申报量无效。</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补充申报时段结束，若量差仍未满足集中定价成交条件，交易系统根据买卖量差情况调整出价，发起下一轮询量过程。当卖出量减去买入量的差量大于成交阀值时下调价格，当买入量减去卖出量的差量大于成交阀值时上调价格。</w:t>
      </w:r>
    </w:p>
    <w:p>
      <w:pPr>
        <w:pStyle w:val="11"/>
        <w:numPr>
          <w:ilvl w:val="0"/>
          <w:numId w:val="1"/>
        </w:numPr>
        <w:ind w:firstLine="566" w:firstLineChars="202"/>
        <w:rPr>
          <w:rFonts w:ascii="仿宋" w:hAnsi="仿宋" w:eastAsia="仿宋" w:cs="仿宋"/>
          <w:sz w:val="28"/>
          <w:szCs w:val="28"/>
        </w:rPr>
      </w:pPr>
      <w:r>
        <w:rPr>
          <w:rFonts w:hint="eastAsia" w:ascii="仿宋" w:hAnsi="仿宋" w:eastAsia="仿宋" w:cs="仿宋"/>
          <w:sz w:val="28"/>
          <w:szCs w:val="28"/>
        </w:rPr>
        <w:t>每场集中定价的首轮为A轮，之后依次为B、C、D、…轮，在B轮价格较A轮上涨（或下跌）的基础上，如果C轮价格较B轮上涨（或下跌）则称价格为同向变动，反之，则称价格为转向变动。当A轮量差大于400手且小于2</w:t>
      </w:r>
      <w:r>
        <w:rPr>
          <w:rFonts w:ascii="仿宋" w:hAnsi="仿宋" w:eastAsia="仿宋" w:cs="仿宋"/>
          <w:sz w:val="28"/>
          <w:szCs w:val="28"/>
        </w:rPr>
        <w:t>,</w:t>
      </w:r>
      <w:r>
        <w:rPr>
          <w:rFonts w:hint="eastAsia" w:ascii="仿宋" w:hAnsi="仿宋" w:eastAsia="仿宋" w:cs="仿宋"/>
          <w:sz w:val="28"/>
          <w:szCs w:val="28"/>
        </w:rPr>
        <w:t>000手的，B轮价格调整步长为0.20元/克；量差大于或等于2</w:t>
      </w:r>
      <w:r>
        <w:rPr>
          <w:rFonts w:ascii="仿宋" w:hAnsi="仿宋" w:eastAsia="仿宋" w:cs="仿宋"/>
          <w:sz w:val="28"/>
          <w:szCs w:val="28"/>
        </w:rPr>
        <w:t>,</w:t>
      </w:r>
      <w:r>
        <w:rPr>
          <w:rFonts w:hint="eastAsia" w:ascii="仿宋" w:hAnsi="仿宋" w:eastAsia="仿宋" w:cs="仿宋"/>
          <w:sz w:val="28"/>
          <w:szCs w:val="28"/>
        </w:rPr>
        <w:t>000手且小于30</w:t>
      </w:r>
      <w:r>
        <w:rPr>
          <w:rFonts w:ascii="仿宋" w:hAnsi="仿宋" w:eastAsia="仿宋" w:cs="仿宋"/>
          <w:sz w:val="28"/>
          <w:szCs w:val="28"/>
        </w:rPr>
        <w:t>,</w:t>
      </w:r>
      <w:r>
        <w:rPr>
          <w:rFonts w:hint="eastAsia" w:ascii="仿宋" w:hAnsi="仿宋" w:eastAsia="仿宋" w:cs="仿宋"/>
          <w:sz w:val="28"/>
          <w:szCs w:val="28"/>
        </w:rPr>
        <w:t>000手的，B轮价格调整步长为0.30元/克；量差大于等于30</w:t>
      </w:r>
      <w:r>
        <w:rPr>
          <w:rFonts w:ascii="仿宋" w:hAnsi="仿宋" w:eastAsia="仿宋" w:cs="仿宋"/>
          <w:sz w:val="28"/>
          <w:szCs w:val="28"/>
        </w:rPr>
        <w:t>,</w:t>
      </w:r>
      <w:r>
        <w:rPr>
          <w:rFonts w:hint="eastAsia" w:ascii="仿宋" w:hAnsi="仿宋" w:eastAsia="仿宋" w:cs="仿宋"/>
          <w:sz w:val="28"/>
          <w:szCs w:val="28"/>
        </w:rPr>
        <w:t>000手的，B轮价格调整步长为0.40元/克。当C轮价格同向变动时，价格调整步长同B轮；当C轮价格转向时， C轮价格调整步长为B轮的50%。依此类推。交易所可以根据情况，对申报量差及价格调整步长进行调整。</w:t>
      </w:r>
    </w:p>
    <w:tbl>
      <w:tblPr>
        <w:tblStyle w:val="10"/>
        <w:tblW w:w="906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7"/>
        <w:gridCol w:w="1559"/>
        <w:gridCol w:w="2126"/>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7" w:type="dxa"/>
          </w:tcPr>
          <w:p>
            <w:pPr>
              <w:pStyle w:val="11"/>
              <w:ind w:firstLine="0" w:firstLineChars="0"/>
              <w:rPr>
                <w:rFonts w:ascii="仿宋" w:hAnsi="仿宋" w:eastAsia="仿宋" w:cs="仿宋"/>
                <w:kern w:val="0"/>
                <w:sz w:val="20"/>
                <w:szCs w:val="21"/>
              </w:rPr>
            </w:pPr>
            <w:r>
              <w:rPr>
                <w:rFonts w:hint="eastAsia" w:ascii="仿宋" w:hAnsi="仿宋" w:eastAsia="仿宋" w:cs="仿宋"/>
                <w:kern w:val="0"/>
                <w:sz w:val="20"/>
                <w:szCs w:val="21"/>
              </w:rPr>
              <w:t>A轮</w:t>
            </w:r>
            <w:r>
              <w:rPr>
                <w:rFonts w:ascii="仿宋" w:hAnsi="仿宋" w:eastAsia="仿宋" w:cs="仿宋"/>
                <w:kern w:val="0"/>
                <w:sz w:val="20"/>
                <w:szCs w:val="21"/>
              </w:rPr>
              <w:t>量差</w:t>
            </w:r>
            <w:r>
              <w:rPr>
                <w:rFonts w:hint="eastAsia" w:ascii="仿宋" w:hAnsi="仿宋" w:eastAsia="仿宋" w:cs="仿宋"/>
                <w:kern w:val="0"/>
                <w:sz w:val="20"/>
                <w:szCs w:val="21"/>
              </w:rPr>
              <w:t>范围</w:t>
            </w:r>
            <w:r>
              <w:rPr>
                <w:rFonts w:ascii="仿宋" w:hAnsi="仿宋" w:eastAsia="仿宋" w:cs="仿宋"/>
                <w:kern w:val="0"/>
                <w:sz w:val="20"/>
                <w:szCs w:val="21"/>
              </w:rPr>
              <w:t>（</w:t>
            </w:r>
            <w:r>
              <w:rPr>
                <w:rFonts w:hint="eastAsia" w:ascii="仿宋" w:hAnsi="仿宋" w:eastAsia="仿宋" w:cs="仿宋"/>
                <w:kern w:val="0"/>
                <w:sz w:val="20"/>
                <w:szCs w:val="21"/>
              </w:rPr>
              <w:t>手</w:t>
            </w:r>
            <w:r>
              <w:rPr>
                <w:rFonts w:ascii="仿宋" w:hAnsi="仿宋" w:eastAsia="仿宋" w:cs="仿宋"/>
                <w:kern w:val="0"/>
                <w:sz w:val="20"/>
                <w:szCs w:val="21"/>
              </w:rPr>
              <w:t>）</w:t>
            </w:r>
          </w:p>
        </w:tc>
        <w:tc>
          <w:tcPr>
            <w:tcW w:w="1559" w:type="dxa"/>
          </w:tcPr>
          <w:p>
            <w:pPr>
              <w:pStyle w:val="11"/>
              <w:ind w:firstLine="0" w:firstLineChars="0"/>
              <w:rPr>
                <w:rFonts w:ascii="仿宋" w:hAnsi="仿宋" w:eastAsia="仿宋" w:cs="仿宋"/>
                <w:kern w:val="0"/>
                <w:sz w:val="20"/>
                <w:szCs w:val="21"/>
              </w:rPr>
            </w:pPr>
            <w:r>
              <w:rPr>
                <w:rFonts w:hint="eastAsia" w:ascii="仿宋" w:hAnsi="仿宋" w:eastAsia="仿宋" w:cs="仿宋"/>
                <w:kern w:val="0"/>
                <w:sz w:val="20"/>
                <w:szCs w:val="21"/>
              </w:rPr>
              <w:t>B轮价格</w:t>
            </w:r>
            <w:r>
              <w:rPr>
                <w:rFonts w:ascii="仿宋" w:hAnsi="仿宋" w:eastAsia="仿宋" w:cs="仿宋"/>
                <w:kern w:val="0"/>
                <w:sz w:val="20"/>
                <w:szCs w:val="21"/>
              </w:rPr>
              <w:t>调整步长</w:t>
            </w:r>
            <w:r>
              <w:rPr>
                <w:rFonts w:hint="eastAsia" w:ascii="仿宋" w:hAnsi="仿宋" w:eastAsia="仿宋" w:cs="仿宋"/>
                <w:kern w:val="0"/>
                <w:sz w:val="20"/>
                <w:szCs w:val="21"/>
              </w:rPr>
              <w:t>（元/克）</w:t>
            </w:r>
          </w:p>
        </w:tc>
        <w:tc>
          <w:tcPr>
            <w:tcW w:w="2126" w:type="dxa"/>
          </w:tcPr>
          <w:p>
            <w:pPr>
              <w:pStyle w:val="11"/>
              <w:ind w:firstLine="0" w:firstLineChars="0"/>
              <w:rPr>
                <w:rFonts w:ascii="仿宋" w:hAnsi="仿宋" w:eastAsia="仿宋" w:cs="仿宋"/>
                <w:kern w:val="0"/>
                <w:sz w:val="20"/>
                <w:szCs w:val="21"/>
              </w:rPr>
            </w:pPr>
            <w:r>
              <w:rPr>
                <w:rFonts w:ascii="仿宋" w:hAnsi="仿宋" w:eastAsia="仿宋" w:cs="仿宋"/>
                <w:kern w:val="0"/>
                <w:sz w:val="20"/>
                <w:szCs w:val="21"/>
              </w:rPr>
              <w:t>C</w:t>
            </w:r>
            <w:r>
              <w:rPr>
                <w:rFonts w:hint="eastAsia" w:ascii="仿宋" w:hAnsi="仿宋" w:eastAsia="仿宋" w:cs="仿宋"/>
                <w:kern w:val="0"/>
                <w:sz w:val="20"/>
                <w:szCs w:val="21"/>
              </w:rPr>
              <w:t>轮价格同</w:t>
            </w:r>
            <w:r>
              <w:rPr>
                <w:rFonts w:ascii="仿宋" w:hAnsi="仿宋" w:eastAsia="仿宋" w:cs="仿宋"/>
                <w:kern w:val="0"/>
                <w:sz w:val="20"/>
                <w:szCs w:val="21"/>
              </w:rPr>
              <w:t>向变动</w:t>
            </w:r>
            <w:r>
              <w:rPr>
                <w:rFonts w:hint="eastAsia" w:ascii="仿宋" w:hAnsi="仿宋" w:eastAsia="仿宋" w:cs="仿宋"/>
                <w:kern w:val="0"/>
                <w:sz w:val="20"/>
                <w:szCs w:val="21"/>
              </w:rPr>
              <w:t>价格</w:t>
            </w:r>
            <w:r>
              <w:rPr>
                <w:rFonts w:ascii="仿宋" w:hAnsi="仿宋" w:eastAsia="仿宋" w:cs="仿宋"/>
                <w:kern w:val="0"/>
                <w:sz w:val="20"/>
                <w:szCs w:val="21"/>
              </w:rPr>
              <w:t>调整步长</w:t>
            </w:r>
            <w:r>
              <w:rPr>
                <w:rFonts w:hint="eastAsia" w:ascii="仿宋" w:hAnsi="仿宋" w:eastAsia="仿宋" w:cs="仿宋"/>
                <w:kern w:val="0"/>
                <w:sz w:val="20"/>
                <w:szCs w:val="21"/>
              </w:rPr>
              <w:t>（元/克）</w:t>
            </w:r>
          </w:p>
        </w:tc>
        <w:tc>
          <w:tcPr>
            <w:tcW w:w="2123" w:type="dxa"/>
          </w:tcPr>
          <w:p>
            <w:pPr>
              <w:pStyle w:val="11"/>
              <w:ind w:firstLine="0" w:firstLineChars="0"/>
              <w:rPr>
                <w:rFonts w:ascii="仿宋" w:hAnsi="仿宋" w:eastAsia="仿宋" w:cs="仿宋"/>
                <w:kern w:val="0"/>
                <w:sz w:val="20"/>
                <w:szCs w:val="21"/>
              </w:rPr>
            </w:pPr>
            <w:r>
              <w:rPr>
                <w:rFonts w:ascii="仿宋" w:hAnsi="仿宋" w:eastAsia="仿宋" w:cs="仿宋"/>
                <w:kern w:val="0"/>
                <w:sz w:val="20"/>
                <w:szCs w:val="21"/>
              </w:rPr>
              <w:t>C</w:t>
            </w:r>
            <w:r>
              <w:rPr>
                <w:rFonts w:hint="eastAsia" w:ascii="仿宋" w:hAnsi="仿宋" w:eastAsia="仿宋" w:cs="仿宋"/>
                <w:kern w:val="0"/>
                <w:sz w:val="20"/>
                <w:szCs w:val="21"/>
              </w:rPr>
              <w:t>轮价格转</w:t>
            </w:r>
            <w:r>
              <w:rPr>
                <w:rFonts w:ascii="仿宋" w:hAnsi="仿宋" w:eastAsia="仿宋" w:cs="仿宋"/>
                <w:kern w:val="0"/>
                <w:sz w:val="20"/>
                <w:szCs w:val="21"/>
              </w:rPr>
              <w:t>向变动</w:t>
            </w:r>
            <w:r>
              <w:rPr>
                <w:rFonts w:hint="eastAsia" w:ascii="仿宋" w:hAnsi="仿宋" w:eastAsia="仿宋" w:cs="仿宋"/>
                <w:kern w:val="0"/>
                <w:sz w:val="20"/>
                <w:szCs w:val="21"/>
              </w:rPr>
              <w:t>价格</w:t>
            </w:r>
            <w:r>
              <w:rPr>
                <w:rFonts w:ascii="仿宋" w:hAnsi="仿宋" w:eastAsia="仿宋" w:cs="仿宋"/>
                <w:kern w:val="0"/>
                <w:sz w:val="20"/>
                <w:szCs w:val="21"/>
              </w:rPr>
              <w:t>调整步长</w:t>
            </w:r>
            <w:r>
              <w:rPr>
                <w:rFonts w:hint="eastAsia" w:ascii="仿宋" w:hAnsi="仿宋" w:eastAsia="仿宋" w:cs="仿宋"/>
                <w:kern w:val="0"/>
                <w:sz w:val="20"/>
                <w:szCs w:val="21"/>
              </w:rPr>
              <w:t>（元/克）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7" w:type="dxa"/>
          </w:tcPr>
          <w:p>
            <w:pPr>
              <w:pStyle w:val="11"/>
              <w:ind w:firstLine="0" w:firstLineChars="0"/>
              <w:rPr>
                <w:rFonts w:ascii="仿宋" w:hAnsi="仿宋" w:eastAsia="仿宋" w:cs="仿宋"/>
                <w:kern w:val="0"/>
                <w:sz w:val="20"/>
                <w:szCs w:val="21"/>
              </w:rPr>
            </w:pPr>
            <w:r>
              <w:rPr>
                <w:rFonts w:hint="eastAsia" w:ascii="仿宋" w:hAnsi="仿宋" w:eastAsia="仿宋" w:cs="仿宋"/>
                <w:kern w:val="0"/>
                <w:sz w:val="20"/>
                <w:szCs w:val="21"/>
              </w:rPr>
              <w:t xml:space="preserve">400＜ </w:t>
            </w:r>
            <w:r>
              <w:rPr>
                <w:rFonts w:ascii="仿宋" w:hAnsi="仿宋" w:eastAsia="仿宋" w:cs="仿宋"/>
                <w:kern w:val="0"/>
                <w:sz w:val="20"/>
                <w:szCs w:val="21"/>
              </w:rPr>
              <w:t>A</w:t>
            </w:r>
            <w:r>
              <w:rPr>
                <w:rFonts w:hint="eastAsia" w:ascii="仿宋" w:hAnsi="仿宋" w:eastAsia="仿宋" w:cs="仿宋"/>
                <w:kern w:val="0"/>
                <w:sz w:val="20"/>
                <w:szCs w:val="21"/>
              </w:rPr>
              <w:t>轮</w:t>
            </w:r>
            <w:r>
              <w:rPr>
                <w:rFonts w:ascii="仿宋" w:hAnsi="仿宋" w:eastAsia="仿宋" w:cs="仿宋"/>
                <w:kern w:val="0"/>
                <w:sz w:val="20"/>
                <w:szCs w:val="21"/>
              </w:rPr>
              <w:t xml:space="preserve">量差 </w:t>
            </w:r>
            <w:r>
              <w:rPr>
                <w:rFonts w:hint="eastAsia" w:ascii="仿宋" w:hAnsi="仿宋" w:eastAsia="仿宋" w:cs="仿宋"/>
                <w:kern w:val="0"/>
                <w:sz w:val="20"/>
                <w:szCs w:val="21"/>
              </w:rPr>
              <w:t>＜2</w:t>
            </w:r>
            <w:r>
              <w:rPr>
                <w:rFonts w:ascii="仿宋" w:hAnsi="仿宋" w:eastAsia="仿宋" w:cs="仿宋"/>
                <w:kern w:val="0"/>
                <w:sz w:val="20"/>
                <w:szCs w:val="21"/>
              </w:rPr>
              <w:t>,</w:t>
            </w:r>
            <w:r>
              <w:rPr>
                <w:rFonts w:hint="eastAsia" w:ascii="仿宋" w:hAnsi="仿宋" w:eastAsia="仿宋" w:cs="仿宋"/>
                <w:kern w:val="0"/>
                <w:sz w:val="20"/>
                <w:szCs w:val="21"/>
              </w:rPr>
              <w:t>000</w:t>
            </w:r>
          </w:p>
        </w:tc>
        <w:tc>
          <w:tcPr>
            <w:tcW w:w="1559" w:type="dxa"/>
          </w:tcPr>
          <w:p>
            <w:pPr>
              <w:pStyle w:val="11"/>
              <w:ind w:firstLine="0" w:firstLineChars="0"/>
              <w:rPr>
                <w:rFonts w:ascii="仿宋" w:hAnsi="仿宋" w:eastAsia="仿宋" w:cs="仿宋"/>
                <w:kern w:val="0"/>
                <w:sz w:val="20"/>
                <w:szCs w:val="21"/>
              </w:rPr>
            </w:pPr>
            <w:r>
              <w:rPr>
                <w:rFonts w:hint="eastAsia" w:ascii="仿宋" w:hAnsi="仿宋" w:eastAsia="仿宋" w:cs="仿宋"/>
                <w:kern w:val="0"/>
                <w:sz w:val="20"/>
                <w:szCs w:val="21"/>
              </w:rPr>
              <w:t xml:space="preserve">0.2 </w:t>
            </w:r>
          </w:p>
        </w:tc>
        <w:tc>
          <w:tcPr>
            <w:tcW w:w="2126" w:type="dxa"/>
          </w:tcPr>
          <w:p>
            <w:pPr>
              <w:pStyle w:val="11"/>
              <w:ind w:firstLine="0" w:firstLineChars="0"/>
              <w:rPr>
                <w:rFonts w:ascii="仿宋" w:hAnsi="仿宋" w:eastAsia="仿宋" w:cs="仿宋"/>
                <w:kern w:val="0"/>
                <w:sz w:val="20"/>
                <w:szCs w:val="21"/>
              </w:rPr>
            </w:pPr>
            <w:r>
              <w:rPr>
                <w:rFonts w:hint="eastAsia" w:ascii="仿宋" w:hAnsi="仿宋" w:eastAsia="仿宋" w:cs="仿宋"/>
                <w:kern w:val="0"/>
                <w:sz w:val="20"/>
                <w:szCs w:val="21"/>
              </w:rPr>
              <w:t>同B轮</w:t>
            </w:r>
          </w:p>
        </w:tc>
        <w:tc>
          <w:tcPr>
            <w:tcW w:w="2123" w:type="dxa"/>
          </w:tcPr>
          <w:p>
            <w:pPr>
              <w:pStyle w:val="11"/>
              <w:ind w:firstLine="0" w:firstLineChars="0"/>
              <w:rPr>
                <w:rFonts w:ascii="仿宋" w:hAnsi="仿宋" w:eastAsia="仿宋" w:cs="仿宋"/>
                <w:kern w:val="0"/>
                <w:sz w:val="20"/>
                <w:szCs w:val="21"/>
              </w:rPr>
            </w:pPr>
            <w:r>
              <w:rPr>
                <w:rFonts w:hint="eastAsia" w:ascii="仿宋" w:hAnsi="仿宋" w:eastAsia="仿宋" w:cs="仿宋"/>
                <w:kern w:val="0"/>
                <w:sz w:val="20"/>
                <w:szCs w:val="21"/>
              </w:rPr>
              <w:t>B轮</w:t>
            </w:r>
            <w:r>
              <w:rPr>
                <w:rFonts w:ascii="仿宋" w:hAnsi="仿宋" w:eastAsia="仿宋" w:cs="仿宋"/>
                <w:kern w:val="0"/>
                <w:sz w:val="20"/>
                <w:szCs w:val="21"/>
              </w:rPr>
              <w:t>步长的</w:t>
            </w:r>
            <w:r>
              <w:rPr>
                <w:rFonts w:hint="eastAsia" w:ascii="仿宋" w:hAnsi="仿宋" w:eastAsia="仿宋" w:cs="仿宋"/>
                <w:kern w:val="0"/>
                <w:sz w:val="20"/>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7" w:type="dxa"/>
          </w:tcPr>
          <w:p>
            <w:pPr>
              <w:pStyle w:val="11"/>
              <w:ind w:firstLine="0" w:firstLineChars="0"/>
              <w:rPr>
                <w:rFonts w:ascii="仿宋" w:hAnsi="仿宋" w:eastAsia="仿宋" w:cs="仿宋"/>
                <w:kern w:val="0"/>
                <w:sz w:val="20"/>
                <w:szCs w:val="21"/>
              </w:rPr>
            </w:pPr>
            <w:r>
              <w:rPr>
                <w:rFonts w:ascii="仿宋" w:hAnsi="仿宋" w:eastAsia="仿宋" w:cs="仿宋"/>
                <w:kern w:val="0"/>
                <w:sz w:val="20"/>
                <w:szCs w:val="21"/>
              </w:rPr>
              <w:t>2,000</w:t>
            </w:r>
            <w:r>
              <w:rPr>
                <w:rFonts w:hint="eastAsia" w:ascii="仿宋" w:hAnsi="仿宋" w:eastAsia="仿宋" w:cs="仿宋"/>
                <w:kern w:val="0"/>
                <w:sz w:val="20"/>
                <w:szCs w:val="21"/>
              </w:rPr>
              <w:t xml:space="preserve">≤ </w:t>
            </w:r>
            <w:r>
              <w:rPr>
                <w:rFonts w:ascii="仿宋" w:hAnsi="仿宋" w:eastAsia="仿宋" w:cs="仿宋"/>
                <w:kern w:val="0"/>
                <w:sz w:val="20"/>
                <w:szCs w:val="21"/>
              </w:rPr>
              <w:t>A</w:t>
            </w:r>
            <w:r>
              <w:rPr>
                <w:rFonts w:hint="eastAsia" w:ascii="仿宋" w:hAnsi="仿宋" w:eastAsia="仿宋" w:cs="仿宋"/>
                <w:kern w:val="0"/>
                <w:sz w:val="20"/>
                <w:szCs w:val="21"/>
              </w:rPr>
              <w:t>轮</w:t>
            </w:r>
            <w:r>
              <w:rPr>
                <w:rFonts w:ascii="仿宋" w:hAnsi="仿宋" w:eastAsia="仿宋" w:cs="仿宋"/>
                <w:kern w:val="0"/>
                <w:sz w:val="20"/>
                <w:szCs w:val="21"/>
              </w:rPr>
              <w:t xml:space="preserve">量差 </w:t>
            </w:r>
            <w:r>
              <w:rPr>
                <w:rFonts w:hint="eastAsia" w:ascii="仿宋" w:hAnsi="仿宋" w:eastAsia="仿宋" w:cs="仿宋"/>
                <w:kern w:val="0"/>
                <w:sz w:val="20"/>
                <w:szCs w:val="21"/>
              </w:rPr>
              <w:t>＜</w:t>
            </w:r>
            <w:r>
              <w:rPr>
                <w:rFonts w:ascii="仿宋" w:hAnsi="仿宋" w:eastAsia="仿宋" w:cs="仿宋"/>
                <w:kern w:val="0"/>
                <w:sz w:val="20"/>
                <w:szCs w:val="21"/>
              </w:rPr>
              <w:t>30,000</w:t>
            </w:r>
          </w:p>
        </w:tc>
        <w:tc>
          <w:tcPr>
            <w:tcW w:w="1559" w:type="dxa"/>
          </w:tcPr>
          <w:p>
            <w:pPr>
              <w:pStyle w:val="11"/>
              <w:ind w:firstLine="0" w:firstLineChars="0"/>
              <w:rPr>
                <w:rFonts w:ascii="仿宋" w:hAnsi="仿宋" w:eastAsia="仿宋" w:cs="仿宋"/>
                <w:kern w:val="0"/>
                <w:sz w:val="20"/>
                <w:szCs w:val="21"/>
              </w:rPr>
            </w:pPr>
            <w:r>
              <w:rPr>
                <w:rFonts w:hint="eastAsia" w:ascii="仿宋" w:hAnsi="仿宋" w:eastAsia="仿宋" w:cs="仿宋"/>
                <w:kern w:val="0"/>
                <w:sz w:val="20"/>
                <w:szCs w:val="21"/>
              </w:rPr>
              <w:t>0.3</w:t>
            </w:r>
          </w:p>
        </w:tc>
        <w:tc>
          <w:tcPr>
            <w:tcW w:w="2126" w:type="dxa"/>
          </w:tcPr>
          <w:p>
            <w:pPr>
              <w:pStyle w:val="11"/>
              <w:ind w:firstLine="0" w:firstLineChars="0"/>
              <w:rPr>
                <w:rFonts w:ascii="仿宋" w:hAnsi="仿宋" w:eastAsia="仿宋" w:cs="仿宋"/>
                <w:kern w:val="0"/>
                <w:sz w:val="20"/>
                <w:szCs w:val="21"/>
              </w:rPr>
            </w:pPr>
            <w:r>
              <w:rPr>
                <w:rFonts w:hint="eastAsia" w:ascii="仿宋" w:hAnsi="仿宋" w:eastAsia="仿宋" w:cs="仿宋"/>
                <w:kern w:val="0"/>
                <w:sz w:val="20"/>
                <w:szCs w:val="21"/>
              </w:rPr>
              <w:t>同B轮</w:t>
            </w:r>
          </w:p>
        </w:tc>
        <w:tc>
          <w:tcPr>
            <w:tcW w:w="2123" w:type="dxa"/>
          </w:tcPr>
          <w:p>
            <w:pPr>
              <w:pStyle w:val="11"/>
              <w:ind w:firstLine="0" w:firstLineChars="0"/>
              <w:rPr>
                <w:rFonts w:ascii="仿宋" w:hAnsi="仿宋" w:eastAsia="仿宋" w:cs="仿宋"/>
                <w:kern w:val="0"/>
                <w:sz w:val="20"/>
                <w:szCs w:val="21"/>
              </w:rPr>
            </w:pPr>
            <w:r>
              <w:rPr>
                <w:rFonts w:hint="eastAsia" w:ascii="仿宋" w:hAnsi="仿宋" w:eastAsia="仿宋" w:cs="仿宋"/>
                <w:kern w:val="0"/>
                <w:sz w:val="20"/>
                <w:szCs w:val="21"/>
              </w:rPr>
              <w:t>B轮</w:t>
            </w:r>
            <w:r>
              <w:rPr>
                <w:rFonts w:ascii="仿宋" w:hAnsi="仿宋" w:eastAsia="仿宋" w:cs="仿宋"/>
                <w:kern w:val="0"/>
                <w:sz w:val="20"/>
                <w:szCs w:val="21"/>
              </w:rPr>
              <w:t>步长的</w:t>
            </w:r>
            <w:r>
              <w:rPr>
                <w:rFonts w:hint="eastAsia" w:ascii="仿宋" w:hAnsi="仿宋" w:eastAsia="仿宋" w:cs="仿宋"/>
                <w:kern w:val="0"/>
                <w:sz w:val="20"/>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7" w:type="dxa"/>
          </w:tcPr>
          <w:p>
            <w:pPr>
              <w:pStyle w:val="11"/>
              <w:ind w:firstLine="0" w:firstLineChars="0"/>
              <w:rPr>
                <w:rFonts w:ascii="仿宋" w:hAnsi="仿宋" w:eastAsia="仿宋" w:cs="仿宋"/>
                <w:kern w:val="0"/>
                <w:sz w:val="20"/>
                <w:szCs w:val="21"/>
              </w:rPr>
            </w:pPr>
            <w:r>
              <w:rPr>
                <w:rFonts w:ascii="仿宋" w:hAnsi="仿宋" w:eastAsia="仿宋" w:cs="仿宋"/>
                <w:kern w:val="0"/>
                <w:sz w:val="20"/>
                <w:szCs w:val="21"/>
              </w:rPr>
              <w:t>A</w:t>
            </w:r>
            <w:r>
              <w:rPr>
                <w:rFonts w:hint="eastAsia" w:ascii="仿宋" w:hAnsi="仿宋" w:eastAsia="仿宋" w:cs="仿宋"/>
                <w:kern w:val="0"/>
                <w:sz w:val="20"/>
                <w:szCs w:val="21"/>
              </w:rPr>
              <w:t>轮</w:t>
            </w:r>
            <w:r>
              <w:rPr>
                <w:rFonts w:ascii="仿宋" w:hAnsi="仿宋" w:eastAsia="仿宋" w:cs="仿宋"/>
                <w:kern w:val="0"/>
                <w:sz w:val="20"/>
                <w:szCs w:val="21"/>
              </w:rPr>
              <w:t>量差</w:t>
            </w:r>
            <w:r>
              <w:rPr>
                <w:rFonts w:hint="eastAsia" w:ascii="仿宋" w:hAnsi="仿宋" w:eastAsia="仿宋" w:cs="仿宋"/>
                <w:kern w:val="0"/>
                <w:sz w:val="20"/>
                <w:szCs w:val="21"/>
              </w:rPr>
              <w:t>≥30</w:t>
            </w:r>
            <w:r>
              <w:rPr>
                <w:rFonts w:ascii="仿宋" w:hAnsi="仿宋" w:eastAsia="仿宋" w:cs="仿宋"/>
                <w:kern w:val="0"/>
                <w:sz w:val="20"/>
                <w:szCs w:val="21"/>
              </w:rPr>
              <w:t>,</w:t>
            </w:r>
            <w:r>
              <w:rPr>
                <w:rFonts w:hint="eastAsia" w:ascii="仿宋" w:hAnsi="仿宋" w:eastAsia="仿宋" w:cs="仿宋"/>
                <w:kern w:val="0"/>
                <w:sz w:val="20"/>
                <w:szCs w:val="21"/>
              </w:rPr>
              <w:t>000</w:t>
            </w:r>
          </w:p>
        </w:tc>
        <w:tc>
          <w:tcPr>
            <w:tcW w:w="1559" w:type="dxa"/>
          </w:tcPr>
          <w:p>
            <w:pPr>
              <w:pStyle w:val="11"/>
              <w:ind w:firstLine="0" w:firstLineChars="0"/>
              <w:rPr>
                <w:rFonts w:ascii="仿宋" w:hAnsi="仿宋" w:eastAsia="仿宋" w:cs="仿宋"/>
                <w:kern w:val="0"/>
                <w:sz w:val="20"/>
                <w:szCs w:val="21"/>
              </w:rPr>
            </w:pPr>
            <w:r>
              <w:rPr>
                <w:rFonts w:hint="eastAsia" w:ascii="仿宋" w:hAnsi="仿宋" w:eastAsia="仿宋" w:cs="仿宋"/>
                <w:kern w:val="0"/>
                <w:sz w:val="20"/>
                <w:szCs w:val="21"/>
              </w:rPr>
              <w:t>0.4</w:t>
            </w:r>
          </w:p>
        </w:tc>
        <w:tc>
          <w:tcPr>
            <w:tcW w:w="2126" w:type="dxa"/>
          </w:tcPr>
          <w:p>
            <w:pPr>
              <w:pStyle w:val="11"/>
              <w:ind w:firstLine="0" w:firstLineChars="0"/>
              <w:rPr>
                <w:rFonts w:ascii="仿宋" w:hAnsi="仿宋" w:eastAsia="仿宋" w:cs="仿宋"/>
                <w:kern w:val="0"/>
                <w:sz w:val="20"/>
                <w:szCs w:val="21"/>
              </w:rPr>
            </w:pPr>
            <w:r>
              <w:rPr>
                <w:rFonts w:hint="eastAsia" w:ascii="仿宋" w:hAnsi="仿宋" w:eastAsia="仿宋" w:cs="仿宋"/>
                <w:kern w:val="0"/>
                <w:sz w:val="20"/>
                <w:szCs w:val="21"/>
              </w:rPr>
              <w:t>同B轮</w:t>
            </w:r>
          </w:p>
        </w:tc>
        <w:tc>
          <w:tcPr>
            <w:tcW w:w="2123" w:type="dxa"/>
          </w:tcPr>
          <w:p>
            <w:pPr>
              <w:pStyle w:val="11"/>
              <w:ind w:firstLine="0" w:firstLineChars="0"/>
              <w:rPr>
                <w:rFonts w:ascii="仿宋" w:hAnsi="仿宋" w:eastAsia="仿宋" w:cs="仿宋"/>
                <w:kern w:val="0"/>
                <w:sz w:val="20"/>
                <w:szCs w:val="21"/>
              </w:rPr>
            </w:pPr>
            <w:r>
              <w:rPr>
                <w:rFonts w:hint="eastAsia" w:ascii="仿宋" w:hAnsi="仿宋" w:eastAsia="仿宋" w:cs="仿宋"/>
                <w:kern w:val="0"/>
                <w:sz w:val="20"/>
                <w:szCs w:val="21"/>
              </w:rPr>
              <w:t>B轮</w:t>
            </w:r>
            <w:r>
              <w:rPr>
                <w:rFonts w:ascii="仿宋" w:hAnsi="仿宋" w:eastAsia="仿宋" w:cs="仿宋"/>
                <w:kern w:val="0"/>
                <w:sz w:val="20"/>
                <w:szCs w:val="21"/>
              </w:rPr>
              <w:t>步长的</w:t>
            </w:r>
            <w:r>
              <w:rPr>
                <w:rFonts w:hint="eastAsia" w:ascii="仿宋" w:hAnsi="仿宋" w:eastAsia="仿宋" w:cs="仿宋"/>
                <w:kern w:val="0"/>
                <w:sz w:val="20"/>
                <w:szCs w:val="21"/>
              </w:rPr>
              <w:t>50%</w:t>
            </w:r>
          </w:p>
        </w:tc>
      </w:tr>
    </w:tbl>
    <w:p>
      <w:pPr>
        <w:pStyle w:val="11"/>
        <w:numPr>
          <w:ilvl w:val="0"/>
          <w:numId w:val="1"/>
        </w:numPr>
        <w:ind w:firstLine="566" w:firstLineChars="202"/>
        <w:rPr>
          <w:rFonts w:ascii="仿宋" w:hAnsi="仿宋" w:eastAsia="仿宋" w:cs="仿宋"/>
          <w:sz w:val="28"/>
          <w:szCs w:val="28"/>
        </w:rPr>
      </w:pPr>
      <w:r>
        <w:rPr>
          <w:rFonts w:hint="eastAsia" w:ascii="仿宋" w:hAnsi="仿宋" w:eastAsia="仿宋" w:cs="仿宋"/>
          <w:sz w:val="28"/>
          <w:szCs w:val="28"/>
        </w:rPr>
        <w:t>若某轮补充申报结束，量差仍未满足形成定价成交条件，定价成员在该轮的补充申报将转换成下一轮的市场申报，该定价成员对已申报量的撤销须符合第二十八条的规定。</w:t>
      </w:r>
    </w:p>
    <w:p>
      <w:pPr>
        <w:numPr>
          <w:ilvl w:val="0"/>
          <w:numId w:val="1"/>
        </w:numPr>
        <w:pBdr>
          <w:top w:val="none" w:color="000000" w:sz="0" w:space="0"/>
          <w:left w:val="none" w:color="000000" w:sz="0" w:space="0"/>
          <w:bottom w:val="none" w:color="000000" w:sz="0" w:space="0"/>
          <w:right w:val="none" w:color="000000" w:sz="0" w:space="1"/>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每轮补充申报结束，量差符合集中定价成交条件时，本场集中定价结束，产生上</w:t>
      </w:r>
      <w:r>
        <w:rPr>
          <w:rFonts w:ascii="仿宋" w:hAnsi="仿宋" w:eastAsia="仿宋" w:cs="仿宋"/>
          <w:sz w:val="28"/>
          <w:szCs w:val="28"/>
        </w:rPr>
        <w:t>海金</w:t>
      </w:r>
      <w:r>
        <w:rPr>
          <w:rFonts w:hint="eastAsia" w:ascii="仿宋" w:hAnsi="仿宋" w:eastAsia="仿宋" w:cs="仿宋"/>
          <w:sz w:val="28"/>
          <w:szCs w:val="28"/>
        </w:rPr>
        <w:t>集中定价基准价格。</w:t>
      </w:r>
    </w:p>
    <w:p>
      <w:pPr>
        <w:pStyle w:val="11"/>
        <w:numPr>
          <w:ilvl w:val="0"/>
          <w:numId w:val="1"/>
        </w:numPr>
        <w:ind w:firstLine="566" w:firstLineChars="0"/>
        <w:rPr>
          <w:rFonts w:ascii="仿宋" w:hAnsi="仿宋" w:eastAsia="仿宋" w:cs="仿宋"/>
          <w:sz w:val="28"/>
          <w:szCs w:val="28"/>
        </w:rPr>
      </w:pPr>
      <w:r>
        <w:rPr>
          <w:rFonts w:hint="eastAsia" w:ascii="仿宋" w:hAnsi="仿宋" w:eastAsia="仿宋" w:cs="仿宋"/>
          <w:sz w:val="28"/>
          <w:szCs w:val="28"/>
        </w:rPr>
        <w:t>每场集中定价结束后，量差由全部定价成员平均分担。最后一轮中的所有有效申报按基准价格全部成交。</w:t>
      </w:r>
    </w:p>
    <w:p>
      <w:pPr>
        <w:numPr>
          <w:ilvl w:val="0"/>
          <w:numId w:val="1"/>
        </w:numPr>
        <w:pBdr>
          <w:top w:val="none" w:color="000000" w:sz="0" w:space="0"/>
          <w:left w:val="none" w:color="000000" w:sz="0" w:space="0"/>
          <w:bottom w:val="none" w:color="000000" w:sz="0" w:space="0"/>
          <w:right w:val="none" w:color="000000" w:sz="0" w:space="1"/>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当出现首轮集中定价没有有效申报的情况时，以初始价作为该场集中定价的基准价。如果该场集中定价没有形成基准价，则以上场集中定价形成的基准价作为本场集中定价的基准价。</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交易所对市场交易进行监控，发现交易出现异常情形的，有权对相关会员或者客户采取相应监管措施。</w:t>
      </w:r>
    </w:p>
    <w:p>
      <w:pPr>
        <w:numPr>
          <w:ilvl w:val="0"/>
          <w:numId w:val="1"/>
        </w:numPr>
        <w:pBdr>
          <w:top w:val="none" w:color="000000" w:sz="0" w:space="0"/>
          <w:left w:val="none" w:color="000000" w:sz="0" w:space="0"/>
          <w:bottom w:val="none" w:color="000000" w:sz="0" w:space="0"/>
          <w:right w:val="none" w:color="000000" w:sz="0" w:space="1"/>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交易所对参与集中定价交易的会员收取交易手续费，交易手续费率根据交易所公告执行。</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交易所集中定价交易系统实时显示集中定价交易的出价、市场申报量、补充申报量、最终基准价、成交量等行情信息。交易所通过网站等渠道发布上海金基准价相关信息。</w:t>
      </w:r>
    </w:p>
    <w:p>
      <w:pPr>
        <w:pBdr>
          <w:top w:val="none" w:color="000000" w:sz="0" w:space="0"/>
          <w:left w:val="none" w:color="000000" w:sz="0" w:space="0"/>
          <w:bottom w:val="none" w:color="000000" w:sz="0" w:space="0"/>
          <w:right w:val="none" w:color="000000" w:sz="0" w:space="0"/>
        </w:pBdr>
        <w:autoSpaceDN w:val="0"/>
        <w:snapToGrid w:val="0"/>
        <w:spacing w:line="360" w:lineRule="auto"/>
        <w:ind w:left="566"/>
        <w:rPr>
          <w:rFonts w:ascii="仿宋" w:hAnsi="仿宋" w:eastAsia="仿宋" w:cs="仿宋"/>
          <w:sz w:val="28"/>
          <w:szCs w:val="28"/>
        </w:rPr>
      </w:pPr>
    </w:p>
    <w:p>
      <w:pPr>
        <w:pBdr>
          <w:top w:val="none" w:color="000000" w:sz="0" w:space="0"/>
          <w:left w:val="none" w:color="000000" w:sz="0" w:space="1"/>
          <w:bottom w:val="none" w:color="000000" w:sz="0" w:space="0"/>
          <w:right w:val="none" w:color="000000" w:sz="0" w:space="0"/>
        </w:pBdr>
        <w:autoSpaceDN w:val="0"/>
        <w:snapToGrid w:val="0"/>
        <w:spacing w:line="360" w:lineRule="auto"/>
        <w:jc w:val="center"/>
        <w:rPr>
          <w:rFonts w:ascii="仿宋" w:hAnsi="仿宋" w:eastAsia="仿宋" w:cs="仿宋"/>
          <w:sz w:val="28"/>
          <w:szCs w:val="28"/>
        </w:rPr>
      </w:pPr>
      <w:r>
        <w:rPr>
          <w:rFonts w:hint="eastAsia" w:ascii="黑体" w:hAnsi="黑体" w:eastAsia="黑体"/>
          <w:sz w:val="30"/>
          <w:szCs w:val="30"/>
        </w:rPr>
        <w:t>第四章  清算与交割</w:t>
      </w:r>
    </w:p>
    <w:p>
      <w:pPr>
        <w:numPr>
          <w:ilvl w:val="0"/>
          <w:numId w:val="1"/>
        </w:numPr>
        <w:pBdr>
          <w:top w:val="none" w:color="000000" w:sz="0" w:space="0"/>
          <w:left w:val="none" w:color="000000" w:sz="0" w:space="1"/>
          <w:bottom w:val="none" w:color="000000" w:sz="0" w:space="0"/>
          <w:right w:val="none" w:color="000000" w:sz="0" w:space="0"/>
        </w:pBdr>
        <w:autoSpaceDN w:val="0"/>
        <w:snapToGrid w:val="0"/>
        <w:spacing w:line="360" w:lineRule="auto"/>
        <w:ind w:firstLine="566" w:firstLineChars="202"/>
        <w:rPr>
          <w:rFonts w:ascii="仿宋" w:hAnsi="仿宋" w:eastAsia="仿宋" w:cs="仿宋"/>
          <w:snapToGrid w:val="0"/>
          <w:kern w:val="0"/>
          <w:sz w:val="28"/>
          <w:szCs w:val="28"/>
        </w:rPr>
      </w:pPr>
      <w:r>
        <w:rPr>
          <w:rFonts w:hint="eastAsia" w:ascii="仿宋" w:hAnsi="仿宋" w:eastAsia="仿宋" w:cs="仿宋"/>
          <w:sz w:val="28"/>
          <w:szCs w:val="28"/>
        </w:rPr>
        <w:t>交易所对集中定价交易进行集中清算和交割。</w:t>
      </w:r>
    </w:p>
    <w:p>
      <w:pPr>
        <w:numPr>
          <w:ilvl w:val="0"/>
          <w:numId w:val="1"/>
        </w:numPr>
        <w:pBdr>
          <w:top w:val="none" w:color="000000" w:sz="0" w:space="0"/>
          <w:left w:val="none" w:color="000000" w:sz="0" w:space="1"/>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为了提高参与者的资金利用效率和控制风险，交易所在T+0日日终以午盘的集中定价价格作为合约的结算价，对同一账户早盘和午盘的集中定价成交进行盈亏计算；并对合约净买卖量收取规定比例的保证金。</w:t>
      </w:r>
    </w:p>
    <w:p>
      <w:pPr>
        <w:numPr>
          <w:ilvl w:val="0"/>
          <w:numId w:val="1"/>
        </w:numPr>
        <w:pBdr>
          <w:top w:val="none" w:color="000000" w:sz="0" w:space="0"/>
          <w:left w:val="none" w:color="000000" w:sz="0" w:space="1"/>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在T+2日日终清算时，按T+0日的结算价，对T+0的净头寸执行资金清算和实物交割。</w:t>
      </w:r>
    </w:p>
    <w:p>
      <w:pPr>
        <w:numPr>
          <w:ilvl w:val="0"/>
          <w:numId w:val="1"/>
        </w:numPr>
        <w:pBdr>
          <w:top w:val="none" w:color="000000" w:sz="0" w:space="0"/>
          <w:left w:val="none" w:color="000000" w:sz="0" w:space="1"/>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集中定价成交与交易所的其它交易品种实行同一账户集中清算。在日终清算时，交易所依次按照竞价交易、集中定价交易、询价交易的清算顺序进行清算和交割。</w:t>
      </w:r>
    </w:p>
    <w:p>
      <w:pPr>
        <w:numPr>
          <w:ilvl w:val="0"/>
          <w:numId w:val="1"/>
        </w:numPr>
        <w:pBdr>
          <w:top w:val="none" w:color="000000" w:sz="0" w:space="0"/>
          <w:left w:val="none" w:color="000000" w:sz="0" w:space="1"/>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在T+2日日终清算交割前，买方资金账户应有足额资金，卖方实物账户应有足额实物，若不能满足以上条件，则构成交割违约。交易所将根据违约金比例向违约方收取违约头寸对应的违约金，同时合约终止。违约金比例根据交易所公告执行。</w:t>
      </w:r>
    </w:p>
    <w:p>
      <w:pPr>
        <w:numPr>
          <w:ilvl w:val="0"/>
          <w:numId w:val="1"/>
        </w:numPr>
        <w:pBdr>
          <w:top w:val="none" w:color="000000" w:sz="0" w:space="0"/>
          <w:left w:val="none" w:color="000000" w:sz="0" w:space="1"/>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当违约方清算准备金账户的金额不足以支付违约金时，交易所有权按照《上海黄金交易所风险控制管理办法》对违约方进行处理。</w:t>
      </w:r>
    </w:p>
    <w:p>
      <w:pPr>
        <w:numPr>
          <w:ilvl w:val="0"/>
          <w:numId w:val="1"/>
        </w:numPr>
        <w:pBdr>
          <w:top w:val="none" w:color="000000" w:sz="0" w:space="0"/>
          <w:left w:val="none" w:color="000000" w:sz="0" w:space="1"/>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有关清算和交割的其它规定，参照《上海黄金交易所现货交易资金清算实施细则》和《上海黄金交易所现货交易交割细则》执行。</w:t>
      </w:r>
    </w:p>
    <w:p>
      <w:pPr>
        <w:pBdr>
          <w:top w:val="none" w:color="000000" w:sz="0" w:space="0"/>
          <w:left w:val="none" w:color="000000" w:sz="0" w:space="1"/>
          <w:bottom w:val="none" w:color="000000" w:sz="0" w:space="0"/>
          <w:right w:val="none" w:color="000000" w:sz="0" w:space="0"/>
        </w:pBdr>
        <w:autoSpaceDN w:val="0"/>
        <w:snapToGrid w:val="0"/>
        <w:spacing w:line="360" w:lineRule="auto"/>
        <w:ind w:left="566"/>
        <w:rPr>
          <w:rFonts w:ascii="仿宋" w:hAnsi="仿宋" w:eastAsia="仿宋" w:cs="仿宋"/>
          <w:sz w:val="28"/>
          <w:szCs w:val="28"/>
        </w:rPr>
      </w:pPr>
    </w:p>
    <w:p>
      <w:pPr>
        <w:pBdr>
          <w:top w:val="none" w:color="000000" w:sz="0" w:space="0"/>
          <w:left w:val="none" w:color="000000" w:sz="0" w:space="0"/>
          <w:bottom w:val="none" w:color="000000" w:sz="0" w:space="0"/>
          <w:right w:val="none" w:color="000000" w:sz="0" w:space="0"/>
        </w:pBdr>
        <w:autoSpaceDN w:val="0"/>
        <w:snapToGrid w:val="0"/>
        <w:spacing w:line="360" w:lineRule="auto"/>
        <w:jc w:val="center"/>
        <w:rPr>
          <w:rFonts w:ascii="黑体" w:hAnsi="黑体" w:eastAsia="黑体"/>
          <w:sz w:val="30"/>
          <w:szCs w:val="30"/>
        </w:rPr>
      </w:pPr>
      <w:bookmarkStart w:id="2" w:name="第三章"/>
      <w:r>
        <w:rPr>
          <w:rFonts w:hint="eastAsia" w:ascii="黑体" w:hAnsi="黑体" w:eastAsia="黑体"/>
          <w:sz w:val="30"/>
          <w:szCs w:val="30"/>
        </w:rPr>
        <w:t>第五章　合规性要求</w:t>
      </w:r>
    </w:p>
    <w:p>
      <w:pPr>
        <w:numPr>
          <w:ilvl w:val="0"/>
          <w:numId w:val="1"/>
        </w:numPr>
        <w:pBdr>
          <w:top w:val="none" w:color="000000" w:sz="0" w:space="0"/>
          <w:left w:val="none" w:color="000000" w:sz="0" w:space="1"/>
          <w:bottom w:val="none" w:color="000000" w:sz="0" w:space="0"/>
          <w:right w:val="none" w:color="000000" w:sz="0" w:space="5"/>
        </w:pBdr>
        <w:autoSpaceDN w:val="0"/>
        <w:snapToGrid w:val="0"/>
        <w:spacing w:line="360" w:lineRule="auto"/>
        <w:ind w:firstLine="566"/>
        <w:rPr>
          <w:rFonts w:ascii="仿宋" w:hAnsi="仿宋" w:eastAsia="仿宋" w:cs="仿宋"/>
          <w:sz w:val="28"/>
          <w:szCs w:val="28"/>
        </w:rPr>
      </w:pPr>
      <w:r>
        <w:rPr>
          <w:rFonts w:hint="eastAsia" w:ascii="仿宋" w:hAnsi="仿宋" w:eastAsia="仿宋" w:cs="仿宋"/>
          <w:sz w:val="28"/>
          <w:szCs w:val="28"/>
        </w:rPr>
        <w:t>定价成员以及提供参考价成员须按照当时市场情况提供合理的市场参考价，不得相互商量沟通，联手影响操控初始价。</w:t>
      </w:r>
    </w:p>
    <w:p>
      <w:pPr>
        <w:numPr>
          <w:ilvl w:val="0"/>
          <w:numId w:val="1"/>
        </w:numPr>
        <w:pBdr>
          <w:top w:val="none" w:color="000000" w:sz="0" w:space="0"/>
          <w:left w:val="none" w:color="000000" w:sz="0" w:space="1"/>
          <w:bottom w:val="none" w:color="000000" w:sz="0" w:space="0"/>
          <w:right w:val="none" w:color="000000" w:sz="0" w:space="5"/>
        </w:pBdr>
        <w:autoSpaceDN w:val="0"/>
        <w:snapToGrid w:val="0"/>
        <w:spacing w:line="360" w:lineRule="auto"/>
        <w:ind w:firstLine="566"/>
        <w:rPr>
          <w:rFonts w:ascii="仿宋" w:hAnsi="仿宋" w:eastAsia="仿宋" w:cs="仿宋"/>
          <w:sz w:val="28"/>
          <w:szCs w:val="28"/>
        </w:rPr>
      </w:pPr>
      <w:r>
        <w:rPr>
          <w:rFonts w:hint="eastAsia" w:ascii="仿宋" w:hAnsi="仿宋" w:eastAsia="仿宋" w:cs="仿宋"/>
          <w:sz w:val="28"/>
          <w:szCs w:val="28"/>
        </w:rPr>
        <w:t>会员和客户对每一轮出价的申报量应为其真实交易需求的表达，不得进行虚假交易，扰乱和破坏定价过程和正常的市场秩序。</w:t>
      </w:r>
    </w:p>
    <w:p>
      <w:pPr>
        <w:numPr>
          <w:ilvl w:val="0"/>
          <w:numId w:val="1"/>
        </w:numPr>
        <w:pBdr>
          <w:top w:val="none" w:color="000000" w:sz="0" w:space="0"/>
          <w:left w:val="none" w:color="000000" w:sz="0" w:space="1"/>
          <w:bottom w:val="none" w:color="000000" w:sz="0" w:space="0"/>
          <w:right w:val="none" w:color="000000" w:sz="0" w:space="5"/>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会员的自营和代理集中定价交易必须完全分开，由不同的交易团队进行交易。自营和代理交易业务之间应有防火墙。</w:t>
      </w:r>
    </w:p>
    <w:p>
      <w:pPr>
        <w:numPr>
          <w:ilvl w:val="0"/>
          <w:numId w:val="1"/>
        </w:numPr>
        <w:pBdr>
          <w:top w:val="none" w:color="000000" w:sz="0" w:space="0"/>
          <w:left w:val="none" w:color="000000" w:sz="0" w:space="1"/>
          <w:bottom w:val="none" w:color="000000" w:sz="0" w:space="0"/>
          <w:right w:val="none" w:color="000000" w:sz="0" w:space="5"/>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当会员和其客户利益发生冲突时，会员应以客户利益优先于会员自身利益的原则进行处理。</w:t>
      </w:r>
    </w:p>
    <w:p>
      <w:pPr>
        <w:numPr>
          <w:ilvl w:val="0"/>
          <w:numId w:val="1"/>
        </w:numPr>
        <w:pBdr>
          <w:top w:val="none" w:color="000000" w:sz="0" w:space="0"/>
          <w:left w:val="none" w:color="000000" w:sz="0" w:space="1"/>
          <w:bottom w:val="none" w:color="000000" w:sz="0" w:space="0"/>
          <w:right w:val="none" w:color="000000" w:sz="0" w:space="5"/>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会员不得依据其客户集中定价买卖指令等内幕信息进行任何自营交易。</w:t>
      </w:r>
    </w:p>
    <w:p>
      <w:pPr>
        <w:numPr>
          <w:ilvl w:val="0"/>
          <w:numId w:val="1"/>
        </w:numPr>
        <w:pBdr>
          <w:top w:val="none" w:color="000000" w:sz="0" w:space="0"/>
          <w:left w:val="none" w:color="000000" w:sz="0" w:space="1"/>
          <w:bottom w:val="none" w:color="000000" w:sz="0" w:space="0"/>
          <w:right w:val="none" w:color="000000" w:sz="0" w:space="5"/>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在进行集中定价交易时，会员的相关风控部门和岗位人员必须对交易进行监控和不定期现场监督检查。</w:t>
      </w:r>
    </w:p>
    <w:p>
      <w:pPr>
        <w:numPr>
          <w:ilvl w:val="0"/>
          <w:numId w:val="1"/>
        </w:numPr>
        <w:pBdr>
          <w:top w:val="none" w:color="000000" w:sz="0" w:space="0"/>
          <w:left w:val="none" w:color="000000" w:sz="0" w:space="1"/>
          <w:bottom w:val="none" w:color="000000" w:sz="0" w:space="0"/>
          <w:right w:val="none" w:color="000000" w:sz="0" w:space="5"/>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进行集中定价交易时，定价成员和提供参考价成员所有的通讯和外界联系必须是通过可以记录的设备完成，并保留通讯记录，须有专人管理和不定期检查。</w:t>
      </w:r>
    </w:p>
    <w:p>
      <w:pPr>
        <w:numPr>
          <w:ilvl w:val="0"/>
          <w:numId w:val="1"/>
        </w:numPr>
        <w:pBdr>
          <w:top w:val="none" w:color="000000" w:sz="0" w:space="0"/>
          <w:left w:val="none" w:color="000000" w:sz="0" w:space="1"/>
          <w:bottom w:val="none" w:color="000000" w:sz="0" w:space="0"/>
          <w:right w:val="none" w:color="000000" w:sz="0" w:space="5"/>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严格禁止任何操纵价格、对敲、在同一场次恶意来回买卖等单独或联手扰乱市场，具有误导性和欺诈性的交易行为。</w:t>
      </w:r>
    </w:p>
    <w:p>
      <w:pPr>
        <w:numPr>
          <w:ilvl w:val="0"/>
          <w:numId w:val="1"/>
        </w:numPr>
        <w:pBdr>
          <w:top w:val="none" w:color="000000" w:sz="0" w:space="0"/>
          <w:left w:val="none" w:color="000000" w:sz="0" w:space="1"/>
          <w:bottom w:val="none" w:color="000000" w:sz="0" w:space="0"/>
          <w:right w:val="none" w:color="000000" w:sz="0" w:space="5"/>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参与基准价</w:t>
      </w:r>
      <w:r>
        <w:rPr>
          <w:rFonts w:ascii="仿宋" w:hAnsi="仿宋" w:eastAsia="仿宋" w:cs="仿宋"/>
          <w:sz w:val="28"/>
          <w:szCs w:val="28"/>
        </w:rPr>
        <w:t>交易的会员和客户</w:t>
      </w:r>
      <w:r>
        <w:rPr>
          <w:rFonts w:hint="eastAsia" w:ascii="仿宋" w:hAnsi="仿宋" w:eastAsia="仿宋" w:cs="仿宋"/>
          <w:sz w:val="28"/>
          <w:szCs w:val="28"/>
        </w:rPr>
        <w:t>须有完善的合规和交易的档案记录留存，自</w:t>
      </w:r>
      <w:r>
        <w:rPr>
          <w:rFonts w:ascii="仿宋" w:hAnsi="仿宋" w:eastAsia="仿宋" w:cs="仿宋"/>
          <w:sz w:val="28"/>
          <w:szCs w:val="28"/>
        </w:rPr>
        <w:t>营和代理</w:t>
      </w:r>
      <w:r>
        <w:rPr>
          <w:rFonts w:hint="eastAsia" w:ascii="仿宋" w:hAnsi="仿宋" w:eastAsia="仿宋" w:cs="仿宋"/>
          <w:sz w:val="28"/>
          <w:szCs w:val="28"/>
        </w:rPr>
        <w:t>档案须</w:t>
      </w:r>
      <w:r>
        <w:rPr>
          <w:rFonts w:ascii="仿宋" w:hAnsi="仿宋" w:eastAsia="仿宋" w:cs="仿宋"/>
          <w:sz w:val="28"/>
          <w:szCs w:val="28"/>
        </w:rPr>
        <w:t>分开</w:t>
      </w:r>
      <w:r>
        <w:rPr>
          <w:rFonts w:hint="eastAsia" w:ascii="仿宋" w:hAnsi="仿宋" w:eastAsia="仿宋" w:cs="仿宋"/>
          <w:sz w:val="28"/>
          <w:szCs w:val="28"/>
        </w:rPr>
        <w:t>保留，</w:t>
      </w:r>
      <w:r>
        <w:rPr>
          <w:rFonts w:ascii="仿宋" w:hAnsi="仿宋" w:eastAsia="仿宋" w:cs="仿宋"/>
          <w:sz w:val="28"/>
          <w:szCs w:val="28"/>
        </w:rPr>
        <w:t>保留</w:t>
      </w:r>
      <w:r>
        <w:rPr>
          <w:rFonts w:hint="eastAsia" w:ascii="仿宋" w:hAnsi="仿宋" w:eastAsia="仿宋" w:cs="仿宋"/>
          <w:sz w:val="28"/>
          <w:szCs w:val="28"/>
        </w:rPr>
        <w:t>期限不得少于五年。</w:t>
      </w:r>
    </w:p>
    <w:p>
      <w:pPr>
        <w:numPr>
          <w:ilvl w:val="0"/>
          <w:numId w:val="1"/>
        </w:numPr>
        <w:pBdr>
          <w:top w:val="none" w:color="000000" w:sz="0" w:space="0"/>
          <w:left w:val="none" w:color="000000" w:sz="0" w:space="1"/>
          <w:bottom w:val="none" w:color="000000" w:sz="0" w:space="0"/>
          <w:right w:val="none" w:color="000000" w:sz="0" w:space="5"/>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所有参加集中定价的相关人员应进行上岗前培训，充分理解集中定价交易业务规则和操作流程。</w:t>
      </w:r>
    </w:p>
    <w:p>
      <w:pPr>
        <w:numPr>
          <w:ilvl w:val="0"/>
          <w:numId w:val="1"/>
        </w:numPr>
        <w:pBdr>
          <w:top w:val="none" w:color="000000" w:sz="0" w:space="0"/>
          <w:left w:val="none" w:color="000000" w:sz="0" w:space="1"/>
          <w:bottom w:val="none" w:color="000000" w:sz="0" w:space="0"/>
          <w:right w:val="none" w:color="000000" w:sz="0" w:space="5"/>
        </w:pBdr>
        <w:autoSpaceDN w:val="0"/>
        <w:snapToGrid w:val="0"/>
        <w:spacing w:line="360" w:lineRule="auto"/>
        <w:ind w:firstLine="567"/>
        <w:rPr>
          <w:rFonts w:ascii="仿宋" w:hAnsi="仿宋" w:eastAsia="仿宋" w:cs="仿宋"/>
          <w:sz w:val="28"/>
          <w:szCs w:val="28"/>
        </w:rPr>
      </w:pPr>
      <w:r>
        <w:rPr>
          <w:rFonts w:hint="eastAsia" w:ascii="仿宋" w:hAnsi="仿宋" w:eastAsia="仿宋" w:cs="仿宋"/>
          <w:sz w:val="28"/>
          <w:szCs w:val="28"/>
        </w:rPr>
        <w:t>由主要市场参与者、交易所以及黄金市场行业协会的专业人士共同</w:t>
      </w:r>
      <w:r>
        <w:rPr>
          <w:rFonts w:ascii="仿宋" w:hAnsi="仿宋" w:eastAsia="仿宋" w:cs="仿宋"/>
          <w:sz w:val="28"/>
          <w:szCs w:val="28"/>
        </w:rPr>
        <w:t>组成</w:t>
      </w:r>
      <w:r>
        <w:rPr>
          <w:rFonts w:hint="eastAsia" w:ascii="仿宋" w:hAnsi="仿宋" w:eastAsia="仿宋" w:cs="仿宋"/>
          <w:sz w:val="28"/>
          <w:szCs w:val="28"/>
        </w:rPr>
        <w:t>上海金集中定价交易监督管理委员会，</w:t>
      </w:r>
      <w:r>
        <w:rPr>
          <w:rFonts w:ascii="仿宋" w:hAnsi="仿宋" w:eastAsia="仿宋" w:cs="仿宋"/>
          <w:sz w:val="28"/>
          <w:szCs w:val="28"/>
        </w:rPr>
        <w:t>对</w:t>
      </w:r>
      <w:r>
        <w:rPr>
          <w:rFonts w:hint="eastAsia" w:ascii="仿宋" w:hAnsi="仿宋" w:eastAsia="仿宋" w:cs="仿宋"/>
          <w:sz w:val="28"/>
          <w:szCs w:val="28"/>
        </w:rPr>
        <w:t>上</w:t>
      </w:r>
      <w:r>
        <w:rPr>
          <w:rFonts w:ascii="仿宋" w:hAnsi="仿宋" w:eastAsia="仿宋" w:cs="仿宋"/>
          <w:sz w:val="28"/>
          <w:szCs w:val="28"/>
        </w:rPr>
        <w:t>海金</w:t>
      </w:r>
      <w:r>
        <w:rPr>
          <w:rFonts w:hint="eastAsia" w:ascii="仿宋" w:hAnsi="仿宋" w:eastAsia="仿宋" w:cs="仿宋"/>
          <w:sz w:val="28"/>
          <w:szCs w:val="28"/>
        </w:rPr>
        <w:t>集中</w:t>
      </w:r>
      <w:r>
        <w:rPr>
          <w:rFonts w:ascii="仿宋" w:hAnsi="仿宋" w:eastAsia="仿宋" w:cs="仿宋"/>
          <w:sz w:val="28"/>
          <w:szCs w:val="28"/>
        </w:rPr>
        <w:t>定价交易业务的合规性进行监督管理。</w:t>
      </w:r>
    </w:p>
    <w:p>
      <w:pPr>
        <w:numPr>
          <w:ilvl w:val="0"/>
          <w:numId w:val="1"/>
        </w:numPr>
        <w:pBdr>
          <w:top w:val="none" w:color="000000" w:sz="0" w:space="0"/>
          <w:left w:val="none" w:color="000000" w:sz="0" w:space="1"/>
          <w:bottom w:val="none" w:color="000000" w:sz="0" w:space="0"/>
          <w:right w:val="none" w:color="000000" w:sz="0" w:space="5"/>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交易所有权不定期对合规性要求的执行情况进行检查，有权对不满足或违反集中定价合规性要求的市场参与者采取口头警告、书面警告、通报批评、取消集中定价交易资格等整改和处罚措施。</w:t>
      </w:r>
    </w:p>
    <w:p>
      <w:pPr>
        <w:pBdr>
          <w:top w:val="none" w:color="000000" w:sz="0" w:space="0"/>
          <w:left w:val="none" w:color="000000" w:sz="0" w:space="0"/>
          <w:bottom w:val="none" w:color="000000" w:sz="0" w:space="0"/>
          <w:right w:val="none" w:color="000000" w:sz="0" w:space="0"/>
        </w:pBdr>
        <w:autoSpaceDN w:val="0"/>
        <w:snapToGrid w:val="0"/>
        <w:spacing w:line="360" w:lineRule="auto"/>
        <w:ind w:left="567"/>
        <w:rPr>
          <w:rFonts w:ascii="仿宋" w:hAnsi="仿宋" w:eastAsia="仿宋" w:cs="仿宋"/>
          <w:sz w:val="28"/>
          <w:szCs w:val="28"/>
        </w:rPr>
      </w:pPr>
    </w:p>
    <w:p>
      <w:pPr>
        <w:pBdr>
          <w:top w:val="none" w:color="000000" w:sz="0" w:space="0"/>
          <w:left w:val="none" w:color="000000" w:sz="0" w:space="0"/>
          <w:bottom w:val="none" w:color="000000" w:sz="0" w:space="0"/>
          <w:right w:val="none" w:color="000000" w:sz="0" w:space="0"/>
        </w:pBdr>
        <w:autoSpaceDN w:val="0"/>
        <w:snapToGrid w:val="0"/>
        <w:spacing w:line="360" w:lineRule="auto"/>
        <w:jc w:val="center"/>
        <w:rPr>
          <w:rFonts w:ascii="仿宋" w:hAnsi="仿宋" w:eastAsia="仿宋" w:cs="仿宋"/>
          <w:sz w:val="28"/>
          <w:szCs w:val="28"/>
        </w:rPr>
      </w:pPr>
      <w:r>
        <w:rPr>
          <w:rFonts w:hint="eastAsia" w:ascii="黑体" w:hAnsi="黑体" w:eastAsia="黑体"/>
          <w:sz w:val="30"/>
          <w:szCs w:val="30"/>
        </w:rPr>
        <w:t>第六章　违规违约处理</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市场参与者如有违反交易管理相关规定，扰乱市场的行为，按照《上海黄金交易所违规违约处理办法》第二十七条相关规定进行处罚。</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7"/>
        <w:rPr>
          <w:rFonts w:ascii="仿宋" w:hAnsi="仿宋" w:eastAsia="仿宋" w:cs="仿宋"/>
          <w:sz w:val="28"/>
          <w:szCs w:val="28"/>
        </w:rPr>
      </w:pPr>
      <w:r>
        <w:rPr>
          <w:rFonts w:hint="eastAsia" w:ascii="仿宋" w:hAnsi="仿宋" w:eastAsia="仿宋" w:cs="仿宋"/>
          <w:sz w:val="28"/>
          <w:szCs w:val="28"/>
        </w:rPr>
        <w:t>定价成员或提供参考价成员存在以下情形之一的，交易所可以终止其相应的定价成员或提供参考价成员资格：</w:t>
      </w:r>
    </w:p>
    <w:p>
      <w:pPr>
        <w:pBdr>
          <w:top w:val="none" w:color="000000" w:sz="0" w:space="0"/>
          <w:left w:val="none" w:color="000000" w:sz="0" w:space="0"/>
          <w:bottom w:val="none" w:color="000000" w:sz="0" w:space="0"/>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（一）相互商量沟通，联手影响操纵初始价；</w:t>
      </w:r>
    </w:p>
    <w:p>
      <w:pPr>
        <w:pBdr>
          <w:top w:val="none" w:color="000000" w:sz="0" w:space="0"/>
          <w:left w:val="none" w:color="000000" w:sz="0" w:space="0"/>
          <w:bottom w:val="none" w:color="000000" w:sz="0" w:space="0"/>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（二）影响或操纵市场价格，蓄意破坏定价过程以及市场正常秩序的；</w:t>
      </w:r>
    </w:p>
    <w:p>
      <w:pPr>
        <w:pBdr>
          <w:top w:val="none" w:color="000000" w:sz="0" w:space="0"/>
          <w:left w:val="none" w:color="000000" w:sz="0" w:space="0"/>
          <w:bottom w:val="none" w:color="000000" w:sz="0" w:space="0"/>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（三）未遵守交易所风险警示制度的有关要求；</w:t>
      </w:r>
    </w:p>
    <w:p>
      <w:pPr>
        <w:pBdr>
          <w:top w:val="none" w:color="000000" w:sz="0" w:space="0"/>
          <w:left w:val="none" w:color="000000" w:sz="0" w:space="0"/>
          <w:bottom w:val="none" w:color="000000" w:sz="0" w:space="0"/>
          <w:right w:val="none" w:color="000000" w:sz="0" w:space="0"/>
        </w:pBdr>
        <w:autoSpaceDN w:val="0"/>
        <w:snapToGrid w:val="0"/>
        <w:spacing w:line="360" w:lineRule="auto"/>
        <w:ind w:firstLine="426" w:firstLineChars="152"/>
        <w:rPr>
          <w:rFonts w:ascii="仿宋" w:hAnsi="仿宋" w:eastAsia="仿宋" w:cs="仿宋"/>
          <w:sz w:val="28"/>
          <w:szCs w:val="28"/>
        </w:rPr>
      </w:pPr>
      <w:r>
        <w:rPr>
          <w:rFonts w:hint="eastAsia" w:ascii="仿宋" w:hAnsi="仿宋" w:eastAsia="仿宋" w:cs="仿宋"/>
          <w:sz w:val="28"/>
          <w:szCs w:val="28"/>
        </w:rPr>
        <w:t>（四）符合《上海黄金交易所会员管理办法》和交易</w:t>
      </w:r>
      <w:r>
        <w:rPr>
          <w:rFonts w:ascii="仿宋" w:hAnsi="仿宋" w:eastAsia="仿宋" w:cs="仿宋"/>
          <w:sz w:val="28"/>
          <w:szCs w:val="28"/>
        </w:rPr>
        <w:t>所相关规</w:t>
      </w:r>
      <w:r>
        <w:rPr>
          <w:rFonts w:hint="eastAsia" w:ascii="仿宋" w:hAnsi="仿宋" w:eastAsia="仿宋" w:cs="仿宋"/>
          <w:sz w:val="28"/>
          <w:szCs w:val="28"/>
        </w:rPr>
        <w:t>定取消会员资格情形的其他情况。</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被委托代理的会员存在以下行为之一的，按照《上海黄金交易所违规违约处理办法》第十八条相关规定进行处罚。</w:t>
      </w:r>
    </w:p>
    <w:p>
      <w:pPr>
        <w:pBdr>
          <w:top w:val="none" w:color="000000" w:sz="0" w:space="0"/>
          <w:left w:val="none" w:color="000000" w:sz="0" w:space="0"/>
          <w:bottom w:val="none" w:color="000000" w:sz="0" w:space="0"/>
          <w:right w:val="none" w:color="000000" w:sz="0" w:space="0"/>
        </w:pBdr>
        <w:autoSpaceDN w:val="0"/>
        <w:snapToGrid w:val="0"/>
        <w:spacing w:line="360" w:lineRule="auto"/>
        <w:ind w:left="566"/>
        <w:rPr>
          <w:rFonts w:ascii="仿宋" w:hAnsi="仿宋" w:eastAsia="仿宋" w:cs="仿宋"/>
          <w:sz w:val="28"/>
          <w:szCs w:val="28"/>
        </w:rPr>
      </w:pPr>
      <w:r>
        <w:rPr>
          <w:rFonts w:hint="eastAsia" w:ascii="仿宋" w:hAnsi="仿宋" w:eastAsia="仿宋" w:cs="仿宋"/>
          <w:sz w:val="28"/>
          <w:szCs w:val="28"/>
        </w:rPr>
        <w:t>（一）未将自营账户资金和客户资金分户存放的；</w:t>
      </w:r>
    </w:p>
    <w:p>
      <w:pPr>
        <w:pBdr>
          <w:top w:val="none" w:color="000000" w:sz="0" w:space="0"/>
          <w:left w:val="none" w:color="000000" w:sz="0" w:space="0"/>
          <w:bottom w:val="none" w:color="000000" w:sz="0" w:space="0"/>
          <w:right w:val="none" w:color="000000" w:sz="0" w:space="0"/>
        </w:pBdr>
        <w:autoSpaceDN w:val="0"/>
        <w:snapToGrid w:val="0"/>
        <w:spacing w:line="360" w:lineRule="auto"/>
        <w:ind w:left="566"/>
        <w:rPr>
          <w:rFonts w:ascii="仿宋" w:hAnsi="仿宋" w:eastAsia="仿宋" w:cs="仿宋"/>
          <w:sz w:val="28"/>
          <w:szCs w:val="28"/>
        </w:rPr>
      </w:pPr>
      <w:r>
        <w:rPr>
          <w:rFonts w:hint="eastAsia" w:ascii="仿宋" w:hAnsi="仿宋" w:eastAsia="仿宋" w:cs="仿宋"/>
          <w:sz w:val="28"/>
          <w:szCs w:val="28"/>
        </w:rPr>
        <w:t>（二）利用客户账户为自己或他人交易的；</w:t>
      </w:r>
    </w:p>
    <w:p>
      <w:pPr>
        <w:pBdr>
          <w:top w:val="none" w:color="000000" w:sz="0" w:space="0"/>
          <w:left w:val="none" w:color="000000" w:sz="0" w:space="0"/>
          <w:bottom w:val="none" w:color="000000" w:sz="0" w:space="0"/>
          <w:right w:val="none" w:color="000000" w:sz="0" w:space="0"/>
        </w:pBdr>
        <w:autoSpaceDN w:val="0"/>
        <w:snapToGrid w:val="0"/>
        <w:spacing w:line="360" w:lineRule="auto"/>
        <w:ind w:left="566"/>
        <w:rPr>
          <w:rFonts w:ascii="仿宋" w:hAnsi="仿宋" w:eastAsia="仿宋" w:cs="仿宋"/>
          <w:sz w:val="28"/>
          <w:szCs w:val="28"/>
        </w:rPr>
      </w:pPr>
      <w:r>
        <w:rPr>
          <w:rFonts w:hint="eastAsia" w:ascii="仿宋" w:hAnsi="仿宋" w:eastAsia="仿宋" w:cs="仿宋"/>
          <w:sz w:val="28"/>
          <w:szCs w:val="28"/>
        </w:rPr>
        <w:t>（三）泄露客户委托事项或其他交易秘密的；</w:t>
      </w:r>
    </w:p>
    <w:p>
      <w:pPr>
        <w:pBdr>
          <w:top w:val="none" w:color="000000" w:sz="0" w:space="0"/>
          <w:left w:val="none" w:color="000000" w:sz="0" w:space="0"/>
          <w:bottom w:val="none" w:color="000000" w:sz="0" w:space="0"/>
          <w:right w:val="none" w:color="000000" w:sz="0" w:space="0"/>
        </w:pBdr>
        <w:autoSpaceDN w:val="0"/>
        <w:snapToGrid w:val="0"/>
        <w:spacing w:line="360" w:lineRule="auto"/>
        <w:ind w:left="566"/>
        <w:rPr>
          <w:rFonts w:ascii="仿宋" w:hAnsi="仿宋" w:eastAsia="仿宋" w:cs="仿宋"/>
          <w:sz w:val="28"/>
          <w:szCs w:val="28"/>
        </w:rPr>
      </w:pPr>
      <w:r>
        <w:rPr>
          <w:rFonts w:hint="eastAsia" w:ascii="仿宋" w:hAnsi="仿宋" w:eastAsia="仿宋" w:cs="仿宋"/>
          <w:sz w:val="28"/>
          <w:szCs w:val="28"/>
        </w:rPr>
        <w:t>（四）未按客户的委托事项进行交易，故意阻止、延误或改变客户下单指令，诱导、强制客户按自己的意志进行交易的；</w:t>
      </w:r>
    </w:p>
    <w:p>
      <w:pPr>
        <w:pBdr>
          <w:top w:val="none" w:color="000000" w:sz="0" w:space="0"/>
          <w:left w:val="none" w:color="000000" w:sz="0" w:space="0"/>
          <w:bottom w:val="none" w:color="000000" w:sz="0" w:space="0"/>
          <w:right w:val="none" w:color="000000" w:sz="0" w:space="0"/>
        </w:pBdr>
        <w:autoSpaceDN w:val="0"/>
        <w:snapToGrid w:val="0"/>
        <w:spacing w:line="360" w:lineRule="auto"/>
        <w:ind w:left="566"/>
        <w:rPr>
          <w:rFonts w:ascii="仿宋" w:hAnsi="仿宋" w:eastAsia="仿宋" w:cs="仿宋"/>
          <w:sz w:val="28"/>
          <w:szCs w:val="28"/>
        </w:rPr>
      </w:pPr>
      <w:r>
        <w:rPr>
          <w:rFonts w:hint="eastAsia" w:ascii="仿宋" w:hAnsi="仿宋" w:eastAsia="仿宋" w:cs="仿宋"/>
          <w:sz w:val="28"/>
          <w:szCs w:val="28"/>
        </w:rPr>
        <w:t>（五）利用客户账户为自己或他人交易的；</w:t>
      </w:r>
    </w:p>
    <w:p>
      <w:pPr>
        <w:pBdr>
          <w:top w:val="none" w:color="000000" w:sz="0" w:space="0"/>
          <w:left w:val="none" w:color="000000" w:sz="0" w:space="0"/>
          <w:bottom w:val="none" w:color="000000" w:sz="0" w:space="0"/>
          <w:right w:val="none" w:color="000000" w:sz="0" w:space="0"/>
        </w:pBdr>
        <w:autoSpaceDN w:val="0"/>
        <w:snapToGrid w:val="0"/>
        <w:spacing w:line="360" w:lineRule="auto"/>
        <w:ind w:left="566"/>
        <w:rPr>
          <w:rFonts w:ascii="仿宋" w:hAnsi="仿宋" w:eastAsia="仿宋" w:cs="仿宋"/>
          <w:sz w:val="28"/>
          <w:szCs w:val="28"/>
        </w:rPr>
      </w:pPr>
      <w:r>
        <w:rPr>
          <w:rFonts w:hint="eastAsia" w:ascii="仿宋" w:hAnsi="仿宋" w:eastAsia="仿宋" w:cs="仿宋"/>
          <w:sz w:val="28"/>
          <w:szCs w:val="28"/>
        </w:rPr>
        <w:t>（六）其他违反交易所对代理业务管理规定的行为。</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有违规违约的其</w:t>
      </w:r>
      <w:r>
        <w:rPr>
          <w:rFonts w:ascii="仿宋" w:hAnsi="仿宋" w:eastAsia="仿宋" w:cs="仿宋"/>
          <w:sz w:val="28"/>
          <w:szCs w:val="28"/>
        </w:rPr>
        <w:t>他行为</w:t>
      </w:r>
      <w:r>
        <w:rPr>
          <w:rFonts w:hint="eastAsia" w:ascii="仿宋" w:hAnsi="仿宋" w:eastAsia="仿宋" w:cs="仿宋"/>
          <w:sz w:val="28"/>
          <w:szCs w:val="28"/>
        </w:rPr>
        <w:t>，交易</w:t>
      </w:r>
      <w:r>
        <w:rPr>
          <w:rFonts w:ascii="仿宋" w:hAnsi="仿宋" w:eastAsia="仿宋" w:cs="仿宋"/>
          <w:sz w:val="28"/>
          <w:szCs w:val="28"/>
        </w:rPr>
        <w:t>所</w:t>
      </w:r>
      <w:r>
        <w:rPr>
          <w:rFonts w:hint="eastAsia" w:ascii="仿宋" w:hAnsi="仿宋" w:eastAsia="仿宋" w:cs="仿宋"/>
          <w:sz w:val="28"/>
          <w:szCs w:val="28"/>
        </w:rPr>
        <w:t>有权按照《上海黄金交易所违规违约处理办法》相关规定进行处罚。</w:t>
      </w:r>
    </w:p>
    <w:p>
      <w:pPr>
        <w:numPr>
          <w:ilvl w:val="255"/>
          <w:numId w:val="0"/>
        </w:numPr>
        <w:pBdr>
          <w:top w:val="none" w:color="000000" w:sz="0" w:space="0"/>
          <w:left w:val="none" w:color="000000" w:sz="0" w:space="0"/>
          <w:bottom w:val="none" w:color="000000" w:sz="0" w:space="0"/>
          <w:right w:val="none" w:color="000000" w:sz="0" w:space="0"/>
        </w:pBdr>
        <w:autoSpaceDN w:val="0"/>
        <w:snapToGrid w:val="0"/>
        <w:spacing w:line="360" w:lineRule="auto"/>
        <w:rPr>
          <w:rFonts w:ascii="仿宋" w:hAnsi="仿宋" w:eastAsia="仿宋" w:cs="仿宋"/>
          <w:sz w:val="28"/>
          <w:szCs w:val="28"/>
        </w:rPr>
      </w:pPr>
    </w:p>
    <w:bookmarkEnd w:id="2"/>
    <w:p>
      <w:pPr>
        <w:pBdr>
          <w:top w:val="none" w:color="000000" w:sz="0" w:space="0"/>
          <w:left w:val="none" w:color="000000" w:sz="0" w:space="0"/>
          <w:bottom w:val="none" w:color="000000" w:sz="0" w:space="0"/>
          <w:right w:val="none" w:color="000000" w:sz="0" w:space="0"/>
        </w:pBdr>
        <w:autoSpaceDN w:val="0"/>
        <w:snapToGrid w:val="0"/>
        <w:spacing w:line="360" w:lineRule="auto"/>
        <w:jc w:val="center"/>
        <w:rPr>
          <w:rFonts w:ascii="仿宋" w:hAnsi="仿宋" w:eastAsia="仿宋" w:cs="仿宋"/>
          <w:bCs/>
          <w:sz w:val="28"/>
          <w:szCs w:val="28"/>
        </w:rPr>
      </w:pPr>
      <w:r>
        <w:rPr>
          <w:rFonts w:hint="eastAsia" w:ascii="黑体" w:hAnsi="黑体" w:eastAsia="黑体"/>
          <w:sz w:val="30"/>
          <w:szCs w:val="30"/>
        </w:rPr>
        <w:t>第七章 附  则</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本规则未及事项，按照交易所相关制度执行。</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本规则解释权与修改权属交易所。</w:t>
      </w:r>
    </w:p>
    <w:p>
      <w:pPr>
        <w:numPr>
          <w:ilvl w:val="0"/>
          <w:numId w:val="1"/>
        </w:numPr>
        <w:pBdr>
          <w:top w:val="none" w:color="000000" w:sz="0" w:space="0"/>
          <w:left w:val="none" w:color="000000" w:sz="0" w:space="0"/>
          <w:bottom w:val="none" w:color="000000" w:sz="0" w:space="0"/>
          <w:right w:val="none" w:color="000000" w:sz="0" w:space="0"/>
        </w:pBdr>
        <w:autoSpaceDN w:val="0"/>
        <w:snapToGrid w:val="0"/>
        <w:spacing w:line="360" w:lineRule="auto"/>
        <w:ind w:firstLine="566" w:firstLineChars="202"/>
        <w:rPr>
          <w:rFonts w:ascii="仿宋" w:hAnsi="仿宋" w:eastAsia="仿宋" w:cs="仿宋"/>
          <w:sz w:val="28"/>
          <w:szCs w:val="28"/>
        </w:rPr>
      </w:pPr>
      <w:r>
        <w:rPr>
          <w:rFonts w:hint="eastAsia" w:ascii="仿宋" w:hAnsi="仿宋" w:eastAsia="仿宋" w:cs="仿宋"/>
          <w:sz w:val="28"/>
          <w:szCs w:val="28"/>
        </w:rPr>
        <w:t>本规则自公布之日起实施。</w:t>
      </w:r>
    </w:p>
    <w:p>
      <w:pPr>
        <w:pBdr>
          <w:top w:val="none" w:color="000000" w:sz="0" w:space="0"/>
          <w:left w:val="none" w:color="000000" w:sz="0" w:space="0"/>
          <w:bottom w:val="none" w:color="000000" w:sz="0" w:space="0"/>
          <w:right w:val="none" w:color="000000" w:sz="0" w:space="0"/>
        </w:pBdr>
        <w:autoSpaceDN w:val="0"/>
        <w:snapToGrid w:val="0"/>
        <w:spacing w:line="360" w:lineRule="auto"/>
        <w:ind w:firstLine="269" w:firstLineChars="96"/>
        <w:jc w:val="left"/>
        <w:rPr>
          <w:rFonts w:ascii="宋体" w:hAnsi="宋体" w:cs="宋体"/>
          <w:sz w:val="28"/>
          <w:szCs w:val="28"/>
        </w:rPr>
      </w:pPr>
    </w:p>
    <w:p>
      <w:pPr>
        <w:pBdr>
          <w:top w:val="none" w:color="000000" w:sz="0" w:space="0"/>
          <w:left w:val="none" w:color="000000" w:sz="0" w:space="0"/>
          <w:bottom w:val="none" w:color="000000" w:sz="0" w:space="0"/>
          <w:right w:val="none" w:color="000000" w:sz="0" w:space="0"/>
        </w:pBdr>
        <w:autoSpaceDN w:val="0"/>
        <w:snapToGrid w:val="0"/>
        <w:spacing w:line="360" w:lineRule="auto"/>
        <w:ind w:firstLine="269" w:firstLineChars="96"/>
        <w:jc w:val="left"/>
        <w:rPr>
          <w:rFonts w:ascii="宋体" w:hAnsi="宋体" w:cs="宋体"/>
          <w:sz w:val="28"/>
          <w:szCs w:val="28"/>
        </w:rPr>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tbl>
      <w:tblPr>
        <w:tblStyle w:val="9"/>
        <w:tblW w:w="10630" w:type="dxa"/>
        <w:jc w:val="center"/>
        <w:tblInd w:w="0" w:type="dxa"/>
        <w:tblLayout w:type="fixed"/>
        <w:tblCellMar>
          <w:top w:w="0" w:type="dxa"/>
          <w:left w:w="108" w:type="dxa"/>
          <w:bottom w:w="0" w:type="dxa"/>
          <w:right w:w="108" w:type="dxa"/>
        </w:tblCellMar>
      </w:tblPr>
      <w:tblGrid>
        <w:gridCol w:w="1476"/>
        <w:gridCol w:w="2357"/>
        <w:gridCol w:w="1216"/>
        <w:gridCol w:w="1741"/>
        <w:gridCol w:w="2452"/>
        <w:gridCol w:w="1388"/>
      </w:tblGrid>
      <w:tr>
        <w:tblPrEx>
          <w:tblLayout w:type="fixed"/>
          <w:tblCellMar>
            <w:top w:w="0" w:type="dxa"/>
            <w:left w:w="108" w:type="dxa"/>
            <w:bottom w:w="0" w:type="dxa"/>
            <w:right w:w="108" w:type="dxa"/>
          </w:tblCellMar>
        </w:tblPrEx>
        <w:trPr>
          <w:trHeight w:val="1169" w:hRule="atLeast"/>
          <w:jc w:val="center"/>
        </w:trPr>
        <w:tc>
          <w:tcPr>
            <w:tcW w:w="10630" w:type="dxa"/>
            <w:gridSpan w:val="6"/>
            <w:tcBorders>
              <w:top w:val="nil"/>
              <w:left w:val="nil"/>
              <w:bottom w:val="nil"/>
              <w:right w:val="nil"/>
            </w:tcBorders>
            <w:shd w:val="clear" w:color="auto" w:fill="auto"/>
            <w:vAlign w:val="center"/>
          </w:tcPr>
          <w:p>
            <w:pPr>
              <w:widowControl/>
              <w:jc w:val="left"/>
              <w:rPr>
                <w:rFonts w:ascii="仿宋" w:hAnsi="仿宋" w:eastAsia="仿宋" w:cs="宋体"/>
                <w:sz w:val="32"/>
                <w:szCs w:val="32"/>
              </w:rPr>
            </w:pPr>
            <w:r>
              <w:rPr>
                <w:rFonts w:hint="eastAsia" w:ascii="仿宋" w:hAnsi="仿宋" w:eastAsia="仿宋" w:cs="宋体"/>
                <w:sz w:val="32"/>
                <w:szCs w:val="32"/>
              </w:rPr>
              <w:t>附表１</w:t>
            </w:r>
          </w:p>
          <w:p>
            <w:pPr>
              <w:widowControl/>
              <w:jc w:val="center"/>
              <w:rPr>
                <w:rFonts w:ascii="黑体" w:hAnsi="黑体" w:eastAsia="黑体" w:cs="宋体"/>
                <w:kern w:val="0"/>
                <w:sz w:val="40"/>
                <w:szCs w:val="40"/>
              </w:rPr>
            </w:pPr>
            <w:r>
              <w:rPr>
                <w:rFonts w:hint="eastAsia" w:ascii="黑体" w:hAnsi="黑体" w:eastAsia="黑体" w:cs="宋体"/>
                <w:kern w:val="0"/>
                <w:sz w:val="40"/>
                <w:szCs w:val="40"/>
              </w:rPr>
              <w:t>上海黄金交易所上海金集中定价交易申请表</w:t>
            </w:r>
          </w:p>
        </w:tc>
      </w:tr>
      <w:tr>
        <w:tblPrEx>
          <w:tblLayout w:type="fixed"/>
          <w:tblCellMar>
            <w:top w:w="0" w:type="dxa"/>
            <w:left w:w="108" w:type="dxa"/>
            <w:bottom w:w="0" w:type="dxa"/>
            <w:right w:w="108" w:type="dxa"/>
          </w:tblCellMar>
        </w:tblPrEx>
        <w:trPr>
          <w:trHeight w:val="485" w:hRule="atLeast"/>
          <w:jc w:val="center"/>
        </w:trPr>
        <w:tc>
          <w:tcPr>
            <w:tcW w:w="10630" w:type="dxa"/>
            <w:gridSpan w:val="6"/>
            <w:tcBorders>
              <w:top w:val="single" w:color="auto" w:sz="4" w:space="0"/>
              <w:left w:val="single" w:color="auto" w:sz="4" w:space="0"/>
              <w:bottom w:val="single" w:color="auto" w:sz="4" w:space="0"/>
              <w:right w:val="single" w:color="auto" w:sz="4" w:space="0"/>
            </w:tcBorders>
            <w:shd w:val="clear" w:color="000000" w:fill="F2F2F2"/>
            <w:vAlign w:val="center"/>
          </w:tcPr>
          <w:p>
            <w:pPr>
              <w:widowControl/>
              <w:jc w:val="center"/>
              <w:rPr>
                <w:rFonts w:ascii="宋体" w:hAnsi="宋体" w:cs="宋体"/>
                <w:bCs/>
                <w:kern w:val="0"/>
                <w:sz w:val="24"/>
                <w:szCs w:val="24"/>
              </w:rPr>
            </w:pPr>
            <w:r>
              <w:rPr>
                <w:rFonts w:hint="eastAsia" w:ascii="宋体" w:hAnsi="宋体" w:cs="宋体"/>
                <w:bCs/>
                <w:kern w:val="0"/>
                <w:sz w:val="24"/>
                <w:szCs w:val="24"/>
              </w:rPr>
              <w:t>会员信息</w:t>
            </w:r>
          </w:p>
        </w:tc>
      </w:tr>
      <w:tr>
        <w:tblPrEx>
          <w:tblLayout w:type="fixed"/>
          <w:tblCellMar>
            <w:top w:w="0" w:type="dxa"/>
            <w:left w:w="108" w:type="dxa"/>
            <w:bottom w:w="0" w:type="dxa"/>
            <w:right w:w="108" w:type="dxa"/>
          </w:tblCellMar>
        </w:tblPrEx>
        <w:trPr>
          <w:trHeight w:val="485" w:hRule="atLeast"/>
          <w:jc w:val="center"/>
        </w:trPr>
        <w:tc>
          <w:tcPr>
            <w:tcW w:w="147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会员名称</w:t>
            </w:r>
          </w:p>
        </w:tc>
        <w:tc>
          <w:tcPr>
            <w:tcW w:w="5314" w:type="dxa"/>
            <w:gridSpan w:val="3"/>
            <w:tcBorders>
              <w:top w:val="single" w:color="auto" w:sz="4" w:space="0"/>
              <w:left w:val="nil"/>
              <w:bottom w:val="single" w:color="auto" w:sz="4" w:space="0"/>
              <w:right w:val="single" w:color="000000" w:sz="4" w:space="0"/>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　</w:t>
            </w:r>
          </w:p>
        </w:tc>
        <w:tc>
          <w:tcPr>
            <w:tcW w:w="24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会员号</w:t>
            </w:r>
          </w:p>
        </w:tc>
        <w:tc>
          <w:tcPr>
            <w:tcW w:w="138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　</w:t>
            </w:r>
          </w:p>
        </w:tc>
      </w:tr>
      <w:tr>
        <w:tblPrEx>
          <w:tblLayout w:type="fixed"/>
          <w:tblCellMar>
            <w:top w:w="0" w:type="dxa"/>
            <w:left w:w="108" w:type="dxa"/>
            <w:bottom w:w="0" w:type="dxa"/>
            <w:right w:w="108" w:type="dxa"/>
          </w:tblCellMar>
        </w:tblPrEx>
        <w:trPr>
          <w:trHeight w:val="485" w:hRule="atLeast"/>
          <w:jc w:val="center"/>
        </w:trPr>
        <w:tc>
          <w:tcPr>
            <w:tcW w:w="147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联系人</w:t>
            </w:r>
          </w:p>
        </w:tc>
        <w:tc>
          <w:tcPr>
            <w:tcW w:w="5314" w:type="dxa"/>
            <w:gridSpan w:val="3"/>
            <w:tcBorders>
              <w:top w:val="single" w:color="auto" w:sz="4" w:space="0"/>
              <w:left w:val="nil"/>
              <w:bottom w:val="single" w:color="auto" w:sz="4" w:space="0"/>
              <w:right w:val="single" w:color="000000" w:sz="4" w:space="0"/>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　</w:t>
            </w:r>
          </w:p>
        </w:tc>
        <w:tc>
          <w:tcPr>
            <w:tcW w:w="24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联系电话</w:t>
            </w:r>
          </w:p>
        </w:tc>
        <w:tc>
          <w:tcPr>
            <w:tcW w:w="138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　</w:t>
            </w:r>
          </w:p>
        </w:tc>
      </w:tr>
      <w:tr>
        <w:tblPrEx>
          <w:tblLayout w:type="fixed"/>
          <w:tblCellMar>
            <w:top w:w="0" w:type="dxa"/>
            <w:left w:w="108" w:type="dxa"/>
            <w:bottom w:w="0" w:type="dxa"/>
            <w:right w:w="108" w:type="dxa"/>
          </w:tblCellMar>
        </w:tblPrEx>
        <w:trPr>
          <w:trHeight w:val="485" w:hRule="atLeast"/>
          <w:jc w:val="center"/>
        </w:trPr>
        <w:tc>
          <w:tcPr>
            <w:tcW w:w="10630" w:type="dxa"/>
            <w:gridSpan w:val="6"/>
            <w:tcBorders>
              <w:top w:val="single" w:color="auto" w:sz="4" w:space="0"/>
              <w:left w:val="single" w:color="auto" w:sz="4" w:space="0"/>
              <w:bottom w:val="single" w:color="auto" w:sz="4" w:space="0"/>
              <w:right w:val="single" w:color="auto" w:sz="4" w:space="0"/>
            </w:tcBorders>
            <w:shd w:val="clear" w:color="000000" w:fill="F2F2F2"/>
            <w:vAlign w:val="center"/>
          </w:tcPr>
          <w:p>
            <w:pPr>
              <w:widowControl/>
              <w:jc w:val="center"/>
              <w:rPr>
                <w:rFonts w:ascii="宋体" w:hAnsi="宋体" w:cs="宋体"/>
                <w:bCs/>
                <w:kern w:val="0"/>
                <w:sz w:val="24"/>
                <w:szCs w:val="24"/>
              </w:rPr>
            </w:pPr>
            <w:r>
              <w:rPr>
                <w:rFonts w:hint="eastAsia" w:ascii="宋体" w:hAnsi="宋体" w:cs="宋体"/>
                <w:bCs/>
                <w:kern w:val="0"/>
                <w:sz w:val="24"/>
                <w:szCs w:val="24"/>
              </w:rPr>
              <w:t>申请客户信息</w:t>
            </w:r>
          </w:p>
        </w:tc>
      </w:tr>
      <w:tr>
        <w:tblPrEx>
          <w:tblLayout w:type="fixed"/>
          <w:tblCellMar>
            <w:top w:w="0" w:type="dxa"/>
            <w:left w:w="108" w:type="dxa"/>
            <w:bottom w:w="0" w:type="dxa"/>
            <w:right w:w="108" w:type="dxa"/>
          </w:tblCellMar>
        </w:tblPrEx>
        <w:trPr>
          <w:trHeight w:val="551" w:hRule="atLeast"/>
          <w:jc w:val="center"/>
        </w:trPr>
        <w:tc>
          <w:tcPr>
            <w:tcW w:w="10630"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 自营客户         □ 全部代理客户</w:t>
            </w:r>
          </w:p>
        </w:tc>
      </w:tr>
      <w:tr>
        <w:tblPrEx>
          <w:tblLayout w:type="fixed"/>
          <w:tblCellMar>
            <w:top w:w="0" w:type="dxa"/>
            <w:left w:w="108" w:type="dxa"/>
            <w:bottom w:w="0" w:type="dxa"/>
            <w:right w:w="108" w:type="dxa"/>
          </w:tblCellMar>
        </w:tblPrEx>
        <w:trPr>
          <w:trHeight w:val="604" w:hRule="atLeast"/>
          <w:jc w:val="center"/>
        </w:trPr>
        <w:tc>
          <w:tcPr>
            <w:tcW w:w="147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客户名称</w:t>
            </w:r>
          </w:p>
        </w:tc>
        <w:tc>
          <w:tcPr>
            <w:tcW w:w="23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　</w:t>
            </w:r>
          </w:p>
        </w:tc>
        <w:tc>
          <w:tcPr>
            <w:tcW w:w="121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客户号</w:t>
            </w:r>
          </w:p>
        </w:tc>
        <w:tc>
          <w:tcPr>
            <w:tcW w:w="174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　</w:t>
            </w:r>
          </w:p>
        </w:tc>
        <w:tc>
          <w:tcPr>
            <w:tcW w:w="24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经营性质</w:t>
            </w:r>
          </w:p>
        </w:tc>
        <w:tc>
          <w:tcPr>
            <w:tcW w:w="138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　</w:t>
            </w:r>
          </w:p>
        </w:tc>
      </w:tr>
      <w:tr>
        <w:tblPrEx>
          <w:tblLayout w:type="fixed"/>
          <w:tblCellMar>
            <w:top w:w="0" w:type="dxa"/>
            <w:left w:w="108" w:type="dxa"/>
            <w:bottom w:w="0" w:type="dxa"/>
            <w:right w:w="108" w:type="dxa"/>
          </w:tblCellMar>
        </w:tblPrEx>
        <w:trPr>
          <w:trHeight w:val="485" w:hRule="atLeast"/>
          <w:jc w:val="center"/>
        </w:trPr>
        <w:tc>
          <w:tcPr>
            <w:tcW w:w="10630" w:type="dxa"/>
            <w:gridSpan w:val="6"/>
            <w:tcBorders>
              <w:top w:val="single" w:color="auto" w:sz="4" w:space="0"/>
              <w:left w:val="single" w:color="auto" w:sz="4" w:space="0"/>
              <w:bottom w:val="single" w:color="auto" w:sz="4" w:space="0"/>
              <w:right w:val="single" w:color="auto" w:sz="4" w:space="0"/>
            </w:tcBorders>
            <w:shd w:val="clear" w:color="000000" w:fill="F2F2F2"/>
            <w:vAlign w:val="center"/>
          </w:tcPr>
          <w:p>
            <w:pPr>
              <w:widowControl/>
              <w:jc w:val="center"/>
              <w:rPr>
                <w:rFonts w:ascii="宋体" w:hAnsi="宋体" w:cs="宋体"/>
                <w:bCs/>
                <w:kern w:val="0"/>
                <w:sz w:val="24"/>
                <w:szCs w:val="24"/>
              </w:rPr>
            </w:pPr>
            <w:r>
              <w:rPr>
                <w:rFonts w:hint="eastAsia" w:ascii="宋体" w:hAnsi="宋体" w:cs="宋体"/>
                <w:bCs/>
                <w:kern w:val="0"/>
                <w:sz w:val="24"/>
                <w:szCs w:val="24"/>
              </w:rPr>
              <w:t>申请事项</w:t>
            </w:r>
          </w:p>
        </w:tc>
      </w:tr>
      <w:tr>
        <w:tblPrEx>
          <w:tblLayout w:type="fixed"/>
          <w:tblCellMar>
            <w:top w:w="0" w:type="dxa"/>
            <w:left w:w="108" w:type="dxa"/>
            <w:bottom w:w="0" w:type="dxa"/>
            <w:right w:w="108" w:type="dxa"/>
          </w:tblCellMar>
        </w:tblPrEx>
        <w:trPr>
          <w:trHeight w:val="827" w:hRule="atLeast"/>
          <w:jc w:val="center"/>
        </w:trPr>
        <w:tc>
          <w:tcPr>
            <w:tcW w:w="10630" w:type="dxa"/>
            <w:gridSpan w:val="6"/>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4"/>
                <w:szCs w:val="24"/>
              </w:rPr>
            </w:pPr>
            <w:r>
              <w:rPr>
                <w:rFonts w:hint="eastAsia" w:ascii="宋体" w:hAnsi="宋体" w:cs="宋体"/>
                <w:kern w:val="0"/>
                <w:sz w:val="24"/>
                <w:szCs w:val="24"/>
              </w:rPr>
              <w:t>申请开通黄金定价交易业务    □是    □否</w:t>
            </w:r>
          </w:p>
        </w:tc>
      </w:tr>
      <w:tr>
        <w:tblPrEx>
          <w:tblLayout w:type="fixed"/>
          <w:tblCellMar>
            <w:top w:w="0" w:type="dxa"/>
            <w:left w:w="108" w:type="dxa"/>
            <w:bottom w:w="0" w:type="dxa"/>
            <w:right w:w="108" w:type="dxa"/>
          </w:tblCellMar>
        </w:tblPrEx>
        <w:trPr>
          <w:trHeight w:val="485" w:hRule="atLeast"/>
          <w:jc w:val="center"/>
        </w:trPr>
        <w:tc>
          <w:tcPr>
            <w:tcW w:w="10630" w:type="dxa"/>
            <w:gridSpan w:val="6"/>
            <w:tcBorders>
              <w:top w:val="single" w:color="auto" w:sz="4" w:space="0"/>
              <w:left w:val="single" w:color="auto" w:sz="4" w:space="0"/>
              <w:bottom w:val="single" w:color="auto" w:sz="4" w:space="0"/>
              <w:right w:val="single" w:color="auto" w:sz="4" w:space="0"/>
            </w:tcBorders>
            <w:shd w:val="clear" w:color="000000" w:fill="F2F2F2"/>
            <w:vAlign w:val="center"/>
          </w:tcPr>
          <w:p>
            <w:pPr>
              <w:widowControl/>
              <w:jc w:val="center"/>
              <w:rPr>
                <w:rFonts w:ascii="宋体" w:hAnsi="宋体" w:cs="宋体"/>
                <w:bCs/>
                <w:kern w:val="0"/>
                <w:sz w:val="24"/>
                <w:szCs w:val="24"/>
              </w:rPr>
            </w:pPr>
            <w:r>
              <w:rPr>
                <w:rFonts w:hint="eastAsia" w:ascii="宋体" w:hAnsi="宋体" w:cs="宋体"/>
                <w:bCs/>
                <w:kern w:val="0"/>
                <w:sz w:val="24"/>
                <w:szCs w:val="24"/>
              </w:rPr>
              <w:t>承诺</w:t>
            </w:r>
          </w:p>
        </w:tc>
      </w:tr>
      <w:tr>
        <w:tblPrEx>
          <w:tblLayout w:type="fixed"/>
          <w:tblCellMar>
            <w:top w:w="0" w:type="dxa"/>
            <w:left w:w="108" w:type="dxa"/>
            <w:bottom w:w="0" w:type="dxa"/>
            <w:right w:w="108" w:type="dxa"/>
          </w:tblCellMar>
        </w:tblPrEx>
        <w:trPr>
          <w:trHeight w:val="1798" w:hRule="atLeast"/>
          <w:jc w:val="center"/>
        </w:trPr>
        <w:tc>
          <w:tcPr>
            <w:tcW w:w="10630" w:type="dxa"/>
            <w:gridSpan w:val="6"/>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4"/>
                <w:szCs w:val="24"/>
              </w:rPr>
            </w:pPr>
            <w:r>
              <w:rPr>
                <w:rFonts w:hint="eastAsia" w:ascii="宋体" w:hAnsi="宋体" w:cs="宋体"/>
                <w:kern w:val="0"/>
                <w:sz w:val="24"/>
                <w:szCs w:val="24"/>
              </w:rPr>
              <w:t>1.本表格填写内容真实准确。</w:t>
            </w:r>
            <w:r>
              <w:rPr>
                <w:rFonts w:hint="eastAsia" w:ascii="宋体" w:hAnsi="宋体" w:cs="宋体"/>
                <w:kern w:val="0"/>
                <w:sz w:val="24"/>
                <w:szCs w:val="24"/>
              </w:rPr>
              <w:br w:type="textWrapping"/>
            </w:r>
            <w:r>
              <w:rPr>
                <w:rFonts w:hint="eastAsia" w:ascii="宋体" w:hAnsi="宋体" w:cs="宋体"/>
                <w:kern w:val="0"/>
                <w:sz w:val="24"/>
                <w:szCs w:val="24"/>
              </w:rPr>
              <w:t>2.严格遵守交易所上海金集中定价的各项交易规则和业务规定。</w:t>
            </w:r>
            <w:r>
              <w:rPr>
                <w:rFonts w:hint="eastAsia" w:ascii="宋体" w:hAnsi="宋体" w:cs="宋体"/>
                <w:kern w:val="0"/>
                <w:sz w:val="24"/>
                <w:szCs w:val="24"/>
              </w:rPr>
              <w:br w:type="textWrapping"/>
            </w:r>
            <w:r>
              <w:rPr>
                <w:rFonts w:hint="eastAsia" w:ascii="宋体" w:hAnsi="宋体" w:cs="宋体"/>
                <w:kern w:val="0"/>
                <w:sz w:val="24"/>
                <w:szCs w:val="24"/>
              </w:rPr>
              <w:t>3.不影响或操纵市场价格，积极维护正常的市场交易秩序。</w:t>
            </w:r>
            <w:r>
              <w:rPr>
                <w:rFonts w:hint="eastAsia" w:ascii="宋体" w:hAnsi="宋体" w:cs="宋体"/>
                <w:kern w:val="0"/>
                <w:sz w:val="24"/>
                <w:szCs w:val="24"/>
              </w:rPr>
              <w:br w:type="textWrapping"/>
            </w:r>
            <w:r>
              <w:rPr>
                <w:rFonts w:hint="eastAsia" w:ascii="宋体" w:hAnsi="宋体" w:cs="宋体"/>
                <w:kern w:val="0"/>
                <w:sz w:val="24"/>
                <w:szCs w:val="24"/>
              </w:rPr>
              <w:t xml:space="preserve"> </w:t>
            </w: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t xml:space="preserve">                                                </w:t>
            </w:r>
            <w:r>
              <w:rPr>
                <w:rFonts w:hint="eastAsia" w:ascii="宋体" w:hAnsi="宋体" w:cs="宋体"/>
                <w:kern w:val="0"/>
                <w:sz w:val="24"/>
                <w:szCs w:val="24"/>
              </w:rPr>
              <w:br w:type="textWrapping"/>
            </w:r>
            <w:r>
              <w:rPr>
                <w:rFonts w:hint="eastAsia" w:ascii="宋体" w:hAnsi="宋体" w:cs="宋体"/>
                <w:kern w:val="0"/>
                <w:sz w:val="24"/>
                <w:szCs w:val="24"/>
              </w:rPr>
              <w:t xml:space="preserve">                                                      签章：         日期：</w:t>
            </w:r>
          </w:p>
        </w:tc>
      </w:tr>
      <w:tr>
        <w:tblPrEx>
          <w:tblLayout w:type="fixed"/>
          <w:tblCellMar>
            <w:top w:w="0" w:type="dxa"/>
            <w:left w:w="108" w:type="dxa"/>
            <w:bottom w:w="0" w:type="dxa"/>
            <w:right w:w="108" w:type="dxa"/>
          </w:tblCellMar>
        </w:tblPrEx>
        <w:trPr>
          <w:trHeight w:val="485" w:hRule="atLeast"/>
          <w:jc w:val="center"/>
        </w:trPr>
        <w:tc>
          <w:tcPr>
            <w:tcW w:w="5049" w:type="dxa"/>
            <w:gridSpan w:val="3"/>
            <w:tcBorders>
              <w:top w:val="single" w:color="auto" w:sz="4" w:space="0"/>
              <w:left w:val="single" w:color="auto" w:sz="4" w:space="0"/>
              <w:bottom w:val="single" w:color="auto" w:sz="4" w:space="0"/>
              <w:right w:val="single" w:color="auto" w:sz="4" w:space="0"/>
            </w:tcBorders>
            <w:shd w:val="clear" w:color="000000" w:fill="F2F2F2"/>
            <w:vAlign w:val="center"/>
          </w:tcPr>
          <w:p>
            <w:pPr>
              <w:widowControl/>
              <w:jc w:val="center"/>
              <w:rPr>
                <w:rFonts w:ascii="宋体" w:hAnsi="宋体" w:cs="宋体"/>
                <w:bCs/>
                <w:kern w:val="0"/>
                <w:sz w:val="24"/>
                <w:szCs w:val="24"/>
              </w:rPr>
            </w:pPr>
            <w:r>
              <w:rPr>
                <w:rFonts w:hint="eastAsia" w:ascii="宋体" w:hAnsi="宋体" w:cs="宋体"/>
                <w:bCs/>
                <w:kern w:val="0"/>
                <w:sz w:val="24"/>
                <w:szCs w:val="24"/>
              </w:rPr>
              <w:t>会员审核意见</w:t>
            </w:r>
          </w:p>
        </w:tc>
        <w:tc>
          <w:tcPr>
            <w:tcW w:w="5581" w:type="dxa"/>
            <w:gridSpan w:val="3"/>
            <w:tcBorders>
              <w:top w:val="single" w:color="auto" w:sz="4" w:space="0"/>
              <w:left w:val="nil"/>
              <w:bottom w:val="single" w:color="auto" w:sz="4" w:space="0"/>
              <w:right w:val="single" w:color="auto" w:sz="4" w:space="0"/>
            </w:tcBorders>
            <w:shd w:val="clear" w:color="000000" w:fill="F2F2F2"/>
            <w:vAlign w:val="center"/>
          </w:tcPr>
          <w:p>
            <w:pPr>
              <w:widowControl/>
              <w:jc w:val="center"/>
              <w:rPr>
                <w:rFonts w:ascii="宋体" w:hAnsi="宋体" w:cs="宋体"/>
                <w:bCs/>
                <w:kern w:val="0"/>
                <w:sz w:val="24"/>
                <w:szCs w:val="24"/>
              </w:rPr>
            </w:pPr>
            <w:r>
              <w:rPr>
                <w:rFonts w:hint="eastAsia" w:ascii="宋体" w:hAnsi="宋体" w:cs="宋体"/>
                <w:bCs/>
                <w:kern w:val="0"/>
                <w:sz w:val="24"/>
                <w:szCs w:val="24"/>
              </w:rPr>
              <w:t>交易所审核意见</w:t>
            </w:r>
          </w:p>
        </w:tc>
      </w:tr>
      <w:tr>
        <w:tblPrEx>
          <w:tblLayout w:type="fixed"/>
          <w:tblCellMar>
            <w:top w:w="0" w:type="dxa"/>
            <w:left w:w="108" w:type="dxa"/>
            <w:bottom w:w="0" w:type="dxa"/>
            <w:right w:w="108" w:type="dxa"/>
          </w:tblCellMar>
        </w:tblPrEx>
        <w:trPr>
          <w:trHeight w:val="1726" w:hRule="atLeast"/>
          <w:jc w:val="center"/>
        </w:trPr>
        <w:tc>
          <w:tcPr>
            <w:tcW w:w="5049" w:type="dxa"/>
            <w:gridSpan w:val="3"/>
            <w:tcBorders>
              <w:top w:val="single" w:color="auto" w:sz="4" w:space="0"/>
              <w:left w:val="single" w:color="auto" w:sz="4" w:space="0"/>
              <w:bottom w:val="single" w:color="auto" w:sz="4" w:space="0"/>
              <w:right w:val="single" w:color="000000" w:sz="4" w:space="0"/>
            </w:tcBorders>
            <w:shd w:val="clear" w:color="auto" w:fill="auto"/>
          </w:tcPr>
          <w:p>
            <w:pPr>
              <w:widowControl/>
              <w:jc w:val="left"/>
              <w:rPr>
                <w:rFonts w:ascii="宋体" w:hAnsi="宋体" w:cs="宋体"/>
                <w:kern w:val="0"/>
                <w:sz w:val="24"/>
                <w:szCs w:val="24"/>
              </w:rPr>
            </w:pPr>
            <w:r>
              <w:rPr>
                <w:rFonts w:hint="eastAsia" w:ascii="宋体" w:hAnsi="宋体" w:cs="宋体"/>
                <w:kern w:val="0"/>
                <w:sz w:val="24"/>
                <w:szCs w:val="24"/>
              </w:rPr>
              <w:t>初审意见：</w:t>
            </w: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t xml:space="preserve">                      签章：</w:t>
            </w:r>
            <w:r>
              <w:rPr>
                <w:rFonts w:hint="eastAsia" w:ascii="宋体" w:hAnsi="宋体" w:cs="宋体"/>
                <w:kern w:val="0"/>
                <w:sz w:val="24"/>
                <w:szCs w:val="24"/>
              </w:rPr>
              <w:br w:type="textWrapping"/>
            </w:r>
            <w:r>
              <w:rPr>
                <w:rFonts w:hint="eastAsia" w:ascii="宋体" w:hAnsi="宋体" w:cs="宋体"/>
                <w:kern w:val="0"/>
                <w:sz w:val="24"/>
                <w:szCs w:val="24"/>
              </w:rPr>
              <w:t xml:space="preserve">                      日期：</w:t>
            </w:r>
          </w:p>
        </w:tc>
        <w:tc>
          <w:tcPr>
            <w:tcW w:w="5581" w:type="dxa"/>
            <w:gridSpan w:val="3"/>
            <w:tcBorders>
              <w:top w:val="single" w:color="auto" w:sz="4" w:space="0"/>
              <w:left w:val="nil"/>
              <w:bottom w:val="single" w:color="auto" w:sz="4" w:space="0"/>
              <w:right w:val="single" w:color="000000" w:sz="4" w:space="0"/>
            </w:tcBorders>
            <w:shd w:val="clear" w:color="auto" w:fill="auto"/>
          </w:tcPr>
          <w:p>
            <w:pPr>
              <w:widowControl/>
              <w:jc w:val="left"/>
              <w:rPr>
                <w:rFonts w:ascii="宋体" w:hAnsi="宋体" w:cs="宋体"/>
                <w:kern w:val="0"/>
                <w:sz w:val="24"/>
                <w:szCs w:val="24"/>
              </w:rPr>
            </w:pPr>
            <w:r>
              <w:rPr>
                <w:rFonts w:hint="eastAsia" w:ascii="宋体" w:hAnsi="宋体" w:cs="宋体"/>
                <w:kern w:val="0"/>
                <w:sz w:val="24"/>
                <w:szCs w:val="24"/>
              </w:rPr>
              <w:t>审批意见：</w:t>
            </w: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t xml:space="preserve">                        签章：</w:t>
            </w:r>
            <w:r>
              <w:rPr>
                <w:rFonts w:hint="eastAsia" w:ascii="宋体" w:hAnsi="宋体" w:cs="宋体"/>
                <w:kern w:val="0"/>
                <w:sz w:val="24"/>
                <w:szCs w:val="24"/>
              </w:rPr>
              <w:br w:type="textWrapping"/>
            </w:r>
            <w:r>
              <w:rPr>
                <w:rFonts w:hint="eastAsia" w:ascii="宋体" w:hAnsi="宋体" w:cs="宋体"/>
                <w:kern w:val="0"/>
                <w:sz w:val="24"/>
                <w:szCs w:val="24"/>
              </w:rPr>
              <w:t xml:space="preserve">                        日期：</w:t>
            </w:r>
          </w:p>
        </w:tc>
      </w:tr>
      <w:tr>
        <w:tblPrEx>
          <w:tblLayout w:type="fixed"/>
          <w:tblCellMar>
            <w:top w:w="0" w:type="dxa"/>
            <w:left w:w="108" w:type="dxa"/>
            <w:bottom w:w="0" w:type="dxa"/>
            <w:right w:w="108" w:type="dxa"/>
          </w:tblCellMar>
        </w:tblPrEx>
        <w:trPr>
          <w:trHeight w:val="2087" w:hRule="atLeast"/>
          <w:jc w:val="center"/>
        </w:trPr>
        <w:tc>
          <w:tcPr>
            <w:tcW w:w="10630" w:type="dxa"/>
            <w:gridSpan w:val="6"/>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4"/>
                <w:szCs w:val="24"/>
              </w:rPr>
            </w:pPr>
            <w:r>
              <w:rPr>
                <w:rFonts w:hint="eastAsia" w:ascii="宋体" w:hAnsi="宋体" w:cs="宋体"/>
                <w:kern w:val="0"/>
                <w:sz w:val="24"/>
                <w:szCs w:val="24"/>
              </w:rPr>
              <w:t>填写备注：</w:t>
            </w:r>
            <w:r>
              <w:rPr>
                <w:rFonts w:hint="eastAsia" w:ascii="宋体" w:hAnsi="宋体" w:cs="宋体"/>
                <w:kern w:val="0"/>
                <w:sz w:val="24"/>
                <w:szCs w:val="24"/>
              </w:rPr>
              <w:br w:type="textWrapping"/>
            </w:r>
            <w:r>
              <w:rPr>
                <w:rFonts w:hint="eastAsia" w:ascii="宋体" w:hAnsi="宋体" w:cs="宋体"/>
                <w:kern w:val="0"/>
                <w:sz w:val="24"/>
                <w:szCs w:val="24"/>
              </w:rPr>
              <w:t>1.本表由会员填写，若申请开通自营客户或全体代理客户交易的，直接勾选“□”，若为单独客户开通，则需详细填写客户信息，其中经营性质填写（产金、用金、精炼、金融、投资、贸易、其他）。</w:t>
            </w:r>
            <w:r>
              <w:rPr>
                <w:rFonts w:hint="eastAsia" w:ascii="宋体" w:hAnsi="宋体" w:cs="宋体"/>
                <w:kern w:val="0"/>
                <w:sz w:val="24"/>
                <w:szCs w:val="24"/>
              </w:rPr>
              <w:br w:type="textWrapping"/>
            </w:r>
            <w:r>
              <w:rPr>
                <w:rFonts w:hint="eastAsia" w:ascii="宋体" w:hAnsi="宋体" w:cs="宋体"/>
                <w:kern w:val="0"/>
                <w:sz w:val="24"/>
                <w:szCs w:val="24"/>
              </w:rPr>
              <w:t>2.承诺需由申请客户签章确认或会员代为签章确认。</w:t>
            </w:r>
            <w:r>
              <w:rPr>
                <w:rFonts w:hint="eastAsia" w:ascii="宋体" w:hAnsi="宋体" w:cs="宋体"/>
                <w:kern w:val="0"/>
                <w:sz w:val="24"/>
                <w:szCs w:val="24"/>
              </w:rPr>
              <w:br w:type="textWrapping"/>
            </w:r>
            <w:r>
              <w:rPr>
                <w:rFonts w:hint="eastAsia" w:ascii="宋体" w:hAnsi="宋体" w:cs="宋体"/>
                <w:kern w:val="0"/>
                <w:sz w:val="24"/>
                <w:szCs w:val="24"/>
              </w:rPr>
              <w:t>3.会员负责对客户业务能力进行初审，并负责对客户的交易行为和风险进行管理。</w:t>
            </w:r>
            <w:r>
              <w:rPr>
                <w:rFonts w:hint="eastAsia" w:ascii="宋体" w:hAnsi="宋体" w:cs="宋体"/>
                <w:kern w:val="0"/>
                <w:sz w:val="24"/>
                <w:szCs w:val="24"/>
              </w:rPr>
              <w:br w:type="textWrapping"/>
            </w:r>
            <w:r>
              <w:rPr>
                <w:rFonts w:hint="eastAsia" w:ascii="宋体" w:hAnsi="宋体" w:cs="宋体"/>
                <w:kern w:val="0"/>
                <w:sz w:val="24"/>
                <w:szCs w:val="24"/>
              </w:rPr>
              <w:t>4.申请表发送到传真号：021—33662160，并将原件寄到交易所交易部。国际会员向国际中心提交申请表，由国际中心转交交易部。</w:t>
            </w:r>
          </w:p>
        </w:tc>
      </w:tr>
    </w:tbl>
    <w:p>
      <w:pPr>
        <w:pBdr>
          <w:top w:val="none" w:color="000000" w:sz="0" w:space="0"/>
          <w:left w:val="none" w:color="000000" w:sz="0" w:space="0"/>
          <w:bottom w:val="none" w:color="000000" w:sz="0" w:space="0"/>
          <w:right w:val="none" w:color="000000" w:sz="0" w:space="0"/>
        </w:pBdr>
        <w:autoSpaceDN w:val="0"/>
        <w:snapToGrid w:val="0"/>
        <w:spacing w:line="360" w:lineRule="auto"/>
        <w:jc w:val="left"/>
        <w:rPr>
          <w:rFonts w:ascii="仿宋" w:hAnsi="仿宋" w:eastAsia="仿宋" w:cs="宋体"/>
          <w:sz w:val="32"/>
          <w:szCs w:val="32"/>
        </w:rPr>
      </w:pPr>
      <w:r>
        <w:rPr>
          <w:rFonts w:hint="eastAsia" w:ascii="仿宋" w:hAnsi="仿宋" w:eastAsia="仿宋" w:cs="宋体"/>
          <w:sz w:val="32"/>
          <w:szCs w:val="32"/>
        </w:rPr>
        <w:t>附表2</w:t>
      </w:r>
    </w:p>
    <w:p>
      <w:pPr>
        <w:widowControl/>
        <w:jc w:val="center"/>
        <w:rPr>
          <w:rFonts w:ascii="黑体" w:hAnsi="黑体" w:eastAsia="黑体" w:cs="宋体"/>
          <w:kern w:val="0"/>
          <w:sz w:val="40"/>
          <w:szCs w:val="40"/>
        </w:rPr>
      </w:pPr>
      <w:r>
        <w:rPr>
          <w:rFonts w:hint="eastAsia" w:ascii="黑体" w:hAnsi="黑体" w:eastAsia="黑体" w:cs="宋体"/>
          <w:kern w:val="0"/>
          <w:sz w:val="40"/>
          <w:szCs w:val="40"/>
        </w:rPr>
        <w:t>上海黄金交易所上海金集中定价合约参数表</w:t>
      </w:r>
    </w:p>
    <w:tbl>
      <w:tblPr>
        <w:tblStyle w:val="9"/>
        <w:tblW w:w="9223" w:type="dxa"/>
        <w:tblInd w:w="0" w:type="dxa"/>
        <w:tblLayout w:type="fixed"/>
        <w:tblCellMar>
          <w:top w:w="0" w:type="dxa"/>
          <w:left w:w="15" w:type="dxa"/>
          <w:bottom w:w="0" w:type="dxa"/>
          <w:right w:w="15" w:type="dxa"/>
        </w:tblCellMar>
      </w:tblPr>
      <w:tblGrid>
        <w:gridCol w:w="2567"/>
        <w:gridCol w:w="6656"/>
      </w:tblGrid>
      <w:tr>
        <w:tblPrEx>
          <w:tblLayout w:type="fixed"/>
          <w:tblCellMar>
            <w:top w:w="0" w:type="dxa"/>
            <w:left w:w="15" w:type="dxa"/>
            <w:bottom w:w="0" w:type="dxa"/>
            <w:right w:w="15" w:type="dxa"/>
          </w:tblCellMar>
        </w:tblPrEx>
        <w:trPr>
          <w:trHeight w:val="795" w:hRule="atLeast"/>
        </w:trPr>
        <w:tc>
          <w:tcPr>
            <w:tcW w:w="2567" w:type="dxa"/>
            <w:tcBorders>
              <w:top w:val="single" w:color="auto" w:sz="4" w:space="0"/>
              <w:left w:val="single" w:color="auto" w:sz="4" w:space="0"/>
              <w:bottom w:val="single" w:color="auto" w:sz="4" w:space="0"/>
              <w:right w:val="single" w:color="000000" w:sz="4" w:space="0"/>
            </w:tcBorders>
            <w:vAlign w:val="center"/>
          </w:tcPr>
          <w:p>
            <w:pPr>
              <w:widowControl/>
              <w:jc w:val="center"/>
              <w:rPr>
                <w:rFonts w:ascii="宋体" w:hAnsi="宋体" w:cs="宋体"/>
                <w:b/>
                <w:kern w:val="0"/>
                <w:sz w:val="24"/>
                <w:szCs w:val="24"/>
              </w:rPr>
            </w:pPr>
            <w:r>
              <w:rPr>
                <w:rFonts w:hint="eastAsia" w:ascii="宋体" w:hAnsi="宋体" w:cs="宋体"/>
                <w:b/>
                <w:kern w:val="0"/>
                <w:sz w:val="24"/>
                <w:szCs w:val="24"/>
              </w:rPr>
              <w:t>项目</w:t>
            </w:r>
          </w:p>
        </w:tc>
        <w:tc>
          <w:tcPr>
            <w:tcW w:w="6656" w:type="dxa"/>
            <w:tcBorders>
              <w:top w:val="single" w:color="auto" w:sz="4" w:space="0"/>
              <w:bottom w:val="single" w:color="auto" w:sz="4" w:space="0"/>
              <w:right w:val="single" w:color="auto" w:sz="4" w:space="0"/>
            </w:tcBorders>
            <w:vAlign w:val="center"/>
          </w:tcPr>
          <w:p>
            <w:pPr>
              <w:widowControl/>
              <w:jc w:val="center"/>
              <w:rPr>
                <w:rFonts w:ascii="宋体" w:hAnsi="宋体" w:cs="宋体"/>
                <w:b/>
                <w:kern w:val="0"/>
                <w:sz w:val="24"/>
                <w:szCs w:val="24"/>
              </w:rPr>
            </w:pPr>
            <w:r>
              <w:rPr>
                <w:rFonts w:hint="eastAsia" w:ascii="宋体" w:hAnsi="宋体" w:cs="宋体"/>
                <w:b/>
                <w:kern w:val="0"/>
                <w:sz w:val="24"/>
                <w:szCs w:val="24"/>
              </w:rPr>
              <w:t>项目内容或参数</w:t>
            </w:r>
          </w:p>
        </w:tc>
      </w:tr>
      <w:tr>
        <w:tblPrEx>
          <w:tblLayout w:type="fixed"/>
          <w:tblCellMar>
            <w:top w:w="0" w:type="dxa"/>
            <w:left w:w="15" w:type="dxa"/>
            <w:bottom w:w="0" w:type="dxa"/>
            <w:right w:w="15" w:type="dxa"/>
          </w:tblCellMar>
        </w:tblPrEx>
        <w:trPr>
          <w:trHeight w:val="567" w:hRule="atLeast"/>
        </w:trPr>
        <w:tc>
          <w:tcPr>
            <w:tcW w:w="2567" w:type="dxa"/>
            <w:tcBorders>
              <w:top w:val="single" w:color="auto" w:sz="4" w:space="0"/>
              <w:left w:val="single" w:color="auto" w:sz="4" w:space="0"/>
              <w:bottom w:val="single" w:color="auto"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交易品种</w:t>
            </w:r>
          </w:p>
        </w:tc>
        <w:tc>
          <w:tcPr>
            <w:tcW w:w="6656" w:type="dxa"/>
            <w:tcBorders>
              <w:top w:val="single" w:color="auto" w:sz="4" w:space="0"/>
              <w:bottom w:val="single" w:color="auto" w:sz="4" w:space="0"/>
              <w:right w:val="single" w:color="auto" w:sz="4" w:space="0"/>
            </w:tcBorders>
            <w:vAlign w:val="center"/>
          </w:tcPr>
          <w:p>
            <w:pPr>
              <w:widowControl/>
              <w:jc w:val="center"/>
              <w:rPr>
                <w:rFonts w:ascii="宋体" w:hAnsi="宋体" w:cs="宋体"/>
                <w:kern w:val="0"/>
                <w:sz w:val="24"/>
                <w:szCs w:val="24"/>
              </w:rPr>
            </w:pPr>
            <w:r>
              <w:rPr>
                <w:rFonts w:ascii="宋体" w:hAnsi="宋体" w:cs="宋体"/>
                <w:kern w:val="0"/>
                <w:sz w:val="24"/>
                <w:szCs w:val="24"/>
              </w:rPr>
              <w:t>黄金</w:t>
            </w:r>
          </w:p>
        </w:tc>
      </w:tr>
      <w:tr>
        <w:tblPrEx>
          <w:tblLayout w:type="fixed"/>
          <w:tblCellMar>
            <w:top w:w="0" w:type="dxa"/>
            <w:left w:w="15" w:type="dxa"/>
            <w:bottom w:w="0" w:type="dxa"/>
            <w:right w:w="15" w:type="dxa"/>
          </w:tblCellMar>
        </w:tblPrEx>
        <w:trPr>
          <w:trHeight w:val="567" w:hRule="atLeast"/>
        </w:trPr>
        <w:tc>
          <w:tcPr>
            <w:tcW w:w="2567" w:type="dxa"/>
            <w:tcBorders>
              <w:top w:val="single" w:color="auto" w:sz="4" w:space="0"/>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交易代码</w:t>
            </w:r>
          </w:p>
        </w:tc>
        <w:tc>
          <w:tcPr>
            <w:tcW w:w="6656" w:type="dxa"/>
            <w:tcBorders>
              <w:top w:val="single" w:color="auto"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SHAU</w:t>
            </w:r>
          </w:p>
        </w:tc>
      </w:tr>
      <w:tr>
        <w:tblPrEx>
          <w:tblLayout w:type="fixed"/>
          <w:tblCellMar>
            <w:top w:w="0" w:type="dxa"/>
            <w:left w:w="15" w:type="dxa"/>
            <w:bottom w:w="0" w:type="dxa"/>
            <w:right w:w="15" w:type="dxa"/>
          </w:tblCellMar>
        </w:tblPrEx>
        <w:trPr>
          <w:trHeight w:val="567" w:hRule="atLeast"/>
        </w:trPr>
        <w:tc>
          <w:tcPr>
            <w:tcW w:w="2567" w:type="dxa"/>
            <w:tcBorders>
              <w:top w:val="single" w:color="auto" w:sz="4" w:space="0"/>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报价单位</w:t>
            </w:r>
          </w:p>
        </w:tc>
        <w:tc>
          <w:tcPr>
            <w:tcW w:w="6656" w:type="dxa"/>
            <w:tcBorders>
              <w:top w:val="single" w:color="auto"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元</w:t>
            </w:r>
            <w:r>
              <w:rPr>
                <w:rFonts w:hint="eastAsia" w:ascii="宋体" w:hAnsi="宋体" w:cs="宋体"/>
                <w:kern w:val="0"/>
                <w:sz w:val="24"/>
                <w:szCs w:val="24"/>
              </w:rPr>
              <w:t>（</w:t>
            </w:r>
            <w:r>
              <w:rPr>
                <w:rFonts w:ascii="宋体" w:hAnsi="宋体" w:cs="宋体"/>
                <w:kern w:val="0"/>
                <w:sz w:val="24"/>
                <w:szCs w:val="24"/>
              </w:rPr>
              <w:t>人民币</w:t>
            </w:r>
            <w:r>
              <w:rPr>
                <w:rFonts w:hint="eastAsia" w:ascii="宋体" w:hAnsi="宋体" w:cs="宋体"/>
                <w:kern w:val="0"/>
                <w:sz w:val="24"/>
                <w:szCs w:val="24"/>
              </w:rPr>
              <w:t>）</w:t>
            </w:r>
            <w:r>
              <w:rPr>
                <w:rFonts w:ascii="宋体" w:hAnsi="宋体" w:cs="宋体"/>
                <w:kern w:val="0"/>
                <w:sz w:val="24"/>
                <w:szCs w:val="24"/>
              </w:rPr>
              <w:t>/克</w:t>
            </w:r>
          </w:p>
        </w:tc>
      </w:tr>
      <w:tr>
        <w:tblPrEx>
          <w:tblLayout w:type="fixed"/>
          <w:tblCellMar>
            <w:top w:w="0" w:type="dxa"/>
            <w:left w:w="15" w:type="dxa"/>
            <w:bottom w:w="0" w:type="dxa"/>
            <w:right w:w="15" w:type="dxa"/>
          </w:tblCellMar>
        </w:tblPrEx>
        <w:trPr>
          <w:trHeight w:val="567"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交易方式</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集中定价交易</w:t>
            </w:r>
          </w:p>
        </w:tc>
      </w:tr>
      <w:tr>
        <w:tblPrEx>
          <w:tblLayout w:type="fixed"/>
          <w:tblCellMar>
            <w:top w:w="0" w:type="dxa"/>
            <w:left w:w="15" w:type="dxa"/>
            <w:bottom w:w="0" w:type="dxa"/>
            <w:right w:w="15" w:type="dxa"/>
          </w:tblCellMar>
        </w:tblPrEx>
        <w:trPr>
          <w:trHeight w:val="567"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交易单位</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1</w:t>
            </w:r>
            <w:r>
              <w:rPr>
                <w:rFonts w:hint="eastAsia" w:ascii="宋体" w:hAnsi="宋体" w:cs="宋体"/>
                <w:kern w:val="0"/>
                <w:sz w:val="24"/>
                <w:szCs w:val="24"/>
              </w:rPr>
              <w:t>千</w:t>
            </w:r>
            <w:r>
              <w:rPr>
                <w:rFonts w:ascii="宋体" w:hAnsi="宋体" w:cs="宋体"/>
                <w:kern w:val="0"/>
                <w:sz w:val="24"/>
                <w:szCs w:val="24"/>
              </w:rPr>
              <w:t>克/手</w:t>
            </w:r>
          </w:p>
        </w:tc>
      </w:tr>
      <w:tr>
        <w:tblPrEx>
          <w:tblLayout w:type="fixed"/>
          <w:tblCellMar>
            <w:top w:w="0" w:type="dxa"/>
            <w:left w:w="15" w:type="dxa"/>
            <w:bottom w:w="0" w:type="dxa"/>
            <w:right w:w="15" w:type="dxa"/>
          </w:tblCellMar>
        </w:tblPrEx>
        <w:trPr>
          <w:trHeight w:val="567"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最小变动价位</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0.0</w:t>
            </w:r>
            <w:r>
              <w:rPr>
                <w:rFonts w:hint="eastAsia" w:ascii="宋体" w:hAnsi="宋体" w:cs="宋体"/>
                <w:kern w:val="0"/>
                <w:sz w:val="24"/>
                <w:szCs w:val="24"/>
              </w:rPr>
              <w:t>1</w:t>
            </w:r>
            <w:r>
              <w:rPr>
                <w:rFonts w:ascii="宋体" w:hAnsi="宋体" w:cs="宋体"/>
                <w:kern w:val="0"/>
                <w:sz w:val="24"/>
                <w:szCs w:val="24"/>
              </w:rPr>
              <w:t>元/克</w:t>
            </w:r>
          </w:p>
        </w:tc>
      </w:tr>
      <w:tr>
        <w:tblPrEx>
          <w:tblLayout w:type="fixed"/>
          <w:tblCellMar>
            <w:top w:w="0" w:type="dxa"/>
            <w:left w:w="15" w:type="dxa"/>
            <w:bottom w:w="0" w:type="dxa"/>
            <w:right w:w="15" w:type="dxa"/>
          </w:tblCellMar>
        </w:tblPrEx>
        <w:trPr>
          <w:trHeight w:val="738"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每日价格最大波动限制</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无限制</w:t>
            </w:r>
          </w:p>
        </w:tc>
      </w:tr>
      <w:tr>
        <w:tblPrEx>
          <w:tblLayout w:type="fixed"/>
          <w:tblCellMar>
            <w:top w:w="0" w:type="dxa"/>
            <w:left w:w="15" w:type="dxa"/>
            <w:bottom w:w="0" w:type="dxa"/>
            <w:right w:w="15" w:type="dxa"/>
          </w:tblCellMar>
        </w:tblPrEx>
        <w:trPr>
          <w:trHeight w:val="567"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单边最小报价量</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1</w:t>
            </w:r>
            <w:r>
              <w:rPr>
                <w:rFonts w:hint="eastAsia" w:ascii="宋体" w:hAnsi="宋体" w:cs="宋体"/>
                <w:kern w:val="0"/>
                <w:sz w:val="24"/>
                <w:szCs w:val="24"/>
              </w:rPr>
              <w:t>手</w:t>
            </w:r>
          </w:p>
        </w:tc>
      </w:tr>
      <w:tr>
        <w:tblPrEx>
          <w:tblLayout w:type="fixed"/>
          <w:tblCellMar>
            <w:top w:w="0" w:type="dxa"/>
            <w:left w:w="15" w:type="dxa"/>
            <w:bottom w:w="0" w:type="dxa"/>
            <w:right w:w="15" w:type="dxa"/>
          </w:tblCellMar>
        </w:tblPrEx>
        <w:trPr>
          <w:trHeight w:val="567"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单边最</w:t>
            </w:r>
            <w:r>
              <w:rPr>
                <w:rFonts w:hint="eastAsia" w:ascii="宋体" w:hAnsi="宋体" w:cs="宋体"/>
                <w:kern w:val="0"/>
                <w:sz w:val="24"/>
                <w:szCs w:val="24"/>
              </w:rPr>
              <w:t>大</w:t>
            </w:r>
            <w:r>
              <w:rPr>
                <w:rFonts w:ascii="宋体" w:hAnsi="宋体" w:cs="宋体"/>
                <w:kern w:val="0"/>
                <w:sz w:val="24"/>
                <w:szCs w:val="24"/>
              </w:rPr>
              <w:t>报价量</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30000手</w:t>
            </w:r>
          </w:p>
        </w:tc>
      </w:tr>
      <w:tr>
        <w:tblPrEx>
          <w:tblLayout w:type="fixed"/>
          <w:tblCellMar>
            <w:top w:w="0" w:type="dxa"/>
            <w:left w:w="15" w:type="dxa"/>
            <w:bottom w:w="0" w:type="dxa"/>
            <w:right w:w="15" w:type="dxa"/>
          </w:tblCellMar>
        </w:tblPrEx>
        <w:trPr>
          <w:trHeight w:val="567"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成交方式</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数量撮合</w:t>
            </w:r>
          </w:p>
        </w:tc>
      </w:tr>
      <w:tr>
        <w:tblPrEx>
          <w:tblLayout w:type="fixed"/>
          <w:tblCellMar>
            <w:top w:w="0" w:type="dxa"/>
            <w:left w:w="15" w:type="dxa"/>
            <w:bottom w:w="0" w:type="dxa"/>
            <w:right w:w="15" w:type="dxa"/>
          </w:tblCellMar>
        </w:tblPrEx>
        <w:trPr>
          <w:trHeight w:val="567"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成交阀值</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400千克</w:t>
            </w:r>
          </w:p>
        </w:tc>
      </w:tr>
      <w:tr>
        <w:tblPrEx>
          <w:tblLayout w:type="fixed"/>
          <w:tblCellMar>
            <w:top w:w="0" w:type="dxa"/>
            <w:left w:w="15" w:type="dxa"/>
            <w:bottom w:w="0" w:type="dxa"/>
            <w:right w:w="15" w:type="dxa"/>
          </w:tblCellMar>
        </w:tblPrEx>
        <w:trPr>
          <w:trHeight w:val="680"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最低交易保证金</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6</w:t>
            </w:r>
            <w:r>
              <w:rPr>
                <w:rFonts w:ascii="宋体" w:hAnsi="宋体" w:cs="宋体"/>
                <w:kern w:val="0"/>
                <w:sz w:val="24"/>
                <w:szCs w:val="24"/>
              </w:rPr>
              <w:t>%</w:t>
            </w:r>
          </w:p>
        </w:tc>
      </w:tr>
      <w:tr>
        <w:tblPrEx>
          <w:tblLayout w:type="fixed"/>
          <w:tblCellMar>
            <w:top w:w="0" w:type="dxa"/>
            <w:left w:w="15" w:type="dxa"/>
            <w:bottom w:w="0" w:type="dxa"/>
            <w:right w:w="15" w:type="dxa"/>
          </w:tblCellMar>
        </w:tblPrEx>
        <w:trPr>
          <w:trHeight w:val="680"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交易手续费</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rPr>
              <w:t>上市日至2016年6月30日免收交易手续费</w:t>
            </w:r>
          </w:p>
        </w:tc>
      </w:tr>
      <w:tr>
        <w:tblPrEx>
          <w:tblLayout w:type="fixed"/>
          <w:tblCellMar>
            <w:top w:w="0" w:type="dxa"/>
            <w:left w:w="15" w:type="dxa"/>
            <w:bottom w:w="0" w:type="dxa"/>
            <w:right w:w="15" w:type="dxa"/>
          </w:tblCellMar>
        </w:tblPrEx>
        <w:trPr>
          <w:trHeight w:val="680"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交易开始</w:t>
            </w:r>
            <w:r>
              <w:rPr>
                <w:rFonts w:ascii="宋体" w:hAnsi="宋体" w:cs="宋体"/>
                <w:kern w:val="0"/>
                <w:sz w:val="24"/>
                <w:szCs w:val="24"/>
              </w:rPr>
              <w:t>时间</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早盘定价 10</w:t>
            </w:r>
            <w:r>
              <w:rPr>
                <w:rFonts w:ascii="宋体" w:hAnsi="宋体" w:cs="宋体"/>
                <w:kern w:val="0"/>
                <w:sz w:val="24"/>
                <w:szCs w:val="24"/>
              </w:rPr>
              <w:t>:</w:t>
            </w:r>
            <w:r>
              <w:rPr>
                <w:rFonts w:hint="eastAsia" w:ascii="宋体" w:hAnsi="宋体" w:cs="宋体"/>
                <w:kern w:val="0"/>
                <w:sz w:val="24"/>
                <w:szCs w:val="24"/>
              </w:rPr>
              <w:t>15 ；午盘定价14</w:t>
            </w:r>
            <w:r>
              <w:rPr>
                <w:rFonts w:ascii="宋体" w:hAnsi="宋体" w:cs="宋体"/>
                <w:kern w:val="0"/>
                <w:sz w:val="24"/>
                <w:szCs w:val="24"/>
              </w:rPr>
              <w:t>:</w:t>
            </w:r>
            <w:r>
              <w:rPr>
                <w:rFonts w:hint="eastAsia" w:ascii="宋体" w:hAnsi="宋体" w:cs="宋体"/>
                <w:kern w:val="0"/>
                <w:sz w:val="24"/>
                <w:szCs w:val="24"/>
              </w:rPr>
              <w:t>15</w:t>
            </w:r>
          </w:p>
        </w:tc>
      </w:tr>
      <w:tr>
        <w:tblPrEx>
          <w:tblLayout w:type="fixed"/>
          <w:tblCellMar>
            <w:top w:w="0" w:type="dxa"/>
            <w:left w:w="15" w:type="dxa"/>
            <w:bottom w:w="0" w:type="dxa"/>
            <w:right w:w="15" w:type="dxa"/>
          </w:tblCellMar>
        </w:tblPrEx>
        <w:trPr>
          <w:trHeight w:val="567"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提供参考价时间</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早盘10:09-10:14 ；午盘14:09-14:14</w:t>
            </w:r>
            <w:bookmarkStart w:id="3" w:name="_GoBack"/>
            <w:bookmarkEnd w:id="3"/>
          </w:p>
        </w:tc>
      </w:tr>
      <w:tr>
        <w:tblPrEx>
          <w:tblLayout w:type="fixed"/>
          <w:tblCellMar>
            <w:top w:w="0" w:type="dxa"/>
            <w:left w:w="15" w:type="dxa"/>
            <w:bottom w:w="0" w:type="dxa"/>
            <w:right w:w="15" w:type="dxa"/>
          </w:tblCellMar>
        </w:tblPrEx>
        <w:trPr>
          <w:trHeight w:val="567"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每轮申报时限</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 xml:space="preserve">首轮市场申报60秒 + 补充申报10秒 </w:t>
            </w:r>
          </w:p>
          <w:p>
            <w:pPr>
              <w:widowControl/>
              <w:jc w:val="center"/>
              <w:rPr>
                <w:rFonts w:ascii="宋体" w:hAnsi="宋体" w:cs="宋体"/>
                <w:kern w:val="0"/>
                <w:sz w:val="24"/>
                <w:szCs w:val="24"/>
              </w:rPr>
            </w:pPr>
            <w:r>
              <w:rPr>
                <w:rFonts w:hint="eastAsia" w:ascii="宋体" w:hAnsi="宋体" w:cs="宋体"/>
                <w:kern w:val="0"/>
                <w:sz w:val="24"/>
                <w:szCs w:val="24"/>
              </w:rPr>
              <w:t>自第二轮始，每轮市场申报30秒 + 补充申报10秒</w:t>
            </w:r>
          </w:p>
        </w:tc>
      </w:tr>
      <w:tr>
        <w:tblPrEx>
          <w:tblLayout w:type="fixed"/>
          <w:tblCellMar>
            <w:top w:w="0" w:type="dxa"/>
            <w:left w:w="15" w:type="dxa"/>
            <w:bottom w:w="0" w:type="dxa"/>
            <w:right w:w="15" w:type="dxa"/>
          </w:tblCellMar>
        </w:tblPrEx>
        <w:trPr>
          <w:trHeight w:val="680"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清算方式</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钱货两讫</w:t>
            </w:r>
          </w:p>
        </w:tc>
      </w:tr>
      <w:tr>
        <w:tblPrEx>
          <w:tblLayout w:type="fixed"/>
          <w:tblCellMar>
            <w:top w:w="0" w:type="dxa"/>
            <w:left w:w="15" w:type="dxa"/>
            <w:bottom w:w="0" w:type="dxa"/>
            <w:right w:w="15" w:type="dxa"/>
          </w:tblCellMar>
        </w:tblPrEx>
        <w:trPr>
          <w:trHeight w:val="680"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交割方式</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实物交割</w:t>
            </w:r>
          </w:p>
        </w:tc>
      </w:tr>
      <w:tr>
        <w:tblPrEx>
          <w:tblLayout w:type="fixed"/>
          <w:tblCellMar>
            <w:top w:w="0" w:type="dxa"/>
            <w:left w:w="15" w:type="dxa"/>
            <w:bottom w:w="0" w:type="dxa"/>
            <w:right w:w="15" w:type="dxa"/>
          </w:tblCellMar>
        </w:tblPrEx>
        <w:trPr>
          <w:trHeight w:val="680"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交割时间</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Ｔ+２</w:t>
            </w:r>
          </w:p>
        </w:tc>
      </w:tr>
      <w:tr>
        <w:tblPrEx>
          <w:tblLayout w:type="fixed"/>
          <w:tblCellMar>
            <w:top w:w="0" w:type="dxa"/>
            <w:left w:w="15" w:type="dxa"/>
            <w:bottom w:w="0" w:type="dxa"/>
            <w:right w:w="15" w:type="dxa"/>
          </w:tblCellMar>
        </w:tblPrEx>
        <w:trPr>
          <w:trHeight w:val="894"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交割</w:t>
            </w:r>
            <w:r>
              <w:rPr>
                <w:rFonts w:hint="eastAsia" w:ascii="宋体" w:hAnsi="宋体" w:cs="宋体"/>
                <w:kern w:val="0"/>
                <w:sz w:val="24"/>
                <w:szCs w:val="24"/>
              </w:rPr>
              <w:t>品种</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交易所认可的标准重量1千克、成色不低于99.99％的金锭</w:t>
            </w:r>
          </w:p>
        </w:tc>
      </w:tr>
      <w:tr>
        <w:tblPrEx>
          <w:tblLayout w:type="fixed"/>
          <w:tblCellMar>
            <w:top w:w="0" w:type="dxa"/>
            <w:left w:w="15" w:type="dxa"/>
            <w:bottom w:w="0" w:type="dxa"/>
            <w:right w:w="15" w:type="dxa"/>
          </w:tblCellMar>
        </w:tblPrEx>
        <w:trPr>
          <w:trHeight w:val="795"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质量标准</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经交易所认定的可提供标准金锭、金条企业生产的符合交易所金锭SGEB1-2002质量标准的实物，及伦敦金银市场协会（LBMA）认定的合格供货商生产的标准实物。</w:t>
            </w:r>
          </w:p>
        </w:tc>
      </w:tr>
      <w:tr>
        <w:tblPrEx>
          <w:tblLayout w:type="fixed"/>
          <w:tblCellMar>
            <w:top w:w="0" w:type="dxa"/>
            <w:left w:w="15" w:type="dxa"/>
            <w:bottom w:w="0" w:type="dxa"/>
            <w:right w:w="15" w:type="dxa"/>
          </w:tblCellMar>
        </w:tblPrEx>
        <w:trPr>
          <w:trHeight w:val="680"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交割</w:t>
            </w:r>
            <w:r>
              <w:rPr>
                <w:rFonts w:hint="eastAsia" w:ascii="宋体" w:hAnsi="宋体" w:cs="宋体"/>
                <w:kern w:val="0"/>
                <w:sz w:val="24"/>
                <w:szCs w:val="24"/>
              </w:rPr>
              <w:t>仓库</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交易所指定交割仓库</w:t>
            </w:r>
          </w:p>
        </w:tc>
      </w:tr>
      <w:tr>
        <w:tblPrEx>
          <w:tblLayout w:type="fixed"/>
          <w:tblCellMar>
            <w:top w:w="0" w:type="dxa"/>
            <w:left w:w="15" w:type="dxa"/>
            <w:bottom w:w="0" w:type="dxa"/>
            <w:right w:w="15" w:type="dxa"/>
          </w:tblCellMar>
        </w:tblPrEx>
        <w:trPr>
          <w:trHeight w:val="680"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交割费</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0</w:t>
            </w:r>
          </w:p>
        </w:tc>
      </w:tr>
      <w:tr>
        <w:tblPrEx>
          <w:tblLayout w:type="fixed"/>
          <w:tblCellMar>
            <w:top w:w="0" w:type="dxa"/>
            <w:left w:w="15" w:type="dxa"/>
            <w:bottom w:w="0" w:type="dxa"/>
            <w:right w:w="15" w:type="dxa"/>
          </w:tblCellMar>
        </w:tblPrEx>
        <w:trPr>
          <w:trHeight w:val="680"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违约金比例</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等同于交易保证金</w:t>
            </w:r>
          </w:p>
        </w:tc>
      </w:tr>
      <w:tr>
        <w:tblPrEx>
          <w:tblLayout w:type="fixed"/>
          <w:tblCellMar>
            <w:top w:w="0" w:type="dxa"/>
            <w:left w:w="15" w:type="dxa"/>
            <w:bottom w:w="0" w:type="dxa"/>
            <w:right w:w="15" w:type="dxa"/>
          </w:tblCellMar>
        </w:tblPrEx>
        <w:trPr>
          <w:trHeight w:val="795" w:hRule="atLeast"/>
        </w:trPr>
        <w:tc>
          <w:tcPr>
            <w:tcW w:w="2567" w:type="dxa"/>
            <w:tcBorders>
              <w:left w:val="single" w:color="000000" w:sz="4" w:space="0"/>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上市日期</w:t>
            </w:r>
          </w:p>
        </w:tc>
        <w:tc>
          <w:tcPr>
            <w:tcW w:w="6656" w:type="dxa"/>
            <w:tcBorders>
              <w:bottom w:val="single" w:color="000000" w:sz="4" w:space="0"/>
              <w:right w:val="single" w:color="000000" w:sz="4" w:space="0"/>
            </w:tcBorders>
            <w:vAlign w:val="center"/>
          </w:tcPr>
          <w:p>
            <w:pPr>
              <w:widowControl/>
              <w:jc w:val="center"/>
              <w:rPr>
                <w:rFonts w:ascii="宋体" w:hAnsi="宋体" w:cs="宋体"/>
                <w:kern w:val="0"/>
                <w:sz w:val="24"/>
                <w:szCs w:val="24"/>
              </w:rPr>
            </w:pPr>
            <w:r>
              <w:rPr>
                <w:rFonts w:ascii="宋体" w:hAnsi="宋体" w:cs="宋体"/>
                <w:kern w:val="0"/>
                <w:sz w:val="24"/>
                <w:szCs w:val="24"/>
              </w:rPr>
              <w:t>201</w:t>
            </w:r>
            <w:r>
              <w:rPr>
                <w:rFonts w:hint="eastAsia" w:ascii="宋体" w:hAnsi="宋体" w:cs="宋体"/>
                <w:kern w:val="0"/>
                <w:sz w:val="24"/>
                <w:szCs w:val="24"/>
              </w:rPr>
              <w:t>6</w:t>
            </w:r>
            <w:r>
              <w:rPr>
                <w:rFonts w:ascii="宋体" w:hAnsi="宋体" w:cs="宋体"/>
                <w:kern w:val="0"/>
                <w:sz w:val="24"/>
                <w:szCs w:val="24"/>
              </w:rPr>
              <w:t>年</w:t>
            </w:r>
            <w:r>
              <w:rPr>
                <w:rFonts w:hint="eastAsia" w:ascii="宋体" w:hAnsi="宋体" w:cs="宋体"/>
                <w:kern w:val="0"/>
                <w:sz w:val="24"/>
                <w:szCs w:val="24"/>
              </w:rPr>
              <w:t>4</w:t>
            </w:r>
            <w:r>
              <w:rPr>
                <w:rFonts w:ascii="宋体" w:hAnsi="宋体" w:cs="宋体"/>
                <w:kern w:val="0"/>
                <w:sz w:val="24"/>
                <w:szCs w:val="24"/>
              </w:rPr>
              <w:t>月</w:t>
            </w:r>
            <w:r>
              <w:rPr>
                <w:rFonts w:hint="eastAsia" w:ascii="宋体" w:hAnsi="宋体" w:cs="宋体"/>
                <w:kern w:val="0"/>
                <w:sz w:val="24"/>
                <w:szCs w:val="24"/>
              </w:rPr>
              <w:t>19日</w:t>
            </w:r>
          </w:p>
        </w:tc>
      </w:tr>
    </w:tbl>
    <w:p>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仿宋">
    <w:panose1 w:val="02010609060101010101"/>
    <w:charset w:val="86"/>
    <w:family w:val="swiss"/>
    <w:pitch w:val="default"/>
    <w:sig w:usb0="800002BF" w:usb1="38CF7CFA" w:usb2="00000016" w:usb3="00000000" w:csb0="00040001" w:csb1="0000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
    <w:panose1 w:val="02010609060101010101"/>
    <w:charset w:val="86"/>
    <w:family w:val="decorative"/>
    <w:pitch w:val="default"/>
    <w:sig w:usb0="800002BF" w:usb1="38CF7CFA" w:usb2="00000016" w:usb3="00000000" w:csb0="00040001" w:csb1="00000000"/>
  </w:font>
  <w:font w:name="黑体">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985818"/>
    </w:sdtPr>
    <w:sdtContent>
      <w:p>
        <w:pPr>
          <w:pStyle w:val="5"/>
          <w:jc w:val="center"/>
        </w:pPr>
        <w:r>
          <w:fldChar w:fldCharType="begin"/>
        </w:r>
        <w:r>
          <w:instrText xml:space="preserve">PAGE   \* MERGEFORMAT</w:instrText>
        </w:r>
        <w:r>
          <w:fldChar w:fldCharType="separate"/>
        </w:r>
        <w:r>
          <w:rPr>
            <w:lang w:val="zh-CN"/>
          </w:rPr>
          <w:t>13</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7844702">
    <w:nsid w:val="53EA015E"/>
    <w:multiLevelType w:val="singleLevel"/>
    <w:tmpl w:val="53EA015E"/>
    <w:lvl w:ilvl="0" w:tentative="1">
      <w:start w:val="1"/>
      <w:numFmt w:val="chineseCounting"/>
      <w:suff w:val="space"/>
      <w:lvlText w:val="第%1条"/>
      <w:lvlJc w:val="left"/>
      <w:rPr>
        <w:rFonts w:ascii="仿宋" w:hAnsi="仿宋" w:eastAsia="仿宋"/>
        <w:sz w:val="28"/>
        <w:szCs w:val="28"/>
        <w:lang w:val="en-US"/>
      </w:rPr>
    </w:lvl>
  </w:abstractNum>
  <w:num w:numId="1">
    <w:abstractNumId w:val="14078447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7E8"/>
    <w:rsid w:val="00000E14"/>
    <w:rsid w:val="0000175C"/>
    <w:rsid w:val="00004164"/>
    <w:rsid w:val="00007AC7"/>
    <w:rsid w:val="00014296"/>
    <w:rsid w:val="000202A8"/>
    <w:rsid w:val="0002197C"/>
    <w:rsid w:val="00021FF1"/>
    <w:rsid w:val="000279FF"/>
    <w:rsid w:val="00027C30"/>
    <w:rsid w:val="0003001C"/>
    <w:rsid w:val="00031002"/>
    <w:rsid w:val="00031773"/>
    <w:rsid w:val="00033261"/>
    <w:rsid w:val="0003369E"/>
    <w:rsid w:val="0003461E"/>
    <w:rsid w:val="00036789"/>
    <w:rsid w:val="000367E3"/>
    <w:rsid w:val="00040422"/>
    <w:rsid w:val="00043DB7"/>
    <w:rsid w:val="00046E70"/>
    <w:rsid w:val="0005035C"/>
    <w:rsid w:val="000525C3"/>
    <w:rsid w:val="000546C8"/>
    <w:rsid w:val="00057724"/>
    <w:rsid w:val="000578DC"/>
    <w:rsid w:val="00060156"/>
    <w:rsid w:val="0006231E"/>
    <w:rsid w:val="00062532"/>
    <w:rsid w:val="000655B0"/>
    <w:rsid w:val="00066E5C"/>
    <w:rsid w:val="00075D0D"/>
    <w:rsid w:val="00076548"/>
    <w:rsid w:val="000769F5"/>
    <w:rsid w:val="00080132"/>
    <w:rsid w:val="000835AF"/>
    <w:rsid w:val="00083C57"/>
    <w:rsid w:val="00085A4C"/>
    <w:rsid w:val="000865D8"/>
    <w:rsid w:val="000922EF"/>
    <w:rsid w:val="00093DE5"/>
    <w:rsid w:val="00095AC8"/>
    <w:rsid w:val="00096DA9"/>
    <w:rsid w:val="00097BE4"/>
    <w:rsid w:val="000B67DC"/>
    <w:rsid w:val="000B7AA9"/>
    <w:rsid w:val="000C0F60"/>
    <w:rsid w:val="000C2278"/>
    <w:rsid w:val="000C7BBD"/>
    <w:rsid w:val="000D3388"/>
    <w:rsid w:val="000D4495"/>
    <w:rsid w:val="000D6C16"/>
    <w:rsid w:val="000D7EAB"/>
    <w:rsid w:val="000E0F3B"/>
    <w:rsid w:val="000E202E"/>
    <w:rsid w:val="000E2E7D"/>
    <w:rsid w:val="000E378B"/>
    <w:rsid w:val="000E47D3"/>
    <w:rsid w:val="000E4E8D"/>
    <w:rsid w:val="000E5BA0"/>
    <w:rsid w:val="000E6DE1"/>
    <w:rsid w:val="000E751B"/>
    <w:rsid w:val="000F3035"/>
    <w:rsid w:val="000F306C"/>
    <w:rsid w:val="000F5D58"/>
    <w:rsid w:val="000F6DC8"/>
    <w:rsid w:val="00100065"/>
    <w:rsid w:val="001024F8"/>
    <w:rsid w:val="00106560"/>
    <w:rsid w:val="00106568"/>
    <w:rsid w:val="00115288"/>
    <w:rsid w:val="001157BD"/>
    <w:rsid w:val="001167D0"/>
    <w:rsid w:val="00116D3B"/>
    <w:rsid w:val="00117E28"/>
    <w:rsid w:val="00121A12"/>
    <w:rsid w:val="001220F5"/>
    <w:rsid w:val="00124FDD"/>
    <w:rsid w:val="001300DD"/>
    <w:rsid w:val="001303E2"/>
    <w:rsid w:val="001328C8"/>
    <w:rsid w:val="0014094D"/>
    <w:rsid w:val="001419B6"/>
    <w:rsid w:val="00144B67"/>
    <w:rsid w:val="0015033C"/>
    <w:rsid w:val="00150E13"/>
    <w:rsid w:val="0015219C"/>
    <w:rsid w:val="00152D15"/>
    <w:rsid w:val="00153068"/>
    <w:rsid w:val="001532A4"/>
    <w:rsid w:val="00157BC4"/>
    <w:rsid w:val="00163627"/>
    <w:rsid w:val="00172E6F"/>
    <w:rsid w:val="00173277"/>
    <w:rsid w:val="0017645F"/>
    <w:rsid w:val="001801CF"/>
    <w:rsid w:val="0018224C"/>
    <w:rsid w:val="00182E51"/>
    <w:rsid w:val="001870CB"/>
    <w:rsid w:val="0019293A"/>
    <w:rsid w:val="001931A4"/>
    <w:rsid w:val="00194B5C"/>
    <w:rsid w:val="001A1D8A"/>
    <w:rsid w:val="001A21D7"/>
    <w:rsid w:val="001A2FB6"/>
    <w:rsid w:val="001A69B0"/>
    <w:rsid w:val="001B011A"/>
    <w:rsid w:val="001B02D2"/>
    <w:rsid w:val="001B21B6"/>
    <w:rsid w:val="001C20CF"/>
    <w:rsid w:val="001C23A9"/>
    <w:rsid w:val="001C3732"/>
    <w:rsid w:val="001C53AB"/>
    <w:rsid w:val="001D04D5"/>
    <w:rsid w:val="001D07D7"/>
    <w:rsid w:val="001D1515"/>
    <w:rsid w:val="001E0B5A"/>
    <w:rsid w:val="001E25CE"/>
    <w:rsid w:val="001E59D9"/>
    <w:rsid w:val="001E760E"/>
    <w:rsid w:val="001E7DB7"/>
    <w:rsid w:val="001F18D8"/>
    <w:rsid w:val="001F565D"/>
    <w:rsid w:val="00204DD3"/>
    <w:rsid w:val="00204EBA"/>
    <w:rsid w:val="00207534"/>
    <w:rsid w:val="002155A5"/>
    <w:rsid w:val="002171EA"/>
    <w:rsid w:val="00217878"/>
    <w:rsid w:val="00220498"/>
    <w:rsid w:val="0022108C"/>
    <w:rsid w:val="00222AD5"/>
    <w:rsid w:val="002245C2"/>
    <w:rsid w:val="00225152"/>
    <w:rsid w:val="00225C60"/>
    <w:rsid w:val="00226774"/>
    <w:rsid w:val="00227999"/>
    <w:rsid w:val="00234B72"/>
    <w:rsid w:val="002365D0"/>
    <w:rsid w:val="00236649"/>
    <w:rsid w:val="002452E8"/>
    <w:rsid w:val="00245DF2"/>
    <w:rsid w:val="00246A1F"/>
    <w:rsid w:val="0025131D"/>
    <w:rsid w:val="002547EC"/>
    <w:rsid w:val="002606B4"/>
    <w:rsid w:val="00264095"/>
    <w:rsid w:val="0026653A"/>
    <w:rsid w:val="00271B37"/>
    <w:rsid w:val="00276DE6"/>
    <w:rsid w:val="0028481E"/>
    <w:rsid w:val="002853EA"/>
    <w:rsid w:val="00285BA8"/>
    <w:rsid w:val="002879C9"/>
    <w:rsid w:val="002938C0"/>
    <w:rsid w:val="00294C35"/>
    <w:rsid w:val="002A03BF"/>
    <w:rsid w:val="002A0911"/>
    <w:rsid w:val="002A0F6D"/>
    <w:rsid w:val="002A289B"/>
    <w:rsid w:val="002A4281"/>
    <w:rsid w:val="002A5BC5"/>
    <w:rsid w:val="002B0E44"/>
    <w:rsid w:val="002B1733"/>
    <w:rsid w:val="002B45C4"/>
    <w:rsid w:val="002B794A"/>
    <w:rsid w:val="002C04D9"/>
    <w:rsid w:val="002C1C20"/>
    <w:rsid w:val="002C4074"/>
    <w:rsid w:val="002C5310"/>
    <w:rsid w:val="002C7240"/>
    <w:rsid w:val="002D0B5B"/>
    <w:rsid w:val="002D26A6"/>
    <w:rsid w:val="002D3ABD"/>
    <w:rsid w:val="002D47F7"/>
    <w:rsid w:val="002D72FE"/>
    <w:rsid w:val="002D790E"/>
    <w:rsid w:val="002D7E4F"/>
    <w:rsid w:val="002E131E"/>
    <w:rsid w:val="002E315F"/>
    <w:rsid w:val="002E44BC"/>
    <w:rsid w:val="002E4D57"/>
    <w:rsid w:val="002E5F71"/>
    <w:rsid w:val="002F16F1"/>
    <w:rsid w:val="003014E1"/>
    <w:rsid w:val="00303E54"/>
    <w:rsid w:val="00303F79"/>
    <w:rsid w:val="00305E20"/>
    <w:rsid w:val="00310C9B"/>
    <w:rsid w:val="00311C3E"/>
    <w:rsid w:val="0031212D"/>
    <w:rsid w:val="00312CB6"/>
    <w:rsid w:val="0031351A"/>
    <w:rsid w:val="00313584"/>
    <w:rsid w:val="00321685"/>
    <w:rsid w:val="003217C5"/>
    <w:rsid w:val="00324176"/>
    <w:rsid w:val="003277AF"/>
    <w:rsid w:val="0033024D"/>
    <w:rsid w:val="00331D3C"/>
    <w:rsid w:val="00335C8E"/>
    <w:rsid w:val="003429CB"/>
    <w:rsid w:val="0034724F"/>
    <w:rsid w:val="00356984"/>
    <w:rsid w:val="00356E9F"/>
    <w:rsid w:val="00364A7E"/>
    <w:rsid w:val="00365FE4"/>
    <w:rsid w:val="00367DD7"/>
    <w:rsid w:val="00371E07"/>
    <w:rsid w:val="00372047"/>
    <w:rsid w:val="00372E3E"/>
    <w:rsid w:val="003772AE"/>
    <w:rsid w:val="0037741F"/>
    <w:rsid w:val="00377D55"/>
    <w:rsid w:val="003811C2"/>
    <w:rsid w:val="00381DB5"/>
    <w:rsid w:val="00382299"/>
    <w:rsid w:val="00383F20"/>
    <w:rsid w:val="00385588"/>
    <w:rsid w:val="003909B7"/>
    <w:rsid w:val="0039252C"/>
    <w:rsid w:val="00392C45"/>
    <w:rsid w:val="00393A8A"/>
    <w:rsid w:val="00394465"/>
    <w:rsid w:val="003961FE"/>
    <w:rsid w:val="00396826"/>
    <w:rsid w:val="00396D3F"/>
    <w:rsid w:val="003A485C"/>
    <w:rsid w:val="003B1489"/>
    <w:rsid w:val="003B221B"/>
    <w:rsid w:val="003B5581"/>
    <w:rsid w:val="003C1328"/>
    <w:rsid w:val="003C1FE8"/>
    <w:rsid w:val="003C3D0F"/>
    <w:rsid w:val="003C7FF0"/>
    <w:rsid w:val="003D54D9"/>
    <w:rsid w:val="003D728F"/>
    <w:rsid w:val="003E0C3A"/>
    <w:rsid w:val="003E1E5B"/>
    <w:rsid w:val="003E389C"/>
    <w:rsid w:val="003E4B32"/>
    <w:rsid w:val="003E5566"/>
    <w:rsid w:val="003E5644"/>
    <w:rsid w:val="003E7D3E"/>
    <w:rsid w:val="003F0006"/>
    <w:rsid w:val="003F0083"/>
    <w:rsid w:val="003F1566"/>
    <w:rsid w:val="003F2827"/>
    <w:rsid w:val="003F5BB1"/>
    <w:rsid w:val="003F6BAC"/>
    <w:rsid w:val="0040108B"/>
    <w:rsid w:val="004021EE"/>
    <w:rsid w:val="00404583"/>
    <w:rsid w:val="00406692"/>
    <w:rsid w:val="0041035E"/>
    <w:rsid w:val="00411549"/>
    <w:rsid w:val="004117DB"/>
    <w:rsid w:val="004120A3"/>
    <w:rsid w:val="00420A7D"/>
    <w:rsid w:val="00425DFB"/>
    <w:rsid w:val="00427879"/>
    <w:rsid w:val="00427A1B"/>
    <w:rsid w:val="00430594"/>
    <w:rsid w:val="0043154F"/>
    <w:rsid w:val="00432FA2"/>
    <w:rsid w:val="0043726E"/>
    <w:rsid w:val="004374A7"/>
    <w:rsid w:val="004408AF"/>
    <w:rsid w:val="00442F96"/>
    <w:rsid w:val="0045071F"/>
    <w:rsid w:val="00460458"/>
    <w:rsid w:val="00460601"/>
    <w:rsid w:val="004638A3"/>
    <w:rsid w:val="00464555"/>
    <w:rsid w:val="004710C8"/>
    <w:rsid w:val="0047125B"/>
    <w:rsid w:val="0047309E"/>
    <w:rsid w:val="00473912"/>
    <w:rsid w:val="00482842"/>
    <w:rsid w:val="00483CAC"/>
    <w:rsid w:val="00484329"/>
    <w:rsid w:val="004912AF"/>
    <w:rsid w:val="00492CF8"/>
    <w:rsid w:val="00495086"/>
    <w:rsid w:val="00495E59"/>
    <w:rsid w:val="00496F34"/>
    <w:rsid w:val="004A0004"/>
    <w:rsid w:val="004A063E"/>
    <w:rsid w:val="004A28AD"/>
    <w:rsid w:val="004A3DA0"/>
    <w:rsid w:val="004A6F9F"/>
    <w:rsid w:val="004A7947"/>
    <w:rsid w:val="004B16AC"/>
    <w:rsid w:val="004B191D"/>
    <w:rsid w:val="004B3885"/>
    <w:rsid w:val="004B3934"/>
    <w:rsid w:val="004B46C4"/>
    <w:rsid w:val="004C1619"/>
    <w:rsid w:val="004C29B9"/>
    <w:rsid w:val="004C6B57"/>
    <w:rsid w:val="004D157F"/>
    <w:rsid w:val="004D1BEE"/>
    <w:rsid w:val="004D2E2B"/>
    <w:rsid w:val="004D72A3"/>
    <w:rsid w:val="004E064C"/>
    <w:rsid w:val="004E1D69"/>
    <w:rsid w:val="004E4FFE"/>
    <w:rsid w:val="004E5C0E"/>
    <w:rsid w:val="004F0294"/>
    <w:rsid w:val="004F0B80"/>
    <w:rsid w:val="004F6C98"/>
    <w:rsid w:val="004F7B6A"/>
    <w:rsid w:val="00500990"/>
    <w:rsid w:val="005017CC"/>
    <w:rsid w:val="0050270F"/>
    <w:rsid w:val="00503B0D"/>
    <w:rsid w:val="00504171"/>
    <w:rsid w:val="00505F0B"/>
    <w:rsid w:val="005114CB"/>
    <w:rsid w:val="00514DA3"/>
    <w:rsid w:val="00515222"/>
    <w:rsid w:val="00515EFF"/>
    <w:rsid w:val="005201F3"/>
    <w:rsid w:val="005203D2"/>
    <w:rsid w:val="00522397"/>
    <w:rsid w:val="005231E6"/>
    <w:rsid w:val="00523400"/>
    <w:rsid w:val="005250D3"/>
    <w:rsid w:val="0052566F"/>
    <w:rsid w:val="005256E7"/>
    <w:rsid w:val="005274CB"/>
    <w:rsid w:val="005279D8"/>
    <w:rsid w:val="0053019F"/>
    <w:rsid w:val="005350B2"/>
    <w:rsid w:val="005359D9"/>
    <w:rsid w:val="0053644C"/>
    <w:rsid w:val="00540F50"/>
    <w:rsid w:val="00542EFE"/>
    <w:rsid w:val="0054427B"/>
    <w:rsid w:val="005475B9"/>
    <w:rsid w:val="005506E3"/>
    <w:rsid w:val="00561EC3"/>
    <w:rsid w:val="00562307"/>
    <w:rsid w:val="00565A40"/>
    <w:rsid w:val="0056714C"/>
    <w:rsid w:val="00567256"/>
    <w:rsid w:val="0057074F"/>
    <w:rsid w:val="005729A8"/>
    <w:rsid w:val="005748B4"/>
    <w:rsid w:val="005826EE"/>
    <w:rsid w:val="00583033"/>
    <w:rsid w:val="00583631"/>
    <w:rsid w:val="00586407"/>
    <w:rsid w:val="0058644F"/>
    <w:rsid w:val="00586B4C"/>
    <w:rsid w:val="0058797D"/>
    <w:rsid w:val="005963B5"/>
    <w:rsid w:val="005A08BC"/>
    <w:rsid w:val="005A0E08"/>
    <w:rsid w:val="005A1F57"/>
    <w:rsid w:val="005A29C9"/>
    <w:rsid w:val="005B1558"/>
    <w:rsid w:val="005B34EF"/>
    <w:rsid w:val="005B493C"/>
    <w:rsid w:val="005B5021"/>
    <w:rsid w:val="005B70A6"/>
    <w:rsid w:val="005C040E"/>
    <w:rsid w:val="005D0016"/>
    <w:rsid w:val="005D282C"/>
    <w:rsid w:val="005E01EB"/>
    <w:rsid w:val="005E269C"/>
    <w:rsid w:val="005E382E"/>
    <w:rsid w:val="005E732D"/>
    <w:rsid w:val="005F04E6"/>
    <w:rsid w:val="00605619"/>
    <w:rsid w:val="00607F93"/>
    <w:rsid w:val="006100DA"/>
    <w:rsid w:val="006119ED"/>
    <w:rsid w:val="00611EFB"/>
    <w:rsid w:val="00615FC9"/>
    <w:rsid w:val="006221D3"/>
    <w:rsid w:val="006240C7"/>
    <w:rsid w:val="00624D64"/>
    <w:rsid w:val="006267A1"/>
    <w:rsid w:val="0062746B"/>
    <w:rsid w:val="00633A27"/>
    <w:rsid w:val="00636F40"/>
    <w:rsid w:val="00641B30"/>
    <w:rsid w:val="00641BDE"/>
    <w:rsid w:val="0064312E"/>
    <w:rsid w:val="006523FF"/>
    <w:rsid w:val="00653591"/>
    <w:rsid w:val="00655A94"/>
    <w:rsid w:val="00655D2E"/>
    <w:rsid w:val="00656AEE"/>
    <w:rsid w:val="006572A2"/>
    <w:rsid w:val="006608D1"/>
    <w:rsid w:val="006632B2"/>
    <w:rsid w:val="006667E8"/>
    <w:rsid w:val="00667B0C"/>
    <w:rsid w:val="0067120A"/>
    <w:rsid w:val="0067634C"/>
    <w:rsid w:val="006837EF"/>
    <w:rsid w:val="006840AE"/>
    <w:rsid w:val="00685856"/>
    <w:rsid w:val="0068607E"/>
    <w:rsid w:val="006861A3"/>
    <w:rsid w:val="00687635"/>
    <w:rsid w:val="00694EE6"/>
    <w:rsid w:val="00696495"/>
    <w:rsid w:val="006975F2"/>
    <w:rsid w:val="006A2350"/>
    <w:rsid w:val="006A3C08"/>
    <w:rsid w:val="006A4709"/>
    <w:rsid w:val="006A48F7"/>
    <w:rsid w:val="006B0699"/>
    <w:rsid w:val="006B37B4"/>
    <w:rsid w:val="006C09D3"/>
    <w:rsid w:val="006C1059"/>
    <w:rsid w:val="006C27FA"/>
    <w:rsid w:val="006C3822"/>
    <w:rsid w:val="006D34C0"/>
    <w:rsid w:val="006D64BE"/>
    <w:rsid w:val="006D7C5D"/>
    <w:rsid w:val="006E080C"/>
    <w:rsid w:val="006E0BCA"/>
    <w:rsid w:val="006E4678"/>
    <w:rsid w:val="006E56BF"/>
    <w:rsid w:val="006F7626"/>
    <w:rsid w:val="007022B5"/>
    <w:rsid w:val="00705995"/>
    <w:rsid w:val="00705E8A"/>
    <w:rsid w:val="00706065"/>
    <w:rsid w:val="007073BE"/>
    <w:rsid w:val="00711B8E"/>
    <w:rsid w:val="00714DA1"/>
    <w:rsid w:val="0071607A"/>
    <w:rsid w:val="007160B2"/>
    <w:rsid w:val="00720DA0"/>
    <w:rsid w:val="00722CC3"/>
    <w:rsid w:val="0072338A"/>
    <w:rsid w:val="00725BBF"/>
    <w:rsid w:val="00727D64"/>
    <w:rsid w:val="00730082"/>
    <w:rsid w:val="00730692"/>
    <w:rsid w:val="00731C87"/>
    <w:rsid w:val="00735053"/>
    <w:rsid w:val="007367CF"/>
    <w:rsid w:val="00736A0E"/>
    <w:rsid w:val="007377FE"/>
    <w:rsid w:val="007378FB"/>
    <w:rsid w:val="00740631"/>
    <w:rsid w:val="00740A64"/>
    <w:rsid w:val="00740D1B"/>
    <w:rsid w:val="007416DE"/>
    <w:rsid w:val="00741DB7"/>
    <w:rsid w:val="00741FF3"/>
    <w:rsid w:val="0074704F"/>
    <w:rsid w:val="007471D4"/>
    <w:rsid w:val="007513D9"/>
    <w:rsid w:val="007520D1"/>
    <w:rsid w:val="00756C74"/>
    <w:rsid w:val="00756D46"/>
    <w:rsid w:val="00760002"/>
    <w:rsid w:val="00762445"/>
    <w:rsid w:val="00764DED"/>
    <w:rsid w:val="00773A60"/>
    <w:rsid w:val="0077486E"/>
    <w:rsid w:val="007755CF"/>
    <w:rsid w:val="00775750"/>
    <w:rsid w:val="00776173"/>
    <w:rsid w:val="00776B0D"/>
    <w:rsid w:val="00782E62"/>
    <w:rsid w:val="00786095"/>
    <w:rsid w:val="007869FB"/>
    <w:rsid w:val="0078754B"/>
    <w:rsid w:val="007908AB"/>
    <w:rsid w:val="00792256"/>
    <w:rsid w:val="007A0615"/>
    <w:rsid w:val="007A198E"/>
    <w:rsid w:val="007A4377"/>
    <w:rsid w:val="007A6207"/>
    <w:rsid w:val="007A687E"/>
    <w:rsid w:val="007A7091"/>
    <w:rsid w:val="007B13C1"/>
    <w:rsid w:val="007B3CCD"/>
    <w:rsid w:val="007B457A"/>
    <w:rsid w:val="007B6116"/>
    <w:rsid w:val="007B675C"/>
    <w:rsid w:val="007C1A3C"/>
    <w:rsid w:val="007C1D97"/>
    <w:rsid w:val="007C26A8"/>
    <w:rsid w:val="007C32E7"/>
    <w:rsid w:val="007C4C76"/>
    <w:rsid w:val="007C5715"/>
    <w:rsid w:val="007D088A"/>
    <w:rsid w:val="007D0D48"/>
    <w:rsid w:val="007D33DF"/>
    <w:rsid w:val="007D4B78"/>
    <w:rsid w:val="007D730E"/>
    <w:rsid w:val="007E1B5C"/>
    <w:rsid w:val="007E254F"/>
    <w:rsid w:val="007E566F"/>
    <w:rsid w:val="007E56F0"/>
    <w:rsid w:val="007E5D47"/>
    <w:rsid w:val="007F0AA9"/>
    <w:rsid w:val="007F4705"/>
    <w:rsid w:val="007F4A5D"/>
    <w:rsid w:val="008001F2"/>
    <w:rsid w:val="0080422D"/>
    <w:rsid w:val="00811117"/>
    <w:rsid w:val="00812AF2"/>
    <w:rsid w:val="00814187"/>
    <w:rsid w:val="00814459"/>
    <w:rsid w:val="00815614"/>
    <w:rsid w:val="008218C6"/>
    <w:rsid w:val="00821A37"/>
    <w:rsid w:val="00823FF6"/>
    <w:rsid w:val="008265DB"/>
    <w:rsid w:val="00831B49"/>
    <w:rsid w:val="00832B46"/>
    <w:rsid w:val="0083346E"/>
    <w:rsid w:val="00835950"/>
    <w:rsid w:val="00837D0F"/>
    <w:rsid w:val="00837D92"/>
    <w:rsid w:val="00845D7D"/>
    <w:rsid w:val="008623E7"/>
    <w:rsid w:val="0087313D"/>
    <w:rsid w:val="00881C0B"/>
    <w:rsid w:val="00883226"/>
    <w:rsid w:val="00885D8C"/>
    <w:rsid w:val="008865AE"/>
    <w:rsid w:val="00886ACA"/>
    <w:rsid w:val="00886AE0"/>
    <w:rsid w:val="00887D3C"/>
    <w:rsid w:val="008907AE"/>
    <w:rsid w:val="00890AE0"/>
    <w:rsid w:val="00893A1D"/>
    <w:rsid w:val="00893E1B"/>
    <w:rsid w:val="00896A78"/>
    <w:rsid w:val="008A6795"/>
    <w:rsid w:val="008A719A"/>
    <w:rsid w:val="008C0187"/>
    <w:rsid w:val="008C2355"/>
    <w:rsid w:val="008C3469"/>
    <w:rsid w:val="008C53C4"/>
    <w:rsid w:val="008C5CBF"/>
    <w:rsid w:val="008C604A"/>
    <w:rsid w:val="008D28CE"/>
    <w:rsid w:val="008D39E4"/>
    <w:rsid w:val="008E4137"/>
    <w:rsid w:val="008E7F55"/>
    <w:rsid w:val="008F05C6"/>
    <w:rsid w:val="008F1F2F"/>
    <w:rsid w:val="008F6133"/>
    <w:rsid w:val="008F6B5B"/>
    <w:rsid w:val="0090003D"/>
    <w:rsid w:val="00901D41"/>
    <w:rsid w:val="009028F7"/>
    <w:rsid w:val="009033BF"/>
    <w:rsid w:val="00904CEF"/>
    <w:rsid w:val="00912969"/>
    <w:rsid w:val="009138FA"/>
    <w:rsid w:val="009149A2"/>
    <w:rsid w:val="0091639B"/>
    <w:rsid w:val="00921027"/>
    <w:rsid w:val="00921094"/>
    <w:rsid w:val="009216B7"/>
    <w:rsid w:val="00923B81"/>
    <w:rsid w:val="00924D8B"/>
    <w:rsid w:val="00925017"/>
    <w:rsid w:val="00925988"/>
    <w:rsid w:val="00925E74"/>
    <w:rsid w:val="009263C3"/>
    <w:rsid w:val="00926512"/>
    <w:rsid w:val="00926A70"/>
    <w:rsid w:val="00932C4D"/>
    <w:rsid w:val="00934C5D"/>
    <w:rsid w:val="0093632A"/>
    <w:rsid w:val="00937A06"/>
    <w:rsid w:val="00941F99"/>
    <w:rsid w:val="009433AA"/>
    <w:rsid w:val="00944273"/>
    <w:rsid w:val="00945DF2"/>
    <w:rsid w:val="00946861"/>
    <w:rsid w:val="009534B6"/>
    <w:rsid w:val="00953CDF"/>
    <w:rsid w:val="00957463"/>
    <w:rsid w:val="00961A17"/>
    <w:rsid w:val="00965683"/>
    <w:rsid w:val="00965BE8"/>
    <w:rsid w:val="00965E74"/>
    <w:rsid w:val="0096746C"/>
    <w:rsid w:val="00972FB6"/>
    <w:rsid w:val="00976702"/>
    <w:rsid w:val="009808C6"/>
    <w:rsid w:val="009842EA"/>
    <w:rsid w:val="00986273"/>
    <w:rsid w:val="00986913"/>
    <w:rsid w:val="009877FA"/>
    <w:rsid w:val="00987FF2"/>
    <w:rsid w:val="009904FC"/>
    <w:rsid w:val="00990BD9"/>
    <w:rsid w:val="009917F1"/>
    <w:rsid w:val="0099283C"/>
    <w:rsid w:val="00995425"/>
    <w:rsid w:val="009964CF"/>
    <w:rsid w:val="0099782A"/>
    <w:rsid w:val="009A1B0F"/>
    <w:rsid w:val="009A41C5"/>
    <w:rsid w:val="009A4BCB"/>
    <w:rsid w:val="009A647A"/>
    <w:rsid w:val="009B0425"/>
    <w:rsid w:val="009B1CB1"/>
    <w:rsid w:val="009B3070"/>
    <w:rsid w:val="009B5610"/>
    <w:rsid w:val="009B5F1F"/>
    <w:rsid w:val="009B6507"/>
    <w:rsid w:val="009C200D"/>
    <w:rsid w:val="009C2117"/>
    <w:rsid w:val="009C28E8"/>
    <w:rsid w:val="009C43F7"/>
    <w:rsid w:val="009D041D"/>
    <w:rsid w:val="009D1765"/>
    <w:rsid w:val="009D475F"/>
    <w:rsid w:val="009D4F04"/>
    <w:rsid w:val="009E02DE"/>
    <w:rsid w:val="009E0BBB"/>
    <w:rsid w:val="009E1F3F"/>
    <w:rsid w:val="009E1FC1"/>
    <w:rsid w:val="009F02CB"/>
    <w:rsid w:val="009F59B7"/>
    <w:rsid w:val="009F6F5A"/>
    <w:rsid w:val="009F7089"/>
    <w:rsid w:val="009F71CB"/>
    <w:rsid w:val="009F720F"/>
    <w:rsid w:val="009F7501"/>
    <w:rsid w:val="00A0022B"/>
    <w:rsid w:val="00A03B4C"/>
    <w:rsid w:val="00A04691"/>
    <w:rsid w:val="00A05704"/>
    <w:rsid w:val="00A0621D"/>
    <w:rsid w:val="00A11C24"/>
    <w:rsid w:val="00A17910"/>
    <w:rsid w:val="00A20F8B"/>
    <w:rsid w:val="00A24BFD"/>
    <w:rsid w:val="00A26E24"/>
    <w:rsid w:val="00A30545"/>
    <w:rsid w:val="00A34A9A"/>
    <w:rsid w:val="00A53881"/>
    <w:rsid w:val="00A546A5"/>
    <w:rsid w:val="00A565AD"/>
    <w:rsid w:val="00A57634"/>
    <w:rsid w:val="00A62192"/>
    <w:rsid w:val="00A62861"/>
    <w:rsid w:val="00A63787"/>
    <w:rsid w:val="00A64F7A"/>
    <w:rsid w:val="00A671FF"/>
    <w:rsid w:val="00A714AB"/>
    <w:rsid w:val="00A71834"/>
    <w:rsid w:val="00A748C4"/>
    <w:rsid w:val="00A77C36"/>
    <w:rsid w:val="00A77EFB"/>
    <w:rsid w:val="00A80442"/>
    <w:rsid w:val="00A82169"/>
    <w:rsid w:val="00A82987"/>
    <w:rsid w:val="00A87205"/>
    <w:rsid w:val="00A903B1"/>
    <w:rsid w:val="00A9182C"/>
    <w:rsid w:val="00A9282E"/>
    <w:rsid w:val="00A9378B"/>
    <w:rsid w:val="00A941CD"/>
    <w:rsid w:val="00AA2BAC"/>
    <w:rsid w:val="00AA3A7C"/>
    <w:rsid w:val="00AA6281"/>
    <w:rsid w:val="00AA7275"/>
    <w:rsid w:val="00AA76F8"/>
    <w:rsid w:val="00AB0010"/>
    <w:rsid w:val="00AB11B7"/>
    <w:rsid w:val="00AB213E"/>
    <w:rsid w:val="00AB40F6"/>
    <w:rsid w:val="00AB4996"/>
    <w:rsid w:val="00AC1904"/>
    <w:rsid w:val="00AC2142"/>
    <w:rsid w:val="00AC42C1"/>
    <w:rsid w:val="00AC5F2E"/>
    <w:rsid w:val="00AC71DD"/>
    <w:rsid w:val="00AD09AA"/>
    <w:rsid w:val="00AD581E"/>
    <w:rsid w:val="00AF7144"/>
    <w:rsid w:val="00AF7CCE"/>
    <w:rsid w:val="00B02AA3"/>
    <w:rsid w:val="00B0476A"/>
    <w:rsid w:val="00B11EA6"/>
    <w:rsid w:val="00B14C1D"/>
    <w:rsid w:val="00B15FC0"/>
    <w:rsid w:val="00B17CEB"/>
    <w:rsid w:val="00B22FA8"/>
    <w:rsid w:val="00B22FEE"/>
    <w:rsid w:val="00B261AA"/>
    <w:rsid w:val="00B26A32"/>
    <w:rsid w:val="00B35B2A"/>
    <w:rsid w:val="00B36CB6"/>
    <w:rsid w:val="00B37264"/>
    <w:rsid w:val="00B402A0"/>
    <w:rsid w:val="00B40B66"/>
    <w:rsid w:val="00B41D57"/>
    <w:rsid w:val="00B45AF7"/>
    <w:rsid w:val="00B45B4E"/>
    <w:rsid w:val="00B47043"/>
    <w:rsid w:val="00B47391"/>
    <w:rsid w:val="00B52022"/>
    <w:rsid w:val="00B53577"/>
    <w:rsid w:val="00B537B4"/>
    <w:rsid w:val="00B538B4"/>
    <w:rsid w:val="00B53CA2"/>
    <w:rsid w:val="00B56415"/>
    <w:rsid w:val="00B62B12"/>
    <w:rsid w:val="00B65E37"/>
    <w:rsid w:val="00B716D1"/>
    <w:rsid w:val="00B754F8"/>
    <w:rsid w:val="00B75E2B"/>
    <w:rsid w:val="00B768C1"/>
    <w:rsid w:val="00B823EA"/>
    <w:rsid w:val="00B8304A"/>
    <w:rsid w:val="00B863DE"/>
    <w:rsid w:val="00B866AA"/>
    <w:rsid w:val="00B87F51"/>
    <w:rsid w:val="00B9062B"/>
    <w:rsid w:val="00B90CA0"/>
    <w:rsid w:val="00B914A7"/>
    <w:rsid w:val="00B9623F"/>
    <w:rsid w:val="00BA1D93"/>
    <w:rsid w:val="00BB1EF6"/>
    <w:rsid w:val="00BB264C"/>
    <w:rsid w:val="00BB5077"/>
    <w:rsid w:val="00BB6909"/>
    <w:rsid w:val="00BC1F03"/>
    <w:rsid w:val="00BC798B"/>
    <w:rsid w:val="00BD24BD"/>
    <w:rsid w:val="00BD38D8"/>
    <w:rsid w:val="00BD3A7A"/>
    <w:rsid w:val="00BD47EE"/>
    <w:rsid w:val="00BD51BF"/>
    <w:rsid w:val="00BD6DC0"/>
    <w:rsid w:val="00BE01AD"/>
    <w:rsid w:val="00BE1E7D"/>
    <w:rsid w:val="00BE2CF1"/>
    <w:rsid w:val="00BE3CFE"/>
    <w:rsid w:val="00BE5875"/>
    <w:rsid w:val="00BF1073"/>
    <w:rsid w:val="00BF16FC"/>
    <w:rsid w:val="00C00263"/>
    <w:rsid w:val="00C00336"/>
    <w:rsid w:val="00C0088E"/>
    <w:rsid w:val="00C02B77"/>
    <w:rsid w:val="00C128A0"/>
    <w:rsid w:val="00C13CB6"/>
    <w:rsid w:val="00C15E47"/>
    <w:rsid w:val="00C16CF7"/>
    <w:rsid w:val="00C20A75"/>
    <w:rsid w:val="00C2134F"/>
    <w:rsid w:val="00C2199A"/>
    <w:rsid w:val="00C21C94"/>
    <w:rsid w:val="00C25479"/>
    <w:rsid w:val="00C2602D"/>
    <w:rsid w:val="00C31163"/>
    <w:rsid w:val="00C321BB"/>
    <w:rsid w:val="00C348E2"/>
    <w:rsid w:val="00C36750"/>
    <w:rsid w:val="00C379AE"/>
    <w:rsid w:val="00C410A7"/>
    <w:rsid w:val="00C411D6"/>
    <w:rsid w:val="00C4178F"/>
    <w:rsid w:val="00C42C9F"/>
    <w:rsid w:val="00C44825"/>
    <w:rsid w:val="00C44E19"/>
    <w:rsid w:val="00C5347A"/>
    <w:rsid w:val="00C547C3"/>
    <w:rsid w:val="00C548A0"/>
    <w:rsid w:val="00C5540F"/>
    <w:rsid w:val="00C5701C"/>
    <w:rsid w:val="00C63634"/>
    <w:rsid w:val="00C65436"/>
    <w:rsid w:val="00C66528"/>
    <w:rsid w:val="00C745BB"/>
    <w:rsid w:val="00C80AB7"/>
    <w:rsid w:val="00C8104C"/>
    <w:rsid w:val="00C911AD"/>
    <w:rsid w:val="00C9224A"/>
    <w:rsid w:val="00C93441"/>
    <w:rsid w:val="00C934BB"/>
    <w:rsid w:val="00C94278"/>
    <w:rsid w:val="00C94333"/>
    <w:rsid w:val="00C944DC"/>
    <w:rsid w:val="00CA0E26"/>
    <w:rsid w:val="00CA31F3"/>
    <w:rsid w:val="00CA406B"/>
    <w:rsid w:val="00CA6C94"/>
    <w:rsid w:val="00CB30C6"/>
    <w:rsid w:val="00CB3D5C"/>
    <w:rsid w:val="00CB4B0D"/>
    <w:rsid w:val="00CB60AA"/>
    <w:rsid w:val="00CC3EB9"/>
    <w:rsid w:val="00CC6442"/>
    <w:rsid w:val="00CD1BF1"/>
    <w:rsid w:val="00CD7F69"/>
    <w:rsid w:val="00CE0084"/>
    <w:rsid w:val="00CE079B"/>
    <w:rsid w:val="00CE097A"/>
    <w:rsid w:val="00CE13F8"/>
    <w:rsid w:val="00CE1C9D"/>
    <w:rsid w:val="00CE2245"/>
    <w:rsid w:val="00CE544D"/>
    <w:rsid w:val="00CF23A8"/>
    <w:rsid w:val="00CF3477"/>
    <w:rsid w:val="00CF64CA"/>
    <w:rsid w:val="00D016B6"/>
    <w:rsid w:val="00D0225A"/>
    <w:rsid w:val="00D0261B"/>
    <w:rsid w:val="00D17DD3"/>
    <w:rsid w:val="00D2064B"/>
    <w:rsid w:val="00D22A78"/>
    <w:rsid w:val="00D27D47"/>
    <w:rsid w:val="00D310B4"/>
    <w:rsid w:val="00D3145E"/>
    <w:rsid w:val="00D32FE0"/>
    <w:rsid w:val="00D33340"/>
    <w:rsid w:val="00D33402"/>
    <w:rsid w:val="00D3344D"/>
    <w:rsid w:val="00D406DC"/>
    <w:rsid w:val="00D41004"/>
    <w:rsid w:val="00D43586"/>
    <w:rsid w:val="00D44EF9"/>
    <w:rsid w:val="00D457E5"/>
    <w:rsid w:val="00D5170F"/>
    <w:rsid w:val="00D53ED8"/>
    <w:rsid w:val="00D542C8"/>
    <w:rsid w:val="00D54B6B"/>
    <w:rsid w:val="00D55ED2"/>
    <w:rsid w:val="00D6203B"/>
    <w:rsid w:val="00D6239C"/>
    <w:rsid w:val="00D63F90"/>
    <w:rsid w:val="00D70ECD"/>
    <w:rsid w:val="00D76B27"/>
    <w:rsid w:val="00D76DEA"/>
    <w:rsid w:val="00D80D29"/>
    <w:rsid w:val="00D8144E"/>
    <w:rsid w:val="00D81AEC"/>
    <w:rsid w:val="00D83782"/>
    <w:rsid w:val="00D84B55"/>
    <w:rsid w:val="00D86663"/>
    <w:rsid w:val="00D91D28"/>
    <w:rsid w:val="00D920A4"/>
    <w:rsid w:val="00D96BAF"/>
    <w:rsid w:val="00DA2FDB"/>
    <w:rsid w:val="00DA365A"/>
    <w:rsid w:val="00DA5D7F"/>
    <w:rsid w:val="00DA5FAD"/>
    <w:rsid w:val="00DB0366"/>
    <w:rsid w:val="00DB28EA"/>
    <w:rsid w:val="00DB2E33"/>
    <w:rsid w:val="00DB335A"/>
    <w:rsid w:val="00DB3E21"/>
    <w:rsid w:val="00DB77E1"/>
    <w:rsid w:val="00DC31A0"/>
    <w:rsid w:val="00DC65BB"/>
    <w:rsid w:val="00DD2636"/>
    <w:rsid w:val="00DD3A30"/>
    <w:rsid w:val="00DD5477"/>
    <w:rsid w:val="00DD5ED2"/>
    <w:rsid w:val="00DD5FBC"/>
    <w:rsid w:val="00DD68ED"/>
    <w:rsid w:val="00DE19CC"/>
    <w:rsid w:val="00DE1CFF"/>
    <w:rsid w:val="00DE7D15"/>
    <w:rsid w:val="00DF535D"/>
    <w:rsid w:val="00DF709F"/>
    <w:rsid w:val="00E02DAA"/>
    <w:rsid w:val="00E10A89"/>
    <w:rsid w:val="00E11A12"/>
    <w:rsid w:val="00E12FB2"/>
    <w:rsid w:val="00E13938"/>
    <w:rsid w:val="00E13E19"/>
    <w:rsid w:val="00E16A75"/>
    <w:rsid w:val="00E23709"/>
    <w:rsid w:val="00E24BA0"/>
    <w:rsid w:val="00E26BE4"/>
    <w:rsid w:val="00E302F8"/>
    <w:rsid w:val="00E34C04"/>
    <w:rsid w:val="00E36399"/>
    <w:rsid w:val="00E36449"/>
    <w:rsid w:val="00E44767"/>
    <w:rsid w:val="00E461AF"/>
    <w:rsid w:val="00E52248"/>
    <w:rsid w:val="00E53251"/>
    <w:rsid w:val="00E55EC7"/>
    <w:rsid w:val="00E602A5"/>
    <w:rsid w:val="00E60910"/>
    <w:rsid w:val="00E63398"/>
    <w:rsid w:val="00E63628"/>
    <w:rsid w:val="00E650FD"/>
    <w:rsid w:val="00E660D8"/>
    <w:rsid w:val="00E669DA"/>
    <w:rsid w:val="00E66BFE"/>
    <w:rsid w:val="00E67730"/>
    <w:rsid w:val="00E70E6F"/>
    <w:rsid w:val="00E72DB9"/>
    <w:rsid w:val="00E72ED0"/>
    <w:rsid w:val="00E77564"/>
    <w:rsid w:val="00E77B8A"/>
    <w:rsid w:val="00E81A30"/>
    <w:rsid w:val="00E83A92"/>
    <w:rsid w:val="00E84C69"/>
    <w:rsid w:val="00E8592D"/>
    <w:rsid w:val="00E86AA1"/>
    <w:rsid w:val="00E91A5E"/>
    <w:rsid w:val="00E9277B"/>
    <w:rsid w:val="00E94AB1"/>
    <w:rsid w:val="00E94B08"/>
    <w:rsid w:val="00E94F57"/>
    <w:rsid w:val="00E9794A"/>
    <w:rsid w:val="00EA2645"/>
    <w:rsid w:val="00EA3C92"/>
    <w:rsid w:val="00EB0256"/>
    <w:rsid w:val="00EB0840"/>
    <w:rsid w:val="00EC1917"/>
    <w:rsid w:val="00EC65FC"/>
    <w:rsid w:val="00EC65FF"/>
    <w:rsid w:val="00ED59C1"/>
    <w:rsid w:val="00ED5A92"/>
    <w:rsid w:val="00ED5C37"/>
    <w:rsid w:val="00EE152D"/>
    <w:rsid w:val="00EF66EF"/>
    <w:rsid w:val="00EF7D7E"/>
    <w:rsid w:val="00F00383"/>
    <w:rsid w:val="00F00590"/>
    <w:rsid w:val="00F00805"/>
    <w:rsid w:val="00F02D3B"/>
    <w:rsid w:val="00F03B37"/>
    <w:rsid w:val="00F061B1"/>
    <w:rsid w:val="00F06AB6"/>
    <w:rsid w:val="00F06FC1"/>
    <w:rsid w:val="00F12D57"/>
    <w:rsid w:val="00F12FA6"/>
    <w:rsid w:val="00F15980"/>
    <w:rsid w:val="00F25397"/>
    <w:rsid w:val="00F27093"/>
    <w:rsid w:val="00F278AB"/>
    <w:rsid w:val="00F35DF0"/>
    <w:rsid w:val="00F36178"/>
    <w:rsid w:val="00F43EAF"/>
    <w:rsid w:val="00F45D09"/>
    <w:rsid w:val="00F46CF5"/>
    <w:rsid w:val="00F50B38"/>
    <w:rsid w:val="00F51D6C"/>
    <w:rsid w:val="00F64628"/>
    <w:rsid w:val="00F660B7"/>
    <w:rsid w:val="00F667C7"/>
    <w:rsid w:val="00F705E7"/>
    <w:rsid w:val="00F70D2F"/>
    <w:rsid w:val="00F72123"/>
    <w:rsid w:val="00F73DE7"/>
    <w:rsid w:val="00F80DB2"/>
    <w:rsid w:val="00F8106B"/>
    <w:rsid w:val="00F826CE"/>
    <w:rsid w:val="00F83154"/>
    <w:rsid w:val="00F839A0"/>
    <w:rsid w:val="00F87943"/>
    <w:rsid w:val="00F87961"/>
    <w:rsid w:val="00F90106"/>
    <w:rsid w:val="00F92B7F"/>
    <w:rsid w:val="00F9325C"/>
    <w:rsid w:val="00F94E67"/>
    <w:rsid w:val="00F953FC"/>
    <w:rsid w:val="00F9682E"/>
    <w:rsid w:val="00FA2B69"/>
    <w:rsid w:val="00FA5139"/>
    <w:rsid w:val="00FA7C20"/>
    <w:rsid w:val="00FA7D10"/>
    <w:rsid w:val="00FB0596"/>
    <w:rsid w:val="00FB1F59"/>
    <w:rsid w:val="00FB523D"/>
    <w:rsid w:val="00FB5418"/>
    <w:rsid w:val="00FB634A"/>
    <w:rsid w:val="00FB7392"/>
    <w:rsid w:val="00FC02D7"/>
    <w:rsid w:val="00FC27AF"/>
    <w:rsid w:val="00FC49A3"/>
    <w:rsid w:val="00FC4B0E"/>
    <w:rsid w:val="00FD1B6A"/>
    <w:rsid w:val="00FD4D95"/>
    <w:rsid w:val="00FE1013"/>
    <w:rsid w:val="00FE1070"/>
    <w:rsid w:val="00FE291D"/>
    <w:rsid w:val="00FE399C"/>
    <w:rsid w:val="00FE7905"/>
    <w:rsid w:val="00FF1254"/>
    <w:rsid w:val="00FF3A95"/>
    <w:rsid w:val="00FF61F6"/>
    <w:rsid w:val="00FF7A67"/>
    <w:rsid w:val="1BC2702A"/>
    <w:rsid w:val="727F38F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7"/>
    <w:unhideWhenUsed/>
    <w:uiPriority w:val="99"/>
    <w:rPr>
      <w:b/>
      <w:bCs/>
    </w:rPr>
  </w:style>
  <w:style w:type="paragraph" w:styleId="3">
    <w:name w:val="annotation text"/>
    <w:basedOn w:val="1"/>
    <w:link w:val="16"/>
    <w:unhideWhenUsed/>
    <w:qFormat/>
    <w:uiPriority w:val="99"/>
    <w:pPr>
      <w:jc w:val="left"/>
    </w:pPr>
  </w:style>
  <w:style w:type="paragraph" w:styleId="4">
    <w:name w:val="Balloon Text"/>
    <w:basedOn w:val="1"/>
    <w:link w:val="15"/>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sz w:val="21"/>
      <w:szCs w:val="21"/>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列出段落1"/>
    <w:basedOn w:val="1"/>
    <w:qFormat/>
    <w:uiPriority w:val="34"/>
    <w:pPr>
      <w:ind w:firstLine="420" w:firstLineChars="200"/>
    </w:pPr>
    <w:rPr>
      <w:rFonts w:ascii="Times New Roman" w:hAnsi="Times New Roman" w:eastAsia="宋体" w:cs="Times New Roman"/>
      <w:szCs w:val="20"/>
    </w:rPr>
  </w:style>
  <w:style w:type="paragraph" w:customStyle="1" w:styleId="12">
    <w:name w:val="列出段落2"/>
    <w:basedOn w:val="1"/>
    <w:unhideWhenUsed/>
    <w:qFormat/>
    <w:uiPriority w:val="99"/>
    <w:pPr>
      <w:ind w:firstLine="420" w:firstLineChars="200"/>
    </w:pPr>
    <w:rPr>
      <w:rFonts w:ascii="Times New Roman" w:hAnsi="Times New Roman" w:eastAsia="宋体" w:cs="Times New Roman"/>
      <w:szCs w:val="20"/>
    </w:rPr>
  </w:style>
  <w:style w:type="character" w:customStyle="1" w:styleId="13">
    <w:name w:val="页眉 Char"/>
    <w:basedOn w:val="7"/>
    <w:link w:val="6"/>
    <w:qFormat/>
    <w:uiPriority w:val="99"/>
    <w:rPr>
      <w:sz w:val="18"/>
      <w:szCs w:val="18"/>
    </w:rPr>
  </w:style>
  <w:style w:type="character" w:customStyle="1" w:styleId="14">
    <w:name w:val="页脚 Char"/>
    <w:basedOn w:val="7"/>
    <w:link w:val="5"/>
    <w:qFormat/>
    <w:uiPriority w:val="99"/>
    <w:rPr>
      <w:sz w:val="18"/>
      <w:szCs w:val="18"/>
    </w:rPr>
  </w:style>
  <w:style w:type="character" w:customStyle="1" w:styleId="15">
    <w:name w:val="批注框文本 Char"/>
    <w:basedOn w:val="7"/>
    <w:link w:val="4"/>
    <w:semiHidden/>
    <w:qFormat/>
    <w:uiPriority w:val="99"/>
    <w:rPr>
      <w:kern w:val="2"/>
      <w:sz w:val="18"/>
      <w:szCs w:val="18"/>
    </w:rPr>
  </w:style>
  <w:style w:type="character" w:customStyle="1" w:styleId="16">
    <w:name w:val="批注文字 Char"/>
    <w:basedOn w:val="7"/>
    <w:link w:val="3"/>
    <w:semiHidden/>
    <w:qFormat/>
    <w:uiPriority w:val="99"/>
    <w:rPr>
      <w:kern w:val="2"/>
      <w:sz w:val="21"/>
      <w:szCs w:val="22"/>
    </w:rPr>
  </w:style>
  <w:style w:type="character" w:customStyle="1" w:styleId="17">
    <w:name w:val="批注主题 Char"/>
    <w:basedOn w:val="16"/>
    <w:link w:val="2"/>
    <w:semiHidden/>
    <w:uiPriority w:val="99"/>
    <w:rPr>
      <w:b/>
      <w:bCs/>
      <w:kern w:val="2"/>
      <w:sz w:val="21"/>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60D6F9-D49E-4B6B-BC77-30C3B5B1FD2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1029</Words>
  <Characters>5867</Characters>
  <Lines>48</Lines>
  <Paragraphs>13</Paragraphs>
  <TotalTime>0</TotalTime>
  <ScaleCrop>false</ScaleCrop>
  <LinksUpToDate>false</LinksUpToDate>
  <CharactersWithSpaces>6883</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2016-04-12T02:15:00Z</dcterms:created>
  <dc:creator>黄凌燕</dc:creator>
  <cp:lastModifiedBy>SUNCHANGMING</cp:lastModifiedBy>
  <dcterms:modified xsi:type="dcterms:W3CDTF">2016-04-12T02:58:12Z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