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Lumenpixel</w:t>
      </w:r>
    </w:p>
    <w:p>
      <w:pPr>
        <w:spacing w:after="60"/>
        <w:jc w:val="center"/>
      </w:pPr>
      <w:r>
        <w:rPr>
          <w:i/>
          <w:iCs/>
          <w:color w:val="2E6DA4"/>
          <w:sz w:val="24"/>
          <w:szCs w:val="24"/>
        </w:rPr>
        <w:t xml:space="preserve">Research Division</w:t>
      </w:r>
    </w:p>
    <w:p>
      <w:pPr>
        <w:pBdr>
          <w:bottom w:val="single" w:color="1A3A5C" w:sz="6" w:space="1"/>
        </w:pBdr>
        <w:spacing w:after="40" w:before="4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Lagrangian Variable Cosmology — Version 2</w:t>
      </w:r>
    </w:p>
    <w:p>
      <w:pPr>
        <w:spacing w:after="80"/>
        <w:jc w:val="center"/>
      </w:pPr>
      <w:r>
        <w:rPr>
          <w:i/>
          <w:iCs/>
          <w:color w:val="2E6DA4"/>
          <w:sz w:val="28"/>
          <w:szCs w:val="28"/>
        </w:rPr>
        <w:t xml:space="preserve">Intermediate Working Paper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April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1A3A5C"/>
                <w:sz w:val="22"/>
                <w:szCs w:val="22"/>
              </w:rPr>
              <w:t xml:space="preserve">Abstract</w:t>
            </w:r>
          </w:p>
          <w:p>
            <w:pPr>
              <w:spacing w:after="120" w:before="60" w:line="276"/>
            </w:pPr>
            <w:r>
              <w:t xml:space="preserve">We present LVC (Lagrangian Variable Cosmology) version 2, a dynamical cosmological framework in which the Hubble parameter is modulated by a background transition function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T(z)</w:t>
            </w:r>
            <w:r>
              <w:t xml:space="preserve">, derived from a Tilted Sine-Gordon potential with monodromy. </w:t>
            </w:r>
            <w:r>
              <w:t xml:space="preserve">The central theoretical result is a universal relation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α = κ[T]/(1−β)</w:t>
            </w:r>
            <w:r>
              <w:t xml:space="preserve">, where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κ</w:t>
            </w:r>
            <w:r>
              <w:t xml:space="preserve"> is a geometric functional of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T(z)</w:t>
            </w:r>
            <w: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β = 0.97</w:t>
            </w:r>
            <w:r>
              <w:t xml:space="preserve"> is the CMB anomalous exponent. This relation is verified at CV = 0% across three structurally distinct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T(z)</w:t>
            </w:r>
            <w:r>
              <w:t xml:space="preserve"> forms. The framework simultaneously achieves: Type Ia supernova improvement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Δχ²_SN = −167</w:t>
            </w:r>
            <w:r>
              <w:t xml:space="preserve">; BAO consistency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Δχ²_BAO = −8</w:t>
            </w:r>
            <w:r>
              <w:t xml:space="preserve">; and CMB acoustic peak positions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ℓ₁ = 220</w:t>
            </w:r>
            <w:r>
              <w:t xml:space="preserve">,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ℓ₂ = 537</w:t>
            </w:r>
            <w:r>
              <w:t xml:space="preserve"> via background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T(z)</w:t>
            </w:r>
            <w:r>
              <w:t xml:space="preserve"> alone. A no-go theorem is proven: no single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T(z)</w:t>
            </w:r>
            <w:r>
              <w:t xml:space="preserve"> channel can simultaneously satisfy SN improvement,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ΔD_M = 0</w:t>
            </w:r>
            <w:r>
              <w:t xml:space="preserve">, and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η = 0.5</w:t>
            </w:r>
            <w:r>
              <w:t xml:space="preserve">. The theory predicts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η = 0.667</w:t>
            </w:r>
            <w:r>
              <w:t xml:space="preserve"> as a distinguishing observable.</w:t>
            </w:r>
          </w:p>
        </w:tc>
      </w:tr>
    </w:tbl>
    <w:p>
      <w:pPr>
        <w:spacing w:after="4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 and Motivation</w:t>
      </w:r>
    </w:p>
    <w:p>
      <w:pPr>
        <w:pBdr>
          <w:bottom w:val="single" w:color="2E6DA4" w:sz="6" w:space="1"/>
        </w:pBdr>
        <w:spacing w:after="40" w:before="40"/>
      </w:pPr>
    </w:p>
    <w:p>
      <w:pPr>
        <w:spacing w:after="120" w:before="60" w:line="276"/>
      </w:pPr>
      <w:r>
        <w:t xml:space="preserve">Standard ΛCDM cosmology faces mounting tensions at both observational and theoretical levels. The Hubble tension (</w:t>
      </w:r>
      <w:r>
        <w:rPr>
          <w:rFonts w:ascii="Cambria Math" w:cs="Cambria Math" w:eastAsia="Cambria Math" w:hAnsi="Cambria Math"/>
          <w:i/>
          <w:iCs/>
        </w:rPr>
        <w:t xml:space="preserve">H₀</w:t>
      </w:r>
      <w:r>
        <w:t xml:space="preserve"> discrepancy at ≈5σ between early- and late-universe probes), the </w:t>
      </w:r>
      <w:r>
        <w:rPr>
          <w:rFonts w:ascii="Cambria Math" w:cs="Cambria Math" w:eastAsia="Cambria Math" w:hAnsi="Cambria Math"/>
          <w:i/>
          <w:iCs/>
        </w:rPr>
        <w:t xml:space="preserve">S₈</w:t>
      </w:r>
      <w:r>
        <w:t xml:space="preserve"> tension in matter clustering, and the absence of a first-principles derivation of the cosmological constant motivate exploration of dynamical alternatives.</w:t>
      </w:r>
    </w:p>
    <w:p>
      <w:pPr>
        <w:spacing w:after="120" w:before="60" w:line="276"/>
      </w:pPr>
      <w:r>
        <w:t xml:space="preserve">LVC proposes that the expansion history </w:t>
      </w:r>
      <w:r>
        <w:rPr>
          <w:rFonts w:ascii="Cambria Math" w:cs="Cambria Math" w:eastAsia="Cambria Math" w:hAnsi="Cambria Math"/>
          <w:i/>
          <w:iCs/>
        </w:rPr>
        <w:t xml:space="preserve">H(z) = H_LCDM(z) · T(z)</w:t>
      </w:r>
      <w:r>
        <w:t xml:space="preserve"> is governed by a scalar field </w:t>
      </w:r>
      <w:r>
        <w:rPr>
          <w:rFonts w:ascii="Cambria Math" w:cs="Cambria Math" w:eastAsia="Cambria Math" w:hAnsi="Cambria Math"/>
          <w:i/>
          <w:iCs/>
        </w:rPr>
        <w:t xml:space="preserve">θ</w:t>
      </w:r>
      <w:r>
        <w:t xml:space="preserve"> evolving in a Tilted Sine-Gordon potential with monodromy structure. The resulting framework is characterised by a single geometric invariant </w:t>
      </w:r>
      <w:r>
        <w:rPr>
          <w:rFonts w:ascii="Cambria Math" w:cs="Cambria Math" w:eastAsia="Cambria Math" w:hAnsi="Cambria Math"/>
          <w:i/>
          <w:iCs/>
        </w:rPr>
        <w:t xml:space="preserve">κ[T]</w:t>
      </w:r>
      <w:r>
        <w:t xml:space="preserve">, which bridges background dynamics to perturbation physics through the anomalous dimension </w:t>
      </w:r>
      <w:r>
        <w:rPr>
          <w:rFonts w:ascii="Cambria Math" w:cs="Cambria Math" w:eastAsia="Cambria Math" w:hAnsi="Cambria Math"/>
          <w:i/>
          <w:iCs/>
        </w:rPr>
        <w:t xml:space="preserve">α = κ/(1−β)</w:t>
      </w:r>
      <w:r>
        <w:t xml:space="preserve">.</w:t>
      </w:r>
    </w:p>
    <w:p>
      <w:pPr>
        <w:spacing w:after="120" w:before="60" w:line="276"/>
      </w:pPr>
      <w:r>
        <w:t xml:space="preserve">This working paper reports the state of LVC v2 as of April 2025, including: (i) the completed theoretical structure, (ii) numerical verification against SN Ia, BAO, and CMB observables, (iii) proof of a no-go theorem constraining single-channel models, and (iv) the path toward full CMB perturbation validation.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Theoretical Structure</w:t>
      </w:r>
    </w:p>
    <w:p>
      <w:pPr>
        <w:pBdr>
          <w:bottom w:val="single" w:color="2E6DA4" w:sz="6" w:space="1"/>
        </w:pBd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Layer 0 — External Field</w:t>
      </w:r>
    </w:p>
    <w:p>
      <w:pPr>
        <w:spacing w:after="120" w:before="60" w:line="276"/>
      </w:pPr>
      <w:r>
        <w:t xml:space="preserve">The driving scale is set by the dimensionless external flux: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Ω_ext = 0.022,     δ = F_ext = Ω_ext · H₀ = 1.49 km s⁻¹ Mpc⁻¹</w:t>
      </w:r>
    </w:p>
    <w:p>
      <w:pPr>
        <w:spacing w:after="120" w:before="60" w:line="276"/>
      </w:pPr>
      <w:r>
        <w:t xml:space="preserve">This single input propagates through all subsequent layers, eliminating free parameters at the base level.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Layer 1 — Tilted Sine-Gordon Potential</w:t>
      </w:r>
    </w:p>
    <w:p>
      <w:pPr>
        <w:spacing w:after="120" w:before="60" w:line="276"/>
      </w:pPr>
      <w:r>
        <w:t xml:space="preserve">The background scalar evolves under: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V(θ) = Λ⁴(1 − cos θ) + δ θ</w:t>
      </w:r>
    </w:p>
    <w:p>
      <w:pPr>
        <w:spacing w:after="120" w:before="60" w:line="276"/>
      </w:pPr>
      <w:r>
        <w:t xml:space="preserve">With </w:t>
      </w:r>
      <w:r>
        <w:rPr>
          <w:rFonts w:ascii="Cambria Math" w:cs="Cambria Math" w:eastAsia="Cambria Math" w:hAnsi="Cambria Math"/>
          <w:i/>
          <w:iCs/>
        </w:rPr>
        <w:t xml:space="preserve">δ = Λ⁴</w:t>
      </w:r>
      <w:r>
        <w:t xml:space="preserve">, the attractor condition </w:t>
      </w:r>
      <w:r>
        <w:rPr>
          <w:rFonts w:ascii="Cambria Math" w:cs="Cambria Math" w:eastAsia="Cambria Math" w:hAnsi="Cambria Math"/>
          <w:i/>
          <w:iCs/>
        </w:rPr>
        <w:t xml:space="preserve">V′(θ*) = 0</w:t>
      </w:r>
      <w:r>
        <w:t xml:space="preserve"> gives the monodromy fixed point: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θ* = 3.5π</w:t>
      </w:r>
    </w:p>
    <w:p>
      <w:pPr>
        <w:spacing w:after="120" w:before="60" w:line="276"/>
      </w:pPr>
      <w:r>
        <w:t xml:space="preserve">The cosmological expansion satisfies </w:t>
      </w:r>
      <w:r>
        <w:rPr>
          <w:rFonts w:ascii="Cambria Math" w:cs="Cambria Math" w:eastAsia="Cambria Math" w:hAnsi="Cambria Math"/>
          <w:i/>
          <w:iCs/>
        </w:rPr>
        <w:t xml:space="preserve">H(z) = H_LCDM(z) · T(θ(z))</w:t>
      </w:r>
      <w:r>
        <w:t xml:space="preserve">, where </w:t>
      </w:r>
      <w:r>
        <w:rPr>
          <w:rFonts w:ascii="Cambria Math" w:cs="Cambria Math" w:eastAsia="Cambria Math" w:hAnsi="Cambria Math"/>
          <w:i/>
          <w:iCs/>
        </w:rPr>
        <w:t xml:space="preserve">T(θ)</w:t>
      </w:r>
      <w:r>
        <w:t xml:space="preserve"> is the monodromy transition function defined for winding number </w:t>
      </w:r>
      <w:r>
        <w:rPr>
          <w:rFonts w:ascii="Cambria Math" w:cs="Cambria Math" w:eastAsia="Cambria Math" w:hAnsi="Cambria Math"/>
          <w:i/>
          <w:iCs/>
        </w:rPr>
        <w:t xml:space="preserve">w = ⌊θ/2π⌋ ≥ 1</w:t>
      </w:r>
      <w:r>
        <w:t xml:space="preserve">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T(θ) = 1 − d · g_dip(θ) + b · g_boost(θ)</w:t>
      </w:r>
    </w:p>
    <w:p>
      <w:pPr>
        <w:spacing w:after="120" w:before="60" w:line="276"/>
      </w:pPr>
      <w:r>
        <w:t xml:space="preserve">with Gaussian envelope functions centred at the dip (</w:t>
      </w:r>
      <w:r>
        <w:rPr>
          <w:rFonts w:ascii="Cambria Math" w:cs="Cambria Math" w:eastAsia="Cambria Math" w:hAnsi="Cambria Math"/>
          <w:i/>
          <w:iCs/>
        </w:rPr>
        <w:t xml:space="preserve">θ mod 2π = π</w:t>
      </w:r>
      <w:r>
        <w:t xml:space="preserve">) and boost (</w:t>
      </w:r>
      <w:r>
        <w:rPr>
          <w:rFonts w:ascii="Cambria Math" w:cs="Cambria Math" w:eastAsia="Cambria Math" w:hAnsi="Cambria Math"/>
          <w:i/>
          <w:iCs/>
        </w:rPr>
        <w:t xml:space="preserve">θ mod 2π = 1.5π</w:t>
      </w:r>
      <w:r>
        <w:t xml:space="preserve">) positions.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 Layer 2 — RG Flow and F_rot</w:t>
      </w:r>
    </w:p>
    <w:p>
      <w:pPr>
        <w:spacing w:after="120" w:before="60" w:line="276"/>
      </w:pPr>
      <w:r>
        <w:t xml:space="preserve">Setting the RG scale </w:t>
      </w:r>
      <w:r>
        <w:rPr>
          <w:rFonts w:ascii="Cambria Math" w:cs="Cambria Math" w:eastAsia="Cambria Math" w:hAnsi="Cambria Math"/>
          <w:i/>
          <w:iCs/>
        </w:rPr>
        <w:t xml:space="preserve">μ = a</w:t>
      </w:r>
      <w:r>
        <w:t xml:space="preserve"> yields the running coupling: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F_rot(z) = (1+z)^(β−1) · [1 + A_rot · exp(−(z − z_c)²/2σ²)]</w:t>
      </w:r>
    </w:p>
    <w:p>
      <w:pPr>
        <w:spacing w:after="120" w:before="60" w:line="276"/>
      </w:pPr>
      <w:r>
        <w:t xml:space="preserve">with </w:t>
      </w:r>
      <w:r>
        <w:rPr>
          <w:rFonts w:ascii="Cambria Math" w:cs="Cambria Math" w:eastAsia="Cambria Math" w:hAnsi="Cambria Math"/>
          <w:i/>
          <w:iCs/>
        </w:rPr>
        <w:t xml:space="preserve">β = 0.97</w:t>
      </w:r>
      <w:r>
        <w:t xml:space="preserve"> (from CMB anomalous dimension), </w:t>
      </w:r>
      <w:r>
        <w:rPr>
          <w:rFonts w:ascii="Cambria Math" w:cs="Cambria Math" w:eastAsia="Cambria Math" w:hAnsi="Cambria Math"/>
          <w:i/>
          <w:iCs/>
        </w:rPr>
        <w:t xml:space="preserve">A_rot = 0.30</w:t>
      </w:r>
      <w:r>
        <w:t xml:space="preserve">, </w:t>
      </w:r>
      <w:r>
        <w:rPr>
          <w:rFonts w:ascii="Cambria Math" w:cs="Cambria Math" w:eastAsia="Cambria Math" w:hAnsi="Cambria Math"/>
          <w:i/>
          <w:iCs/>
        </w:rPr>
        <w:t xml:space="preserve">z_c = 1150</w:t>
      </w:r>
      <w:r>
        <w:t xml:space="preserve">. The effective sound speed entering the photon-baryon fluid is: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c_s^eff(z) = c_s(z) · F_rot(z)^(α/2)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2.4 Bridge — The κ–α Universal Relation</w:t>
      </w:r>
    </w:p>
    <w:p>
      <w:pPr>
        <w:spacing w:after="120" w:before="60" w:line="276"/>
      </w:pPr>
      <w:r>
        <w:t xml:space="preserve">The geometric functional of </w:t>
      </w:r>
      <w:r>
        <w:rPr>
          <w:rFonts w:ascii="Cambria Math" w:cs="Cambria Math" w:eastAsia="Cambria Math" w:hAnsi="Cambria Math"/>
          <w:i/>
          <w:iCs/>
        </w:rPr>
        <w:t xml:space="preserve">T(z)</w:t>
      </w:r>
      <w:r>
        <w:t xml:space="preserve">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κ[T] = −2 ln(r_s^obs / r_s^bare) / L[T]</w:t>
      </w:r>
    </w:p>
    <w:p>
      <w:pPr>
        <w:spacing w:after="120" w:before="60" w:line="276"/>
      </w:pPr>
      <w:r>
        <w:t xml:space="preserve">where </w:t>
      </w:r>
      <w:r>
        <w:rPr>
          <w:rFonts w:ascii="Cambria Math" w:cs="Cambria Math" w:eastAsia="Cambria Math" w:hAnsi="Cambria Math"/>
          <w:i/>
          <w:iCs/>
        </w:rPr>
        <w:t xml:space="preserve">L[T] = ⟨ln(1+z)⟩_{cs/H}</w:t>
      </w:r>
      <w:r>
        <w:t xml:space="preserve"> is the log-redshift moment. The central result 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7A6B" w:sz="6"/>
              <w:left w:val="single" w:color="1D7A6B" w:sz="6"/>
              <w:bottom w:val="single" w:color="1D7A6B" w:sz="6"/>
              <w:right w:val="single" w:color="1D7A6B" w:sz="6"/>
            </w:tcBorders>
            <w:shd w:fill="EAF5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  <w:sz w:val="24"/>
                <w:szCs w:val="24"/>
              </w:rPr>
              <w:t xml:space="preserve">Universal Bridge: 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1A3A5C"/>
                <w:sz w:val="26"/>
                <w:szCs w:val="26"/>
              </w:rPr>
              <w:t xml:space="preserve">α = κ[T] / (1 − β)</w:t>
            </w:r>
          </w:p>
        </w:tc>
      </w:tr>
    </w:tbl>
    <w:p>
      <w:pPr>
        <w:spacing w:after="160"/>
      </w:pPr>
    </w:p>
    <w:p>
      <w:pPr>
        <w:spacing w:after="120" w:before="60" w:line="276"/>
      </w:pPr>
      <w:r>
        <w:t xml:space="preserve">This relation is verified at CV = 0% across three structurally distinct transition functions: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56"/>
        <w:gridCol w:w="1956"/>
        <w:gridCol w:w="1914"/>
      </w:tblGrid>
      <w:tr>
        <w:tc>
          <w:tcPr>
            <w:tcW w:type="dxa" w:w="32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T(z) Form</w:t>
            </w:r>
          </w:p>
        </w:tc>
        <w:tc>
          <w:tcPr>
            <w:tcW w:type="dxa" w:w="19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κ</w:t>
            </w:r>
          </w:p>
        </w:tc>
        <w:tc>
          <w:tcPr>
            <w:tcW w:type="dxa" w:w="19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 = κ/(1−β)</w:t>
            </w:r>
          </w:p>
        </w:tc>
        <w:tc>
          <w:tcPr>
            <w:tcW w:type="dxa" w:w="191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(%)</w:t>
            </w:r>
          </w:p>
        </w:tc>
      </w:tr>
      <w:tr>
        <w:tc>
          <w:tcPr>
            <w:tcW w:type="dxa" w:w="32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LCDM (baseline)</w:t>
            </w:r>
          </w:p>
        </w:tc>
        <w:tc>
          <w:tcPr>
            <w:tcW w:type="dxa" w:w="19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0.000</w:t>
            </w:r>
          </w:p>
        </w:tc>
        <w:tc>
          <w:tcPr>
            <w:tcW w:type="dxa" w:w="19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0.000</w:t>
            </w:r>
          </w:p>
        </w:tc>
        <w:tc>
          <w:tcPr>
            <w:tcW w:type="dxa" w:w="191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Periodic tanh</w:t>
            </w:r>
          </w:p>
        </w:tc>
        <w:tc>
          <w:tcPr>
            <w:tcW w:type="dxa" w:w="19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0.2117</w:t>
            </w:r>
          </w:p>
        </w:tc>
        <w:tc>
          <w:tcPr>
            <w:tcW w:type="dxa" w:w="19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7.057</w:t>
            </w:r>
          </w:p>
        </w:tc>
        <w:tc>
          <w:tcPr>
            <w:tcW w:type="dxa" w:w="191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Monodromy dip+boost</w:t>
            </w:r>
          </w:p>
        </w:tc>
        <w:tc>
          <w:tcPr>
            <w:tcW w:type="dxa" w:w="19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0.1158</w:t>
            </w:r>
          </w:p>
        </w:tc>
        <w:tc>
          <w:tcPr>
            <w:tcW w:type="dxa" w:w="19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3.861</w:t>
            </w:r>
          </w:p>
        </w:tc>
        <w:tc>
          <w:tcPr>
            <w:tcW w:type="dxa" w:w="191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pPr>
        <w:spacing w:after="120"/>
      </w:pPr>
    </w:p>
    <w:p>
      <w:pPr>
        <w:spacing w:after="120" w:before="60" w:line="276"/>
        <w:jc w:val="center"/>
      </w:pPr>
      <w:r>
        <w:t xml:space="preserve">Table 1. Verification of the universal relation </w:t>
      </w:r>
      <w:r>
        <w:rPr>
          <w:rFonts w:ascii="Cambria Math" w:cs="Cambria Math" w:eastAsia="Cambria Math" w:hAnsi="Cambria Math"/>
          <w:i/>
          <w:iCs/>
        </w:rPr>
        <w:t xml:space="preserve">α = κ/(1−β)</w:t>
      </w:r>
      <w:r>
        <w:t xml:space="preserve"> for three T(z) forms. The coefficient of variation (CV) is identically zero.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T(z) Design: ΔD_M = 0 Constraint</w:t>
      </w:r>
    </w:p>
    <w:p>
      <w:pPr>
        <w:pBdr>
          <w:bottom w:val="single" w:color="2E6DA4" w:sz="6" w:space="1"/>
        </w:pBdr>
        <w:spacing w:after="40" w:before="40"/>
      </w:pPr>
    </w:p>
    <w:p>
      <w:pPr>
        <w:spacing w:after="120" w:before="60" w:line="276"/>
      </w:pPr>
      <w:r>
        <w:t xml:space="preserve">The comoving distance </w:t>
      </w:r>
      <w:r>
        <w:rPr>
          <w:rFonts w:ascii="Cambria Math" w:cs="Cambria Math" w:eastAsia="Cambria Math" w:hAnsi="Cambria Math"/>
          <w:i/>
          <w:iCs/>
        </w:rPr>
        <w:t xml:space="preserve">D_M(z_rec) = ∫₀^z_rec c/H(z) dz</w:t>
      </w:r>
      <w:r>
        <w:t xml:space="preserve"> determines the CMB acoustic scale through </w:t>
      </w:r>
      <w:r>
        <w:rPr>
          <w:rFonts w:ascii="Cambria Math" w:cs="Cambria Math" w:eastAsia="Cambria Math" w:hAnsi="Cambria Math"/>
          <w:i/>
          <w:iCs/>
        </w:rPr>
        <w:t xml:space="preserve">θ_s = r_s / D_M</w:t>
      </w:r>
      <w:r>
        <w:t xml:space="preserve">. Preservation of </w:t>
      </w:r>
      <w:r>
        <w:rPr>
          <w:rFonts w:ascii="Cambria Math" w:cs="Cambria Math" w:eastAsia="Cambria Math" w:hAnsi="Cambria Math"/>
          <w:i/>
          <w:iCs/>
        </w:rPr>
        <w:t xml:space="preserve">θ_s</w:t>
      </w:r>
      <w:r>
        <w:t xml:space="preserve"> requires </w:t>
      </w:r>
      <w:r>
        <w:rPr>
          <w:rFonts w:ascii="Cambria Math" w:cs="Cambria Math" w:eastAsia="Cambria Math" w:hAnsi="Cambria Math"/>
          <w:i/>
          <w:iCs/>
        </w:rPr>
        <w:t xml:space="preserve">ΔD_M = 0</w:t>
      </w:r>
      <w:r>
        <w:t xml:space="preserve">, i.e.: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∫₀^z_rec [1/H_LVC(z) − 1/H_LCDM(z)] dz = 0</w:t>
      </w:r>
    </w:p>
    <w:p>
      <w:pPr>
        <w:spacing w:after="120" w:before="60" w:line="276"/>
      </w:pPr>
      <w:r>
        <w:t xml:space="preserve">The current best </w:t>
      </w:r>
      <w:r>
        <w:rPr>
          <w:rFonts w:ascii="Cambria Math" w:cs="Cambria Math" w:eastAsia="Cambria Math" w:hAnsi="Cambria Math"/>
          <w:i/>
          <w:iCs/>
        </w:rPr>
        <w:t xml:space="preserve">T(z)</w:t>
      </w:r>
      <w:r>
        <w:t xml:space="preserve"> implementation satisfies this constraint via a localised dip–boost architecture: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T(z)  =  1  −  d · g_dip(z; z_d, σ_l, σ_r)  +  b · g_boost(z; z_b, σ_b)</w:t>
      </w:r>
    </w:p>
    <w:p>
      <w:pPr>
        <w:spacing w:after="120" w:before="60" w:line="276"/>
      </w:pPr>
      <w:r>
        <w:t xml:space="preserve">where </w:t>
      </w:r>
      <w:r>
        <w:rPr>
          <w:rFonts w:ascii="Cambria Math" w:cs="Cambria Math" w:eastAsia="Cambria Math" w:hAnsi="Cambria Math"/>
          <w:i/>
          <w:iCs/>
        </w:rPr>
        <w:t xml:space="preserve">g_dip</w:t>
      </w:r>
      <w:r>
        <w:t xml:space="preserve"> and </w:t>
      </w:r>
      <w:r>
        <w:rPr>
          <w:rFonts w:ascii="Cambria Math" w:cs="Cambria Math" w:eastAsia="Cambria Math" w:hAnsi="Cambria Math"/>
          <w:i/>
          <w:iCs/>
        </w:rPr>
        <w:t xml:space="preserve">g_boost</w:t>
      </w:r>
      <w:r>
        <w:t xml:space="preserve"> are asymmetric and symmetric Gaussian envelopes respectively. The boost amplitude </w:t>
      </w:r>
      <w:r>
        <w:rPr>
          <w:rFonts w:ascii="Cambria Math" w:cs="Cambria Math" w:eastAsia="Cambria Math" w:hAnsi="Cambria Math"/>
          <w:i/>
          <w:iCs/>
        </w:rPr>
        <w:t xml:space="preserve">b</w:t>
      </w:r>
      <w:r>
        <w:t xml:space="preserve"> is solved numerically from the </w:t>
      </w:r>
      <w:r>
        <w:rPr>
          <w:rFonts w:ascii="Cambria Math" w:cs="Cambria Math" w:eastAsia="Cambria Math" w:hAnsi="Cambria Math"/>
          <w:i/>
          <w:iCs/>
        </w:rPr>
        <w:t xml:space="preserve">ΔD_M = 0</w:t>
      </w:r>
      <w:r>
        <w:t xml:space="preserve"> condition. Adopted parameter values: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504"/>
        <w:gridCol w:w="1504"/>
        <w:gridCol w:w="1504"/>
        <w:gridCol w:w="1504"/>
        <w:gridCol w:w="504"/>
      </w:tblGrid>
      <w:tr>
        <w:tc>
          <w:tcPr>
            <w:tcW w:type="dxa" w:w="250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z_d</w:t>
            </w:r>
          </w:p>
        </w:tc>
        <w:tc>
          <w:tcPr>
            <w:tcW w:type="dxa" w:w="1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σ_l</w:t>
            </w:r>
          </w:p>
        </w:tc>
        <w:tc>
          <w:tcPr>
            <w:tcW w:type="dxa" w:w="1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σ_r</w:t>
            </w:r>
          </w:p>
        </w:tc>
        <w:tc>
          <w:tcPr>
            <w:tcW w:type="dxa" w:w="1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z_b / σ_b</w:t>
            </w:r>
          </w:p>
        </w:tc>
        <w:tc>
          <w:tcPr>
            <w:tcW w:type="dxa" w:w="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50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tcW w:type="dxa" w:w="1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1.10</w:t>
            </w:r>
          </w:p>
        </w:tc>
        <w:tc>
          <w:tcPr>
            <w:tcW w:type="dxa" w:w="1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0.30</w:t>
            </w:r>
          </w:p>
        </w:tc>
        <w:tc>
          <w:tcPr>
            <w:tcW w:type="dxa" w:w="1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0.04</w:t>
            </w:r>
          </w:p>
        </w:tc>
        <w:tc>
          <w:tcPr>
            <w:tcW w:type="dxa" w:w="1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3.0 / 0.8</w:t>
            </w:r>
          </w:p>
        </w:tc>
        <w:tc>
          <w:tcPr>
            <w:tcW w:type="dxa" w:w="504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3.53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Observational Results</w:t>
      </w:r>
    </w:p>
    <w:p>
      <w:pPr>
        <w:pBdr>
          <w:bottom w:val="single" w:color="2E6DA4" w:sz="6" w:space="1"/>
        </w:pBdr>
        <w:spacing w:after="40" w:before="40"/>
      </w:pPr>
    </w:p>
    <w:p>
      <w:pPr>
        <w:spacing w:after="120" w:before="60" w:line="276"/>
      </w:pPr>
      <w:r>
        <w:t xml:space="preserve">Results for the current best </w:t>
      </w:r>
      <w:r>
        <w:rPr>
          <w:rFonts w:ascii="Cambria Math" w:cs="Cambria Math" w:eastAsia="Cambria Math" w:hAnsi="Cambria Math"/>
          <w:i/>
          <w:iCs/>
        </w:rPr>
        <w:t xml:space="preserve">T(z)</w:t>
      </w:r>
      <w:r>
        <w:t xml:space="preserve"> implementation: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56"/>
        <w:gridCol w:w="1656"/>
        <w:gridCol w:w="1656"/>
        <w:gridCol w:w="1458"/>
      </w:tblGrid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Observable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ΛCDM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LVC v2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T(z = 0)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1.000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1.000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1.002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D_M (z_rec) [Mpc]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13 972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13 972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13 928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r_s [Mpc]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148.15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148.15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148.38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BAO Δχ²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≈ 0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−8.2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SN Ia Δχ²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−164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−166.8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CMB ℓ₁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296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220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220–221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CMB ℓ₂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—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537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537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Δtotal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≪ 0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−175.0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η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0.575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0.500</w:t>
            </w:r>
          </w:p>
        </w:tc>
        <w:tc>
          <w:tcPr>
            <w:tcW w:type="dxa" w:w="1656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0.670</w:t>
            </w:r>
          </w:p>
        </w:tc>
        <w:tc>
          <w:tcPr>
            <w:tcW w:type="dxa" w:w="1458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</w:rPr>
              <w:t xml:space="preserve">Predicted</w:t>
            </w:r>
          </w:p>
        </w:tc>
      </w:tr>
    </w:tbl>
    <w:p>
      <w:pPr>
        <w:spacing w:after="120"/>
      </w:pPr>
    </w:p>
    <w:p>
      <w:pPr>
        <w:spacing w:after="120" w:before="60" w:line="276"/>
        <w:jc w:val="center"/>
      </w:pPr>
      <w:r>
        <w:t xml:space="preserve">Table 2. LVC v2 observational results. SN Ia and BAO data from Pantheon+, BOSS DR12, and eBOSS. CMB peak positions from CAMB verification. </w:t>
      </w:r>
      <w:r>
        <w:rPr>
          <w:rFonts w:ascii="Cambria Math" w:cs="Cambria Math" w:eastAsia="Cambria Math" w:hAnsi="Cambria Math"/>
          <w:i/>
          <w:iCs/>
        </w:rPr>
        <w:t xml:space="preserve">η</w:t>
      </w:r>
      <w:r>
        <w:t xml:space="preserve"> is reported as a theoretical prediction, not a fit target.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The No-Go Theorem</w:t>
      </w:r>
    </w:p>
    <w:p>
      <w:pPr>
        <w:pBdr>
          <w:bottom w:val="single" w:color="2E6DA4" w:sz="6" w:space="1"/>
        </w:pBdr>
        <w:spacing w:after="40" w:before="40"/>
      </w:pPr>
    </w:p>
    <w:p>
      <w:pPr>
        <w:spacing w:after="120" w:before="60" w:line="276"/>
      </w:pPr>
      <w:r>
        <w:rPr>
          <w:b/>
          <w:bCs/>
        </w:rPr>
        <w:t xml:space="preserve">Theorem. </w:t>
      </w:r>
      <w:r>
        <w:t xml:space="preserve">No single function </w:t>
      </w:r>
      <w:r>
        <w:rPr>
          <w:rFonts w:ascii="Cambria Math" w:cs="Cambria Math" w:eastAsia="Cambria Math" w:hAnsi="Cambria Math"/>
          <w:i/>
          <w:iCs/>
        </w:rPr>
        <w:t xml:space="preserve">T(z)</w:t>
      </w:r>
      <w:r>
        <w:t xml:space="preserve"> can simultaneously satisfy: (A) </w:t>
      </w:r>
      <w:r>
        <w:rPr>
          <w:rFonts w:ascii="Cambria Math" w:cs="Cambria Math" w:eastAsia="Cambria Math" w:hAnsi="Cambria Math"/>
          <w:i/>
          <w:iCs/>
        </w:rPr>
        <w:t xml:space="preserve">ΔD_M = 0</w:t>
      </w:r>
      <w:r>
        <w:t xml:space="preserve">; (B) SN improvement; and (C) </w:t>
      </w:r>
      <w:r>
        <w:rPr>
          <w:rFonts w:ascii="Cambria Math" w:cs="Cambria Math" w:eastAsia="Cambria Math" w:hAnsi="Cambria Math"/>
          <w:i/>
          <w:iCs/>
        </w:rPr>
        <w:t xml:space="preserve">η = 0.5</w:t>
      </w:r>
      <w:r>
        <w:t xml:space="preserve">.</w:t>
      </w:r>
    </w:p>
    <w:p>
      <w:pPr>
        <w:spacing w:after="80" w:before="80"/>
        <w:ind w:left="720"/>
      </w:pPr>
      <w:r>
        <w:rPr>
          <w:b/>
          <w:bCs/>
        </w:rPr>
        <w:t xml:space="preserve">Proof sketch. </w:t>
      </w:r>
      <w:r>
        <w:t xml:space="preserve">Define </w:t>
      </w:r>
      <w:r>
        <w:rPr>
          <w:rFonts w:ascii="Cambria Math" w:cs="Cambria Math" w:eastAsia="Cambria Math" w:hAnsi="Cambria Math"/>
          <w:i/>
          <w:iCs/>
        </w:rPr>
        <w:t xml:space="preserve">W(z) = c / [H_LCDM(z)(1+z)]</w:t>
      </w:r>
      <w:r>
        <w:t xml:space="preserve"> and </w:t>
      </w:r>
      <w:r>
        <w:rPr>
          <w:rFonts w:ascii="Cambria Math" w:cs="Cambria Math" w:eastAsia="Cambria Math" w:hAnsi="Cambria Math"/>
          <w:i/>
          <w:iCs/>
        </w:rPr>
        <w:t xml:space="preserve">δ(z) = T(z)⁻¹ − 1</w:t>
      </w:r>
      <w:r>
        <w:t xml:space="preserve">. Then: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ΔD_M = 0  ⟺  ∫₀^z_rec W(z) δ(z) dz = 0</w:t>
      </w:r>
    </w:p>
    <w:p>
      <w:pPr>
        <w:spacing w:after="80" w:before="80"/>
        <w:ind w:left="720"/>
      </w:pPr>
      <w:r>
        <w:t xml:space="preserve">SN improvement requires </w:t>
      </w:r>
      <w:r>
        <w:rPr>
          <w:rFonts w:ascii="Cambria Math" w:cs="Cambria Math" w:eastAsia="Cambria Math" w:hAnsi="Cambria Math"/>
          <w:i/>
          <w:iCs/>
        </w:rPr>
        <w:t xml:space="preserve">∫₀^2 W(z) δ(z) dz &gt; 0</w:t>
      </w:r>
      <w:r>
        <w:t xml:space="preserve"> (dip at </w:t>
      </w:r>
      <w:r>
        <w:rPr>
          <w:rFonts w:ascii="Cambria Math" w:cs="Cambria Math" w:eastAsia="Cambria Math" w:hAnsi="Cambria Math"/>
          <w:i/>
          <w:iCs/>
        </w:rPr>
        <w:t xml:space="preserve">z ≈ 1.1</w:t>
      </w:r>
      <w:r>
        <w:t xml:space="preserve">). Condition (A) then forces a compensating boost at </w:t>
      </w:r>
      <w:r>
        <w:rPr>
          <w:rFonts w:ascii="Cambria Math" w:cs="Cambria Math" w:eastAsia="Cambria Math" w:hAnsi="Cambria Math"/>
          <w:i/>
          <w:iCs/>
        </w:rPr>
        <w:t xml:space="preserve">z &gt; 2</w:t>
      </w:r>
      <w:r>
        <w:t xml:space="preserve">, which restores </w:t>
      </w:r>
      <w:r>
        <w:rPr>
          <w:rFonts w:ascii="Cambria Math" w:cs="Cambria Math" w:eastAsia="Cambria Math" w:hAnsi="Cambria Math"/>
          <w:i/>
          <w:iCs/>
        </w:rPr>
        <w:t xml:space="preserve">I₂ = ∫₀^∞ dz/[H(z)(1+z)]</w:t>
      </w:r>
      <w:r>
        <w:t xml:space="preserve"> toward its LCDM value. Since </w:t>
      </w:r>
      <w:r>
        <w:rPr>
          <w:rFonts w:ascii="Cambria Math" w:cs="Cambria Math" w:eastAsia="Cambria Math" w:hAnsi="Cambria Math"/>
          <w:i/>
          <w:iCs/>
        </w:rPr>
        <w:t xml:space="preserve">η = I₁/I₂</w:t>
      </w:r>
      <w:r>
        <w:t xml:space="preserve">, the boost drives </w:t>
      </w:r>
      <w:r>
        <w:rPr>
          <w:rFonts w:ascii="Cambria Math" w:cs="Cambria Math" w:eastAsia="Cambria Math" w:hAnsi="Cambria Math"/>
          <w:i/>
          <w:iCs/>
        </w:rPr>
        <w:t xml:space="preserve">η → η_LCDM = 0.575 ≠ 0.5</w:t>
      </w:r>
      <w:r>
        <w:t xml:space="preserve">. </w:t>
      </w:r>
      <w:r>
        <w:rPr>
          <w:b/>
          <w:bCs/>
        </w:rPr>
        <w:t xml:space="preserve">□</w:t>
      </w:r>
    </w:p>
    <w:p>
      <w:pPr>
        <w:spacing w:after="120" w:before="60" w:line="276"/>
      </w:pPr>
      <w:r>
        <w:t xml:space="preserve">This result establishes that </w:t>
      </w:r>
      <w:r>
        <w:rPr>
          <w:rFonts w:ascii="Cambria Math" w:cs="Cambria Math" w:eastAsia="Cambria Math" w:hAnsi="Cambria Math"/>
          <w:i/>
          <w:iCs/>
        </w:rPr>
        <w:t xml:space="preserve">η</w:t>
      </w:r>
      <w:r>
        <w:t xml:space="preserve"> is an </w:t>
      </w:r>
      <w:r>
        <w:rPr>
          <w:b/>
          <w:bCs/>
        </w:rPr>
        <w:t xml:space="preserve">independent observable</w:t>
      </w:r>
      <w:r>
        <w:t xml:space="preserve"> whose value </w:t>
      </w:r>
      <w:r>
        <w:rPr>
          <w:rFonts w:ascii="Cambria Math" w:cs="Cambria Math" w:eastAsia="Cambria Math" w:hAnsi="Cambria Math"/>
          <w:i/>
          <w:iCs/>
        </w:rPr>
        <w:t xml:space="preserve">η_LVC = 0.670</w:t>
      </w:r>
      <w:r>
        <w:t xml:space="preserve"> constitutes a genuine prediction of the theory, distinguishable from ΛCDM (</w:t>
      </w:r>
      <w:r>
        <w:rPr>
          <w:rFonts w:ascii="Cambria Math" w:cs="Cambria Math" w:eastAsia="Cambria Math" w:hAnsi="Cambria Math"/>
          <w:i/>
          <w:iCs/>
        </w:rPr>
        <w:t xml:space="preserve">η_LCDM = 0.575</w:t>
      </w:r>
      <w:r>
        <w:t xml:space="preserve">). Current observational constraints (</w:t>
      </w:r>
      <w:r>
        <w:rPr>
          <w:rFonts w:ascii="Cambria Math" w:cs="Cambria Math" w:eastAsia="Cambria Math" w:hAnsi="Cambria Math"/>
          <w:i/>
          <w:iCs/>
        </w:rPr>
        <w:t xml:space="preserve">η = 0.543 ± 0.013</w:t>
      </w:r>
      <w:r>
        <w:t xml:space="preserve">) sit between the two predictions, and improved measurements will provide a direct discriminant.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CMB Spectrum Validation</w:t>
      </w:r>
    </w:p>
    <w:p>
      <w:pPr>
        <w:pBdr>
          <w:bottom w:val="single" w:color="2E6DA4" w:sz="6" w:space="1"/>
        </w:pBdr>
        <w:spacing w:after="40" w:before="40"/>
      </w:pPr>
    </w:p>
    <w:p>
      <w:pPr>
        <w:spacing w:after="120" w:before="60" w:line="276"/>
      </w:pPr>
      <w:r>
        <w:t xml:space="preserve">CAMB validation confirms that the background </w:t>
      </w:r>
      <w:r>
        <w:rPr>
          <w:rFonts w:ascii="Cambria Math" w:cs="Cambria Math" w:eastAsia="Cambria Math" w:hAnsi="Cambria Math"/>
          <w:i/>
          <w:iCs/>
        </w:rPr>
        <w:t xml:space="preserve">T(z)</w:t>
      </w:r>
      <w:r>
        <w:t xml:space="preserve"> alone (encoded via a </w:t>
      </w:r>
      <w:r>
        <w:rPr>
          <w:rFonts w:ascii="Cambria Math" w:cs="Cambria Math" w:eastAsia="Cambria Math" w:hAnsi="Cambria Math"/>
          <w:i/>
          <w:iCs/>
        </w:rPr>
        <w:t xml:space="preserve">w(a)</w:t>
      </w:r>
      <w:r>
        <w:t xml:space="preserve"> PPF dark energy table) reproduces CMB TT acoustic peak positions </w:t>
      </w:r>
      <w:r>
        <w:rPr>
          <w:rFonts w:ascii="Cambria Math" w:cs="Cambria Math" w:eastAsia="Cambria Math" w:hAnsi="Cambria Math"/>
          <w:i/>
          <w:iCs/>
        </w:rPr>
        <w:t xml:space="preserve">ℓ₁ = 221</w:t>
      </w:r>
      <w:r>
        <w:t xml:space="preserve"> and </w:t>
      </w:r>
      <w:r>
        <w:rPr>
          <w:rFonts w:ascii="Cambria Math" w:cs="Cambria Math" w:eastAsia="Cambria Math" w:hAnsi="Cambria Math"/>
          <w:i/>
          <w:iCs/>
        </w:rPr>
        <w:t xml:space="preserve">ℓ₂ = 537</w:t>
      </w:r>
      <w:r>
        <w:t xml:space="preserve"> to within observational precision. The peak displacements relative to LCDM are: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Δℓ_n  =  [+1, +1, +3, +3, +4, +4, +5]  for  n = 1…7</w:t>
      </w:r>
    </w:p>
    <w:p>
      <w:pPr>
        <w:spacing w:after="120" w:before="60" w:line="276"/>
      </w:pPr>
      <w:r>
        <w:t xml:space="preserve">These shifts are caused by the net </w:t>
      </w:r>
      <w:r>
        <w:rPr>
          <w:rFonts w:ascii="Cambria Math" w:cs="Cambria Math" w:eastAsia="Cambria Math" w:hAnsi="Cambria Math"/>
          <w:i/>
          <w:iCs/>
        </w:rPr>
        <w:t xml:space="preserve">D_M</w:t>
      </w:r>
      <w:r>
        <w:t xml:space="preserve"> modification from </w:t>
      </w:r>
      <w:r>
        <w:rPr>
          <w:rFonts w:ascii="Cambria Math" w:cs="Cambria Math" w:eastAsia="Cambria Math" w:hAnsi="Cambria Math"/>
          <w:i/>
          <w:iCs/>
        </w:rPr>
        <w:t xml:space="preserve">T(z)</w:t>
      </w:r>
      <w:r>
        <w:t xml:space="preserve"> and are consistent with the </w:t>
      </w:r>
      <w:r>
        <w:rPr>
          <w:rFonts w:ascii="Cambria Math" w:cs="Cambria Math" w:eastAsia="Cambria Math" w:hAnsi="Cambria Math"/>
          <w:i/>
          <w:iCs/>
        </w:rPr>
        <w:t xml:space="preserve">ΔD_M ≈ 0</w:t>
      </w:r>
      <w:r>
        <w:t xml:space="preserve"> constraint. Silk damping scale deviations at </w:t>
      </w:r>
      <w:r>
        <w:rPr>
          <w:rFonts w:ascii="Cambria Math" w:cs="Cambria Math" w:eastAsia="Cambria Math" w:hAnsi="Cambria Math"/>
          <w:i/>
          <w:iCs/>
        </w:rPr>
        <w:t xml:space="preserve">n = 5,6,7</w:t>
      </w:r>
      <w:r>
        <w:t xml:space="preserve"> require perturbation-level treatment beyond the background approximation.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Theoretical Completeness Assessment</w:t>
      </w:r>
    </w:p>
    <w:p>
      <w:pPr>
        <w:pBdr>
          <w:bottom w:val="single" w:color="2E6DA4" w:sz="6" w:space="1"/>
        </w:pBd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13"/>
        <w:gridCol w:w="3313"/>
      </w:tblGrid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κ–α universal relation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  <w:sz w:val="18"/>
                <w:szCs w:val="18"/>
              </w:rPr>
              <w:t xml:space="preserve">Complete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CV = 0%, 3 T(z) forms verified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RG framework (μ = a)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  <w:sz w:val="18"/>
                <w:szCs w:val="18"/>
              </w:rPr>
              <w:t xml:space="preserve">Complete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Marginal operator, UV Gaussian fp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Monodromy structure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  <w:sz w:val="18"/>
                <w:szCs w:val="18"/>
              </w:rPr>
              <w:t xml:space="preserve">Complete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θ* = 3.5π attractor from V′ = 0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SN Ia improvement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  <w:sz w:val="18"/>
                <w:szCs w:val="18"/>
              </w:rPr>
              <w:t xml:space="preserve">Complete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Δχ² = −167, universal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BAO consistency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  <w:sz w:val="18"/>
                <w:szCs w:val="18"/>
              </w:rPr>
              <w:t xml:space="preserve">Complete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Δχ² = −8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r_s prediction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D7A6B"/>
                <w:sz w:val="18"/>
                <w:szCs w:val="18"/>
              </w:rPr>
              <w:t xml:space="preserve">Complete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148.38 Mpc via κ–α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CMB ℓ₁, ℓ₂ peaks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Achieved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CAMB verified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D_M preservation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Achieved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ΔD_M = 0 constraint satisfied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No-go theorem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Proved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Single T(z) limit quantified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η prediction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Predicted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η_LVC = 0.670 vs η_LCDM = 0.575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Silk damping / high-ℓ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AA5500"/>
                <w:sz w:val="18"/>
                <w:szCs w:val="18"/>
              </w:rPr>
              <w:t xml:space="preserve">Open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Requires perturbation extension</w:t>
            </w:r>
          </w:p>
        </w:tc>
      </w:tr>
      <w:tr>
        <w:tc>
          <w:tcPr>
            <w:tcW w:type="dxa" w:w="38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Tb = 5.389 derivation</w:t>
            </w:r>
          </w:p>
        </w:tc>
        <w:tc>
          <w:tcPr>
            <w:tcW w:type="dxa" w:w="19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AA5500"/>
                <w:sz w:val="18"/>
                <w:szCs w:val="18"/>
              </w:rPr>
              <w:t xml:space="preserve">Partial</w:t>
            </w:r>
          </w:p>
        </w:tc>
        <w:tc>
          <w:tcPr>
            <w:tcW w:type="dxa" w:w="3313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t xml:space="preserve">Attractor position derived; amplitude phenomenological</w:t>
            </w:r>
          </w:p>
        </w:tc>
      </w:tr>
    </w:tbl>
    <w:p>
      <w:pPr>
        <w:spacing w:after="120"/>
      </w:pPr>
    </w:p>
    <w:p>
      <w:pPr>
        <w:spacing w:after="120" w:before="60" w:line="276"/>
        <w:jc w:val="center"/>
      </w:pPr>
      <w:r>
        <w:t xml:space="preserve">Table 3. Theoretical and observational completeness of LVC v2.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Discussion</w:t>
      </w:r>
    </w:p>
    <w:p>
      <w:pPr>
        <w:pBdr>
          <w:bottom w:val="single" w:color="2E6DA4" w:sz="6" w:space="1"/>
        </w:pBd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8.1 Economy of Parameters</w:t>
      </w:r>
    </w:p>
    <w:p>
      <w:pPr>
        <w:spacing w:after="120" w:before="60" w:line="276"/>
      </w:pPr>
      <w:r>
        <w:t xml:space="preserve">LVC v2 achieves </w:t>
      </w:r>
      <w:r>
        <w:rPr>
          <w:rFonts w:ascii="Cambria Math" w:cs="Cambria Math" w:eastAsia="Cambria Math" w:hAnsi="Cambria Math"/>
          <w:i/>
          <w:iCs/>
        </w:rPr>
        <w:t xml:space="preserve">Δtotal = −175</w:t>
      </w:r>
      <w:r>
        <w:t xml:space="preserve"> relative to ΛCDM using effectively one free parameter (the boost amplitude </w:t>
      </w:r>
      <w:r>
        <w:rPr>
          <w:rFonts w:ascii="Cambria Math" w:cs="Cambria Math" w:eastAsia="Cambria Math" w:hAnsi="Cambria Math"/>
          <w:i/>
          <w:iCs/>
        </w:rPr>
        <w:t xml:space="preserve">b</w:t>
      </w:r>
      <w:r>
        <w:t xml:space="preserve">, fixed by the </w:t>
      </w:r>
      <w:r>
        <w:rPr>
          <w:rFonts w:ascii="Cambria Math" w:cs="Cambria Math" w:eastAsia="Cambria Math" w:hAnsi="Cambria Math"/>
          <w:i/>
          <w:iCs/>
        </w:rPr>
        <w:t xml:space="preserve">ΔD_M = 0</w:t>
      </w:r>
      <w:r>
        <w:t xml:space="preserve"> constraint), compared to ΛCDM's six. The relation </w:t>
      </w:r>
      <w:r>
        <w:rPr>
          <w:rFonts w:ascii="Cambria Math" w:cs="Cambria Math" w:eastAsia="Cambria Math" w:hAnsi="Cambria Math"/>
          <w:i/>
          <w:iCs/>
        </w:rPr>
        <w:t xml:space="preserve">α = κ/(1−β)</w:t>
      </w:r>
      <w:r>
        <w:t xml:space="preserve"> is derived, not fitted. This represents a substantial improvement in predictive economy.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8.2 The η Observable</w:t>
      </w:r>
    </w:p>
    <w:p>
      <w:pPr>
        <w:spacing w:after="120" w:before="60" w:line="276"/>
      </w:pPr>
      <w:r>
        <w:t xml:space="preserve">The prediction </w:t>
      </w:r>
      <w:r>
        <w:rPr>
          <w:rFonts w:ascii="Cambria Math" w:cs="Cambria Math" w:eastAsia="Cambria Math" w:hAnsi="Cambria Math"/>
          <w:i/>
          <w:iCs/>
        </w:rPr>
        <w:t xml:space="preserve">η_LVC = 0.670</w:t>
      </w:r>
      <w:r>
        <w:t xml:space="preserve"> arises inevitably from the no-go theorem: any </w:t>
      </w:r>
      <w:r>
        <w:rPr>
          <w:rFonts w:ascii="Cambria Math" w:cs="Cambria Math" w:eastAsia="Cambria Math" w:hAnsi="Cambria Math"/>
          <w:i/>
          <w:iCs/>
        </w:rPr>
        <w:t xml:space="preserve">T(z)</w:t>
      </w:r>
      <w:r>
        <w:t xml:space="preserve"> that simultaneously preserves </w:t>
      </w:r>
      <w:r>
        <w:rPr>
          <w:rFonts w:ascii="Cambria Math" w:cs="Cambria Math" w:eastAsia="Cambria Math" w:hAnsi="Cambria Math"/>
          <w:i/>
          <w:iCs/>
        </w:rPr>
        <w:t xml:space="preserve">D_M</w:t>
      </w:r>
      <w:r>
        <w:t xml:space="preserve"> and improves SN must boost at </w:t>
      </w:r>
      <w:r>
        <w:rPr>
          <w:rFonts w:ascii="Cambria Math" w:cs="Cambria Math" w:eastAsia="Cambria Math" w:hAnsi="Cambria Math"/>
          <w:i/>
          <w:iCs/>
        </w:rPr>
        <w:t xml:space="preserve">z &gt; 2</w:t>
      </w:r>
      <w:r>
        <w:t xml:space="preserve">, which raises </w:t>
      </w:r>
      <w:r>
        <w:rPr>
          <w:rFonts w:ascii="Cambria Math" w:cs="Cambria Math" w:eastAsia="Cambria Math" w:hAnsi="Cambria Math"/>
          <w:i/>
          <w:iCs/>
        </w:rPr>
        <w:t xml:space="preserve">η</w:t>
      </w:r>
      <w:r>
        <w:t xml:space="preserve"> above the ΛCDM value. This is a falsifiable prediction: if future surveys measure </w:t>
      </w:r>
      <w:r>
        <w:rPr>
          <w:rFonts w:ascii="Cambria Math" w:cs="Cambria Math" w:eastAsia="Cambria Math" w:hAnsi="Cambria Math"/>
          <w:i/>
          <w:iCs/>
        </w:rPr>
        <w:t xml:space="preserve">η ≈ 0.67</w:t>
      </w:r>
      <w:r>
        <w:t xml:space="preserve">, it constitutes strong evidence for LVC; if </w:t>
      </w:r>
      <w:r>
        <w:rPr>
          <w:rFonts w:ascii="Cambria Math" w:cs="Cambria Math" w:eastAsia="Cambria Math" w:hAnsi="Cambria Math"/>
          <w:i/>
          <w:iCs/>
        </w:rPr>
        <w:t xml:space="preserve">η &lt; 0.58</w:t>
      </w:r>
      <w:r>
        <w:t xml:space="preserve">, the theory requires a perturbation-sector extension.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8.3 Path to Full CMB Validation</w:t>
      </w:r>
    </w:p>
    <w:p>
      <w:pPr>
        <w:spacing w:after="120" w:before="60" w:line="276"/>
      </w:pPr>
      <w:r>
        <w:t xml:space="preserve">The background </w:t>
      </w:r>
      <w:r>
        <w:rPr>
          <w:rFonts w:ascii="Cambria Math" w:cs="Cambria Math" w:eastAsia="Cambria Math" w:hAnsi="Cambria Math"/>
          <w:i/>
          <w:iCs/>
        </w:rPr>
        <w:t xml:space="preserve">T(z)</w:t>
      </w:r>
      <w:r>
        <w:t xml:space="preserve"> channel is complete. The remaining high-</w:t>
      </w:r>
      <w:r>
        <w:rPr>
          <w:rFonts w:ascii="Cambria Math" w:cs="Cambria Math" w:eastAsia="Cambria Math" w:hAnsi="Cambria Math"/>
          <w:i/>
          <w:iCs/>
        </w:rPr>
        <w:t xml:space="preserve">ℓ</w:t>
      </w:r>
      <w:r>
        <w:t xml:space="preserve"> discrepancies (Silk damping tail) require a perturbation-sector extension in which the effective photon–baryon Thomson cross-section is modulated: </w:t>
      </w:r>
      <w:r>
        <w:rPr>
          <w:rFonts w:ascii="Cambria Math" w:cs="Cambria Math" w:eastAsia="Cambria Math" w:hAnsi="Cambria Math"/>
          <w:i/>
          <w:iCs/>
        </w:rPr>
        <w:t xml:space="preserve">σ_T^eff(z) = σ_T · [1 + δ_T(z)]</w:t>
      </w:r>
      <w:r>
        <w:t xml:space="preserve">. This extension, to be reported in LVC v3, does not alter the background observables established here.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Conclusion</w:t>
      </w:r>
    </w:p>
    <w:p>
      <w:pPr>
        <w:pBdr>
          <w:bottom w:val="single" w:color="2E6DA4" w:sz="6" w:space="1"/>
        </w:pBdr>
        <w:spacing w:after="40" w:before="40"/>
      </w:pPr>
    </w:p>
    <w:p>
      <w:pPr>
        <w:spacing w:after="120" w:before="60" w:line="276"/>
      </w:pPr>
      <w:r>
        <w:t xml:space="preserve">LVC v2 establishes a theoretically complete and observationally competitive alternative to ΛCDM for the background expansion history. The universal bridge relation </w:t>
      </w:r>
      <w:r>
        <w:rPr>
          <w:rFonts w:ascii="Cambria Math" w:cs="Cambria Math" w:eastAsia="Cambria Math" w:hAnsi="Cambria Math"/>
          <w:i/>
          <w:iCs/>
        </w:rPr>
        <w:t xml:space="preserve">α = κ[T]/(1−β)</w:t>
      </w:r>
      <w:r>
        <w:t xml:space="preserve"> closes the parameter structure; the </w:t>
      </w:r>
      <w:r>
        <w:rPr>
          <w:rFonts w:ascii="Cambria Math" w:cs="Cambria Math" w:eastAsia="Cambria Math" w:hAnsi="Cambria Math"/>
          <w:i/>
          <w:iCs/>
        </w:rPr>
        <w:t xml:space="preserve">ΔD_M = 0</w:t>
      </w:r>
      <w:r>
        <w:t xml:space="preserve"> condition provides a clean geometric constraint on </w:t>
      </w:r>
      <w:r>
        <w:rPr>
          <w:rFonts w:ascii="Cambria Math" w:cs="Cambria Math" w:eastAsia="Cambria Math" w:hAnsi="Cambria Math"/>
          <w:i/>
          <w:iCs/>
        </w:rPr>
        <w:t xml:space="preserve">T(z)</w:t>
      </w:r>
      <w:r>
        <w:t xml:space="preserve">; and the no-go theorem rigorously delimits the space of single-channel solutions.</w:t>
      </w:r>
    </w:p>
    <w:p>
      <w:pPr>
        <w:spacing w:after="120" w:before="60" w:line="276"/>
      </w:pPr>
      <w:r>
        <w:t xml:space="preserve">The key predictions are: (i) </w:t>
      </w:r>
      <w:r>
        <w:rPr>
          <w:rFonts w:ascii="Cambria Math" w:cs="Cambria Math" w:eastAsia="Cambria Math" w:hAnsi="Cambria Math"/>
          <w:i/>
          <w:iCs/>
        </w:rPr>
        <w:t xml:space="preserve">Δχ²_SN = −167</w:t>
      </w:r>
      <w:r>
        <w:t xml:space="preserve"> (universal); (ii) CMB acoustic peaks </w:t>
      </w:r>
      <w:r>
        <w:rPr>
          <w:rFonts w:ascii="Cambria Math" w:cs="Cambria Math" w:eastAsia="Cambria Math" w:hAnsi="Cambria Math"/>
          <w:i/>
          <w:iCs/>
        </w:rPr>
        <w:t xml:space="preserve">ℓ₁ = 220</w:t>
      </w:r>
      <w:r>
        <w:t xml:space="preserve">, </w:t>
      </w:r>
      <w:r>
        <w:rPr>
          <w:rFonts w:ascii="Cambria Math" w:cs="Cambria Math" w:eastAsia="Cambria Math" w:hAnsi="Cambria Math"/>
          <w:i/>
          <w:iCs/>
        </w:rPr>
        <w:t xml:space="preserve">ℓ₂ = 537</w:t>
      </w:r>
      <w:r>
        <w:t xml:space="preserve">; (iii) </w:t>
      </w:r>
      <w:r>
        <w:rPr>
          <w:rFonts w:ascii="Cambria Math" w:cs="Cambria Math" w:eastAsia="Cambria Math" w:hAnsi="Cambria Math"/>
          <w:i/>
          <w:iCs/>
        </w:rPr>
        <w:t xml:space="preserve">η_LVC = 0.670</w:t>
      </w:r>
      <w:r>
        <w:t xml:space="preserve"> as a discriminating prediction versus ΛCDM's </w:t>
      </w:r>
      <w:r>
        <w:rPr>
          <w:rFonts w:ascii="Cambria Math" w:cs="Cambria Math" w:eastAsia="Cambria Math" w:hAnsi="Cambria Math"/>
          <w:i/>
          <w:iCs/>
        </w:rPr>
        <w:t xml:space="preserve">η = 0.575</w:t>
      </w:r>
      <w:r>
        <w:t xml:space="preserve">. Full CMB TT/EE/TE validation via a perturbation extension is the subject of the next stage.</w:t>
      </w:r>
    </w:p>
    <w:p>
      <w:pPr>
        <w:spacing w:after="300"/>
      </w:pPr>
    </w:p>
    <w:p>
      <w:pPr>
        <w:pBdr>
          <w:bottom w:val="single" w:color="1A3A5C" w:sz="6" w:space="1"/>
        </w:pBdr>
        <w:spacing w:after="40" w:before="40"/>
      </w:pPr>
    </w:p>
    <w:p>
      <w:pPr>
        <w:spacing w:after="60" w:before="160"/>
        <w:jc w:val="center"/>
      </w:pPr>
      <w:r>
        <w:rPr>
          <w:i/>
          <w:iCs/>
          <w:color w:val="1A3A5C"/>
          <w:sz w:val="18"/>
          <w:szCs w:val="18"/>
        </w:rPr>
        <w:t xml:space="preserve">Lumenpixel Research Division  ·  April 2025  ·  Working Paper</w:t>
      </w:r>
    </w:p>
    <w:p>
      <w:pPr>
        <w:jc w:val="center"/>
      </w:pPr>
      <w:r>
        <w:rPr>
          <w:color w:val="888888"/>
          <w:sz w:val="16"/>
          <w:szCs w:val="16"/>
        </w:rPr>
        <w:t xml:space="preserve">This document is a confidential intermediate report. All results are preliminary.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/>
      </w:pBdr>
      <w:spacing w:before="80"/>
      <w:jc w:val="center"/>
    </w:pPr>
    <w:r>
      <w:rPr>
        <w:color w:val="1A3A5C"/>
        <w:sz w:val="16"/>
        <w:szCs w:val="16"/>
      </w:rPr>
      <w:t xml:space="preserve">© 2025 Lumenpixel · Confidential Working Paper · Page </w:t>
    </w:r>
    <w:r>
      <w:rPr>
        <w:color w:val="1A3A5C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/>
      </w:pBdr>
      <w:spacing w:after="120"/>
    </w:pPr>
    <w:r>
      <w:rPr>
        <w:b/>
        <w:bCs/>
        <w:color w:val="1A3A5C"/>
        <w:sz w:val="18"/>
        <w:szCs w:val="18"/>
      </w:rPr>
      <w:t xml:space="preserve">LVC v2 · Lumenpixel Research</w:t>
    </w:r>
    <w:r>
      <w:rPr>
        <w:color w:val="2E6DA4"/>
        <w:sz w:val="18"/>
        <w:szCs w:val="18"/>
      </w:rPr>
      <w:t xml:space="preserve">  ·  Intermediate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7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2026-04-26T13:24:10.135Z</dcterms:created>
  <dcterms:modified xsi:type="dcterms:W3CDTF">2026-04-26T13:24:10.136Z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