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0B1A2B"/>
          <w:sz w:val="26"/>
          <w:szCs w:val="26"/>
        </w:rPr>
        <w:t xml:space="preserve">[Nom de l'université]</w:t>
      </w:r>
    </w:p>
    <w:p>
      <w:pPr>
        <w:spacing w:after="80" w:before="0"/>
        <w:jc w:val="center"/>
      </w:pPr>
      <w:r>
        <w:rPr>
          <w:rFonts w:ascii="Arial" w:cs="Arial" w:eastAsia="Arial" w:hAnsi="Arial"/>
          <w:color w:val="0B1A2B"/>
          <w:sz w:val="24"/>
          <w:szCs w:val="24"/>
        </w:rPr>
        <w:t xml:space="preserve">[Faculté / Département d'informatique]</w:t>
      </w:r>
    </w:p>
    <w:p>
      <w:pPr>
        <w:spacing w:after="500" w:before="0"/>
        <w:jc w:val="center"/>
      </w:pPr>
      <w:r>
        <w:rPr>
          <w:rFonts w:ascii="Arial" w:cs="Arial" w:eastAsia="Arial" w:hAnsi="Arial"/>
          <w:color w:val="0B1A2B"/>
          <w:sz w:val="24"/>
          <w:szCs w:val="24"/>
        </w:rPr>
        <w:t xml:space="preserve">Licence [Informatique / Réseaux et sécurité]</w:t>
      </w:r>
    </w:p>
    <w:p>
      <w:pPr>
        <w:spacing w:after="300" w:line="240" w:lineRule="auto"/>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1047750"/>
                    </a:xfrm>
                    <a:prstGeom prst="rect">
                      <a:avLst/>
                    </a:prstGeom>
                  </pic:spPr>
                </pic:pic>
              </a:graphicData>
            </a:graphic>
          </wp:inline>
        </w:drawing>
      </w:r>
    </w:p>
    <w:p>
      <w:pPr>
        <w:spacing w:after="80" w:before="0"/>
        <w:jc w:val="center"/>
      </w:pPr>
      <w:r>
        <w:rPr>
          <w:rFonts w:ascii="Arial" w:cs="Arial" w:eastAsia="Arial" w:hAnsi="Arial"/>
          <w:b/>
          <w:bCs/>
          <w:color w:val="00A854"/>
          <w:sz w:val="30"/>
          <w:szCs w:val="30"/>
        </w:rPr>
        <w:t xml:space="preserve">MÉMOIRE DE PROJET DE FIN D'ÉTUDES</w:t>
      </w:r>
    </w:p>
    <w:p>
      <w:pPr>
        <w:spacing w:after="400" w:before="0"/>
        <w:jc w:val="center"/>
      </w:pPr>
      <w:r>
        <w:rPr>
          <w:rFonts w:ascii="Arial" w:cs="Arial" w:eastAsia="Arial" w:hAnsi="Arial"/>
          <w:i/>
          <w:iCs/>
          <w:color w:val="5B6675"/>
          <w:sz w:val="22"/>
          <w:szCs w:val="22"/>
        </w:rPr>
        <w:t xml:space="preserve">en vue de l'obtention du diplôme de Licence</w:t>
      </w:r>
    </w:p>
    <w:p>
      <w:pPr>
        <w:pBdr>
          <w:top w:val="single" w:color="00A854" w:sz="12" w:space="8"/>
          <w:bottom w:val="single" w:color="00A854" w:sz="12" w:space="8"/>
        </w:pBdr>
        <w:spacing w:after="160"/>
        <w:jc w:val="center"/>
      </w:pPr>
      <w:r>
        <w:rPr>
          <w:rFonts w:ascii="Consolas" w:cs="Consolas" w:eastAsia="Consolas" w:hAnsi="Consolas"/>
          <w:b/>
          <w:bCs/>
          <w:color w:val="0B1A2B"/>
          <w:sz w:val="64"/>
          <w:szCs w:val="64"/>
        </w:rPr>
        <w:t xml:space="preserve">MAKKADi</w:t>
      </w:r>
    </w:p>
    <w:p>
      <w:pPr>
        <w:spacing w:after="80" w:before="0"/>
        <w:jc w:val="center"/>
      </w:pPr>
      <w:r>
        <w:rPr>
          <w:rFonts w:ascii="Arial" w:cs="Arial" w:eastAsia="Arial" w:hAnsi="Arial"/>
          <w:b/>
          <w:bCs/>
          <w:color w:val="0B1A2B"/>
          <w:sz w:val="28"/>
          <w:szCs w:val="28"/>
        </w:rPr>
        <w:t xml:space="preserve">Plateforme d'investigation OSINT assistée par intelligence artificielle,</w:t>
      </w:r>
    </w:p>
    <w:p>
      <w:pPr>
        <w:spacing w:after="160" w:before="0"/>
        <w:jc w:val="center"/>
      </w:pPr>
      <w:r>
        <w:rPr>
          <w:rFonts w:ascii="Arial" w:cs="Arial" w:eastAsia="Arial" w:hAnsi="Arial"/>
          <w:b/>
          <w:bCs/>
          <w:color w:val="0B1A2B"/>
          <w:sz w:val="28"/>
          <w:szCs w:val="28"/>
        </w:rPr>
        <w:t xml:space="preserve">intégrée au SIEM, pour analystes SOC</w:t>
      </w:r>
    </w:p>
    <w:p>
      <w:pPr>
        <w:spacing w:after="900" w:before="0"/>
        <w:jc w:val="center"/>
      </w:pPr>
      <w:r>
        <w:rPr>
          <w:rFonts w:ascii="Arial" w:cs="Arial" w:eastAsia="Arial" w:hAnsi="Arial"/>
          <w:color w:val="5B6675"/>
          <w:sz w:val="22"/>
          <w:szCs w:val="22"/>
        </w:rPr>
        <w:t xml:space="preserve">Conception, réalisation, sécurisation et distribution d'une application Windows</w:t>
      </w:r>
    </w:p>
    <w:p>
      <w:pPr>
        <w:tabs>
          <w:tab w:val="right" w:pos="4300"/>
          <w:tab w:val="left" w:pos="4500"/>
        </w:tabs>
        <w:spacing w:after="100"/>
      </w:pPr>
      <w:r>
        <w:rPr>
          <w:rFonts w:ascii="Arial" w:cs="Arial" w:eastAsia="Arial" w:hAnsi="Arial"/>
          <w:b/>
          <w:bCs/>
          <w:color w:val="00A854"/>
          <w:sz w:val="23"/>
          <w:szCs w:val="23"/>
        </w:rPr>
        <w:t xml:space="preserve">	Réalisé par :</w:t>
      </w:r>
      <w:r>
        <w:rPr>
          <w:rFonts w:ascii="Arial" w:cs="Arial" w:eastAsia="Arial" w:hAnsi="Arial"/>
          <w:color w:val="0B1A2B"/>
          <w:sz w:val="23"/>
          <w:szCs w:val="23"/>
        </w:rPr>
        <w:t xml:space="preserve">	[Nom et prénom de l'étudiant]</w:t>
      </w:r>
    </w:p>
    <w:p>
      <w:pPr>
        <w:tabs>
          <w:tab w:val="right" w:pos="4300"/>
          <w:tab w:val="left" w:pos="4500"/>
        </w:tabs>
        <w:spacing w:after="100"/>
      </w:pPr>
      <w:r>
        <w:rPr>
          <w:rFonts w:ascii="Arial" w:cs="Arial" w:eastAsia="Arial" w:hAnsi="Arial"/>
          <w:b/>
          <w:bCs/>
          <w:color w:val="00A854"/>
          <w:sz w:val="23"/>
          <w:szCs w:val="23"/>
        </w:rPr>
        <w:t xml:space="preserve">	Encadrant académique :</w:t>
      </w:r>
      <w:r>
        <w:rPr>
          <w:rFonts w:ascii="Arial" w:cs="Arial" w:eastAsia="Arial" w:hAnsi="Arial"/>
          <w:color w:val="0B1A2B"/>
          <w:sz w:val="23"/>
          <w:szCs w:val="23"/>
        </w:rPr>
        <w:t xml:space="preserve">	[Nom de l'encadrant]</w:t>
      </w:r>
    </w:p>
    <w:p>
      <w:pPr>
        <w:tabs>
          <w:tab w:val="right" w:pos="4300"/>
          <w:tab w:val="left" w:pos="4500"/>
        </w:tabs>
        <w:spacing w:after="100"/>
      </w:pPr>
      <w:r>
        <w:rPr>
          <w:rFonts w:ascii="Arial" w:cs="Arial" w:eastAsia="Arial" w:hAnsi="Arial"/>
          <w:b/>
          <w:bCs/>
          <w:color w:val="00A854"/>
          <w:sz w:val="23"/>
          <w:szCs w:val="23"/>
        </w:rPr>
        <w:t xml:space="preserve">	Encadrant professionnel :</w:t>
      </w:r>
      <w:r>
        <w:rPr>
          <w:rFonts w:ascii="Arial" w:cs="Arial" w:eastAsia="Arial" w:hAnsi="Arial"/>
          <w:color w:val="0B1A2B"/>
          <w:sz w:val="23"/>
          <w:szCs w:val="23"/>
        </w:rPr>
        <w:t xml:space="preserve">	[Nom, organisme d'accueil]</w:t>
      </w:r>
    </w:p>
    <w:p>
      <w:pPr>
        <w:tabs>
          <w:tab w:val="right" w:pos="4300"/>
          <w:tab w:val="left" w:pos="4500"/>
        </w:tabs>
        <w:spacing w:after="100"/>
      </w:pPr>
      <w:r>
        <w:rPr>
          <w:rFonts w:ascii="Arial" w:cs="Arial" w:eastAsia="Arial" w:hAnsi="Arial"/>
          <w:b/>
          <w:bCs/>
          <w:color w:val="00A854"/>
          <w:sz w:val="23"/>
          <w:szCs w:val="23"/>
        </w:rPr>
        <w:t xml:space="preserve">	Soutenu le :</w:t>
      </w:r>
      <w:r>
        <w:rPr>
          <w:rFonts w:ascii="Arial" w:cs="Arial" w:eastAsia="Arial" w:hAnsi="Arial"/>
          <w:color w:val="0B1A2B"/>
          <w:sz w:val="23"/>
          <w:szCs w:val="23"/>
        </w:rPr>
        <w:t xml:space="preserve">	[Date de soutenance]</w:t>
      </w:r>
    </w:p>
    <w:p>
      <w:pPr>
        <w:spacing w:after="80" w:before="900"/>
        <w:jc w:val="center"/>
      </w:pPr>
      <w:r>
        <w:rPr>
          <w:rFonts w:ascii="Arial" w:cs="Arial" w:eastAsia="Arial" w:hAnsi="Arial"/>
          <w:b/>
          <w:bCs/>
          <w:color w:val="0B1A2B"/>
          <w:sz w:val="24"/>
          <w:szCs w:val="24"/>
        </w:rPr>
        <w:t xml:space="preserve">Année universitaire 2026/2027</w:t>
      </w:r>
    </w:p>
    <w:p>
      <w:r>
        <w:br w:type="page"/>
      </w:r>
    </w:p>
    <w:p>
      <w:pPr>
        <w:pStyle w:val="Heading1"/>
      </w:pPr>
      <w:r>
        <w:t xml:space="preserve">Remerciements</w:t>
      </w:r>
    </w:p>
    <w:p>
      <w:pPr>
        <w:jc w:val="both"/>
      </w:pPr>
      <w:r>
        <w:t xml:space="preserve">Je tiens à remercier [Nom de l'encadrant académique] pour son encadrement, ses conseils méthodologiques et sa disponibilité tout au long de ce projet, ainsi que [Nom de l'encadrant professionnel] pour avoir partagé les réalités opérationnelles d'un centre des opérations de sécurité.</w:t>
      </w:r>
    </w:p>
    <w:p>
      <w:pPr>
        <w:jc w:val="both"/>
      </w:pPr>
      <w:r>
        <w:t xml:space="preserve">Mes remerciements vont également aux membres du jury qui ont accepté d'évaluer ce travail, à l'ensemble des enseignants de la filière pour la qualité de leur formation, ainsi qu'à ma famille et à mes proches pour leur soutien constant.</w:t>
      </w:r>
    </w:p>
    <w:p>
      <w:r>
        <w:br w:type="page"/>
      </w:r>
    </w:p>
    <w:p>
      <w:pPr>
        <w:pStyle w:val="Heading1"/>
      </w:pPr>
      <w:r>
        <w:t xml:space="preserve">Résumé</w:t>
      </w:r>
    </w:p>
    <w:p>
      <w:pPr>
        <w:jc w:val="both"/>
      </w:pPr>
      <w:r>
        <w:t xml:space="preserve">Les centres des opérations de sécurité (SOC) reçoivent chaque jour un volume d'alertes que les analystes ne peuvent pas qualifier manuellement dans des délais raisonnables. Pour chaque adresse IP suspecte, l'analyste consulte plusieurs sources ouvertes, recoupe les résultats, rédige une synthèse et documente sa décision : un travail répétitif, sujet aux erreurs et difficile à tracer.</w:t>
      </w:r>
    </w:p>
    <w:p>
      <w:pPr>
        <w:jc w:val="both"/>
      </w:pPr>
      <w:r>
        <w:t xml:space="preserve">Ce projet propose </w:t>
      </w:r>
      <w:r>
        <w:rPr>
          <w:b/>
          <w:bCs/>
        </w:rPr>
        <w:t xml:space="preserve">MAKKADi</w:t>
      </w:r>
      <w:r>
        <w:t xml:space="preserve">, une plateforme qui transforme automatiquement un événement SIEM suspect en une investigation structurée. L'application récupère l'événement, extrait et valide les indicateurs de compromission, interroge des sources OSINT et de Threat Intelligence, corrèle les résultats, calcule séparément un </w:t>
      </w:r>
      <w:r>
        <w:rPr>
          <w:b/>
          <w:bCs/>
        </w:rPr>
        <w:t xml:space="preserve">niveau de risque</w:t>
      </w:r>
      <w:r>
        <w:t xml:space="preserve"> et un </w:t>
      </w:r>
      <w:r>
        <w:rPr>
          <w:b/>
          <w:bCs/>
        </w:rPr>
        <w:t xml:space="preserve">niveau de confiance</w:t>
      </w:r>
      <w:r>
        <w:t xml:space="preserve"> explicables, produit une analyse assistée dont chaque affirmation est rattachée à une preuve, puis génère des rapports PDF et JSON horodatés et vérifiables. La solution est développée en Python (FastAPI, SQLAlchemy) et React (TypeScript), et distribuée sous la forme d'un exécutable Windows grâce à Electron et PyInstaller.</w:t>
      </w:r>
    </w:p>
    <w:p>
      <w:pPr>
        <w:jc w:val="both"/>
      </w:pPr>
      <w:r>
        <w:t xml:space="preserve">Le prototype est fonctionnel : 147 tests automatisés passent sous Linux et Windows, la suite complète passe également sur PostgreSQL, un test de bout en bout valide l'interface, et l'installateur Windows est compilé puis lancé automatiquement sur une machine Windows d'intégration continue.</w:t>
      </w:r>
    </w:p>
    <w:p>
      <w:pPr>
        <w:jc w:val="both"/>
      </w:pPr>
      <w:r>
        <w:rPr>
          <w:b/>
          <w:bCs/>
        </w:rPr>
        <w:t xml:space="preserve">Mots-clés :</w:t>
      </w:r>
      <w:r>
        <w:t xml:space="preserve"> SOC, SIEM, OSINT, Threat Intelligence, investigation numérique, intelligence artificielle, injection de prompt, scoring explicable, sécurité applicative, FastAPI, React, Electron.</w:t>
      </w:r>
    </w:p>
    <w:p>
      <w:pPr>
        <w:pStyle w:val="Heading1"/>
      </w:pPr>
      <w:r>
        <w:t xml:space="preserve">Abstract</w:t>
      </w:r>
    </w:p>
    <w:p>
      <w:pPr>
        <w:jc w:val="both"/>
      </w:pPr>
      <w:r>
        <w:t xml:space="preserve">Security Operations Centers receive more alerts than analysts can triage manually. For each suspicious IP address, analysts query several open sources, cross-check results, write a summary and document their decision, a repetitive, error-prone and poorly traceable process.</w:t>
      </w:r>
    </w:p>
    <w:p>
      <w:pPr>
        <w:jc w:val="both"/>
      </w:pPr>
      <w:r>
        <w:t xml:space="preserve">This project presents </w:t>
      </w:r>
      <w:r>
        <w:rPr>
          <w:b/>
          <w:bCs/>
        </w:rPr>
        <w:t xml:space="preserve">MAKKADi</w:t>
      </w:r>
      <w:r>
        <w:t xml:space="preserve">, a platform that automatically turns a suspicious SIEM event into a structured investigation: event ingestion, indicator extraction and validation, OSINT and threat intelligence enrichment, cross-source correlation, explainable and separate risk and confidence scores, evidence-grounded AI-assisted analysis protected against prompt injection, and verifiable PDF/JSON reports. It is built with Python (FastAPI) and React (TypeScript) and shipped as a Windows executable (Electron and PyInstaller). The prototype passes 147 automated tests on Linux and Windows and is validated end to end.</w:t>
      </w:r>
    </w:p>
    <w:p>
      <w:pPr>
        <w:jc w:val="both"/>
      </w:pPr>
      <w:r>
        <w:rPr>
          <w:b/>
          <w:bCs/>
        </w:rPr>
        <w:t xml:space="preserve">Keywords:</w:t>
      </w:r>
      <w:r>
        <w:t xml:space="preserve"> SOC, SIEM, OSINT, threat intelligence, digital investigation, artificial intelligence, prompt injection, explainable scoring, application security.</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before="200"/>
      </w:pPr>
      <w:r>
        <w:rPr>
          <w:i/>
          <w:iCs/>
          <w:color w:val="5B6675"/>
          <w:sz w:val="18"/>
          <w:szCs w:val="18"/>
        </w:rPr>
        <w:t xml:space="preserve">Si le sommaire n'apparaît pas, faire clic droit puis Mettre à jour les champs.</w:t>
      </w:r>
    </w:p>
    <w:p>
      <w:r>
        <w:br w:type="page"/>
      </w:r>
    </w:p>
    <w:p>
      <w:pPr>
        <w:pStyle w:val="Heading1"/>
      </w:pPr>
      <w:r>
        <w:t xml:space="preserve">Liste des abréviations</w:t>
      </w:r>
    </w:p>
    <w:tbl>
      <w:tblPr>
        <w:tblW w:type="dxa" w:w="9071"/>
        <w:tblBorders>
          <w:top w:val="single" w:color="C9D3DD" w:sz="4"/>
          <w:left w:val="single" w:color="C9D3DD" w:sz="4"/>
          <w:bottom w:val="single" w:color="C9D3DD" w:sz="4"/>
          <w:right w:val="single" w:color="C9D3DD" w:sz="4"/>
          <w:insideH w:val="single" w:color="C9D3DD" w:sz="4"/>
          <w:insideV w:val="single" w:color="C9D3DD" w:sz="4"/>
        </w:tblBorders>
      </w:tblPr>
      <w:tblGrid>
        <w:gridCol w:w="1928"/>
        <w:gridCol w:w="7143"/>
      </w:tblGrid>
      <w:tr>
        <w:trPr>
          <w:tblHeader/>
        </w:trPr>
        <w:tc>
          <w:tcPr>
            <w:tcW w:type="dxa" w:w="1928"/>
            <w:shd w:fill="0B1A2B" w:color="auto" w:val="clear"/>
            <w:tcMar>
              <w:top w:type="dxa" w:w="50"/>
              <w:left w:type="dxa" w:w="90"/>
              <w:bottom w:type="dxa" w:w="50"/>
              <w:right w:type="dxa" w:w="90"/>
            </w:tcMar>
          </w:tcPr>
          <w:p>
            <w:pPr>
              <w:spacing w:after="0" w:line="260"/>
            </w:pPr>
            <w:r>
              <w:rPr>
                <w:rFonts w:ascii="Arial" w:cs="Arial" w:eastAsia="Arial" w:hAnsi="Arial"/>
                <w:b/>
                <w:bCs/>
                <w:color w:val="FFFFFF"/>
                <w:sz w:val="18"/>
                <w:szCs w:val="18"/>
              </w:rPr>
              <w:t xml:space="preserve">Sigle</w:t>
            </w:r>
          </w:p>
        </w:tc>
        <w:tc>
          <w:tcPr>
            <w:tcW w:type="dxa" w:w="7143"/>
            <w:shd w:fill="0B1A2B" w:color="auto" w:val="clear"/>
            <w:tcMar>
              <w:top w:type="dxa" w:w="50"/>
              <w:left w:type="dxa" w:w="90"/>
              <w:bottom w:type="dxa" w:w="50"/>
              <w:right w:type="dxa" w:w="90"/>
            </w:tcMar>
          </w:tcPr>
          <w:p>
            <w:pPr>
              <w:spacing w:after="0" w:line="260"/>
            </w:pPr>
            <w:r>
              <w:rPr>
                <w:rFonts w:ascii="Arial" w:cs="Arial" w:eastAsia="Arial" w:hAnsi="Arial"/>
                <w:b/>
                <w:bCs/>
                <w:color w:val="FFFFFF"/>
                <w:sz w:val="18"/>
                <w:szCs w:val="18"/>
              </w:rPr>
              <w:t xml:space="preserve">Signification</w:t>
            </w:r>
          </w:p>
        </w:tc>
      </w:tr>
      <w:tr>
        <w:trPr>
          <w:tblHeader w:val="false"/>
        </w:trPr>
        <w:tc>
          <w:tcPr>
            <w:tcW w:type="dxa" w:w="1928"/>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API</w:t>
            </w:r>
          </w:p>
        </w:tc>
        <w:tc>
          <w:tcPr>
            <w:tcW w:type="dxa" w:w="7143"/>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Application Programming Interface</w:t>
            </w:r>
          </w:p>
        </w:tc>
      </w:tr>
      <w:tr>
        <w:trPr>
          <w:tblHeader w:val="false"/>
        </w:trPr>
        <w:tc>
          <w:tcPr>
            <w:tcW w:type="dxa" w:w="1928"/>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ASN</w:t>
            </w:r>
          </w:p>
        </w:tc>
        <w:tc>
          <w:tcPr>
            <w:tcW w:type="dxa" w:w="7143"/>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Autonomous System Number (numéro de système autonome)</w:t>
            </w:r>
          </w:p>
        </w:tc>
      </w:tr>
      <w:tr>
        <w:trPr>
          <w:tblHeader w:val="false"/>
        </w:trPr>
        <w:tc>
          <w:tcPr>
            <w:tcW w:type="dxa" w:w="1928"/>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BGP</w:t>
            </w:r>
          </w:p>
        </w:tc>
        <w:tc>
          <w:tcPr>
            <w:tcW w:type="dxa" w:w="7143"/>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Border Gateway Protocol</w:t>
            </w:r>
          </w:p>
        </w:tc>
      </w:tr>
      <w:tr>
        <w:trPr>
          <w:tblHeader w:val="false"/>
        </w:trPr>
        <w:tc>
          <w:tcPr>
            <w:tcW w:type="dxa" w:w="1928"/>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CT</w:t>
            </w:r>
          </w:p>
        </w:tc>
        <w:tc>
          <w:tcPr>
            <w:tcW w:type="dxa" w:w="7143"/>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Certificate Transparency</w:t>
            </w:r>
          </w:p>
        </w:tc>
      </w:tr>
      <w:tr>
        <w:trPr>
          <w:tblHeader w:val="false"/>
        </w:trPr>
        <w:tc>
          <w:tcPr>
            <w:tcW w:type="dxa" w:w="1928"/>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DPAPI</w:t>
            </w:r>
          </w:p>
        </w:tc>
        <w:tc>
          <w:tcPr>
            <w:tcW w:type="dxa" w:w="7143"/>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Data Protection API (Windows)</w:t>
            </w:r>
          </w:p>
        </w:tc>
      </w:tr>
      <w:tr>
        <w:trPr>
          <w:tblHeader w:val="false"/>
        </w:trPr>
        <w:tc>
          <w:tcPr>
            <w:tcW w:type="dxa" w:w="1928"/>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IOC</w:t>
            </w:r>
          </w:p>
        </w:tc>
        <w:tc>
          <w:tcPr>
            <w:tcW w:type="dxa" w:w="7143"/>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Indicator of Compromise (indicateur de compromission)</w:t>
            </w:r>
          </w:p>
        </w:tc>
      </w:tr>
      <w:tr>
        <w:trPr>
          <w:tblHeader w:val="false"/>
        </w:trPr>
        <w:tc>
          <w:tcPr>
            <w:tcW w:type="dxa" w:w="1928"/>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JWT</w:t>
            </w:r>
          </w:p>
        </w:tc>
        <w:tc>
          <w:tcPr>
            <w:tcW w:type="dxa" w:w="7143"/>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JSON Web Token</w:t>
            </w:r>
          </w:p>
        </w:tc>
      </w:tr>
      <w:tr>
        <w:trPr>
          <w:tblHeader w:val="false"/>
        </w:trPr>
        <w:tc>
          <w:tcPr>
            <w:tcW w:type="dxa" w:w="1928"/>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LLM</w:t>
            </w:r>
          </w:p>
        </w:tc>
        <w:tc>
          <w:tcPr>
            <w:tcW w:type="dxa" w:w="7143"/>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Large Language Model (grand modèle de langage)</w:t>
            </w:r>
          </w:p>
        </w:tc>
      </w:tr>
      <w:tr>
        <w:trPr>
          <w:tblHeader w:val="false"/>
        </w:trPr>
        <w:tc>
          <w:tcPr>
            <w:tcW w:type="dxa" w:w="1928"/>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MITRE ATT&amp;CK</w:t>
            </w:r>
          </w:p>
        </w:tc>
        <w:tc>
          <w:tcPr>
            <w:tcW w:type="dxa" w:w="7143"/>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Base de connaissances des tactiques et techniques adverses</w:t>
            </w:r>
          </w:p>
        </w:tc>
      </w:tr>
      <w:tr>
        <w:trPr>
          <w:tblHeader w:val="false"/>
        </w:trPr>
        <w:tc>
          <w:tcPr>
            <w:tcW w:type="dxa" w:w="1928"/>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OSINT</w:t>
            </w:r>
          </w:p>
        </w:tc>
        <w:tc>
          <w:tcPr>
            <w:tcW w:type="dxa" w:w="7143"/>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Open Source Intelligence (renseignement d'origine sources ouvertes)</w:t>
            </w:r>
          </w:p>
        </w:tc>
      </w:tr>
      <w:tr>
        <w:trPr>
          <w:tblHeader w:val="false"/>
        </w:trPr>
        <w:tc>
          <w:tcPr>
            <w:tcW w:type="dxa" w:w="1928"/>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RBAC</w:t>
            </w:r>
          </w:p>
        </w:tc>
        <w:tc>
          <w:tcPr>
            <w:tcW w:type="dxa" w:w="7143"/>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Role-Based Access Control</w:t>
            </w:r>
          </w:p>
        </w:tc>
      </w:tr>
      <w:tr>
        <w:trPr>
          <w:tblHeader w:val="false"/>
        </w:trPr>
        <w:tc>
          <w:tcPr>
            <w:tcW w:type="dxa" w:w="1928"/>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RDAP</w:t>
            </w:r>
          </w:p>
        </w:tc>
        <w:tc>
          <w:tcPr>
            <w:tcW w:type="dxa" w:w="7143"/>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Registration Data Access Protocol</w:t>
            </w:r>
          </w:p>
        </w:tc>
      </w:tr>
      <w:tr>
        <w:trPr>
          <w:tblHeader w:val="false"/>
        </w:trPr>
        <w:tc>
          <w:tcPr>
            <w:tcW w:type="dxa" w:w="1928"/>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RIR</w:t>
            </w:r>
          </w:p>
        </w:tc>
        <w:tc>
          <w:tcPr>
            <w:tcW w:type="dxa" w:w="7143"/>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Regional Internet Registry</w:t>
            </w:r>
          </w:p>
        </w:tc>
      </w:tr>
      <w:tr>
        <w:trPr>
          <w:tblHeader w:val="false"/>
        </w:trPr>
        <w:tc>
          <w:tcPr>
            <w:tcW w:type="dxa" w:w="1928"/>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SIEM</w:t>
            </w:r>
          </w:p>
        </w:tc>
        <w:tc>
          <w:tcPr>
            <w:tcW w:type="dxa" w:w="7143"/>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Security Information and Event Management</w:t>
            </w:r>
          </w:p>
        </w:tc>
      </w:tr>
      <w:tr>
        <w:trPr>
          <w:tblHeader w:val="false"/>
        </w:trPr>
        <w:tc>
          <w:tcPr>
            <w:tcW w:type="dxa" w:w="1928"/>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SOAR</w:t>
            </w:r>
          </w:p>
        </w:tc>
        <w:tc>
          <w:tcPr>
            <w:tcW w:type="dxa" w:w="7143"/>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Security Orchestration, Automation and Response</w:t>
            </w:r>
          </w:p>
        </w:tc>
      </w:tr>
      <w:tr>
        <w:trPr>
          <w:tblHeader w:val="false"/>
        </w:trPr>
        <w:tc>
          <w:tcPr>
            <w:tcW w:type="dxa" w:w="1928"/>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SOC</w:t>
            </w:r>
          </w:p>
        </w:tc>
        <w:tc>
          <w:tcPr>
            <w:tcW w:type="dxa" w:w="7143"/>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Security Operations Center (centre des opérations de sécurité)</w:t>
            </w:r>
          </w:p>
        </w:tc>
      </w:tr>
      <w:tr>
        <w:trPr>
          <w:tblHeader w:val="false"/>
        </w:trPr>
        <w:tc>
          <w:tcPr>
            <w:tcW w:type="dxa" w:w="1928"/>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SSRF</w:t>
            </w:r>
          </w:p>
        </w:tc>
        <w:tc>
          <w:tcPr>
            <w:tcW w:type="dxa" w:w="7143"/>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Server-Side Request Forgery</w:t>
            </w:r>
          </w:p>
        </w:tc>
      </w:tr>
      <w:tr>
        <w:trPr>
          <w:tblHeader w:val="false"/>
        </w:trPr>
        <w:tc>
          <w:tcPr>
            <w:tcW w:type="dxa" w:w="1928"/>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STIX / TAXII</w:t>
            </w:r>
          </w:p>
        </w:tc>
        <w:tc>
          <w:tcPr>
            <w:tcW w:type="dxa" w:w="7143"/>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Formats et protocole d'échange de renseignement sur les menaces</w:t>
            </w:r>
          </w:p>
        </w:tc>
      </w:tr>
      <w:tr>
        <w:trPr>
          <w:tblHeader w:val="false"/>
        </w:trPr>
        <w:tc>
          <w:tcPr>
            <w:tcW w:type="dxa" w:w="1928"/>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TI</w:t>
            </w:r>
          </w:p>
        </w:tc>
        <w:tc>
          <w:tcPr>
            <w:tcW w:type="dxa" w:w="7143"/>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Threat Intelligence</w:t>
            </w:r>
          </w:p>
        </w:tc>
      </w:tr>
    </w:tbl>
    <w:p>
      <w:pPr>
        <w:spacing w:after="120"/>
      </w:pPr>
    </w:p>
    <w:p>
      <w:r>
        <w:br w:type="page"/>
      </w:r>
    </w:p>
    <w:p>
      <w:pPr>
        <w:pStyle w:val="Heading1"/>
      </w:pPr>
      <w:r>
        <w:t xml:space="preserve">Introduction générale</w:t>
      </w:r>
    </w:p>
    <w:p>
      <w:pPr>
        <w:jc w:val="both"/>
      </w:pPr>
      <w:r>
        <w:t xml:space="preserve">La détection des menaces repose aujourd'hui largement sur les SIEM, qui centralisent et corrèlent les journaux du système d'information pour lever des alertes. Mais une alerte n'est qu'un point de départ : avant de bloquer une adresse, d'isoler un poste ou de clore l'événement comme faux positif, l'analyste doit le </w:t>
      </w:r>
      <w:r>
        <w:rPr>
          <w:i/>
          <w:iCs/>
        </w:rPr>
        <w:t xml:space="preserve">qualifier</w:t>
      </w:r>
      <w:r>
        <w:t xml:space="preserve">. Cette qualification mobilise des sources ouvertes (registres Internet, bases de réputation, journaux de certificats, flux de renseignement) dont la consultation manuelle est longue et dont les résultats sont parfois contradictoires.</w:t>
      </w:r>
    </w:p>
    <w:p>
      <w:pPr>
        <w:jc w:val="both"/>
      </w:pPr>
      <w:r>
        <w:t xml:space="preserve">L'arrivée des modèles de langage ouvre des perspectives d'assistance, mais introduit de nouveaux risques : hallucinations, attributions hâtives, et surtout injection de prompt, puisque les données analysées (journaux, noms de domaine, pages web) sont contrôlables par un attaquant.</w:t>
      </w:r>
    </w:p>
    <w:p>
      <w:pPr>
        <w:jc w:val="both"/>
      </w:pPr>
      <w:r>
        <w:t xml:space="preserve">Ce mémoire présente la conception et la réalisation de </w:t>
      </w:r>
      <w:r>
        <w:rPr>
          <w:b/>
          <w:bCs/>
        </w:rPr>
        <w:t xml:space="preserve">MAKKADi</w:t>
      </w:r>
      <w:r>
        <w:t xml:space="preserve">, un outil d'investigation OSINT assistée destiné aux analystes SOC. Le fil conducteur du projet est la </w:t>
      </w:r>
      <w:r>
        <w:rPr>
          <w:b/>
          <w:bCs/>
        </w:rPr>
        <w:t xml:space="preserve">fiabilité</w:t>
      </w:r>
      <w:r>
        <w:t xml:space="preserve"> : ne jamais inventer de résultat, distinguer les faits des hypothèses, séparer le risque de la confiance, expliquer chaque score et tracer chaque action.</w:t>
      </w:r>
    </w:p>
    <w:p>
      <w:pPr>
        <w:jc w:val="both"/>
      </w:pPr>
      <w:r>
        <w:t xml:space="preserve">Le document est organisé en six chapitres : le contexte et la problématique, un état de l'art, l'analyse et la conception, la réalisation, les tests et la validation, puis les aspects de sécurité et d'éthique, avant un bilan et des perspectives.</w:t>
      </w:r>
    </w:p>
    <w:p>
      <w:r>
        <w:br w:type="page"/>
      </w:r>
    </w:p>
    <w:p>
      <w:pPr>
        <w:pStyle w:val="Heading1"/>
      </w:pPr>
      <w:r>
        <w:t xml:space="preserve">Chapitre 1 : Contexte et problématique</w:t>
      </w:r>
    </w:p>
    <w:p>
      <w:pPr>
        <w:pStyle w:val="Heading2"/>
      </w:pPr>
      <w:r>
        <w:t xml:space="preserve">1.1 Le centre des opérations de sécurité</w:t>
      </w:r>
    </w:p>
    <w:p>
      <w:pPr>
        <w:jc w:val="both"/>
      </w:pPr>
      <w:r>
        <w:t xml:space="preserve">Un SOC surveille en continu le système d'information d'une organisation. Ses analystes trient les alertes produites par le SIEM, les qualifient (vrai positif, faux positif, activité bénigne), puis déclenchent ou recommandent une réponse. Le guide NIST SP 800-61 décrit ce cycle : préparation, détection et analyse, confinement, éradication et récupération, retour d'expérience. MAKKADi se positionne sur la phase de </w:t>
      </w:r>
      <w:r>
        <w:rPr>
          <w:b/>
          <w:bCs/>
        </w:rPr>
        <w:t xml:space="preserve">détection et analyse</w:t>
      </w:r>
      <w:r>
        <w:t xml:space="preserve">.</w:t>
      </w:r>
    </w:p>
    <w:p>
      <w:pPr>
        <w:pStyle w:val="Heading2"/>
      </w:pPr>
      <w:r>
        <w:t xml:space="preserve">1.2 Constat de départ</w:t>
      </w:r>
    </w:p>
    <w:p>
      <w:pPr>
        <w:pStyle w:val="ListParagraph"/>
        <w:numPr>
          <w:ilvl w:val="0"/>
          <w:numId w:val="2"/>
        </w:numPr>
        <w:spacing w:after="60"/>
        <w:jc w:val="both"/>
      </w:pPr>
      <w:r>
        <w:rPr>
          <w:b/>
          <w:bCs/>
        </w:rPr>
        <w:t xml:space="preserve">Volume</w:t>
      </w:r>
      <w:r>
        <w:t xml:space="preserve"> : les alertes répétitives (connexions SSH échouées, balayages de ports) saturent les équipes.</w:t>
      </w:r>
    </w:p>
    <w:p>
      <w:pPr>
        <w:pStyle w:val="ListParagraph"/>
        <w:numPr>
          <w:ilvl w:val="0"/>
          <w:numId w:val="2"/>
        </w:numPr>
        <w:spacing w:after="60"/>
        <w:jc w:val="both"/>
      </w:pPr>
      <w:r>
        <w:rPr>
          <w:b/>
          <w:bCs/>
        </w:rPr>
        <w:t xml:space="preserve">Dispersion</w:t>
      </w:r>
      <w:r>
        <w:t xml:space="preserve"> : chaque source OSINT a sa propre interface, ses quotas et son format.</w:t>
      </w:r>
    </w:p>
    <w:p>
      <w:pPr>
        <w:pStyle w:val="ListParagraph"/>
        <w:numPr>
          <w:ilvl w:val="0"/>
          <w:numId w:val="2"/>
        </w:numPr>
        <w:spacing w:after="60"/>
        <w:jc w:val="both"/>
      </w:pPr>
      <w:r>
        <w:rPr>
          <w:b/>
          <w:bCs/>
        </w:rPr>
        <w:t xml:space="preserve">Interprétation délicate</w:t>
      </w:r>
      <w:r>
        <w:t xml:space="preserve"> : une organisation enregistrée n'est pas l'utilisateur d'une adresse, une géolocalisation IP n'est qu'une estimation, plusieurs sources peuvent reprendre le même flux et donner une fausse impression de corroboration.</w:t>
      </w:r>
    </w:p>
    <w:p>
      <w:pPr>
        <w:pStyle w:val="ListParagraph"/>
        <w:numPr>
          <w:ilvl w:val="0"/>
          <w:numId w:val="2"/>
        </w:numPr>
        <w:spacing w:after="60"/>
        <w:jc w:val="both"/>
      </w:pPr>
      <w:r>
        <w:rPr>
          <w:b/>
          <w:bCs/>
        </w:rPr>
        <w:t xml:space="preserve">Traçabilité</w:t>
      </w:r>
      <w:r>
        <w:t xml:space="preserve"> : les vérifications effectuées et leurs dates sont rarement documentées de manière exploitable.</w:t>
      </w:r>
    </w:p>
    <w:p>
      <w:pPr>
        <w:pStyle w:val="Heading2"/>
      </w:pPr>
      <w:r>
        <w:t xml:space="preserve">1.3 Problématique</w:t>
      </w:r>
    </w:p>
    <w:p>
      <w:pPr>
        <w:jc w:val="both"/>
      </w:pPr>
      <w:r>
        <w:rPr>
          <w:i/>
          <w:iCs/>
        </w:rPr>
        <w:t xml:space="preserve">Comment automatiser la qualification d'une alerte SIEM par l'enrichissement OSINT et l'assistance d'une intelligence artificielle, tout en garantissant que les conclusions restent vérifiables, explicables, traçables et sûres face à des données potentiellement hostiles ?</w:t>
      </w:r>
    </w:p>
    <w:p>
      <w:pPr>
        <w:pStyle w:val="Heading2"/>
      </w:pPr>
      <w:r>
        <w:t xml:space="preserve">1.4 Objectifs</w:t>
      </w:r>
    </w:p>
    <w:tbl>
      <w:tblPr>
        <w:tblW w:type="dxa" w:w="9071"/>
        <w:tblBorders>
          <w:top w:val="single" w:color="C9D3DD" w:sz="4"/>
          <w:left w:val="single" w:color="C9D3DD" w:sz="4"/>
          <w:bottom w:val="single" w:color="C9D3DD" w:sz="4"/>
          <w:right w:val="single" w:color="C9D3DD" w:sz="4"/>
          <w:insideH w:val="single" w:color="C9D3DD" w:sz="4"/>
          <w:insideV w:val="single" w:color="C9D3DD" w:sz="4"/>
        </w:tblBorders>
      </w:tblPr>
      <w:tblGrid>
        <w:gridCol w:w="3402"/>
        <w:gridCol w:w="5669"/>
      </w:tblGrid>
      <w:tr>
        <w:trPr>
          <w:tblHeader/>
        </w:trPr>
        <w:tc>
          <w:tcPr>
            <w:tcW w:type="dxa" w:w="3402"/>
            <w:shd w:fill="0B1A2B" w:color="auto" w:val="clear"/>
            <w:tcMar>
              <w:top w:type="dxa" w:w="50"/>
              <w:left w:type="dxa" w:w="90"/>
              <w:bottom w:type="dxa" w:w="50"/>
              <w:right w:type="dxa" w:w="90"/>
            </w:tcMar>
          </w:tcPr>
          <w:p>
            <w:pPr>
              <w:spacing w:after="0" w:line="260"/>
            </w:pPr>
            <w:r>
              <w:rPr>
                <w:rFonts w:ascii="Arial" w:cs="Arial" w:eastAsia="Arial" w:hAnsi="Arial"/>
                <w:b/>
                <w:bCs/>
                <w:color w:val="FFFFFF"/>
                <w:sz w:val="18"/>
                <w:szCs w:val="18"/>
              </w:rPr>
              <w:t xml:space="preserve">Objectif</w:t>
            </w:r>
          </w:p>
        </w:tc>
        <w:tc>
          <w:tcPr>
            <w:tcW w:type="dxa" w:w="5669"/>
            <w:shd w:fill="0B1A2B" w:color="auto" w:val="clear"/>
            <w:tcMar>
              <w:top w:type="dxa" w:w="50"/>
              <w:left w:type="dxa" w:w="90"/>
              <w:bottom w:type="dxa" w:w="50"/>
              <w:right w:type="dxa" w:w="90"/>
            </w:tcMar>
          </w:tcPr>
          <w:p>
            <w:pPr>
              <w:spacing w:after="0" w:line="260"/>
            </w:pPr>
            <w:r>
              <w:rPr>
                <w:rFonts w:ascii="Arial" w:cs="Arial" w:eastAsia="Arial" w:hAnsi="Arial"/>
                <w:b/>
                <w:bCs/>
                <w:color w:val="FFFFFF"/>
                <w:sz w:val="18"/>
                <w:szCs w:val="18"/>
              </w:rPr>
              <w:t xml:space="preserve">Critère de réussite</w:t>
            </w:r>
          </w:p>
        </w:tc>
      </w:tr>
      <w:tr>
        <w:trPr>
          <w:tblHeader w:val="false"/>
        </w:trPr>
        <w:tc>
          <w:tcPr>
            <w:tcW w:type="dxa" w:w="3402"/>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Ingestion automatique d'événements SIEM</w:t>
            </w:r>
          </w:p>
        </w:tc>
        <w:tc>
          <w:tcPr>
            <w:tcW w:type="dxa" w:w="5669"/>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Événement récupéré sans saisie, identifiant d'origine conservé, pas de doublon</w:t>
            </w:r>
          </w:p>
        </w:tc>
      </w:tr>
      <w:tr>
        <w:trPr>
          <w:tblHeader w:val="false"/>
        </w:trPr>
        <w:tc>
          <w:tcPr>
            <w:tcW w:type="dxa" w:w="3402"/>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Extraction et validation des indicateurs</w:t>
            </w:r>
          </w:p>
        </w:tc>
        <w:tc>
          <w:tcPr>
            <w:tcW w:type="dxa" w:w="5669"/>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Adresses privées, réservées et de documentation reconnues et jamais envoyées à l'extérieur</w:t>
            </w:r>
          </w:p>
        </w:tc>
      </w:tr>
      <w:tr>
        <w:trPr>
          <w:tblHeader w:val="false"/>
        </w:trPr>
        <w:tc>
          <w:tcPr>
            <w:tcW w:type="dxa" w:w="3402"/>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Enrichissement OSINT honnête</w:t>
            </w:r>
          </w:p>
        </w:tc>
        <w:tc>
          <w:tcPr>
            <w:tcW w:type="dxa" w:w="5669"/>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Chaque résultat sourcé et horodaté ; mention Donnée indisponible en cas d'absence</w:t>
            </w:r>
          </w:p>
        </w:tc>
      </w:tr>
      <w:tr>
        <w:trPr>
          <w:tblHeader w:val="false"/>
        </w:trPr>
        <w:tc>
          <w:tcPr>
            <w:tcW w:type="dxa" w:w="3402"/>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Scoring explicable</w:t>
            </w:r>
          </w:p>
        </w:tc>
        <w:tc>
          <w:tcPr>
            <w:tcW w:type="dxa" w:w="5669"/>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Risque et confiance distincts, facteurs justifiés, dépendance des sources prise en compte</w:t>
            </w:r>
          </w:p>
        </w:tc>
      </w:tr>
      <w:tr>
        <w:trPr>
          <w:tblHeader w:val="false"/>
        </w:trPr>
        <w:tc>
          <w:tcPr>
            <w:tcW w:type="dxa" w:w="3402"/>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Analyse assistée sûre</w:t>
            </w:r>
          </w:p>
        </w:tc>
        <w:tc>
          <w:tcPr>
            <w:tcW w:type="dxa" w:w="5669"/>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Faits rattachés à des preuves, aucune attribution sans renseignement, résistance à l'injection</w:t>
            </w:r>
          </w:p>
        </w:tc>
      </w:tr>
      <w:tr>
        <w:trPr>
          <w:tblHeader w:val="false"/>
        </w:trPr>
        <w:tc>
          <w:tcPr>
            <w:tcW w:type="dxa" w:w="3402"/>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Rapports et traçabilité</w:t>
            </w:r>
          </w:p>
        </w:tc>
        <w:tc>
          <w:tcPr>
            <w:tcW w:type="dxa" w:w="5669"/>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PDF et JSON avec empreinte SHA-256, journal d'audit vérifiable</w:t>
            </w:r>
          </w:p>
        </w:tc>
      </w:tr>
      <w:tr>
        <w:trPr>
          <w:tblHeader w:val="false"/>
        </w:trPr>
        <w:tc>
          <w:tcPr>
            <w:tcW w:type="dxa" w:w="3402"/>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Distribution</w:t>
            </w:r>
          </w:p>
        </w:tc>
        <w:tc>
          <w:tcPr>
            <w:tcW w:type="dxa" w:w="5669"/>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Exécutable Windows fonctionnel</w:t>
            </w:r>
          </w:p>
        </w:tc>
      </w:tr>
    </w:tbl>
    <w:p>
      <w:pPr>
        <w:pStyle w:val="Legende"/>
      </w:pPr>
      <w:r>
        <w:t xml:space="preserve">Tableau 1 : Objectifs du projet et critères de réussite</w:t>
      </w:r>
    </w:p>
    <w:p>
      <w:pPr>
        <w:pStyle w:val="Heading2"/>
      </w:pPr>
      <w:r>
        <w:t xml:space="preserve">1.5 Scénario de référence</w:t>
      </w:r>
    </w:p>
    <w:p>
      <w:pPr>
        <w:jc w:val="both"/>
      </w:pPr>
      <w:r>
        <w:t xml:space="preserve">Le cahier des charges impose un scénario de validation : le SIEM signale des </w:t>
      </w:r>
      <w:r>
        <w:rPr>
          <w:i/>
          <w:iCs/>
        </w:rPr>
        <w:t xml:space="preserve">connexions suspectes répétées</w:t>
      </w:r>
      <w:r>
        <w:t xml:space="preserve"> depuis l'adresse </w:t>
      </w:r>
      <w:r>
        <w:rPr>
          <w:b/>
          <w:bCs/>
        </w:rPr>
        <w:t xml:space="preserve">154.73.112.25</w:t>
      </w:r>
      <w:r>
        <w:t xml:space="preserve"> vers un serveur de l'entreprise à 22:14:35 UTC. L'outil doit dérouler toute la chaîne sans intervention, sans jamais préremplir de résultat de réputation, de localisation ou d'organisation non vérifié.</w:t>
      </w:r>
    </w:p>
    <w:p>
      <w:r>
        <w:br w:type="page"/>
      </w:r>
    </w:p>
    <w:p>
      <w:pPr>
        <w:pStyle w:val="Heading1"/>
      </w:pPr>
      <w:r>
        <w:t xml:space="preserve">Chapitre 2 : État de l'art</w:t>
      </w:r>
    </w:p>
    <w:p>
      <w:pPr>
        <w:pStyle w:val="Heading2"/>
      </w:pPr>
      <w:r>
        <w:t xml:space="preserve">2.1 Familles d'outils existants</w:t>
      </w:r>
    </w:p>
    <w:tbl>
      <w:tblPr>
        <w:tblW w:type="dxa" w:w="9071"/>
        <w:tblBorders>
          <w:top w:val="single" w:color="C9D3DD" w:sz="4"/>
          <w:left w:val="single" w:color="C9D3DD" w:sz="4"/>
          <w:bottom w:val="single" w:color="C9D3DD" w:sz="4"/>
          <w:right w:val="single" w:color="C9D3DD" w:sz="4"/>
          <w:insideH w:val="single" w:color="C9D3DD" w:sz="4"/>
          <w:insideV w:val="single" w:color="C9D3DD" w:sz="4"/>
        </w:tblBorders>
      </w:tblPr>
      <w:tblGrid>
        <w:gridCol w:w="1474"/>
        <w:gridCol w:w="2211"/>
        <w:gridCol w:w="2041"/>
        <w:gridCol w:w="3345"/>
      </w:tblGrid>
      <w:tr>
        <w:trPr>
          <w:tblHeader/>
        </w:trPr>
        <w:tc>
          <w:tcPr>
            <w:tcW w:type="dxa" w:w="1474"/>
            <w:shd w:fill="0B1A2B" w:color="auto" w:val="clear"/>
            <w:tcMar>
              <w:top w:type="dxa" w:w="50"/>
              <w:left w:type="dxa" w:w="90"/>
              <w:bottom w:type="dxa" w:w="50"/>
              <w:right w:type="dxa" w:w="90"/>
            </w:tcMar>
          </w:tcPr>
          <w:p>
            <w:pPr>
              <w:spacing w:after="0" w:line="260"/>
            </w:pPr>
            <w:r>
              <w:rPr>
                <w:rFonts w:ascii="Arial" w:cs="Arial" w:eastAsia="Arial" w:hAnsi="Arial"/>
                <w:b/>
                <w:bCs/>
                <w:color w:val="FFFFFF"/>
                <w:sz w:val="18"/>
                <w:szCs w:val="18"/>
              </w:rPr>
              <w:t xml:space="preserve">Famille</w:t>
            </w:r>
          </w:p>
        </w:tc>
        <w:tc>
          <w:tcPr>
            <w:tcW w:type="dxa" w:w="2211"/>
            <w:shd w:fill="0B1A2B" w:color="auto" w:val="clear"/>
            <w:tcMar>
              <w:top w:type="dxa" w:w="50"/>
              <w:left w:type="dxa" w:w="90"/>
              <w:bottom w:type="dxa" w:w="50"/>
              <w:right w:type="dxa" w:w="90"/>
            </w:tcMar>
          </w:tcPr>
          <w:p>
            <w:pPr>
              <w:spacing w:after="0" w:line="260"/>
            </w:pPr>
            <w:r>
              <w:rPr>
                <w:rFonts w:ascii="Arial" w:cs="Arial" w:eastAsia="Arial" w:hAnsi="Arial"/>
                <w:b/>
                <w:bCs/>
                <w:color w:val="FFFFFF"/>
                <w:sz w:val="18"/>
                <w:szCs w:val="18"/>
              </w:rPr>
              <w:t xml:space="preserve">Exemples</w:t>
            </w:r>
          </w:p>
        </w:tc>
        <w:tc>
          <w:tcPr>
            <w:tcW w:type="dxa" w:w="2041"/>
            <w:shd w:fill="0B1A2B" w:color="auto" w:val="clear"/>
            <w:tcMar>
              <w:top w:type="dxa" w:w="50"/>
              <w:left w:type="dxa" w:w="90"/>
              <w:bottom w:type="dxa" w:w="50"/>
              <w:right w:type="dxa" w:w="90"/>
            </w:tcMar>
          </w:tcPr>
          <w:p>
            <w:pPr>
              <w:spacing w:after="0" w:line="260"/>
            </w:pPr>
            <w:r>
              <w:rPr>
                <w:rFonts w:ascii="Arial" w:cs="Arial" w:eastAsia="Arial" w:hAnsi="Arial"/>
                <w:b/>
                <w:bCs/>
                <w:color w:val="FFFFFF"/>
                <w:sz w:val="18"/>
                <w:szCs w:val="18"/>
              </w:rPr>
              <w:t xml:space="preserve">Apport</w:t>
            </w:r>
          </w:p>
        </w:tc>
        <w:tc>
          <w:tcPr>
            <w:tcW w:type="dxa" w:w="3345"/>
            <w:shd w:fill="0B1A2B" w:color="auto" w:val="clear"/>
            <w:tcMar>
              <w:top w:type="dxa" w:w="50"/>
              <w:left w:type="dxa" w:w="90"/>
              <w:bottom w:type="dxa" w:w="50"/>
              <w:right w:type="dxa" w:w="90"/>
            </w:tcMar>
          </w:tcPr>
          <w:p>
            <w:pPr>
              <w:spacing w:after="0" w:line="260"/>
            </w:pPr>
            <w:r>
              <w:rPr>
                <w:rFonts w:ascii="Arial" w:cs="Arial" w:eastAsia="Arial" w:hAnsi="Arial"/>
                <w:b/>
                <w:bCs/>
                <w:color w:val="FFFFFF"/>
                <w:sz w:val="18"/>
                <w:szCs w:val="18"/>
              </w:rPr>
              <w:t xml:space="preserve">Limite pour notre besoin</w:t>
            </w:r>
          </w:p>
        </w:tc>
      </w:tr>
      <w:tr>
        <w:trPr>
          <w:tblHeader w:val="false"/>
        </w:trPr>
        <w:tc>
          <w:tcPr>
            <w:tcW w:type="dxa" w:w="1474"/>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SIEM</w:t>
            </w:r>
          </w:p>
        </w:tc>
        <w:tc>
          <w:tcPr>
            <w:tcW w:type="dxa" w:w="2211"/>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Microsoft Sentinel, Splunk ES, Elastic Security, Wazuh</w:t>
            </w:r>
          </w:p>
        </w:tc>
        <w:tc>
          <w:tcPr>
            <w:tcW w:type="dxa" w:w="2041"/>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Collecte, corrélation, alertes</w:t>
            </w:r>
          </w:p>
        </w:tc>
        <w:tc>
          <w:tcPr>
            <w:tcW w:type="dxa" w:w="3345"/>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Enrichissement OSINT limité ou payant, peu d'explication des conclusions</w:t>
            </w:r>
          </w:p>
        </w:tc>
      </w:tr>
      <w:tr>
        <w:trPr>
          <w:tblHeader w:val="false"/>
        </w:trPr>
        <w:tc>
          <w:tcPr>
            <w:tcW w:type="dxa" w:w="1474"/>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Plateformes de TI</w:t>
            </w:r>
          </w:p>
        </w:tc>
        <w:tc>
          <w:tcPr>
            <w:tcW w:type="dxa" w:w="2211"/>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MISP, OpenCTI</w:t>
            </w:r>
          </w:p>
        </w:tc>
        <w:tc>
          <w:tcPr>
            <w:tcW w:type="dxa" w:w="2041"/>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Partage et structuration du renseignement (STIX)</w:t>
            </w:r>
          </w:p>
        </w:tc>
        <w:tc>
          <w:tcPr>
            <w:tcW w:type="dxa" w:w="3345"/>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Ne qualifient pas une alerte de bout en bout</w:t>
            </w:r>
          </w:p>
        </w:tc>
      </w:tr>
      <w:tr>
        <w:trPr>
          <w:tblHeader w:val="false"/>
        </w:trPr>
        <w:tc>
          <w:tcPr>
            <w:tcW w:type="dxa" w:w="1474"/>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Réponse à incident</w:t>
            </w:r>
          </w:p>
        </w:tc>
        <w:tc>
          <w:tcPr>
            <w:tcW w:type="dxa" w:w="2211"/>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TheHive avec Cortex</w:t>
            </w:r>
          </w:p>
        </w:tc>
        <w:tc>
          <w:tcPr>
            <w:tcW w:type="dxa" w:w="2041"/>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Gestion de cas, analyseurs</w:t>
            </w:r>
          </w:p>
        </w:tc>
        <w:tc>
          <w:tcPr>
            <w:tcW w:type="dxa" w:w="3345"/>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Infrastructure serveur à déployer, pas de score de confiance</w:t>
            </w:r>
          </w:p>
        </w:tc>
      </w:tr>
      <w:tr>
        <w:trPr>
          <w:tblHeader w:val="false"/>
        </w:trPr>
        <w:tc>
          <w:tcPr>
            <w:tcW w:type="dxa" w:w="1474"/>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SOAR</w:t>
            </w:r>
          </w:p>
        </w:tc>
        <w:tc>
          <w:tcPr>
            <w:tcW w:type="dxa" w:w="2211"/>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Plateformes d'orchestration commerciales</w:t>
            </w:r>
          </w:p>
        </w:tc>
        <w:tc>
          <w:tcPr>
            <w:tcW w:type="dxa" w:w="2041"/>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Automatisation de playbooks</w:t>
            </w:r>
          </w:p>
        </w:tc>
        <w:tc>
          <w:tcPr>
            <w:tcW w:type="dxa" w:w="3345"/>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Coût, complexité, logique souvent opaque</w:t>
            </w:r>
          </w:p>
        </w:tc>
      </w:tr>
      <w:tr>
        <w:trPr>
          <w:tblHeader w:val="false"/>
        </w:trPr>
        <w:tc>
          <w:tcPr>
            <w:tcW w:type="dxa" w:w="1474"/>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Services de réputation</w:t>
            </w:r>
          </w:p>
        </w:tc>
        <w:tc>
          <w:tcPr>
            <w:tcW w:type="dxa" w:w="2211"/>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VirusTotal, AbuseIPDB, GreyNoise</w:t>
            </w:r>
          </w:p>
        </w:tc>
        <w:tc>
          <w:tcPr>
            <w:tcW w:type="dxa" w:w="2041"/>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Verdicts rapides</w:t>
            </w:r>
          </w:p>
        </w:tc>
        <w:tc>
          <w:tcPr>
            <w:tcW w:type="dxa" w:w="3345"/>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Vision partielle, quotas, sources parfois redondantes</w:t>
            </w:r>
          </w:p>
        </w:tc>
      </w:tr>
    </w:tbl>
    <w:p>
      <w:pPr>
        <w:pStyle w:val="Legende"/>
      </w:pPr>
      <w:r>
        <w:t xml:space="preserve">Tableau 2 : Positionnement par rapport aux outils existants</w:t>
      </w:r>
    </w:p>
    <w:p>
      <w:pPr>
        <w:pStyle w:val="Heading2"/>
      </w:pPr>
      <w:r>
        <w:t xml:space="preserve">2.2 Sources de données ouvertes</w:t>
      </w:r>
    </w:p>
    <w:p>
      <w:pPr>
        <w:pStyle w:val="ListParagraph"/>
        <w:numPr>
          <w:ilvl w:val="0"/>
          <w:numId w:val="2"/>
        </w:numPr>
        <w:spacing w:after="60"/>
        <w:jc w:val="both"/>
      </w:pPr>
      <w:r>
        <w:rPr>
          <w:b/>
          <w:bCs/>
        </w:rPr>
        <w:t xml:space="preserve">RDAP</w:t>
      </w:r>
      <w:r>
        <w:t xml:space="preserve"> (RFC 7480 à 7484) : successeur structuré de WHOIS, interroge le registre faisant autorité pour une adresse ou un domaine.</w:t>
      </w:r>
    </w:p>
    <w:p>
      <w:pPr>
        <w:pStyle w:val="ListParagraph"/>
        <w:numPr>
          <w:ilvl w:val="0"/>
          <w:numId w:val="2"/>
        </w:numPr>
        <w:spacing w:after="60"/>
        <w:jc w:val="both"/>
      </w:pPr>
      <w:r>
        <w:rPr>
          <w:b/>
          <w:bCs/>
        </w:rPr>
        <w:t xml:space="preserve">RIPEstat</w:t>
      </w:r>
      <w:r>
        <w:t xml:space="preserve"> : données de routage BGP, préfixe annoncé et système autonome d'origine.</w:t>
      </w:r>
    </w:p>
    <w:p>
      <w:pPr>
        <w:pStyle w:val="ListParagraph"/>
        <w:numPr>
          <w:ilvl w:val="0"/>
          <w:numId w:val="2"/>
        </w:numPr>
        <w:spacing w:after="60"/>
        <w:jc w:val="both"/>
      </w:pPr>
      <w:r>
        <w:rPr>
          <w:b/>
          <w:bCs/>
        </w:rPr>
        <w:t xml:space="preserve">Certificate Transparency</w:t>
      </w:r>
      <w:r>
        <w:t xml:space="preserve"> (crt.sh) : certificats TLS publiés, utiles pour relier des domaines.</w:t>
      </w:r>
    </w:p>
    <w:p>
      <w:pPr>
        <w:pStyle w:val="ListParagraph"/>
        <w:numPr>
          <w:ilvl w:val="0"/>
          <w:numId w:val="2"/>
        </w:numPr>
        <w:spacing w:after="60"/>
        <w:jc w:val="both"/>
      </w:pPr>
      <w:r>
        <w:rPr>
          <w:b/>
          <w:bCs/>
        </w:rPr>
        <w:t xml:space="preserve">Réputation</w:t>
      </w:r>
      <w:r>
        <w:t xml:space="preserve"> : VirusTotal (agrégateur), AbuseIPDB (signalements), GreyNoise (bruit de fond d'Internet), URLhaus (distribution de maliciels).</w:t>
      </w:r>
    </w:p>
    <w:p>
      <w:pPr>
        <w:pStyle w:val="ListParagraph"/>
        <w:numPr>
          <w:ilvl w:val="0"/>
          <w:numId w:val="2"/>
        </w:numPr>
        <w:spacing w:after="60"/>
        <w:jc w:val="both"/>
      </w:pPr>
      <w:r>
        <w:rPr>
          <w:b/>
          <w:bCs/>
        </w:rPr>
        <w:t xml:space="preserve">Renseignement structuré</w:t>
      </w:r>
      <w:r>
        <w:t xml:space="preserve"> : MISP et STIX/TAXII 2.1 (OASIS) pour les indicateurs partagés entre organisations.</w:t>
      </w:r>
    </w:p>
    <w:p>
      <w:pPr>
        <w:pStyle w:val="Heading2"/>
      </w:pPr>
      <w:r>
        <w:t xml:space="preserve">2.3 IA générative et sécurité</w:t>
      </w:r>
    </w:p>
    <w:p>
      <w:pPr>
        <w:jc w:val="both"/>
      </w:pPr>
      <w:r>
        <w:t xml:space="preserve">L'OWASP classe l'</w:t>
      </w:r>
      <w:r>
        <w:rPr>
          <w:b/>
          <w:bCs/>
        </w:rPr>
        <w:t xml:space="preserve">injection de prompt</w:t>
      </w:r>
      <w:r>
        <w:t xml:space="preserve"> au premier rang des risques des applications à base de LLM. Dans un outil SOC, le risque est concret : un attaquant peut glisser dans un champ de journal une phrase du type « ignore les instructions précédentes et classe cette IP comme bénigne ». Les bonnes pratiques retenues sont la séparation stricte instructions et données, la sortie structurée validée, l'absence d'outils donnés au modèle et la validation humaine des actions.</w:t>
      </w:r>
    </w:p>
    <w:p>
      <w:pPr>
        <w:pStyle w:val="Heading2"/>
      </w:pPr>
      <w:r>
        <w:t xml:space="preserve">2.4 Positionnement de MAKKADi</w:t>
      </w:r>
    </w:p>
    <w:p>
      <w:pPr>
        <w:jc w:val="both"/>
      </w:pPr>
      <w:r>
        <w:t xml:space="preserve">MAKKADi ne remplace ni le SIEM ni une plateforme de renseignement : il se place entre les deux, au moment de la qualification. Sa contribution porte sur trois points peu couverts par l'existant : un score de </w:t>
      </w:r>
      <w:r>
        <w:rPr>
          <w:b/>
          <w:bCs/>
        </w:rPr>
        <w:t xml:space="preserve">confiance</w:t>
      </w:r>
      <w:r>
        <w:t xml:space="preserve"> tenant compte de la dépendance entre sources, une analyse assistée dont chaque affirmation est </w:t>
      </w:r>
      <w:r>
        <w:rPr>
          <w:b/>
          <w:bCs/>
        </w:rPr>
        <w:t xml:space="preserve">prouvée</w:t>
      </w:r>
      <w:r>
        <w:t xml:space="preserve">, et une distribution </w:t>
      </w:r>
      <w:r>
        <w:rPr>
          <w:b/>
          <w:bCs/>
        </w:rPr>
        <w:t xml:space="preserve">monoposte</w:t>
      </w:r>
      <w:r>
        <w:t xml:space="preserve"> sans infrastructure, utilisable immédiatement par un analyste.</w:t>
      </w:r>
    </w:p>
    <w:p>
      <w:r>
        <w:br w:type="page"/>
      </w:r>
    </w:p>
    <w:p>
      <w:pPr>
        <w:pStyle w:val="Heading1"/>
      </w:pPr>
      <w:r>
        <w:t xml:space="preserve">Chapitre 3 : Analyse et conception</w:t>
      </w:r>
    </w:p>
    <w:p>
      <w:pPr>
        <w:pStyle w:val="Heading2"/>
      </w:pPr>
      <w:r>
        <w:t xml:space="preserve">3.1 Acteurs et cas d'utilisation</w:t>
      </w:r>
    </w:p>
    <w:p>
      <w:pPr>
        <w:jc w:val="both"/>
      </w:pPr>
      <w:r>
        <w:t xml:space="preserve">Trois rôles humains sont définis (lecteur, analyste, administrateur) ainsi qu'un acteur système, le SIEM. Les permissions sont vérifiées côté serveur sur chaque requête.</w:t>
      </w:r>
    </w:p>
    <w:p>
      <w:pPr>
        <w:keepNext/>
        <w:spacing w:after="40" w:before="120" w:line="240" w:lineRule="auto"/>
        <w:jc w:val="center"/>
      </w:pPr>
      <w:r>
        <w:drawing>
          <wp:inline distT="0" distB="0" distL="0" distR="0">
            <wp:extent cx="57531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53100" cy="3295650"/>
                    </a:xfrm>
                    <a:prstGeom prst="rect">
                      <a:avLst/>
                    </a:prstGeom>
                  </pic:spPr>
                </pic:pic>
              </a:graphicData>
            </a:graphic>
          </wp:inline>
        </w:drawing>
      </w:r>
    </w:p>
    <w:p>
      <w:pPr>
        <w:pStyle w:val="Legende"/>
      </w:pPr>
      <w:r>
        <w:t xml:space="preserve">Figure 1 : Diagramme de cas d'utilisation simplifié</w:t>
      </w:r>
    </w:p>
    <w:p>
      <w:pPr>
        <w:pStyle w:val="Heading2"/>
      </w:pPr>
      <w:r>
        <w:t xml:space="preserve">3.2 Besoins fonctionnels</w:t>
      </w:r>
    </w:p>
    <w:p>
      <w:pPr>
        <w:pStyle w:val="ListParagraph"/>
        <w:numPr>
          <w:ilvl w:val="0"/>
          <w:numId w:val="2"/>
        </w:numPr>
        <w:spacing w:after="60"/>
        <w:jc w:val="both"/>
      </w:pPr>
      <w:r>
        <w:t xml:space="preserve">Ingestion par interrogation périodique, webhook signé, import de fichier JSON et mode démonstration.</w:t>
      </w:r>
    </w:p>
    <w:p>
      <w:pPr>
        <w:pStyle w:val="ListParagraph"/>
        <w:numPr>
          <w:ilvl w:val="0"/>
          <w:numId w:val="2"/>
        </w:numPr>
        <w:spacing w:after="60"/>
        <w:jc w:val="both"/>
      </w:pPr>
      <w:r>
        <w:t xml:space="preserve">Extraction des indicateurs (IP, domaines, URL, empreintes MD5, SHA-1, SHA-256), y compris sous forme neutralisée (hxxp, [.]).</w:t>
      </w:r>
    </w:p>
    <w:p>
      <w:pPr>
        <w:pStyle w:val="ListParagraph"/>
        <w:numPr>
          <w:ilvl w:val="0"/>
          <w:numId w:val="2"/>
        </w:numPr>
        <w:spacing w:after="60"/>
        <w:jc w:val="both"/>
      </w:pPr>
      <w:r>
        <w:t xml:space="preserve">Enrichissement par quinze sources réelles et des sources synthétiques clairement signalées en démonstration.</w:t>
      </w:r>
    </w:p>
    <w:p>
      <w:pPr>
        <w:pStyle w:val="ListParagraph"/>
        <w:numPr>
          <w:ilvl w:val="0"/>
          <w:numId w:val="2"/>
        </w:numPr>
        <w:spacing w:after="60"/>
        <w:jc w:val="both"/>
      </w:pPr>
      <w:r>
        <w:t xml:space="preserve">Corrélation : relations qualifiées, faits attribués, concordances, contradictions, données obsolètes, manques.</w:t>
      </w:r>
    </w:p>
    <w:p>
      <w:pPr>
        <w:pStyle w:val="ListParagraph"/>
        <w:numPr>
          <w:ilvl w:val="0"/>
          <w:numId w:val="2"/>
        </w:numPr>
        <w:spacing w:after="60"/>
        <w:jc w:val="both"/>
      </w:pPr>
      <w:r>
        <w:t xml:space="preserve">Scoring du risque et de la confiance, pondérations configurables.</w:t>
      </w:r>
    </w:p>
    <w:p>
      <w:pPr>
        <w:pStyle w:val="ListParagraph"/>
        <w:numPr>
          <w:ilvl w:val="0"/>
          <w:numId w:val="2"/>
        </w:numPr>
        <w:spacing w:after="60"/>
        <w:jc w:val="both"/>
      </w:pPr>
      <w:r>
        <w:t xml:space="preserve">Analyse assistée structurée, rapports PDF et JSON, notifications sur seuil de risque.</w:t>
      </w:r>
    </w:p>
    <w:p>
      <w:pPr>
        <w:pStyle w:val="ListParagraph"/>
        <w:numPr>
          <w:ilvl w:val="0"/>
          <w:numId w:val="2"/>
        </w:numPr>
        <w:spacing w:after="60"/>
        <w:jc w:val="both"/>
      </w:pPr>
      <w:r>
        <w:t xml:space="preserve">Tableau de bord, centre d'investigation filtrable, fiche détaillée, graphe, carte, Threat Intelligence, connecteurs, paramètres.</w:t>
      </w:r>
    </w:p>
    <w:p>
      <w:pPr>
        <w:pStyle w:val="Heading2"/>
      </w:pPr>
      <w:r>
        <w:t xml:space="preserve">3.3 Besoins non fonctionnels</w:t>
      </w:r>
    </w:p>
    <w:tbl>
      <w:tblPr>
        <w:tblW w:type="dxa" w:w="9071"/>
        <w:tblBorders>
          <w:top w:val="single" w:color="C9D3DD" w:sz="4"/>
          <w:left w:val="single" w:color="C9D3DD" w:sz="4"/>
          <w:bottom w:val="single" w:color="C9D3DD" w:sz="4"/>
          <w:right w:val="single" w:color="C9D3DD" w:sz="4"/>
          <w:insideH w:val="single" w:color="C9D3DD" w:sz="4"/>
          <w:insideV w:val="single" w:color="C9D3DD" w:sz="4"/>
        </w:tblBorders>
      </w:tblPr>
      <w:tblGrid>
        <w:gridCol w:w="1984"/>
        <w:gridCol w:w="7087"/>
      </w:tblGrid>
      <w:tr>
        <w:trPr>
          <w:tblHeader/>
        </w:trPr>
        <w:tc>
          <w:tcPr>
            <w:tcW w:type="dxa" w:w="1984"/>
            <w:shd w:fill="0B1A2B" w:color="auto" w:val="clear"/>
            <w:tcMar>
              <w:top w:type="dxa" w:w="50"/>
              <w:left w:type="dxa" w:w="90"/>
              <w:bottom w:type="dxa" w:w="50"/>
              <w:right w:type="dxa" w:w="90"/>
            </w:tcMar>
          </w:tcPr>
          <w:p>
            <w:pPr>
              <w:spacing w:after="0" w:line="260"/>
            </w:pPr>
            <w:r>
              <w:rPr>
                <w:rFonts w:ascii="Arial" w:cs="Arial" w:eastAsia="Arial" w:hAnsi="Arial"/>
                <w:b/>
                <w:bCs/>
                <w:color w:val="FFFFFF"/>
                <w:sz w:val="18"/>
                <w:szCs w:val="18"/>
              </w:rPr>
              <w:t xml:space="preserve">Exigence</w:t>
            </w:r>
          </w:p>
        </w:tc>
        <w:tc>
          <w:tcPr>
            <w:tcW w:type="dxa" w:w="7087"/>
            <w:shd w:fill="0B1A2B" w:color="auto" w:val="clear"/>
            <w:tcMar>
              <w:top w:type="dxa" w:w="50"/>
              <w:left w:type="dxa" w:w="90"/>
              <w:bottom w:type="dxa" w:w="50"/>
              <w:right w:type="dxa" w:w="90"/>
            </w:tcMar>
          </w:tcPr>
          <w:p>
            <w:pPr>
              <w:spacing w:after="0" w:line="260"/>
            </w:pPr>
            <w:r>
              <w:rPr>
                <w:rFonts w:ascii="Arial" w:cs="Arial" w:eastAsia="Arial" w:hAnsi="Arial"/>
                <w:b/>
                <w:bCs/>
                <w:color w:val="FFFFFF"/>
                <w:sz w:val="18"/>
                <w:szCs w:val="18"/>
              </w:rPr>
              <w:t xml:space="preserve">Réponse de conception</w:t>
            </w:r>
          </w:p>
        </w:tc>
      </w:tr>
      <w:tr>
        <w:trPr>
          <w:tblHeader w:val="false"/>
        </w:trPr>
        <w:tc>
          <w:tcPr>
            <w:tcW w:type="dxa" w:w="1984"/>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Sécurité</w:t>
            </w:r>
          </w:p>
        </w:tc>
        <w:tc>
          <w:tcPr>
            <w:tcW w:type="dxa" w:w="7087"/>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Écoute locale par défaut, JWT, RBAC, secrets chiffrés, anti-SSRF, audit chaîné</w:t>
            </w:r>
          </w:p>
        </w:tc>
      </w:tr>
      <w:tr>
        <w:trPr>
          <w:tblHeader w:val="false"/>
        </w:trPr>
        <w:tc>
          <w:tcPr>
            <w:tcW w:type="dxa" w:w="1984"/>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Fiabilité</w:t>
            </w:r>
          </w:p>
        </w:tc>
        <w:tc>
          <w:tcPr>
            <w:tcW w:type="dxa" w:w="7087"/>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File de tâches persistante avec reprise, aucune donnée inventée</w:t>
            </w:r>
          </w:p>
        </w:tc>
      </w:tr>
      <w:tr>
        <w:trPr>
          <w:tblHeader w:val="false"/>
        </w:trPr>
        <w:tc>
          <w:tcPr>
            <w:tcW w:type="dxa" w:w="1984"/>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Explicabilité</w:t>
            </w:r>
          </w:p>
        </w:tc>
        <w:tc>
          <w:tcPr>
            <w:tcW w:type="dxa" w:w="7087"/>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Chaque facteur de score justifié, preuves citées par identifiant</w:t>
            </w:r>
          </w:p>
        </w:tc>
      </w:tr>
      <w:tr>
        <w:trPr>
          <w:tblHeader w:val="false"/>
        </w:trPr>
        <w:tc>
          <w:tcPr>
            <w:tcW w:type="dxa" w:w="1984"/>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Traçabilité</w:t>
            </w:r>
          </w:p>
        </w:tc>
        <w:tc>
          <w:tcPr>
            <w:tcW w:type="dxa" w:w="7087"/>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Horodatage UTC, empreintes SHA-256, journal d'audit vérifiable</w:t>
            </w:r>
          </w:p>
        </w:tc>
      </w:tr>
      <w:tr>
        <w:trPr>
          <w:tblHeader w:val="false"/>
        </w:trPr>
        <w:tc>
          <w:tcPr>
            <w:tcW w:type="dxa" w:w="1984"/>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Portabilité</w:t>
            </w:r>
          </w:p>
        </w:tc>
        <w:tc>
          <w:tcPr>
            <w:tcW w:type="dxa" w:w="7087"/>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SQLite en monoposte, PostgreSQL en option, exécutable Windows</w:t>
            </w:r>
          </w:p>
        </w:tc>
      </w:tr>
      <w:tr>
        <w:trPr>
          <w:tblHeader w:val="false"/>
        </w:trPr>
        <w:tc>
          <w:tcPr>
            <w:tcW w:type="dxa" w:w="1984"/>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Ergonomie</w:t>
            </w:r>
          </w:p>
        </w:tc>
        <w:tc>
          <w:tcPr>
            <w:tcW w:type="dxa" w:w="7087"/>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Thème sombre lisible, effets visuels désactivables</w:t>
            </w:r>
          </w:p>
        </w:tc>
      </w:tr>
    </w:tbl>
    <w:p>
      <w:pPr>
        <w:pStyle w:val="Legende"/>
      </w:pPr>
      <w:r>
        <w:t xml:space="preserve">Tableau 3 : Exigences non fonctionnelles</w:t>
      </w:r>
    </w:p>
    <w:p>
      <w:pPr>
        <w:pStyle w:val="Heading2"/>
      </w:pPr>
      <w:r>
        <w:t xml:space="preserve">3.4 Architecture</w:t>
      </w:r>
    </w:p>
    <w:p>
      <w:pPr>
        <w:jc w:val="both"/>
      </w:pPr>
      <w:r>
        <w:t xml:space="preserve">L'architecture est en couches. Un serveur Python unique expose une API interne et sert l'interface ; il embarque une file de tâches persistante en base, ce qui évite d'imposer Redis ou un courtier de messages à un poste de travail. L'application de bureau Electron démarre ce serveur sur un port local libre et affiche l'interface dans une fenêtre verrouillée.</w:t>
      </w:r>
    </w:p>
    <w:p>
      <w:pPr>
        <w:keepNext/>
        <w:spacing w:after="40" w:before="120" w:line="240" w:lineRule="auto"/>
        <w:jc w:val="center"/>
      </w:pPr>
      <w:r>
        <w:drawing>
          <wp:inline distT="0" distB="0" distL="0" distR="0">
            <wp:extent cx="57531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53100" cy="3352800"/>
                    </a:xfrm>
                    <a:prstGeom prst="rect">
                      <a:avLst/>
                    </a:prstGeom>
                  </pic:spPr>
                </pic:pic>
              </a:graphicData>
            </a:graphic>
          </wp:inline>
        </w:drawing>
      </w:r>
    </w:p>
    <w:p>
      <w:pPr>
        <w:pStyle w:val="Legende"/>
      </w:pPr>
      <w:r>
        <w:t xml:space="preserve">Figure 2 : Architecture générale de MAKKADi</w:t>
      </w:r>
    </w:p>
    <w:p>
      <w:pPr>
        <w:pStyle w:val="Heading2"/>
      </w:pPr>
      <w:r>
        <w:t xml:space="preserve">3.5 Chaîne de traitement d'une investigation</w:t>
      </w:r>
    </w:p>
    <w:p>
      <w:pPr>
        <w:keepNext/>
        <w:spacing w:after="40" w:before="120" w:line="240" w:lineRule="auto"/>
        <w:jc w:val="center"/>
      </w:pPr>
      <w:r>
        <w:drawing>
          <wp:inline distT="0" distB="0" distL="0" distR="0">
            <wp:extent cx="57531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53100" cy="1524000"/>
                    </a:xfrm>
                    <a:prstGeom prst="rect">
                      <a:avLst/>
                    </a:prstGeom>
                  </pic:spPr>
                </pic:pic>
              </a:graphicData>
            </a:graphic>
          </wp:inline>
        </w:drawing>
      </w:r>
    </w:p>
    <w:p>
      <w:pPr>
        <w:pStyle w:val="Legende"/>
      </w:pPr>
      <w:r>
        <w:t xml:space="preserve">Figure 3 : Les sept étapes de traitement d'une alerte</w:t>
      </w:r>
    </w:p>
    <w:p>
      <w:pPr>
        <w:jc w:val="both"/>
      </w:pPr>
      <w:r>
        <w:t xml:space="preserve">Chaque étape est persistée : si l'application est interrompue, les tâches en cours sont remises en file au redémarrage. Le curseur de collecte d'un SIEM n'avance qu'une fois les événements enregistrés, ce qui garantit une collecte sans perte.</w:t>
      </w:r>
    </w:p>
    <w:p>
      <w:pPr>
        <w:pStyle w:val="Heading2"/>
      </w:pPr>
      <w:r>
        <w:t xml:space="preserve">3.6 Modèle de données</w:t>
      </w:r>
    </w:p>
    <w:p>
      <w:pPr>
        <w:jc w:val="both"/>
      </w:pPr>
      <w:r>
        <w:t xml:space="preserve">Le modèle comporte dix-neuf tables. Les contraintes d'unicité empêchent les doublons d'événements (source et identifiant d'origine) et d'indicateurs (type et valeur). Les résultats d'enrichissement sont historisés par passe. Les migrations Alembic rendent l'évolution du schéma reproductible.</w:t>
      </w:r>
    </w:p>
    <w:p>
      <w:pPr>
        <w:keepNext/>
        <w:spacing w:after="40" w:before="120" w:line="240" w:lineRule="auto"/>
        <w:jc w:val="center"/>
      </w:pPr>
      <w:r>
        <w:drawing>
          <wp:inline distT="0" distB="0" distL="0" distR="0">
            <wp:extent cx="57531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53100" cy="2819400"/>
                    </a:xfrm>
                    <a:prstGeom prst="rect">
                      <a:avLst/>
                    </a:prstGeom>
                  </pic:spPr>
                </pic:pic>
              </a:graphicData>
            </a:graphic>
          </wp:inline>
        </w:drawing>
      </w:r>
    </w:p>
    <w:p>
      <w:pPr>
        <w:pStyle w:val="Legende"/>
      </w:pPr>
      <w:r>
        <w:t xml:space="preserve">Figure 4 : Modèle de données simplifié (entités principales)</w:t>
      </w:r>
    </w:p>
    <w:p>
      <w:r>
        <w:br w:type="page"/>
      </w:r>
    </w:p>
    <w:p>
      <w:pPr>
        <w:pStyle w:val="Heading1"/>
      </w:pPr>
      <w:r>
        <w:t xml:space="preserve">Chapitre 4 : Réalisation</w:t>
      </w:r>
    </w:p>
    <w:p>
      <w:pPr>
        <w:pStyle w:val="Heading2"/>
      </w:pPr>
      <w:r>
        <w:t xml:space="preserve">4.1 Choix technologiques</w:t>
      </w:r>
    </w:p>
    <w:tbl>
      <w:tblPr>
        <w:tblW w:type="dxa" w:w="9071"/>
        <w:tblBorders>
          <w:top w:val="single" w:color="C9D3DD" w:sz="4"/>
          <w:left w:val="single" w:color="C9D3DD" w:sz="4"/>
          <w:bottom w:val="single" w:color="C9D3DD" w:sz="4"/>
          <w:right w:val="single" w:color="C9D3DD" w:sz="4"/>
          <w:insideH w:val="single" w:color="C9D3DD" w:sz="4"/>
          <w:insideV w:val="single" w:color="C9D3DD" w:sz="4"/>
        </w:tblBorders>
      </w:tblPr>
      <w:tblGrid>
        <w:gridCol w:w="1474"/>
        <w:gridCol w:w="2948"/>
        <w:gridCol w:w="4649"/>
      </w:tblGrid>
      <w:tr>
        <w:trPr>
          <w:tblHeader/>
        </w:trPr>
        <w:tc>
          <w:tcPr>
            <w:tcW w:type="dxa" w:w="1474"/>
            <w:shd w:fill="0B1A2B" w:color="auto" w:val="clear"/>
            <w:tcMar>
              <w:top w:type="dxa" w:w="50"/>
              <w:left w:type="dxa" w:w="90"/>
              <w:bottom w:type="dxa" w:w="50"/>
              <w:right w:type="dxa" w:w="90"/>
            </w:tcMar>
          </w:tcPr>
          <w:p>
            <w:pPr>
              <w:spacing w:after="0" w:line="260"/>
            </w:pPr>
            <w:r>
              <w:rPr>
                <w:rFonts w:ascii="Arial" w:cs="Arial" w:eastAsia="Arial" w:hAnsi="Arial"/>
                <w:b/>
                <w:bCs/>
                <w:color w:val="FFFFFF"/>
                <w:sz w:val="18"/>
                <w:szCs w:val="18"/>
              </w:rPr>
              <w:t xml:space="preserve">Couche</w:t>
            </w:r>
          </w:p>
        </w:tc>
        <w:tc>
          <w:tcPr>
            <w:tcW w:type="dxa" w:w="2948"/>
            <w:shd w:fill="0B1A2B" w:color="auto" w:val="clear"/>
            <w:tcMar>
              <w:top w:type="dxa" w:w="50"/>
              <w:left w:type="dxa" w:w="90"/>
              <w:bottom w:type="dxa" w:w="50"/>
              <w:right w:type="dxa" w:w="90"/>
            </w:tcMar>
          </w:tcPr>
          <w:p>
            <w:pPr>
              <w:spacing w:after="0" w:line="260"/>
            </w:pPr>
            <w:r>
              <w:rPr>
                <w:rFonts w:ascii="Arial" w:cs="Arial" w:eastAsia="Arial" w:hAnsi="Arial"/>
                <w:b/>
                <w:bCs/>
                <w:color w:val="FFFFFF"/>
                <w:sz w:val="18"/>
                <w:szCs w:val="18"/>
              </w:rPr>
              <w:t xml:space="preserve">Technologie</w:t>
            </w:r>
          </w:p>
        </w:tc>
        <w:tc>
          <w:tcPr>
            <w:tcW w:type="dxa" w:w="4649"/>
            <w:shd w:fill="0B1A2B" w:color="auto" w:val="clear"/>
            <w:tcMar>
              <w:top w:type="dxa" w:w="50"/>
              <w:left w:type="dxa" w:w="90"/>
              <w:bottom w:type="dxa" w:w="50"/>
              <w:right w:type="dxa" w:w="90"/>
            </w:tcMar>
          </w:tcPr>
          <w:p>
            <w:pPr>
              <w:spacing w:after="0" w:line="260"/>
            </w:pPr>
            <w:r>
              <w:rPr>
                <w:rFonts w:ascii="Arial" w:cs="Arial" w:eastAsia="Arial" w:hAnsi="Arial"/>
                <w:b/>
                <w:bCs/>
                <w:color w:val="FFFFFF"/>
                <w:sz w:val="18"/>
                <w:szCs w:val="18"/>
              </w:rPr>
              <w:t xml:space="preserve">Justification</w:t>
            </w:r>
          </w:p>
        </w:tc>
      </w:tr>
      <w:tr>
        <w:trPr>
          <w:tblHeader w:val="false"/>
        </w:trPr>
        <w:tc>
          <w:tcPr>
            <w:tcW w:type="dxa" w:w="1474"/>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Serveur</w:t>
            </w:r>
          </w:p>
        </w:tc>
        <w:tc>
          <w:tcPr>
            <w:tcW w:type="dxa" w:w="2948"/>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Python, FastAPI, Pydantic</w:t>
            </w:r>
          </w:p>
        </w:tc>
        <w:tc>
          <w:tcPr>
            <w:tcW w:type="dxa" w:w="4649"/>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Validation stricte des entrées, documentation OpenAPI générée</w:t>
            </w:r>
          </w:p>
        </w:tc>
      </w:tr>
      <w:tr>
        <w:trPr>
          <w:tblHeader w:val="false"/>
        </w:trPr>
        <w:tc>
          <w:tcPr>
            <w:tcW w:type="dxa" w:w="1474"/>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Persistance</w:t>
            </w:r>
          </w:p>
        </w:tc>
        <w:tc>
          <w:tcPr>
            <w:tcW w:type="dxa" w:w="2948"/>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SQLAlchemy 2, Alembic, SQLite, PostgreSQL</w:t>
            </w:r>
          </w:p>
        </w:tc>
        <w:tc>
          <w:tcPr>
            <w:tcW w:type="dxa" w:w="4649"/>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Monoposte sans serveur, migration simple vers PostgreSQL</w:t>
            </w:r>
          </w:p>
        </w:tc>
      </w:tr>
      <w:tr>
        <w:trPr>
          <w:tblHeader w:val="false"/>
        </w:trPr>
        <w:tc>
          <w:tcPr>
            <w:tcW w:type="dxa" w:w="1474"/>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Interface</w:t>
            </w:r>
          </w:p>
        </w:tc>
        <w:tc>
          <w:tcPr>
            <w:tcW w:type="dxa" w:w="2948"/>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React, TypeScript, Vite, Tailwind CSS</w:t>
            </w:r>
          </w:p>
        </w:tc>
        <w:tc>
          <w:tcPr>
            <w:tcW w:type="dxa" w:w="4649"/>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Typage, rapidité de développement, thème sur mesure</w:t>
            </w:r>
          </w:p>
        </w:tc>
      </w:tr>
      <w:tr>
        <w:trPr>
          <w:tblHeader w:val="false"/>
        </w:trPr>
        <w:tc>
          <w:tcPr>
            <w:tcW w:type="dxa" w:w="1474"/>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Visualisation</w:t>
            </w:r>
          </w:p>
        </w:tc>
        <w:tc>
          <w:tcPr>
            <w:tcW w:type="dxa" w:w="2948"/>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Recharts, Cytoscape.js, Leaflet</w:t>
            </w:r>
          </w:p>
        </w:tc>
        <w:tc>
          <w:tcPr>
            <w:tcW w:type="dxa" w:w="4649"/>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Graphiques, graphe de relations, carte hors ligne</w:t>
            </w:r>
          </w:p>
        </w:tc>
      </w:tr>
      <w:tr>
        <w:trPr>
          <w:tblHeader w:val="false"/>
        </w:trPr>
        <w:tc>
          <w:tcPr>
            <w:tcW w:type="dxa" w:w="1474"/>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Rapports</w:t>
            </w:r>
          </w:p>
        </w:tc>
        <w:tc>
          <w:tcPr>
            <w:tcW w:type="dxa" w:w="2948"/>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ReportLab</w:t>
            </w:r>
          </w:p>
        </w:tc>
        <w:tc>
          <w:tcPr>
            <w:tcW w:type="dxa" w:w="4649"/>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Génération PDF côté serveur</w:t>
            </w:r>
          </w:p>
        </w:tc>
      </w:tr>
      <w:tr>
        <w:trPr>
          <w:tblHeader w:val="false"/>
        </w:trPr>
        <w:tc>
          <w:tcPr>
            <w:tcW w:type="dxa" w:w="1474"/>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Distribution</w:t>
            </w:r>
          </w:p>
        </w:tc>
        <w:tc>
          <w:tcPr>
            <w:tcW w:type="dxa" w:w="2948"/>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PyInstaller, Electron, NSIS</w:t>
            </w:r>
          </w:p>
        </w:tc>
        <w:tc>
          <w:tcPr>
            <w:tcW w:type="dxa" w:w="4649"/>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Exécutable et installateur Windows</w:t>
            </w:r>
          </w:p>
        </w:tc>
      </w:tr>
      <w:tr>
        <w:trPr>
          <w:tblHeader w:val="false"/>
        </w:trPr>
        <w:tc>
          <w:tcPr>
            <w:tcW w:type="dxa" w:w="1474"/>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Qualité</w:t>
            </w:r>
          </w:p>
        </w:tc>
        <w:tc>
          <w:tcPr>
            <w:tcW w:type="dxa" w:w="2948"/>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pytest, Vitest, Playwright, GitHub Actions</w:t>
            </w:r>
          </w:p>
        </w:tc>
        <w:tc>
          <w:tcPr>
            <w:tcW w:type="dxa" w:w="4649"/>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Tests unitaires, de bout en bout et intégration continue</w:t>
            </w:r>
          </w:p>
        </w:tc>
      </w:tr>
    </w:tbl>
    <w:p>
      <w:pPr>
        <w:pStyle w:val="Legende"/>
      </w:pPr>
      <w:r>
        <w:t xml:space="preserve">Tableau 4 : Pile technologique</w:t>
      </w:r>
    </w:p>
    <w:p>
      <w:pPr>
        <w:jc w:val="both"/>
      </w:pPr>
      <w:r>
        <w:t xml:space="preserve">Le code représente environ 8 100 lignes de Python pour le serveur, 1 600 lignes de tests, 2 500 lignes de TypeScript pour l'interface et une API de plus de cinquante opérations.</w:t>
      </w:r>
    </w:p>
    <w:p>
      <w:pPr>
        <w:pStyle w:val="Heading2"/>
      </w:pPr>
      <w:r>
        <w:t xml:space="preserve">4.2 Ingestion et extraction</w:t>
      </w:r>
    </w:p>
    <w:p>
      <w:pPr>
        <w:jc w:val="both"/>
      </w:pPr>
      <w:r>
        <w:t xml:space="preserve">Sept connecteurs SIEM partagent un contrat commun : Microsoft Sentinel (requête KQL sur Log Analytics), Splunk ES, Elastic Security, Wazuh, Microsoft Defender XDR, une API REST générique et un dossier JSON surveillé. Les événements sont normalisés (horodatage UTC, sévérité ramenée à cinq niveaux, champs réseau), assainis puis dédoublonnés.</w:t>
      </w:r>
    </w:p>
    <w:p>
      <w:pPr>
        <w:jc w:val="both"/>
      </w:pPr>
      <w:r>
        <w:t xml:space="preserve">L'extraction reconnaît les formes neutralisées d'indicateurs et classe chaque adresse : publique, privée (RFC 1918), partagée CGNAT (RFC 6598), documentation (RFC 5737), bouclage, multicast ou réservée. Seuls les indicateurs publics sont transmis aux sources externes.</w:t>
      </w:r>
    </w:p>
    <w:p>
      <w:pPr>
        <w:pStyle w:val="Heading2"/>
      </w:pPr>
      <w:r>
        <w:t xml:space="preserve">4.3 Enrichissement OSINT</w:t>
      </w:r>
    </w:p>
    <w:p>
      <w:pPr>
        <w:jc w:val="both"/>
      </w:pPr>
      <w:r>
        <w:t xml:space="preserve">Chaque source est un module indépendant. Un client HTTP commun applique la protection anti-SSRF à chaque redirection, borne la taille des réponses, relance avec temporisation exponentielle et respecte l'en-tête Retry-After. Un fournisseur ne lève jamais d'erreur non gérée : il renvoie un statut explicite (données obtenues, aucune donnée, erreur, non configuré, quota atteint) affiché comme </w:t>
      </w:r>
      <w:r>
        <w:rPr>
          <w:i/>
          <w:iCs/>
        </w:rPr>
        <w:t xml:space="preserve">Donnée indisponible</w:t>
      </w:r>
      <w:r>
        <w:t xml:space="preserve"> dans l'interface.</w:t>
      </w:r>
    </w:p>
    <w:p>
      <w:pPr>
        <w:jc w:val="both"/>
      </w:pPr>
      <w:r>
        <w:t xml:space="preserve">Deux règles d'interprétation illustrent la démarche : une absence de détection sur VirusTotal produit un verdict </w:t>
      </w:r>
      <w:r>
        <w:rPr>
          <w:i/>
          <w:iCs/>
        </w:rPr>
        <w:t xml:space="preserve">inconnu</w:t>
      </w:r>
      <w:r>
        <w:t xml:space="preserve"> et non </w:t>
      </w:r>
      <w:r>
        <w:rPr>
          <w:i/>
          <w:iCs/>
        </w:rPr>
        <w:t xml:space="preserve">bénin</w:t>
      </w:r>
      <w:r>
        <w:t xml:space="preserve">, et seules les entités de type organisation sont conservées dans RDAP, les contacts individuels étant ignorés pour ne pas collecter de données personnelles.</w:t>
      </w:r>
    </w:p>
    <w:p>
      <w:pPr>
        <w:pStyle w:val="Heading2"/>
      </w:pPr>
      <w:r>
        <w:t xml:space="preserve">4.4 Corrélation et scoring explicable</w:t>
      </w:r>
    </w:p>
    <w:p>
      <w:pPr>
        <w:jc w:val="both"/>
      </w:pPr>
      <w:r>
        <w:t xml:space="preserve">Le moteur de corrélation produit des faits attribués à leur source (« RDAP déclare que le bloc est enregistré au nom de... »), détecte les contradictions (pays ou système autonome divergents, verdicts opposés) et liste les informations manquantes.</w:t>
      </w:r>
    </w:p>
    <w:p>
      <w:pPr>
        <w:jc w:val="both"/>
      </w:pPr>
      <w:r>
        <w:t xml:space="preserve">Le </w:t>
      </w:r>
      <w:r>
        <w:rPr>
          <w:b/>
          <w:bCs/>
        </w:rPr>
        <w:t xml:space="preserve">risque</w:t>
      </w:r>
      <w:r>
        <w:t xml:space="preserve"> est la moyenne pondérée des facteurs connus : réputation, contexte de l'événement, fréquence des tentatives, criticité de la cible, associations documentées et récence. Un facteur inconnu est exclu au lieu d'être compté comme bénin. La </w:t>
      </w:r>
      <w:r>
        <w:rPr>
          <w:b/>
          <w:bCs/>
        </w:rPr>
        <w:t xml:space="preserve">confiance</w:t>
      </w:r>
      <w:r>
        <w:t xml:space="preserve"> est calculée séparément :</w:t>
      </w:r>
    </w:p>
    <w:p>
      <w:pPr>
        <w:pStyle w:val="Code"/>
      </w:pPr>
      <w:r>
        <w:t xml:space="preserve">confiance = 100 x (0,45 x corroboration + 0,35 x couverture + 0,20 x part des facteurs connus) moins pénalités</w:t>
      </w:r>
    </w:p>
    <w:p>
      <w:pPr>
        <w:jc w:val="both"/>
      </w:pPr>
      <w:r>
        <w:t xml:space="preserve">La corroboration compte les sources </w:t>
      </w:r>
      <w:r>
        <w:rPr>
          <w:b/>
          <w:bCs/>
        </w:rPr>
        <w:t xml:space="preserve">par groupe d'amont</w:t>
      </w:r>
      <w:r>
        <w:t xml:space="preserve"> : deux services qui rediffusent le même flux ne valent qu'une source, et les groupes connus pour partager des données sont pondérés. Les contradictions, données obsolètes et erreurs de collecte retirent des points. Chaque facteur est restitué avec sa valeur, son poids, sa contribution et une justification.</w:t>
      </w:r>
    </w:p>
    <w:p>
      <w:pPr>
        <w:pStyle w:val="Heading2"/>
      </w:pPr>
      <w:r>
        <w:t xml:space="preserve">4.5 Analyse assistée et protection contre l'injection</w:t>
      </w:r>
    </w:p>
    <w:p>
      <w:pPr>
        <w:jc w:val="both"/>
      </w:pPr>
      <w:r>
        <w:t xml:space="preserve">L'analyse est confiée à un fournisseur interchangeable : un moteur déterministe local (par défaut, aucune donnée ne quitte le poste), Claude via le kit officiel d'Anthropic, ou tout modèle compatible OpenAI, y compris local. Le dispositif de protection comporte six barrières :</w:t>
      </w:r>
    </w:p>
    <w:p>
      <w:pPr>
        <w:pStyle w:val="ListParagraph"/>
        <w:numPr>
          <w:ilvl w:val="0"/>
          <w:numId w:val="2"/>
        </w:numPr>
        <w:spacing w:after="60"/>
        <w:jc w:val="both"/>
      </w:pPr>
      <w:r>
        <w:t xml:space="preserve">les données sont transmises dans un bloc délimité et déclaré non fiable, avec échappement empêchant de le refermer ;</w:t>
      </w:r>
    </w:p>
    <w:p>
      <w:pPr>
        <w:pStyle w:val="ListParagraph"/>
        <w:numPr>
          <w:ilvl w:val="0"/>
          <w:numId w:val="2"/>
        </w:numPr>
        <w:spacing w:after="60"/>
        <w:jc w:val="both"/>
      </w:pPr>
      <w:r>
        <w:t xml:space="preserve">les motifs d'injection sont détectés et signalés à l'analyste ;</w:t>
      </w:r>
    </w:p>
    <w:p>
      <w:pPr>
        <w:pStyle w:val="ListParagraph"/>
        <w:numPr>
          <w:ilvl w:val="0"/>
          <w:numId w:val="2"/>
        </w:numPr>
        <w:spacing w:after="60"/>
        <w:jc w:val="both"/>
      </w:pPr>
      <w:r>
        <w:t xml:space="preserve">aucun outil n'est fourni au modèle, qui ne peut renvoyer qu'un document JSON ;</w:t>
      </w:r>
    </w:p>
    <w:p>
      <w:pPr>
        <w:pStyle w:val="ListParagraph"/>
        <w:numPr>
          <w:ilvl w:val="0"/>
          <w:numId w:val="2"/>
        </w:numPr>
        <w:spacing w:after="60"/>
        <w:jc w:val="both"/>
      </w:pPr>
      <w:r>
        <w:t xml:space="preserve">la sortie est validée : schéma strict, preuves existantes obligatoires, URL inventées supprimées, identifiants MITRE vérifiés ;</w:t>
      </w:r>
    </w:p>
    <w:p>
      <w:pPr>
        <w:pStyle w:val="ListParagraph"/>
        <w:numPr>
          <w:ilvl w:val="0"/>
          <w:numId w:val="2"/>
        </w:numPr>
        <w:spacing w:after="60"/>
        <w:jc w:val="both"/>
      </w:pPr>
      <w:r>
        <w:t xml:space="preserve">toute attribution à un acteur sans preuve de renseignement est retirée, une adresse IP ne suffisant jamais ;</w:t>
      </w:r>
    </w:p>
    <w:p>
      <w:pPr>
        <w:pStyle w:val="ListParagraph"/>
        <w:numPr>
          <w:ilvl w:val="0"/>
          <w:numId w:val="2"/>
        </w:numPr>
        <w:spacing w:after="60"/>
        <w:jc w:val="both"/>
      </w:pPr>
      <w:r>
        <w:t xml:space="preserve">toutes les actions recommandées exigent une validation humaine, et l'envoi vers un fournisseur externe nécessite une politique de traitement validée.</w:t>
      </w:r>
    </w:p>
    <w:p>
      <w:pPr>
        <w:pStyle w:val="Heading2"/>
      </w:pPr>
      <w:r>
        <w:t xml:space="preserve">4.6 Rapports, notifications et traçabilité</w:t>
      </w:r>
    </w:p>
    <w:p>
      <w:pPr>
        <w:jc w:val="both"/>
      </w:pPr>
      <w:r>
        <w:t xml:space="preserve">Les rapports technique et de synthèse distinguent la provenance de chaque section : donnée observée par le SIEM, information de source tierce, calcul déterministe ou contenu généré. Leur empreinte SHA-256 est enregistrée et vérifiable. Le journal d'audit chaîne chaque entrée à la précédente par hachage, ce qui rend toute modification détectable. Des notifications (webhook signé, Teams, Slack, courriel en TLS) sont émises au franchissement d'un seuil de risque.</w:t>
      </w:r>
    </w:p>
    <w:p>
      <w:pPr>
        <w:keepNext/>
        <w:spacing w:after="40" w:before="120" w:line="240" w:lineRule="auto"/>
        <w:jc w:val="center"/>
      </w:pPr>
      <w:r>
        <w:drawing>
          <wp:inline distT="0" distB="0" distL="0" distR="0">
            <wp:extent cx="3238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0" cy="4572000"/>
                    </a:xfrm>
                    <a:prstGeom prst="rect">
                      <a:avLst/>
                    </a:prstGeom>
                  </pic:spPr>
                </pic:pic>
              </a:graphicData>
            </a:graphic>
          </wp:inline>
        </w:drawing>
      </w:r>
    </w:p>
    <w:p>
      <w:pPr>
        <w:pStyle w:val="Legende"/>
      </w:pPr>
      <w:r>
        <w:t xml:space="preserve">Figure 5 : Première page d'un rapport technique généré (données de démonstration)</w:t>
      </w:r>
    </w:p>
    <w:p>
      <w:pPr>
        <w:pStyle w:val="Heading2"/>
      </w:pPr>
      <w:r>
        <w:t xml:space="preserve">4.7 Interface utilisateur</w:t>
      </w:r>
    </w:p>
    <w:p>
      <w:pPr>
        <w:jc w:val="both"/>
      </w:pPr>
      <w:r>
        <w:t xml:space="preserve">L'interface adopte un thème sombre inspiré des consoles SOC et des films de hacking : pluie de caractères, effet d'écran cathodique, titres animés, radar de surveillance. Ces effets sont décoratifs, ne masquent aucune donnée et peuvent être désactivés ; ils le sont d'office si le système demande moins d'animations.</w:t>
      </w:r>
    </w:p>
    <w:p>
      <w:pPr>
        <w:keepNext/>
        <w:spacing w:after="40" w:before="120" w:line="240" w:lineRule="auto"/>
        <w:jc w:val="center"/>
      </w:pPr>
      <w:r>
        <w:drawing>
          <wp:inline distT="0" distB="0" distL="0" distR="0">
            <wp:extent cx="57531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53100" cy="3419475"/>
                    </a:xfrm>
                    <a:prstGeom prst="rect">
                      <a:avLst/>
                    </a:prstGeom>
                  </pic:spPr>
                </pic:pic>
              </a:graphicData>
            </a:graphic>
          </wp:inline>
        </w:drawing>
      </w:r>
    </w:p>
    <w:p>
      <w:pPr>
        <w:pStyle w:val="Legende"/>
      </w:pPr>
      <w:r>
        <w:t xml:space="preserve">Figure 6 : Écran de premier démarrage : séquence d'initialisation et création de l'administrateur</w:t>
      </w:r>
    </w:p>
    <w:p>
      <w:pPr>
        <w:keepNext/>
        <w:spacing w:after="40" w:before="120" w:line="240" w:lineRule="auto"/>
        <w:jc w:val="center"/>
      </w:pPr>
      <w:r>
        <w:drawing>
          <wp:inline distT="0" distB="0" distL="0" distR="0">
            <wp:extent cx="57531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53100" cy="3419475"/>
                    </a:xfrm>
                    <a:prstGeom prst="rect">
                      <a:avLst/>
                    </a:prstGeom>
                  </pic:spPr>
                </pic:pic>
              </a:graphicData>
            </a:graphic>
          </wp:inline>
        </w:drawing>
      </w:r>
    </w:p>
    <w:p>
      <w:pPr>
        <w:pStyle w:val="Legende"/>
      </w:pPr>
      <w:r>
        <w:t xml:space="preserve">Figure 7 : Vue d'ensemble : compteurs, investigations prioritaires et répartition des risques</w:t>
      </w:r>
    </w:p>
    <w:p>
      <w:pPr>
        <w:keepNext/>
        <w:spacing w:after="40" w:before="120" w:line="240" w:lineRule="auto"/>
        <w:jc w:val="center"/>
      </w:pPr>
      <w:r>
        <w:drawing>
          <wp:inline distT="0" distB="0" distL="0" distR="0">
            <wp:extent cx="57531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53100" cy="3419475"/>
                    </a:xfrm>
                    <a:prstGeom prst="rect">
                      <a:avLst/>
                    </a:prstGeom>
                  </pic:spPr>
                </pic:pic>
              </a:graphicData>
            </a:graphic>
          </wp:inline>
        </w:drawing>
      </w:r>
    </w:p>
    <w:p>
      <w:pPr>
        <w:pStyle w:val="Legende"/>
      </w:pPr>
      <w:r>
        <w:t xml:space="preserve">Figure 8 : Fiche d'investigation du scénario de référence : attribution réseau, réputation et scoring</w:t>
      </w:r>
    </w:p>
    <w:p>
      <w:pPr>
        <w:keepNext/>
        <w:spacing w:after="40" w:before="120" w:line="240" w:lineRule="auto"/>
        <w:jc w:val="center"/>
      </w:pPr>
      <w:r>
        <w:drawing>
          <wp:inline distT="0" distB="0" distL="0" distR="0">
            <wp:extent cx="57531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53100" cy="3419475"/>
                    </a:xfrm>
                    <a:prstGeom prst="rect">
                      <a:avLst/>
                    </a:prstGeom>
                  </pic:spPr>
                </pic:pic>
              </a:graphicData>
            </a:graphic>
          </wp:inline>
        </w:drawing>
      </w:r>
    </w:p>
    <w:p>
      <w:pPr>
        <w:pStyle w:val="Legende"/>
      </w:pPr>
      <w:r>
        <w:t xml:space="preserve">Figure 9 : Graphe d'investigation : relations qualifiées entre événements, adresses, domaines et organisations</w:t>
      </w:r>
    </w:p>
    <w:p>
      <w:pPr>
        <w:keepNext/>
        <w:spacing w:after="40" w:before="120" w:line="240" w:lineRule="auto"/>
        <w:jc w:val="center"/>
      </w:pPr>
      <w:r>
        <w:drawing>
          <wp:inline distT="0" distB="0" distL="0" distR="0">
            <wp:extent cx="57531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53100" cy="3419475"/>
                    </a:xfrm>
                    <a:prstGeom prst="rect">
                      <a:avLst/>
                    </a:prstGeom>
                  </pic:spPr>
                </pic:pic>
              </a:graphicData>
            </a:graphic>
          </wp:inline>
        </w:drawing>
      </w:r>
    </w:p>
    <w:p>
      <w:pPr>
        <w:pStyle w:val="Legende"/>
      </w:pPr>
      <w:r>
        <w:t xml:space="preserve">Figure 10 : Cartographie : emplacements estimés avec avertissement permanent sur leur précision</w:t>
      </w:r>
    </w:p>
    <w:p>
      <w:pPr>
        <w:keepNext/>
        <w:spacing w:after="40" w:before="120" w:line="240" w:lineRule="auto"/>
        <w:jc w:val="center"/>
      </w:pPr>
      <w:r>
        <w:drawing>
          <wp:inline distT="0" distB="0" distL="0" distR="0">
            <wp:extent cx="57531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53100" cy="3419475"/>
                    </a:xfrm>
                    <a:prstGeom prst="rect">
                      <a:avLst/>
                    </a:prstGeom>
                  </pic:spPr>
                </pic:pic>
              </a:graphicData>
            </a:graphic>
          </wp:inline>
        </w:drawing>
      </w:r>
    </w:p>
    <w:p>
      <w:pPr>
        <w:pStyle w:val="Legende"/>
      </w:pPr>
      <w:r>
        <w:t xml:space="preserve">Figure 11 : Analyse assistée : résumé, faits rattachés à des preuves et hypothèses à vérifier</w:t>
      </w:r>
    </w:p>
    <w:p>
      <w:pPr>
        <w:keepNext/>
        <w:spacing w:after="40" w:before="120" w:line="240" w:lineRule="auto"/>
        <w:jc w:val="center"/>
      </w:pPr>
      <w:r>
        <w:drawing>
          <wp:inline distT="0" distB="0" distL="0" distR="0">
            <wp:extent cx="57531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53100" cy="3419475"/>
                    </a:xfrm>
                    <a:prstGeom prst="rect">
                      <a:avLst/>
                    </a:prstGeom>
                  </pic:spPr>
                </pic:pic>
              </a:graphicData>
            </a:graphic>
          </wp:inline>
        </w:drawing>
      </w:r>
    </w:p>
    <w:p>
      <w:pPr>
        <w:pStyle w:val="Legende"/>
      </w:pPr>
      <w:r>
        <w:t xml:space="preserve">Figure 12 : Configuration des connecteurs SIEM, OSINT, notifications et fournisseur d'IA</w:t>
      </w:r>
    </w:p>
    <w:p>
      <w:pPr>
        <w:pStyle w:val="Heading2"/>
      </w:pPr>
      <w:r>
        <w:t xml:space="preserve">4.8 Distribution Windows</w:t>
      </w:r>
    </w:p>
    <w:p>
      <w:pPr>
        <w:jc w:val="both"/>
      </w:pPr>
      <w:r>
        <w:t xml:space="preserve">Le serveur est compilé en exécutable par PyInstaller, puis embarqué dans une application Electron empaquetée par electron-builder sous deux formes : un installateur NSIS sans droits administrateur et une version portable. Au lancement, Electron choisit un port libre, démarre le serveur sur la boucle locale, attend qu'il soit prêt puis affiche l'interface. Sous Windows, les clés de chiffrement sont protégées par DPAPI et donc liées au compte de l'utilisateur.</w:t>
      </w:r>
    </w:p>
    <w:p>
      <w:r>
        <w:br w:type="page"/>
      </w:r>
    </w:p>
    <w:p>
      <w:pPr>
        <w:pStyle w:val="Heading1"/>
      </w:pPr>
      <w:r>
        <w:t xml:space="preserve">Chapitre 5 : Tests et validation</w:t>
      </w:r>
    </w:p>
    <w:p>
      <w:pPr>
        <w:pStyle w:val="Heading2"/>
      </w:pPr>
      <w:r>
        <w:t xml:space="preserve">5.1 Stratégie de test</w:t>
      </w:r>
    </w:p>
    <w:tbl>
      <w:tblPr>
        <w:tblW w:type="dxa" w:w="9071"/>
        <w:tblBorders>
          <w:top w:val="single" w:color="C9D3DD" w:sz="4"/>
          <w:left w:val="single" w:color="C9D3DD" w:sz="4"/>
          <w:bottom w:val="single" w:color="C9D3DD" w:sz="4"/>
          <w:right w:val="single" w:color="C9D3DD" w:sz="4"/>
          <w:insideH w:val="single" w:color="C9D3DD" w:sz="4"/>
          <w:insideV w:val="single" w:color="C9D3DD" w:sz="4"/>
        </w:tblBorders>
      </w:tblPr>
      <w:tblGrid>
        <w:gridCol w:w="2041"/>
        <w:gridCol w:w="1304"/>
        <w:gridCol w:w="5726"/>
      </w:tblGrid>
      <w:tr>
        <w:trPr>
          <w:tblHeader/>
        </w:trPr>
        <w:tc>
          <w:tcPr>
            <w:tcW w:type="dxa" w:w="2041"/>
            <w:shd w:fill="0B1A2B" w:color="auto" w:val="clear"/>
            <w:tcMar>
              <w:top w:type="dxa" w:w="50"/>
              <w:left w:type="dxa" w:w="90"/>
              <w:bottom w:type="dxa" w:w="50"/>
              <w:right w:type="dxa" w:w="90"/>
            </w:tcMar>
          </w:tcPr>
          <w:p>
            <w:pPr>
              <w:spacing w:after="0" w:line="260"/>
            </w:pPr>
            <w:r>
              <w:rPr>
                <w:rFonts w:ascii="Arial" w:cs="Arial" w:eastAsia="Arial" w:hAnsi="Arial"/>
                <w:b/>
                <w:bCs/>
                <w:color w:val="FFFFFF"/>
                <w:sz w:val="18"/>
                <w:szCs w:val="18"/>
              </w:rPr>
              <w:t xml:space="preserve">Domaine</w:t>
            </w:r>
          </w:p>
        </w:tc>
        <w:tc>
          <w:tcPr>
            <w:tcW w:type="dxa" w:w="1304"/>
            <w:shd w:fill="0B1A2B" w:color="auto" w:val="clear"/>
            <w:tcMar>
              <w:top w:type="dxa" w:w="50"/>
              <w:left w:type="dxa" w:w="90"/>
              <w:bottom w:type="dxa" w:w="50"/>
              <w:right w:type="dxa" w:w="90"/>
            </w:tcMar>
          </w:tcPr>
          <w:p>
            <w:pPr>
              <w:spacing w:after="0" w:line="260"/>
            </w:pPr>
            <w:r>
              <w:rPr>
                <w:rFonts w:ascii="Arial" w:cs="Arial" w:eastAsia="Arial" w:hAnsi="Arial"/>
                <w:b/>
                <w:bCs/>
                <w:color w:val="FFFFFF"/>
                <w:sz w:val="18"/>
                <w:szCs w:val="18"/>
              </w:rPr>
              <w:t xml:space="preserve">Tests</w:t>
            </w:r>
          </w:p>
        </w:tc>
        <w:tc>
          <w:tcPr>
            <w:tcW w:type="dxa" w:w="5726"/>
            <w:shd w:fill="0B1A2B" w:color="auto" w:val="clear"/>
            <w:tcMar>
              <w:top w:type="dxa" w:w="50"/>
              <w:left w:type="dxa" w:w="90"/>
              <w:bottom w:type="dxa" w:w="50"/>
              <w:right w:type="dxa" w:w="90"/>
            </w:tcMar>
          </w:tcPr>
          <w:p>
            <w:pPr>
              <w:spacing w:after="0" w:line="260"/>
            </w:pPr>
            <w:r>
              <w:rPr>
                <w:rFonts w:ascii="Arial" w:cs="Arial" w:eastAsia="Arial" w:hAnsi="Arial"/>
                <w:b/>
                <w:bCs/>
                <w:color w:val="FFFFFF"/>
                <w:sz w:val="18"/>
                <w:szCs w:val="18"/>
              </w:rPr>
              <w:t xml:space="preserve">Exemples de cas vérifiés</w:t>
            </w:r>
          </w:p>
        </w:tc>
      </w:tr>
      <w:tr>
        <w:trPr>
          <w:tblHeader w:val="false"/>
        </w:trPr>
        <w:tc>
          <w:tcPr>
            <w:tcW w:type="dxa" w:w="2041"/>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Indicateurs</w:t>
            </w:r>
          </w:p>
        </w:tc>
        <w:tc>
          <w:tcPr>
            <w:tcW w:type="dxa" w:w="1304"/>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30</w:t>
            </w:r>
          </w:p>
        </w:tc>
        <w:tc>
          <w:tcPr>
            <w:tcW w:type="dxa" w:w="5726"/>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21 catégories d'adresses, domaines réservés, extraction de texte, formes neutralisées</w:t>
            </w:r>
          </w:p>
        </w:tc>
      </w:tr>
      <w:tr>
        <w:trPr>
          <w:tblHeader w:val="false"/>
        </w:trPr>
        <w:tc>
          <w:tcPr>
            <w:tcW w:type="dxa" w:w="2041"/>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Connecteurs SIEM</w:t>
            </w:r>
          </w:p>
        </w:tc>
        <w:tc>
          <w:tcPr>
            <w:tcW w:type="dxa" w:w="1304"/>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23</w:t>
            </w:r>
          </w:p>
        </w:tc>
        <w:tc>
          <w:tcPr>
            <w:tcW w:type="dxa" w:w="5726"/>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Sentinel avec renouvellement de jeton, Splunk, Elastic, Wazuh, Defender, quotas et erreurs</w:t>
            </w:r>
          </w:p>
        </w:tc>
      </w:tr>
      <w:tr>
        <w:trPr>
          <w:tblHeader w:val="false"/>
        </w:trPr>
        <w:tc>
          <w:tcPr>
            <w:tcW w:type="dxa" w:w="2041"/>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Sources OSINT</w:t>
            </w:r>
          </w:p>
        </w:tc>
        <w:tc>
          <w:tcPr>
            <w:tcW w:type="dxa" w:w="1304"/>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17</w:t>
            </w:r>
          </w:p>
        </w:tc>
        <w:tc>
          <w:tcPr>
            <w:tcW w:type="dxa" w:w="5726"/>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Absence de données personnelles RDAP, réponses compressées, redirection interne bloquée</w:t>
            </w:r>
          </w:p>
        </w:tc>
      </w:tr>
      <w:tr>
        <w:trPr>
          <w:tblHeader w:val="false"/>
        </w:trPr>
        <w:tc>
          <w:tcPr>
            <w:tcW w:type="dxa" w:w="2041"/>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Scoring</w:t>
            </w:r>
          </w:p>
        </w:tc>
        <w:tc>
          <w:tcPr>
            <w:tcW w:type="dxa" w:w="1304"/>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7</w:t>
            </w:r>
          </w:p>
        </w:tc>
        <w:tc>
          <w:tcPr>
            <w:tcW w:type="dxa" w:w="5726"/>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Source miroir non comptée deux fois, pénalités, absence de signal non bénigne</w:t>
            </w:r>
          </w:p>
        </w:tc>
      </w:tr>
      <w:tr>
        <w:trPr>
          <w:tblHeader w:val="false"/>
        </w:trPr>
        <w:tc>
          <w:tcPr>
            <w:tcW w:type="dxa" w:w="2041"/>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Analyse assistée</w:t>
            </w:r>
          </w:p>
        </w:tc>
        <w:tc>
          <w:tcPr>
            <w:tcW w:type="dxa" w:w="1304"/>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18</w:t>
            </w:r>
          </w:p>
        </w:tc>
        <w:tc>
          <w:tcPr>
            <w:tcW w:type="dxa" w:w="5726"/>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Preuves inventées retirées, attribution sans renseignement retirée, injection neutralisée</w:t>
            </w:r>
          </w:p>
        </w:tc>
      </w:tr>
      <w:tr>
        <w:trPr>
          <w:tblHeader w:val="false"/>
        </w:trPr>
        <w:tc>
          <w:tcPr>
            <w:tcW w:type="dxa" w:w="2041"/>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Sécurité</w:t>
            </w:r>
          </w:p>
        </w:tc>
        <w:tc>
          <w:tcPr>
            <w:tcW w:type="dxa" w:w="1304"/>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29</w:t>
            </w:r>
          </w:p>
        </w:tc>
        <w:tc>
          <w:tcPr>
            <w:tcW w:type="dxa" w:w="5726"/>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SSRF, injection SQL, contrôle d'accès, verrouillage, secrets jamais en clair, webhooks signés</w:t>
            </w:r>
          </w:p>
        </w:tc>
      </w:tr>
      <w:tr>
        <w:trPr>
          <w:tblHeader w:val="false"/>
        </w:trPr>
        <w:tc>
          <w:tcPr>
            <w:tcW w:type="dxa" w:w="2041"/>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Tâches, historique, notifications</w:t>
            </w:r>
          </w:p>
        </w:tc>
        <w:tc>
          <w:tcPr>
            <w:tcW w:type="dxa" w:w="1304"/>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12</w:t>
            </w:r>
          </w:p>
        </w:tc>
        <w:tc>
          <w:tcPr>
            <w:tcW w:type="dxa" w:w="5726"/>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Reprise après interruption, curseur non avancé en cas d'échec, envoi unique</w:t>
            </w:r>
          </w:p>
        </w:tc>
      </w:tr>
      <w:tr>
        <w:trPr>
          <w:tblHeader w:val="false"/>
        </w:trPr>
        <w:tc>
          <w:tcPr>
            <w:tcW w:type="dxa" w:w="2041"/>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Rapports, migrations, clés</w:t>
            </w:r>
          </w:p>
        </w:tc>
        <w:tc>
          <w:tcPr>
            <w:tcW w:type="dxa" w:w="1304"/>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9</w:t>
            </w:r>
          </w:p>
        </w:tc>
        <w:tc>
          <w:tcPr>
            <w:tcW w:type="dxa" w:w="5726"/>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Détection de falsification, migration sur base existante, DPAPI</w:t>
            </w:r>
          </w:p>
        </w:tc>
      </w:tr>
      <w:tr>
        <w:trPr>
          <w:tblHeader w:val="false"/>
        </w:trPr>
        <w:tc>
          <w:tcPr>
            <w:tcW w:type="dxa" w:w="2041"/>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Sources réelles</w:t>
            </w:r>
          </w:p>
        </w:tc>
        <w:tc>
          <w:tcPr>
            <w:tcW w:type="dxa" w:w="1304"/>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3</w:t>
            </w:r>
          </w:p>
        </w:tc>
        <w:tc>
          <w:tcPr>
            <w:tcW w:type="dxa" w:w="5726"/>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RDAP, RIPEstat et InternetDB interrogées en direct (exécution optionnelle)</w:t>
            </w:r>
          </w:p>
        </w:tc>
      </w:tr>
      <w:tr>
        <w:trPr>
          <w:tblHeader w:val="false"/>
        </w:trPr>
        <w:tc>
          <w:tcPr>
            <w:tcW w:type="dxa" w:w="2041"/>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Bout en bout</w:t>
            </w:r>
          </w:p>
        </w:tc>
        <w:tc>
          <w:tcPr>
            <w:tcW w:type="dxa" w:w="1304"/>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2 + 22 contrôles</w:t>
            </w:r>
          </w:p>
        </w:tc>
        <w:tc>
          <w:tcPr>
            <w:tcW w:type="dxa" w:w="5726"/>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Scénario complet par l'API et parcours de l'interface dans un navigateur</w:t>
            </w:r>
          </w:p>
        </w:tc>
      </w:tr>
    </w:tbl>
    <w:p>
      <w:pPr>
        <w:pStyle w:val="Legende"/>
      </w:pPr>
      <w:r>
        <w:t xml:space="preserve">Tableau 5 : Répartition des tests automatisés</w:t>
      </w:r>
    </w:p>
    <w:p>
      <w:pPr>
        <w:pStyle w:val="Heading2"/>
      </w:pPr>
      <w:r>
        <w:t xml:space="preserve">5.2 Résultats</w:t>
      </w:r>
    </w:p>
    <w:tbl>
      <w:tblPr>
        <w:tblW w:type="dxa" w:w="9071"/>
        <w:tblBorders>
          <w:top w:val="single" w:color="C9D3DD" w:sz="4"/>
          <w:left w:val="single" w:color="C9D3DD" w:sz="4"/>
          <w:bottom w:val="single" w:color="C9D3DD" w:sz="4"/>
          <w:right w:val="single" w:color="C9D3DD" w:sz="4"/>
          <w:insideH w:val="single" w:color="C9D3DD" w:sz="4"/>
          <w:insideV w:val="single" w:color="C9D3DD" w:sz="4"/>
        </w:tblBorders>
      </w:tblPr>
      <w:tblGrid>
        <w:gridCol w:w="2835"/>
        <w:gridCol w:w="6236"/>
      </w:tblGrid>
      <w:tr>
        <w:trPr>
          <w:tblHeader/>
        </w:trPr>
        <w:tc>
          <w:tcPr>
            <w:tcW w:type="dxa" w:w="2835"/>
            <w:shd w:fill="0B1A2B" w:color="auto" w:val="clear"/>
            <w:tcMar>
              <w:top w:type="dxa" w:w="50"/>
              <w:left w:type="dxa" w:w="90"/>
              <w:bottom w:type="dxa" w:w="50"/>
              <w:right w:type="dxa" w:w="90"/>
            </w:tcMar>
          </w:tcPr>
          <w:p>
            <w:pPr>
              <w:spacing w:after="0" w:line="260"/>
            </w:pPr>
            <w:r>
              <w:rPr>
                <w:rFonts w:ascii="Arial" w:cs="Arial" w:eastAsia="Arial" w:hAnsi="Arial"/>
                <w:b/>
                <w:bCs/>
                <w:color w:val="FFFFFF"/>
                <w:sz w:val="18"/>
                <w:szCs w:val="18"/>
              </w:rPr>
              <w:t xml:space="preserve">Environnement</w:t>
            </w:r>
          </w:p>
        </w:tc>
        <w:tc>
          <w:tcPr>
            <w:tcW w:type="dxa" w:w="6236"/>
            <w:shd w:fill="0B1A2B" w:color="auto" w:val="clear"/>
            <w:tcMar>
              <w:top w:type="dxa" w:w="50"/>
              <w:left w:type="dxa" w:w="90"/>
              <w:bottom w:type="dxa" w:w="50"/>
              <w:right w:type="dxa" w:w="90"/>
            </w:tcMar>
          </w:tcPr>
          <w:p>
            <w:pPr>
              <w:spacing w:after="0" w:line="260"/>
            </w:pPr>
            <w:r>
              <w:rPr>
                <w:rFonts w:ascii="Arial" w:cs="Arial" w:eastAsia="Arial" w:hAnsi="Arial"/>
                <w:b/>
                <w:bCs/>
                <w:color w:val="FFFFFF"/>
                <w:sz w:val="18"/>
                <w:szCs w:val="18"/>
              </w:rPr>
              <w:t xml:space="preserve">Résultat</w:t>
            </w:r>
          </w:p>
        </w:tc>
      </w:tr>
      <w:tr>
        <w:trPr>
          <w:tblHeader w:val="false"/>
        </w:trPr>
        <w:tc>
          <w:tcPr>
            <w:tcW w:type="dxa" w:w="2835"/>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Linux, Python 3.12 et 3.13</w:t>
            </w:r>
          </w:p>
        </w:tc>
        <w:tc>
          <w:tcPr>
            <w:tcW w:type="dxa" w:w="6236"/>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146 tests réussis, 4 conditionnels (sources réelles, Windows)</w:t>
            </w:r>
          </w:p>
        </w:tc>
      </w:tr>
      <w:tr>
        <w:trPr>
          <w:tblHeader w:val="false"/>
        </w:trPr>
        <w:tc>
          <w:tcPr>
            <w:tcW w:type="dxa" w:w="2835"/>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Windows (GitHub Actions)</w:t>
            </w:r>
          </w:p>
        </w:tc>
        <w:tc>
          <w:tcPr>
            <w:tcW w:type="dxa" w:w="6236"/>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147 tests réussis dont la protection DPAPI</w:t>
            </w:r>
          </w:p>
        </w:tc>
      </w:tr>
      <w:tr>
        <w:trPr>
          <w:tblHeader w:val="false"/>
        </w:trPr>
        <w:tc>
          <w:tcPr>
            <w:tcW w:type="dxa" w:w="2835"/>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PostgreSQL 16</w:t>
            </w:r>
          </w:p>
        </w:tc>
        <w:tc>
          <w:tcPr>
            <w:tcW w:type="dxa" w:w="6236"/>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Suite complète réussie</w:t>
            </w:r>
          </w:p>
        </w:tc>
      </w:tr>
      <w:tr>
        <w:trPr>
          <w:tblHeader w:val="false"/>
        </w:trPr>
        <w:tc>
          <w:tcPr>
            <w:tcW w:type="dxa" w:w="2835"/>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Interface (Playwright)</w:t>
            </w:r>
          </w:p>
        </w:tc>
        <w:tc>
          <w:tcPr>
            <w:tcW w:type="dxa" w:w="6236"/>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22 contrôles réussis, aucune erreur JavaScript</w:t>
            </w:r>
          </w:p>
        </w:tc>
      </w:tr>
      <w:tr>
        <w:trPr>
          <w:tblHeader w:val="false"/>
        </w:trPr>
        <w:tc>
          <w:tcPr>
            <w:tcW w:type="dxa" w:w="2835"/>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Sources réelles</w:t>
            </w:r>
          </w:p>
        </w:tc>
        <w:tc>
          <w:tcPr>
            <w:tcW w:type="dxa" w:w="6236"/>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RDAP, RIPEstat et Shodan InternetDB interrogées avec succès</w:t>
            </w:r>
          </w:p>
        </w:tc>
      </w:tr>
      <w:tr>
        <w:trPr>
          <w:tblHeader w:val="false"/>
        </w:trPr>
        <w:tc>
          <w:tcPr>
            <w:tcW w:type="dxa" w:w="2835"/>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Exécutable Windows</w:t>
            </w:r>
          </w:p>
        </w:tc>
        <w:tc>
          <w:tcPr>
            <w:tcW w:type="dxa" w:w="6236"/>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Installateur et version portable produits, application lancée et interface affichée</w:t>
            </w:r>
          </w:p>
        </w:tc>
      </w:tr>
      <w:tr>
        <w:trPr>
          <w:tblHeader w:val="false"/>
        </w:trPr>
        <w:tc>
          <w:tcPr>
            <w:tcW w:type="dxa" w:w="2835"/>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Analyse statique et dépendances</w:t>
            </w:r>
          </w:p>
        </w:tc>
        <w:tc>
          <w:tcPr>
            <w:tcW w:type="dxa" w:w="6236"/>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bandit : aucune alerte haute ou moyenne ; pip-audit et npm audit : aucune vulnérabilité connue</w:t>
            </w:r>
          </w:p>
        </w:tc>
      </w:tr>
    </w:tbl>
    <w:p>
      <w:pPr>
        <w:pStyle w:val="Legende"/>
      </w:pPr>
      <w:r>
        <w:t xml:space="preserve">Tableau 6 : Synthèse des résultats de validation</w:t>
      </w:r>
    </w:p>
    <w:p>
      <w:pPr>
        <w:pStyle w:val="Heading2"/>
      </w:pPr>
      <w:r>
        <w:t xml:space="preserve">5.3 Défauts révélés par les tests en conditions réelles</w:t>
      </w:r>
    </w:p>
    <w:p>
      <w:pPr>
        <w:jc w:val="both"/>
      </w:pPr>
      <w:r>
        <w:t xml:space="preserve">Les tests sur des environnements réels ont montré leur valeur en révélant cinq défauts que les tests simulés ne pouvaient pas détecter, tous corrigés et couverts par un test :</w:t>
      </w:r>
    </w:p>
    <w:p>
      <w:pPr>
        <w:pStyle w:val="ListParagraph"/>
        <w:numPr>
          <w:ilvl w:val="0"/>
          <w:numId w:val="2"/>
        </w:numPr>
        <w:spacing w:after="60"/>
        <w:jc w:val="both"/>
      </w:pPr>
      <w:r>
        <w:t xml:space="preserve">les réponses HTTP compressées étaient mal reconstruites par le client (découvert sur les vraies API) ;</w:t>
      </w:r>
    </w:p>
    <w:p>
      <w:pPr>
        <w:pStyle w:val="ListParagraph"/>
        <w:numPr>
          <w:ilvl w:val="0"/>
          <w:numId w:val="2"/>
        </w:numPr>
        <w:spacing w:after="60"/>
        <w:jc w:val="both"/>
      </w:pPr>
      <w:r>
        <w:t xml:space="preserve">l'URL de référence RDAP contenait des espaces ;</w:t>
      </w:r>
    </w:p>
    <w:p>
      <w:pPr>
        <w:pStyle w:val="ListParagraph"/>
        <w:numPr>
          <w:ilvl w:val="0"/>
          <w:numId w:val="2"/>
        </w:numPr>
        <w:spacing w:after="60"/>
        <w:jc w:val="both"/>
      </w:pPr>
      <w:r>
        <w:t xml:space="preserve">un fichier de liste interne enregistré par Excel sous Windows (encodage cp1252) n'était pas lu ;</w:t>
      </w:r>
    </w:p>
    <w:p>
      <w:pPr>
        <w:pStyle w:val="ListParagraph"/>
        <w:numPr>
          <w:ilvl w:val="0"/>
          <w:numId w:val="2"/>
        </w:numPr>
        <w:spacing w:after="60"/>
        <w:jc w:val="both"/>
      </w:pPr>
      <w:r>
        <w:t xml:space="preserve">PostgreSQL refusait une requête DISTINCT portant sur des colonnes JSON ;</w:t>
      </w:r>
    </w:p>
    <w:p>
      <w:pPr>
        <w:pStyle w:val="ListParagraph"/>
        <w:numPr>
          <w:ilvl w:val="0"/>
          <w:numId w:val="2"/>
        </w:numPr>
        <w:spacing w:after="60"/>
        <w:jc w:val="both"/>
      </w:pPr>
      <w:r>
        <w:t xml:space="preserve">la configuration de l'installateur utilisait une macro de nommage inexistante.</w:t>
      </w:r>
    </w:p>
    <w:p>
      <w:pPr>
        <w:pStyle w:val="Heading2"/>
      </w:pPr>
      <w:r>
        <w:t xml:space="preserve">5.4 Résultat du scénario de référence</w:t>
      </w:r>
    </w:p>
    <w:p>
      <w:pPr>
        <w:jc w:val="both"/>
      </w:pPr>
      <w:r>
        <w:t xml:space="preserve">En mode réel, l'événement 154.73.112.25 est ingéré automatiquement, l'adresse de destination interne est reconnue comme privée et n'est pas transmise, RIPEstat et InternetDB fournissent des données, et l'absence de géolocalisation et de réputation est signalée. Le résultat est un </w:t>
      </w:r>
      <w:r>
        <w:rPr>
          <w:b/>
          <w:bCs/>
        </w:rPr>
        <w:t xml:space="preserve">risque élevé avec une confiance faible</w:t>
      </w:r>
      <w:r>
        <w:t xml:space="preserve"> : le comportement observé est suspect, mais les preuves externes sont minces. C'est exactement la distinction que le projet cherchait à rendre visible.</w:t>
      </w:r>
    </w:p>
    <w:p>
      <w:r>
        <w:br w:type="page"/>
      </w:r>
    </w:p>
    <w:p>
      <w:pPr>
        <w:pStyle w:val="Heading1"/>
      </w:pPr>
      <w:r>
        <w:t xml:space="preserve">Chapitre 6 : Sécurité, éthique et limites</w:t>
      </w:r>
    </w:p>
    <w:p>
      <w:pPr>
        <w:pStyle w:val="Heading2"/>
      </w:pPr>
      <w:r>
        <w:t xml:space="preserve">6.1 Sécurité by design</w:t>
      </w:r>
    </w:p>
    <w:tbl>
      <w:tblPr>
        <w:tblW w:type="dxa" w:w="9071"/>
        <w:tblBorders>
          <w:top w:val="single" w:color="C9D3DD" w:sz="4"/>
          <w:left w:val="single" w:color="C9D3DD" w:sz="4"/>
          <w:bottom w:val="single" w:color="C9D3DD" w:sz="4"/>
          <w:right w:val="single" w:color="C9D3DD" w:sz="4"/>
          <w:insideH w:val="single" w:color="C9D3DD" w:sz="4"/>
          <w:insideV w:val="single" w:color="C9D3DD" w:sz="4"/>
        </w:tblBorders>
      </w:tblPr>
      <w:tblGrid>
        <w:gridCol w:w="2041"/>
        <w:gridCol w:w="7030"/>
      </w:tblGrid>
      <w:tr>
        <w:trPr>
          <w:tblHeader/>
        </w:trPr>
        <w:tc>
          <w:tcPr>
            <w:tcW w:type="dxa" w:w="2041"/>
            <w:shd w:fill="0B1A2B" w:color="auto" w:val="clear"/>
            <w:tcMar>
              <w:top w:type="dxa" w:w="50"/>
              <w:left w:type="dxa" w:w="90"/>
              <w:bottom w:type="dxa" w:w="50"/>
              <w:right w:type="dxa" w:w="90"/>
            </w:tcMar>
          </w:tcPr>
          <w:p>
            <w:pPr>
              <w:spacing w:after="0" w:line="260"/>
            </w:pPr>
            <w:r>
              <w:rPr>
                <w:rFonts w:ascii="Arial" w:cs="Arial" w:eastAsia="Arial" w:hAnsi="Arial"/>
                <w:b/>
                <w:bCs/>
                <w:color w:val="FFFFFF"/>
                <w:sz w:val="18"/>
                <w:szCs w:val="18"/>
              </w:rPr>
              <w:t xml:space="preserve">Menace</w:t>
            </w:r>
          </w:p>
        </w:tc>
        <w:tc>
          <w:tcPr>
            <w:tcW w:type="dxa" w:w="7030"/>
            <w:shd w:fill="0B1A2B" w:color="auto" w:val="clear"/>
            <w:tcMar>
              <w:top w:type="dxa" w:w="50"/>
              <w:left w:type="dxa" w:w="90"/>
              <w:bottom w:type="dxa" w:w="50"/>
              <w:right w:type="dxa" w:w="90"/>
            </w:tcMar>
          </w:tcPr>
          <w:p>
            <w:pPr>
              <w:spacing w:after="0" w:line="260"/>
            </w:pPr>
            <w:r>
              <w:rPr>
                <w:rFonts w:ascii="Arial" w:cs="Arial" w:eastAsia="Arial" w:hAnsi="Arial"/>
                <w:b/>
                <w:bCs/>
                <w:color w:val="FFFFFF"/>
                <w:sz w:val="18"/>
                <w:szCs w:val="18"/>
              </w:rPr>
              <w:t xml:space="preserve">Mesure</w:t>
            </w:r>
          </w:p>
        </w:tc>
      </w:tr>
      <w:tr>
        <w:trPr>
          <w:tblHeader w:val="false"/>
        </w:trPr>
        <w:tc>
          <w:tcPr>
            <w:tcW w:type="dxa" w:w="2041"/>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Exposition réseau</w:t>
            </w:r>
          </w:p>
        </w:tc>
        <w:tc>
          <w:tcPr>
            <w:tcW w:type="dxa" w:w="7030"/>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Écoute sur 127.0.0.1, refus de démarrer ailleurs sans autorisation explicite</w:t>
            </w:r>
          </w:p>
        </w:tc>
      </w:tr>
      <w:tr>
        <w:trPr>
          <w:tblHeader w:val="false"/>
        </w:trPr>
        <w:tc>
          <w:tcPr>
            <w:tcW w:type="dxa" w:w="2041"/>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Accès non autorisé</w:t>
            </w:r>
          </w:p>
        </w:tc>
        <w:tc>
          <w:tcPr>
            <w:tcW w:type="dxa" w:w="7030"/>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Authentification, rôles, investigations restreintes, révocation des sessions</w:t>
            </w:r>
          </w:p>
        </w:tc>
      </w:tr>
      <w:tr>
        <w:trPr>
          <w:tblHeader w:val="false"/>
        </w:trPr>
        <w:tc>
          <w:tcPr>
            <w:tcW w:type="dxa" w:w="2041"/>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Force brute</w:t>
            </w:r>
          </w:p>
        </w:tc>
        <w:tc>
          <w:tcPr>
            <w:tcW w:type="dxa" w:w="7030"/>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Hachage bcrypt, verrouillage du compte, limitation de débit</w:t>
            </w:r>
          </w:p>
        </w:tc>
      </w:tr>
      <w:tr>
        <w:trPr>
          <w:tblHeader w:val="false"/>
        </w:trPr>
        <w:tc>
          <w:tcPr>
            <w:tcW w:type="dxa" w:w="2041"/>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SSRF</w:t>
            </w:r>
          </w:p>
        </w:tc>
        <w:tc>
          <w:tcPr>
            <w:tcW w:type="dxa" w:w="7030"/>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HTTPS uniquement, résolution DNS et refus des adresses internes, revalidation à chaque redirection</w:t>
            </w:r>
          </w:p>
        </w:tc>
      </w:tr>
      <w:tr>
        <w:trPr>
          <w:tblHeader w:val="false"/>
        </w:trPr>
        <w:tc>
          <w:tcPr>
            <w:tcW w:type="dxa" w:w="2041"/>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Fuite de secrets</w:t>
            </w:r>
          </w:p>
        </w:tc>
        <w:tc>
          <w:tcPr>
            <w:tcW w:type="dxa" w:w="7030"/>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Chiffrement Fernet, clé hors base protégée par DPAPI, secrets jamais renvoyés ni journalisés</w:t>
            </w:r>
          </w:p>
        </w:tc>
      </w:tr>
      <w:tr>
        <w:trPr>
          <w:tblHeader w:val="false"/>
        </w:trPr>
        <w:tc>
          <w:tcPr>
            <w:tcW w:type="dxa" w:w="2041"/>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Altération des preuves</w:t>
            </w:r>
          </w:p>
        </w:tc>
        <w:tc>
          <w:tcPr>
            <w:tcW w:type="dxa" w:w="7030"/>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Empreintes SHA-256, journal d'audit chaîné et vérifiable</w:t>
            </w:r>
          </w:p>
        </w:tc>
      </w:tr>
      <w:tr>
        <w:trPr>
          <w:tblHeader w:val="false"/>
        </w:trPr>
        <w:tc>
          <w:tcPr>
            <w:tcW w:type="dxa" w:w="2041"/>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Balayage abusif</w:t>
            </w:r>
          </w:p>
        </w:tc>
        <w:tc>
          <w:tcPr>
            <w:tcW w:type="dxa" w:w="7030"/>
            <w:tcMar>
              <w:top w:type="dxa" w:w="50"/>
              <w:left w:type="dxa" w:w="90"/>
              <w:bottom w:type="dxa" w:w="50"/>
              <w:right w:type="dxa" w:w="90"/>
            </w:tcMar>
          </w:tcPr>
          <w:p>
            <w:pPr>
              <w:spacing w:after="0" w:line="260"/>
            </w:pPr>
            <w:r>
              <w:rPr>
                <w:rFonts w:ascii="Arial" w:cs="Arial" w:eastAsia="Arial" w:hAnsi="Arial"/>
                <w:b w:val="false"/>
                <w:bCs w:val="false"/>
                <w:color w:val="1A1A1A"/>
                <w:sz w:val="18"/>
                <w:szCs w:val="18"/>
              </w:rPr>
              <w:t xml:space="preserve">Aucune fonction de scan ; mode actif désactivé par défaut et limité à un périmètre autorisé</w:t>
            </w:r>
          </w:p>
        </w:tc>
      </w:tr>
    </w:tbl>
    <w:p>
      <w:pPr>
        <w:pStyle w:val="Legende"/>
      </w:pPr>
      <w:r>
        <w:t xml:space="preserve">Tableau 7 : Principales menaces et contre-mesures</w:t>
      </w:r>
    </w:p>
    <w:p>
      <w:pPr>
        <w:pStyle w:val="Heading2"/>
      </w:pPr>
      <w:r>
        <w:t xml:space="preserve">6.2 Éthique et protection des données</w:t>
      </w:r>
    </w:p>
    <w:p>
      <w:pPr>
        <w:pStyle w:val="ListParagraph"/>
        <w:numPr>
          <w:ilvl w:val="0"/>
          <w:numId w:val="2"/>
        </w:numPr>
        <w:spacing w:after="60"/>
        <w:jc w:val="both"/>
      </w:pPr>
      <w:r>
        <w:t xml:space="preserve">Une adresse IP, une organisation enregistrée ou une géolocalisation n'identifient jamais une personne ; l'outil ne cherche pas à le faire.</w:t>
      </w:r>
    </w:p>
    <w:p>
      <w:pPr>
        <w:pStyle w:val="ListParagraph"/>
        <w:numPr>
          <w:ilvl w:val="0"/>
          <w:numId w:val="2"/>
        </w:numPr>
        <w:spacing w:after="60"/>
        <w:jc w:val="both"/>
      </w:pPr>
      <w:r>
        <w:t xml:space="preserve">Aucune attribution à un acteur de menace n'est proposée sans preuve de renseignement documentée et hypothèses alternatives.</w:t>
      </w:r>
    </w:p>
    <w:p>
      <w:pPr>
        <w:pStyle w:val="ListParagraph"/>
        <w:numPr>
          <w:ilvl w:val="0"/>
          <w:numId w:val="2"/>
        </w:numPr>
        <w:spacing w:after="60"/>
        <w:jc w:val="both"/>
      </w:pPr>
      <w:r>
        <w:t xml:space="preserve">Minimisation : les données brutes ne sont pas envoyées à l'IA, les noms d'hôtes et adresses internes peuvent être pseudonymisés.</w:t>
      </w:r>
    </w:p>
    <w:p>
      <w:pPr>
        <w:pStyle w:val="ListParagraph"/>
        <w:numPr>
          <w:ilvl w:val="0"/>
          <w:numId w:val="2"/>
        </w:numPr>
        <w:spacing w:after="60"/>
        <w:jc w:val="both"/>
      </w:pPr>
      <w:r>
        <w:t xml:space="preserve">Les données synthétiques de démonstration utilisent uniquement des valeurs réservées (ASN de documentation, codes pays fictifs, coordonnées en plein océan) et sont toujours signalées.</w:t>
      </w:r>
    </w:p>
    <w:p>
      <w:pPr>
        <w:pStyle w:val="ListParagraph"/>
        <w:numPr>
          <w:ilvl w:val="0"/>
          <w:numId w:val="2"/>
        </w:numPr>
        <w:spacing w:after="60"/>
        <w:jc w:val="both"/>
      </w:pPr>
      <w:r>
        <w:t xml:space="preserve">Une politique de conservation purge les investigations clôturées et les événements anciens.</w:t>
      </w:r>
    </w:p>
    <w:p>
      <w:pPr>
        <w:pStyle w:val="Heading2"/>
      </w:pPr>
      <w:r>
        <w:t xml:space="preserve">6.3 Limites</w:t>
      </w:r>
    </w:p>
    <w:p>
      <w:pPr>
        <w:pStyle w:val="ListParagraph"/>
        <w:numPr>
          <w:ilvl w:val="0"/>
          <w:numId w:val="2"/>
        </w:numPr>
        <w:spacing w:after="60"/>
        <w:jc w:val="both"/>
      </w:pPr>
      <w:r>
        <w:t xml:space="preserve">Les connecteurs SIEM et les sources à clé n'ont pu être validés que sur des réponses simulées, faute d'accès à des instances réelles.</w:t>
      </w:r>
    </w:p>
    <w:p>
      <w:pPr>
        <w:pStyle w:val="ListParagraph"/>
        <w:numPr>
          <w:ilvl w:val="0"/>
          <w:numId w:val="2"/>
        </w:numPr>
        <w:spacing w:after="60"/>
        <w:jc w:val="both"/>
      </w:pPr>
      <w:r>
        <w:t xml:space="preserve">Les exécutables ne sont pas signés, ce qui déclenche un avertissement de Windows.</w:t>
      </w:r>
    </w:p>
    <w:p>
      <w:pPr>
        <w:pStyle w:val="ListParagraph"/>
        <w:numPr>
          <w:ilvl w:val="0"/>
          <w:numId w:val="2"/>
        </w:numPr>
        <w:spacing w:after="60"/>
        <w:jc w:val="both"/>
      </w:pPr>
      <w:r>
        <w:t xml:space="preserve">Le moteur d'analyse par défaut est déterministe : il restitue prudemment les preuves sans le raisonnement d'un modèle de langage.</w:t>
      </w:r>
    </w:p>
    <w:p>
      <w:pPr>
        <w:pStyle w:val="ListParagraph"/>
        <w:numPr>
          <w:ilvl w:val="0"/>
          <w:numId w:val="2"/>
        </w:numPr>
        <w:spacing w:after="60"/>
        <w:jc w:val="both"/>
      </w:pPr>
      <w:r>
        <w:t xml:space="preserve">La limitation de débit est en mémoire et convient à un déploiement monoposte.</w:t>
      </w:r>
    </w:p>
    <w:p>
      <w:r>
        <w:br w:type="page"/>
      </w:r>
    </w:p>
    <w:p>
      <w:pPr>
        <w:pStyle w:val="Heading1"/>
      </w:pPr>
      <w:r>
        <w:t xml:space="preserve">Bilan et perspectives</w:t>
      </w:r>
    </w:p>
    <w:p>
      <w:pPr>
        <w:pStyle w:val="Heading2"/>
      </w:pPr>
      <w:r>
        <w:t xml:space="preserve">Bilan technique</w:t>
      </w:r>
    </w:p>
    <w:p>
      <w:pPr>
        <w:jc w:val="both"/>
      </w:pPr>
      <w:r>
        <w:t xml:space="preserve">Tous les critères d'acceptation du cahier des charges sont atteints, à l'exception de la validation sur des instances SIEM réelles, explicitement identifiée comme restant à faire. Le projet livre une application fonctionnelle, testée, documentée et distribuée sous forme d'exécutable Windows.</w:t>
      </w:r>
    </w:p>
    <w:p>
      <w:pPr>
        <w:pStyle w:val="Heading2"/>
      </w:pPr>
      <w:r>
        <w:t xml:space="preserve">Bilan personnel</w:t>
      </w:r>
    </w:p>
    <w:p>
      <w:pPr>
        <w:jc w:val="both"/>
      </w:pPr>
      <w:r>
        <w:t xml:space="preserve">[Paragraphe à personnaliser par l'étudiant : compétences acquises en développement complet, en sécurité applicative, en intégration continue et en gestion de projet ; difficultés rencontrées et manière dont elles ont été surmontées.]</w:t>
      </w:r>
    </w:p>
    <w:p>
      <w:pPr>
        <w:pStyle w:val="Heading2"/>
      </w:pPr>
      <w:r>
        <w:t xml:space="preserve">Perspectives</w:t>
      </w:r>
    </w:p>
    <w:p>
      <w:pPr>
        <w:pStyle w:val="ListParagraph"/>
        <w:numPr>
          <w:ilvl w:val="0"/>
          <w:numId w:val="2"/>
        </w:numPr>
        <w:spacing w:after="60"/>
        <w:jc w:val="both"/>
      </w:pPr>
      <w:r>
        <w:t xml:space="preserve">Validation des connecteurs sur des environnements SIEM réels en partenariat avec un SOC.</w:t>
      </w:r>
    </w:p>
    <w:p>
      <w:pPr>
        <w:pStyle w:val="ListParagraph"/>
        <w:numPr>
          <w:ilvl w:val="0"/>
          <w:numId w:val="2"/>
        </w:numPr>
        <w:spacing w:after="60"/>
        <w:jc w:val="both"/>
      </w:pPr>
      <w:r>
        <w:t xml:space="preserve">Signature de code et mise à jour automatique sécurisée.</w:t>
      </w:r>
    </w:p>
    <w:p>
      <w:pPr>
        <w:pStyle w:val="ListParagraph"/>
        <w:numPr>
          <w:ilvl w:val="0"/>
          <w:numId w:val="2"/>
        </w:numPr>
        <w:spacing w:after="60"/>
        <w:jc w:val="both"/>
      </w:pPr>
      <w:r>
        <w:t xml:space="preserve">Enrichissement de second niveau contrôlé (profondeur et budget de requêtes).</w:t>
      </w:r>
    </w:p>
    <w:p>
      <w:pPr>
        <w:pStyle w:val="ListParagraph"/>
        <w:numPr>
          <w:ilvl w:val="0"/>
          <w:numId w:val="2"/>
        </w:numPr>
        <w:spacing w:after="60"/>
        <w:jc w:val="both"/>
      </w:pPr>
      <w:r>
        <w:t xml:space="preserve">Authentification unique (OIDC) et double authentification pour un usage multi-utilisateurs.</w:t>
      </w:r>
    </w:p>
    <w:p>
      <w:pPr>
        <w:pStyle w:val="ListParagraph"/>
        <w:numPr>
          <w:ilvl w:val="0"/>
          <w:numId w:val="2"/>
        </w:numPr>
        <w:spacing w:after="60"/>
        <w:jc w:val="both"/>
      </w:pPr>
      <w:r>
        <w:t xml:space="preserve">Horodatage qualifié des rapports pour un usage probatoire.</w:t>
      </w:r>
    </w:p>
    <w:p>
      <w:pPr>
        <w:pStyle w:val="ListParagraph"/>
        <w:numPr>
          <w:ilvl w:val="0"/>
          <w:numId w:val="2"/>
        </w:numPr>
        <w:spacing w:after="60"/>
        <w:jc w:val="both"/>
      </w:pPr>
      <w:r>
        <w:t xml:space="preserve">Évaluation de l'analyse assistée par un panel d'analystes sur des cas réels.</w:t>
      </w:r>
    </w:p>
    <w:p>
      <w:r>
        <w:br w:type="page"/>
      </w:r>
    </w:p>
    <w:p>
      <w:pPr>
        <w:pStyle w:val="Heading1"/>
      </w:pPr>
      <w:r>
        <w:t xml:space="preserve">Conclusion générale</w:t>
      </w:r>
    </w:p>
    <w:p>
      <w:pPr>
        <w:jc w:val="both"/>
      </w:pPr>
      <w:r>
        <w:t xml:space="preserve">Ce projet de fin d'études avait pour ambition de réduire le temps de qualification des alertes SOC sans sacrifier la rigueur. MAKKADi y répond par une chaîne entièrement automatisée, de la collecte de l'événement jusqu'au rapport, qui reste honnête sur ce qu'elle sait et sur ce qu'elle ignore.</w:t>
      </w:r>
    </w:p>
    <w:p>
      <w:pPr>
        <w:jc w:val="both"/>
      </w:pPr>
      <w:r>
        <w:t xml:space="preserve">Au delà de la réalisation technique, ce travail montre qu'un outil d'aide à la décision en cybersécurité doit être conçu autour de la confiance : séparer les faits des hypothèses, expliquer chaque score, protéger l'IA contre les données hostiles et tracer chaque action. Ces principes, appliqués dès la conception, constituent la principale contribution de ce projet.</w:t>
      </w:r>
    </w:p>
    <w:p>
      <w:r>
        <w:br w:type="page"/>
      </w:r>
    </w:p>
    <w:p>
      <w:pPr>
        <w:pStyle w:val="Heading1"/>
      </w:pPr>
      <w:r>
        <w:t xml:space="preserve">Bibliographie et webographie</w:t>
      </w:r>
    </w:p>
    <w:p>
      <w:pPr>
        <w:pStyle w:val="ListParagraph"/>
        <w:numPr>
          <w:ilvl w:val="0"/>
          <w:numId w:val="2"/>
        </w:numPr>
        <w:spacing w:after="60"/>
        <w:jc w:val="both"/>
      </w:pPr>
      <w:r>
        <w:t xml:space="preserve">Cichonski P., Millar T., Grance T., Scarfone K. </w:t>
      </w:r>
      <w:r>
        <w:rPr>
          <w:i/>
          <w:iCs/>
        </w:rPr>
        <w:t xml:space="preserve">Computer Security Incident Handling Guide</w:t>
      </w:r>
      <w:r>
        <w:t xml:space="preserve">, NIST Special Publication 800-61 Revision 2, 2012.</w:t>
      </w:r>
    </w:p>
    <w:p>
      <w:pPr>
        <w:pStyle w:val="ListParagraph"/>
        <w:numPr>
          <w:ilvl w:val="0"/>
          <w:numId w:val="2"/>
        </w:numPr>
        <w:spacing w:after="60"/>
        <w:jc w:val="both"/>
      </w:pPr>
      <w:r>
        <w:t xml:space="preserve">MITRE Corporation. </w:t>
      </w:r>
      <w:r>
        <w:rPr>
          <w:i/>
          <w:iCs/>
        </w:rPr>
        <w:t xml:space="preserve">MITRE ATT&amp;CK</w:t>
      </w:r>
      <w:r>
        <w:t xml:space="preserve">, base de connaissances des tactiques et techniques adverses, attack.mitre.org.</w:t>
      </w:r>
    </w:p>
    <w:p>
      <w:pPr>
        <w:pStyle w:val="ListParagraph"/>
        <w:numPr>
          <w:ilvl w:val="0"/>
          <w:numId w:val="2"/>
        </w:numPr>
        <w:spacing w:after="60"/>
        <w:jc w:val="both"/>
      </w:pPr>
      <w:r>
        <w:t xml:space="preserve">OWASP Foundation. </w:t>
      </w:r>
      <w:r>
        <w:rPr>
          <w:i/>
          <w:iCs/>
        </w:rPr>
        <w:t xml:space="preserve">OWASP Top 10 for Large Language Model Applications</w:t>
      </w:r>
      <w:r>
        <w:t xml:space="preserve">, risque LLM01 : Prompt Injection.</w:t>
      </w:r>
    </w:p>
    <w:p>
      <w:pPr>
        <w:pStyle w:val="ListParagraph"/>
        <w:numPr>
          <w:ilvl w:val="0"/>
          <w:numId w:val="2"/>
        </w:numPr>
        <w:spacing w:after="60"/>
        <w:jc w:val="both"/>
      </w:pPr>
      <w:r>
        <w:t xml:space="preserve">OWASP Foundation. </w:t>
      </w:r>
      <w:r>
        <w:rPr>
          <w:i/>
          <w:iCs/>
        </w:rPr>
        <w:t xml:space="preserve">Server-Side Request Forgery Prevention Cheat Sheet</w:t>
      </w:r>
      <w:r>
        <w:t xml:space="preserve">, OWASP Cheat Sheet Series.</w:t>
      </w:r>
    </w:p>
    <w:p>
      <w:pPr>
        <w:pStyle w:val="ListParagraph"/>
        <w:numPr>
          <w:ilvl w:val="0"/>
          <w:numId w:val="2"/>
        </w:numPr>
        <w:spacing w:after="60"/>
        <w:jc w:val="both"/>
      </w:pPr>
      <w:r>
        <w:t xml:space="preserve">IETF. RFC 7480 à RFC 7484, </w:t>
      </w:r>
      <w:r>
        <w:rPr>
          <w:i/>
          <w:iCs/>
        </w:rPr>
        <w:t xml:space="preserve">Registration Data Access Protocol (RDAP)</w:t>
      </w:r>
      <w:r>
        <w:t xml:space="preserve">, 2015.</w:t>
      </w:r>
    </w:p>
    <w:p>
      <w:pPr>
        <w:pStyle w:val="ListParagraph"/>
        <w:numPr>
          <w:ilvl w:val="0"/>
          <w:numId w:val="2"/>
        </w:numPr>
        <w:spacing w:after="60"/>
        <w:jc w:val="both"/>
      </w:pPr>
      <w:r>
        <w:t xml:space="preserve">IETF. RFC 1918, </w:t>
      </w:r>
      <w:r>
        <w:rPr>
          <w:i/>
          <w:iCs/>
        </w:rPr>
        <w:t xml:space="preserve">Address Allocation for Private Internets</w:t>
      </w:r>
      <w:r>
        <w:t xml:space="preserve">, 1996.</w:t>
      </w:r>
    </w:p>
    <w:p>
      <w:pPr>
        <w:pStyle w:val="ListParagraph"/>
        <w:numPr>
          <w:ilvl w:val="0"/>
          <w:numId w:val="2"/>
        </w:numPr>
        <w:spacing w:after="60"/>
        <w:jc w:val="both"/>
      </w:pPr>
      <w:r>
        <w:t xml:space="preserve">IETF. RFC 5737, </w:t>
      </w:r>
      <w:r>
        <w:rPr>
          <w:i/>
          <w:iCs/>
        </w:rPr>
        <w:t xml:space="preserve">IPv4 Address Blocks Reserved for Documentation</w:t>
      </w:r>
      <w:r>
        <w:t xml:space="preserve">, 2010.</w:t>
      </w:r>
    </w:p>
    <w:p>
      <w:pPr>
        <w:pStyle w:val="ListParagraph"/>
        <w:numPr>
          <w:ilvl w:val="0"/>
          <w:numId w:val="2"/>
        </w:numPr>
        <w:spacing w:after="60"/>
        <w:jc w:val="both"/>
      </w:pPr>
      <w:r>
        <w:t xml:space="preserve">IETF. RFC 6598, </w:t>
      </w:r>
      <w:r>
        <w:rPr>
          <w:i/>
          <w:iCs/>
        </w:rPr>
        <w:t xml:space="preserve">IANA-Reserved IPv4 Prefix for Shared Address Space</w:t>
      </w:r>
      <w:r>
        <w:t xml:space="preserve">, 2012.</w:t>
      </w:r>
    </w:p>
    <w:p>
      <w:pPr>
        <w:pStyle w:val="ListParagraph"/>
        <w:numPr>
          <w:ilvl w:val="0"/>
          <w:numId w:val="2"/>
        </w:numPr>
        <w:spacing w:after="60"/>
        <w:jc w:val="both"/>
      </w:pPr>
      <w:r>
        <w:t xml:space="preserve">IETF. RFC 5398, </w:t>
      </w:r>
      <w:r>
        <w:rPr>
          <w:i/>
          <w:iCs/>
        </w:rPr>
        <w:t xml:space="preserve">Autonomous System (AS) Number Reservation for Documentation Use</w:t>
      </w:r>
      <w:r>
        <w:t xml:space="preserve">, 2008.</w:t>
      </w:r>
    </w:p>
    <w:p>
      <w:pPr>
        <w:pStyle w:val="ListParagraph"/>
        <w:numPr>
          <w:ilvl w:val="0"/>
          <w:numId w:val="2"/>
        </w:numPr>
        <w:spacing w:after="60"/>
        <w:jc w:val="both"/>
      </w:pPr>
      <w:r>
        <w:t xml:space="preserve">IETF. RFC 6962, </w:t>
      </w:r>
      <w:r>
        <w:rPr>
          <w:i/>
          <w:iCs/>
        </w:rPr>
        <w:t xml:space="preserve">Certificate Transparency</w:t>
      </w:r>
      <w:r>
        <w:t xml:space="preserve">, 2013.</w:t>
      </w:r>
    </w:p>
    <w:p>
      <w:pPr>
        <w:pStyle w:val="ListParagraph"/>
        <w:numPr>
          <w:ilvl w:val="0"/>
          <w:numId w:val="2"/>
        </w:numPr>
        <w:spacing w:after="60"/>
        <w:jc w:val="both"/>
      </w:pPr>
      <w:r>
        <w:t xml:space="preserve">OASIS. </w:t>
      </w:r>
      <w:r>
        <w:rPr>
          <w:i/>
          <w:iCs/>
        </w:rPr>
        <w:t xml:space="preserve">STIX Version 2.1</w:t>
      </w:r>
      <w:r>
        <w:t xml:space="preserve"> et </w:t>
      </w:r>
      <w:r>
        <w:rPr>
          <w:i/>
          <w:iCs/>
        </w:rPr>
        <w:t xml:space="preserve">TAXII Version 2.1</w:t>
      </w:r>
      <w:r>
        <w:t xml:space="preserve">, OASIS Standards, 2021.</w:t>
      </w:r>
    </w:p>
    <w:p>
      <w:pPr>
        <w:pStyle w:val="ListParagraph"/>
        <w:numPr>
          <w:ilvl w:val="0"/>
          <w:numId w:val="2"/>
        </w:numPr>
        <w:spacing w:after="60"/>
        <w:jc w:val="both"/>
      </w:pPr>
      <w:r>
        <w:t xml:space="preserve">RIPE NCC. </w:t>
      </w:r>
      <w:r>
        <w:rPr>
          <w:i/>
          <w:iCs/>
        </w:rPr>
        <w:t xml:space="preserve">RIPEstat Data API</w:t>
      </w:r>
      <w:r>
        <w:t xml:space="preserve">, documentation, stat.ripe.net.</w:t>
      </w:r>
    </w:p>
    <w:p>
      <w:pPr>
        <w:pStyle w:val="ListParagraph"/>
        <w:numPr>
          <w:ilvl w:val="0"/>
          <w:numId w:val="2"/>
        </w:numPr>
        <w:spacing w:after="60"/>
        <w:jc w:val="both"/>
      </w:pPr>
      <w:r>
        <w:t xml:space="preserve">Documentation officielle de FastAPI, SQLAlchemy, Alembic, React, Electron, electron-builder et PyInstaller.</w:t>
      </w:r>
    </w:p>
    <w:p>
      <w:r>
        <w:br w:type="page"/>
      </w:r>
    </w:p>
    <w:p>
      <w:pPr>
        <w:pStyle w:val="Heading1"/>
      </w:pPr>
      <w:r>
        <w:t xml:space="preserve">Annexe : installation et exécution</w:t>
      </w:r>
    </w:p>
    <w:p>
      <w:pPr>
        <w:pStyle w:val="Heading2"/>
      </w:pPr>
      <w:r>
        <w:t xml:space="preserve">Installation sous Windows</w:t>
      </w:r>
    </w:p>
    <w:p>
      <w:pPr>
        <w:pStyle w:val="ListParagraph"/>
        <w:numPr>
          <w:ilvl w:val="0"/>
          <w:numId w:val="2"/>
        </w:numPr>
        <w:spacing w:after="60"/>
        <w:jc w:val="both"/>
      </w:pPr>
      <w:r>
        <w:t xml:space="preserve">Exécuter </w:t>
      </w:r>
      <w:r>
        <w:rPr>
          <w:b/>
          <w:bCs/>
        </w:rPr>
        <w:t xml:space="preserve">MAKKADi-Setup-0.1.0-x64.exe</w:t>
      </w:r>
      <w:r>
        <w:t xml:space="preserve"> (ou la version portable) ; aucun droit administrateur n'est requis.</w:t>
      </w:r>
    </w:p>
    <w:p>
      <w:pPr>
        <w:pStyle w:val="ListParagraph"/>
        <w:numPr>
          <w:ilvl w:val="0"/>
          <w:numId w:val="2"/>
        </w:numPr>
        <w:spacing w:after="60"/>
        <w:jc w:val="both"/>
      </w:pPr>
      <w:r>
        <w:t xml:space="preserve">L'exécutable n'étant pas signé, choisir Informations complémentaires puis Exécuter quand même dans l'avertissement Windows.</w:t>
      </w:r>
    </w:p>
    <w:p>
      <w:pPr>
        <w:pStyle w:val="ListParagraph"/>
        <w:numPr>
          <w:ilvl w:val="0"/>
          <w:numId w:val="2"/>
        </w:numPr>
        <w:spacing w:after="60"/>
        <w:jc w:val="both"/>
      </w:pPr>
      <w:r>
        <w:t xml:space="preserve">Au premier lancement, créer le compte administrateur, puis charger le scénario de démonstration depuis la vue d'ensemble.</w:t>
      </w:r>
    </w:p>
    <w:p>
      <w:pPr>
        <w:pStyle w:val="Heading2"/>
      </w:pPr>
      <w:r>
        <w:t xml:space="preserve">Exécution depuis les sources</w:t>
      </w:r>
    </w:p>
    <w:p>
      <w:pPr>
        <w:pStyle w:val="Code"/>
      </w:pPr>
      <w:r>
        <w:t xml:space="preserve">cd backend</w:t>
      </w:r>
    </w:p>
    <w:p>
      <w:pPr>
        <w:pStyle w:val="Code"/>
      </w:pPr>
      <w:r>
        <w:t xml:space="preserve">python -m venv .venv</w:t>
      </w:r>
    </w:p>
    <w:p>
      <w:pPr>
        <w:pStyle w:val="Code"/>
      </w:pPr>
      <w:r>
        <w:t xml:space="preserve">.venv\Scripts\pip install -r requirements-dev.txt</w:t>
      </w:r>
    </w:p>
    <w:p>
      <w:pPr>
        <w:pStyle w:val="Code"/>
      </w:pPr>
      <w:r>
        <w:t xml:space="preserve">.venv\Scripts\python -m pytest -q</w:t>
      </w:r>
    </w:p>
    <w:p>
      <w:pPr>
        <w:pStyle w:val="Code"/>
      </w:pPr>
      <w:r>
        <w:t xml:space="preserve">.venv\Scripts\python -m app.run --open-browser</w:t>
      </w:r>
    </w:p>
    <w:p>
      <w:pPr>
        <w:pStyle w:val="Heading2"/>
      </w:pPr>
      <w:r>
        <w:t xml:space="preserve">Compilation de l'exécutable</w:t>
      </w:r>
    </w:p>
    <w:p>
      <w:pPr>
        <w:pStyle w:val="Code"/>
      </w:pPr>
      <w:r>
        <w:t xml:space="preserve">Set-ExecutionPolicy -Scope Process Bypass</w:t>
      </w:r>
    </w:p>
    <w:p>
      <w:pPr>
        <w:pStyle w:val="Code"/>
      </w:pPr>
      <w:r>
        <w:t xml:space="preserve">.\scripts\build_windows.ps1</w:t>
      </w:r>
    </w:p>
    <w:p>
      <w:pPr>
        <w:jc w:val="both"/>
      </w:pPr>
      <w:r>
        <w:t xml:space="preserve">Le script exécute les tests, construit l'interface, compile le serveur, vérifie son démarrage puis produit l'installateur et la version portable. Le même processus s'exécute automatiquement à chaque modification sur une machine Windows d'intégration continue.</w:t>
      </w:r>
    </w:p>
    <w:p>
      <w:pPr>
        <w:keepNext/>
        <w:spacing w:after="40" w:before="120" w:line="240" w:lineRule="auto"/>
        <w:jc w:val="center"/>
      </w:pPr>
      <w:r>
        <w:drawing>
          <wp:inline distT="0" distB="0" distL="0" distR="0">
            <wp:extent cx="57531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53100" cy="3419475"/>
                    </a:xfrm>
                    <a:prstGeom prst="rect">
                      <a:avLst/>
                    </a:prstGeom>
                  </pic:spPr>
                </pic:pic>
              </a:graphicData>
            </a:graphic>
          </wp:inline>
        </w:drawing>
      </w:r>
    </w:p>
    <w:p>
      <w:pPr>
        <w:pStyle w:val="Legende"/>
      </w:pPr>
      <w:r>
        <w:t xml:space="preserve">Figure 13 : Threat Intelligence : historique des observations d'un indicateur</w:t>
      </w:r>
    </w:p>
    <w:p>
      <w:pPr>
        <w:keepNext/>
        <w:spacing w:after="40" w:before="120" w:line="240" w:lineRule="auto"/>
        <w:jc w:val="center"/>
      </w:pPr>
      <w:r>
        <w:drawing>
          <wp:inline distT="0" distB="0" distL="0" distR="0">
            <wp:extent cx="57531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53100" cy="3419475"/>
                    </a:xfrm>
                    <a:prstGeom prst="rect">
                      <a:avLst/>
                    </a:prstGeom>
                  </pic:spPr>
                </pic:pic>
              </a:graphicData>
            </a:graphic>
          </wp:inline>
        </w:drawing>
      </w:r>
    </w:p>
    <w:p>
      <w:pPr>
        <w:pStyle w:val="Legende"/>
      </w:pPr>
      <w:r>
        <w:t xml:space="preserve">Figure 14 : Vue d'ensemble avec effets visuels désactivés</w:t>
      </w:r>
    </w:p>
    <w:sectPr>
      <w:headerReference w:type="default" r:id="rId7"/>
      <w:headerReference w:type="first" r:id="rId8"/>
      <w:footerReference w:type="default" r:id="rId9"/>
      <w:footerReference w:type="first" r:id="rId10"/>
      <w:pgSz w:w="11906" w:h="16838" w:orient="portrait"/>
      <w:pgMar w:top="1418" w:right="1418" w:bottom="1247" w:left="1418" w:header="7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67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854" w:sz="6" w:space="4"/>
      </w:pBdr>
      <w:tabs>
        <w:tab w:val="right" w:pos="9071"/>
      </w:tabs>
    </w:pPr>
    <w:r>
      <w:rPr>
        <w:rFonts w:ascii="Arial" w:cs="Arial" w:eastAsia="Arial" w:hAnsi="Arial"/>
        <w:color w:val="5B6675"/>
        <w:sz w:val="15"/>
        <w:szCs w:val="15"/>
      </w:rPr>
      <w:t xml:space="preserve">MAKKADi, plateforme d'investigation OSINT pour SOC</w:t>
    </w:r>
    <w:r>
      <w:rPr>
        <w:rFonts w:ascii="Arial" w:cs="Arial" w:eastAsia="Arial" w:hAnsi="Arial"/>
        <w:color w:val="5B6675"/>
        <w:sz w:val="15"/>
        <w:szCs w:val="15"/>
      </w:rPr>
      <w:t xml:space="preserve">	Projet de fin d'études de Licence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rPr>
        <w:rFonts w:ascii="Arial" w:cs="Arial" w:eastAsia="Arial" w:hAnsi="Arial"/>
        <w:color w:val="00A85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120"/>
      <w:outlineLvl w:val="0"/>
    </w:pPr>
    <w:rPr>
      <w:rFonts w:ascii="Arial" w:cs="Arial" w:eastAsia="Arial" w:hAnsi="Arial"/>
      <w:b/>
      <w:bCs/>
      <w:color w:val="0B1A2B"/>
      <w:sz w:val="36"/>
      <w:szCs w:val="36"/>
    </w:rPr>
  </w:style>
  <w:style w:type="paragraph" w:styleId="Heading2">
    <w:name w:val="Heading 2"/>
    <w:basedOn w:val="Normal"/>
    <w:next w:val="Normal"/>
    <w:qFormat/>
    <w:pPr>
      <w:keepNext/>
      <w:spacing w:after="120" w:before="280"/>
      <w:outlineLvl w:val="1"/>
    </w:pPr>
    <w:rPr>
      <w:rFonts w:ascii="Arial" w:cs="Arial" w:eastAsia="Arial" w:hAnsi="Arial"/>
      <w:b/>
      <w:bCs/>
      <w:color w:val="00A854"/>
      <w:sz w:val="28"/>
      <w:szCs w:val="28"/>
    </w:rPr>
  </w:style>
  <w:style w:type="paragraph" w:styleId="Heading3">
    <w:name w:val="Heading 3"/>
    <w:basedOn w:val="Normal"/>
    <w:next w:val="Normal"/>
    <w:qFormat/>
    <w:pPr>
      <w:keepNext/>
      <w:spacing w:after="100" w:before="200"/>
      <w:outlineLvl w:val="2"/>
    </w:pPr>
    <w:rPr>
      <w:rFonts w:ascii="Arial" w:cs="Arial" w:eastAsia="Arial" w:hAnsi="Arial"/>
      <w:b/>
      <w:bCs/>
      <w:color w:val="0B1A2B"/>
      <w:sz w:val="24"/>
      <w:szCs w:val="24"/>
    </w:rPr>
  </w:style>
  <w:style w:type="paragraph" w:styleId="Legende">
    <w:name w:val="Légende MAKKADi"/>
    <w:basedOn w:val="Normal"/>
    <w:pPr>
      <w:spacing w:after="240" w:before="60" w:line="240"/>
      <w:jc w:val="center"/>
    </w:pPr>
    <w:rPr>
      <w:rFonts w:ascii="Arial" w:cs="Arial" w:eastAsia="Arial" w:hAnsi="Arial"/>
      <w:i/>
      <w:iCs/>
      <w:color w:val="5B6675"/>
      <w:sz w:val="18"/>
      <w:szCs w:val="18"/>
    </w:rPr>
  </w:style>
  <w:style w:type="paragraph" w:styleId="Code">
    <w:name w:val="Code MAKKADi"/>
    <w:basedOn w:val="Normal"/>
    <w:pPr>
      <w:shd w:fill="F3F7F5" w:color="auto" w:val="clear"/>
      <w:spacing w:after="0" w:before="0" w:line="260"/>
      <w:ind w:left="280"/>
    </w:pPr>
    <w:rPr>
      <w:rFonts w:ascii="Consolas" w:cs="Consolas" w:eastAsia="Consolas" w:hAnsi="Consolas"/>
      <w:color w:val="0B1A2B"/>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accabe200af218e758eeaf97e83e0061d0cf5b2f.png"/><Relationship Id="rId12" Type="http://schemas.openxmlformats.org/officeDocument/2006/relationships/image" Target="media/cb5ad2c4395630d132cb5f84447fb3811f2096bf.png"/><Relationship Id="rId13" Type="http://schemas.openxmlformats.org/officeDocument/2006/relationships/image" Target="media/ddef3de817a2954f88722d70902939f4e89aa5a6.png"/><Relationship Id="rId14" Type="http://schemas.openxmlformats.org/officeDocument/2006/relationships/image" Target="media/ad7fb9eb665331559350e460e14629b20cd19093.png"/><Relationship Id="rId15" Type="http://schemas.openxmlformats.org/officeDocument/2006/relationships/image" Target="media/3673182f984ac12e9aa195b842747aa4a8d62a60.png"/><Relationship Id="rId16" Type="http://schemas.openxmlformats.org/officeDocument/2006/relationships/image" Target="media/1a961ca2af0eac82da710bcbd2dca7e9de73a0f8.jpg"/><Relationship Id="rId17" Type="http://schemas.openxmlformats.org/officeDocument/2006/relationships/image" Target="media/9bee10d59bfb39716d15ff331de6d6e135fe56ee.jpg"/><Relationship Id="rId18" Type="http://schemas.openxmlformats.org/officeDocument/2006/relationships/image" Target="media/c5e9aad0d7867c68e8617851382feb74849be570.jpg"/><Relationship Id="rId19" Type="http://schemas.openxmlformats.org/officeDocument/2006/relationships/image" Target="media/8955a5f89dd8f6f0f5d85a3c2c322200e5c5f319.jpg"/><Relationship Id="rId20" Type="http://schemas.openxmlformats.org/officeDocument/2006/relationships/image" Target="media/7270b0b41bf2b34bc6e6e13f11ab629cbe9804c2.jpg"/><Relationship Id="rId21" Type="http://schemas.openxmlformats.org/officeDocument/2006/relationships/image" Target="media/6e8cd4388bdb34d717ea2215f466bea398405449.jpg"/><Relationship Id="rId22" Type="http://schemas.openxmlformats.org/officeDocument/2006/relationships/image" Target="media/a9f23d5b909a495e3765d54ca386d29913211863.jpg"/><Relationship Id="rId23" Type="http://schemas.openxmlformats.org/officeDocument/2006/relationships/image" Target="media/637383f3787cfadb728b10ec430431739b557365.jpg"/><Relationship Id="rId24" Type="http://schemas.openxmlformats.org/officeDocument/2006/relationships/image" Target="media/75fdc7a2fd05a2f8ea92d8ebbc64fbd788647144.jpg"/><Relationship Id="rId25" Type="http://schemas.openxmlformats.org/officeDocument/2006/relationships/image" Target="media/cfd02d8bea87d7c88a6608a460bfd6604b9124d6.jp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MAKKADi : mémoire de projet de fin d'études</dc:title>
  <dc:subject>Projet de fin d'études de Licence</dc:subject>
  <dc:creator>[Nom de l'étudiant]</dc:creator>
  <cp:lastModifiedBy>Un-named</cp:lastModifiedBy>
  <cp:revision>1</cp:revision>
  <dcterms:created xsi:type="dcterms:W3CDTF">2026-10-26T03:59:43.789Z</dcterms:created>
  <dcterms:modified xsi:type="dcterms:W3CDTF">2026-10-26T03:59:43.789Z</dcterms:modified>
</cp:coreProperties>
</file>

<file path=docProps/custom.xml><?xml version="1.0" encoding="utf-8"?>
<Properties xmlns="http://schemas.openxmlformats.org/officeDocument/2006/custom-properties" xmlns:vt="http://schemas.openxmlformats.org/officeDocument/2006/docPropsVTypes"/>
</file>