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0B" w:rsidRDefault="007A3410">
      <w:pPr>
        <w:rPr>
          <w:rStyle w:val="fontstyle21"/>
        </w:rPr>
      </w:pPr>
      <w:r>
        <w:rPr>
          <w:rStyle w:val="fontstyle01"/>
        </w:rPr>
        <w:t>Limitations of prior studies</w:t>
      </w:r>
      <w:r>
        <w:rPr>
          <w:rFonts w:ascii="Times-Bold" w:hAnsi="Times-Bold"/>
          <w:b/>
          <w:bCs/>
          <w:color w:val="000000"/>
          <w:sz w:val="22"/>
        </w:rPr>
        <w:br/>
      </w:r>
      <w:r>
        <w:rPr>
          <w:rStyle w:val="fontstyle21"/>
        </w:rPr>
        <w:t>Although SAS standards require auditors to assess the risk of financial statement fraud, they provide few guidelines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on how to use these risk factors for detection of fraud risk. Additionally, the previous literature presents limitations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concerning risk factors and detection methods. First, one group of studies examined how personal judgment or the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logistic regression model can be used to combine the risk factors identified in SAS into an overall assessment (</w:t>
      </w:r>
      <w:proofErr w:type="spellStart"/>
      <w:r>
        <w:rPr>
          <w:rStyle w:val="fontstyle21"/>
        </w:rPr>
        <w:t>Eining</w:t>
      </w:r>
      <w:proofErr w:type="spellEnd"/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 xml:space="preserve">and Dorr, 1991; </w:t>
      </w:r>
      <w:proofErr w:type="spellStart"/>
      <w:r>
        <w:rPr>
          <w:rStyle w:val="fontstyle21"/>
        </w:rPr>
        <w:t>Eining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et al.</w:t>
      </w:r>
      <w:r>
        <w:rPr>
          <w:rStyle w:val="fontstyle21"/>
        </w:rPr>
        <w:t xml:space="preserve">, 1997; Bell and </w:t>
      </w:r>
      <w:proofErr w:type="spellStart"/>
      <w:r>
        <w:rPr>
          <w:rStyle w:val="fontstyle21"/>
        </w:rPr>
        <w:t>Carcello</w:t>
      </w:r>
      <w:proofErr w:type="spellEnd"/>
      <w:r>
        <w:rPr>
          <w:rStyle w:val="fontstyle21"/>
        </w:rPr>
        <w:t>, 2000). The risk factors are frequently given by the binary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values based on questionnaire responses. Moreover, only around 10 red flags in SAS relate to financial indicators, yet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in reality several dozen financial ratios can be obtained from financial statements. Therefore, the available financial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ratios are not fully used to detect financial statement fraud.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The second group of studies examined the development of fraud prediction models based on financial ratios listed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 xml:space="preserve">in financial statements and various computational methods (Green and Choi, 1997; Fanning and </w:t>
      </w:r>
      <w:proofErr w:type="spellStart"/>
      <w:r>
        <w:rPr>
          <w:rStyle w:val="fontstyle21"/>
        </w:rPr>
        <w:t>Cogger</w:t>
      </w:r>
      <w:proofErr w:type="spellEnd"/>
      <w:r>
        <w:rPr>
          <w:rStyle w:val="fontstyle21"/>
        </w:rPr>
        <w:t xml:space="preserve">, 1998; </w:t>
      </w:r>
      <w:proofErr w:type="spellStart"/>
      <w:r>
        <w:rPr>
          <w:rStyle w:val="fontstyle21"/>
        </w:rPr>
        <w:t>Glancy</w:t>
      </w:r>
      <w:proofErr w:type="spellEnd"/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and Yadav, 2011). Obviously, the financial indicators used there do not correspond to the red flags in SAS standards.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Furthermore, non-financial factors are not used despite being crucial indicators in fraud detection. Designing an</w:t>
      </w:r>
      <w:r>
        <w:rPr>
          <w:rFonts w:ascii="Times-Roman" w:hAnsi="Times-Roman"/>
          <w:color w:val="000000"/>
          <w:sz w:val="22"/>
        </w:rPr>
        <w:br/>
      </w:r>
      <w:r>
        <w:rPr>
          <w:rStyle w:val="fontstyle21"/>
        </w:rPr>
        <w:t>integrated framework that includes risk assessment factors and assessment methods thus deserves further exploration.</w:t>
      </w:r>
    </w:p>
    <w:p w:rsidR="00814B35" w:rsidRDefault="00814B35">
      <w:pPr>
        <w:rPr>
          <w:rStyle w:val="fontstyle21"/>
        </w:rPr>
      </w:pPr>
    </w:p>
    <w:p w:rsidR="00814B35" w:rsidRDefault="00814B35">
      <w:pPr>
        <w:rPr>
          <w:rStyle w:val="fontstyle21"/>
        </w:rPr>
      </w:pPr>
    </w:p>
    <w:p w:rsidR="00814B35" w:rsidRDefault="00814B35">
      <w:r>
        <w:rPr>
          <w:noProof/>
        </w:rPr>
        <w:lastRenderedPageBreak/>
        <w:drawing>
          <wp:inline distT="0" distB="0" distL="0" distR="0" wp14:anchorId="0A6DD955" wp14:editId="1784912F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C9" w:rsidRDefault="00C163C9"/>
    <w:p w:rsidR="00C163C9" w:rsidRDefault="00C163C9"/>
    <w:p w:rsidR="00C163C9" w:rsidRDefault="00C163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ADE0E" wp14:editId="195CA836">
            <wp:extent cx="5274310" cy="6145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D564B" wp14:editId="320E80D9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01666" wp14:editId="515F1908">
            <wp:extent cx="5274310" cy="2342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6C"/>
    <w:rsid w:val="0076356C"/>
    <w:rsid w:val="007A3410"/>
    <w:rsid w:val="00814B35"/>
    <w:rsid w:val="00C163C9"/>
    <w:rsid w:val="00F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CBA42-5CD4-45BF-9041-B974B94D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A3410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A341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A3410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4</cp:revision>
  <dcterms:created xsi:type="dcterms:W3CDTF">2018-04-01T12:02:00Z</dcterms:created>
  <dcterms:modified xsi:type="dcterms:W3CDTF">2018-04-01T12:07:00Z</dcterms:modified>
</cp:coreProperties>
</file>