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E5" w:rsidRDefault="008721E9">
      <w:pPr>
        <w:rPr>
          <w:rStyle w:val="fontstyle01"/>
        </w:rPr>
      </w:pPr>
      <w:r>
        <w:rPr>
          <w:rStyle w:val="fontstyle01"/>
        </w:rPr>
        <w:t>Due to the nature of financial statement fraud, one of the most difficult tasks in detecting such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fraud is the identification of its symptoms. Some of those symptoms might be present even though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no fraud exists. Generally Accepted Accounting Principles GAAP</w:t>
      </w:r>
      <w:r>
        <w:rPr>
          <w:rStyle w:val="fontstyle21"/>
        </w:rPr>
        <w:t xml:space="preserve"> </w:t>
      </w:r>
      <w:r>
        <w:rPr>
          <w:rStyle w:val="fontstyle01"/>
        </w:rPr>
        <w:t>violations, for example, may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not necessarily indicate presence of fraud since departures from GAAP may be appropriate to the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company’s situation and such departures may have been adequately disclosed. It is possible that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only a small number of symptoms may manifest themselves when fraud is occurring because, for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example, the fraud may be related to omission by management of disclosures on contingent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liabilities or related-party transactions from the notes to the financial statements, and it is difficult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to assess their impact before the entire fraud has unraveled. Since symptoms of fraud can be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caused by legitimate factors, the mere presence of symptoms cannot necessarily lead to inference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of fraud. Moreover, fraud symptoms cannot easily be ranked in order of importance, nor can they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be easily combined to yield effective predictive models. Their relative importance varies widely.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Fraud detection is muddled by the lack of consensus on symptoms that reliably indicate fraudulent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behavior. Nevertheless, it is widely acknowledged that fraud symptoms often exhibit themselves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through changes in the financial statements.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The difficulty of detecting fraud is further exacerbated by the fact that financial statements can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be misleading even if they are in conformity with GAAP. This is due to the fact that the U.S</w:t>
      </w:r>
      <w:proofErr w:type="gramStart"/>
      <w:r>
        <w:rPr>
          <w:rStyle w:val="fontstyle01"/>
        </w:rPr>
        <w:t>.</w:t>
      </w:r>
      <w:proofErr w:type="gramEnd"/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GAAP is rules-based and rules cannot be complete in the sense of covering all conceivable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situations. It is possible for the companies to be creative in financial measurements as well as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disclosures. Therefore, it is necessary to investigate the quantitative information in the financial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statements, as well as the qualitative disclosures in the footnotes accompanying the financial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statements.</w:t>
      </w:r>
    </w:p>
    <w:p w:rsidR="00064C1E" w:rsidRDefault="00064C1E">
      <w:pPr>
        <w:rPr>
          <w:rStyle w:val="fontstyle01"/>
        </w:rPr>
      </w:pPr>
    </w:p>
    <w:p w:rsidR="00064C1E" w:rsidRDefault="00064C1E">
      <w:pPr>
        <w:rPr>
          <w:rStyle w:val="fontstyle01"/>
          <w:color w:val="0000FF"/>
        </w:rPr>
      </w:pPr>
      <w:r>
        <w:rPr>
          <w:rStyle w:val="fontstyle01"/>
        </w:rPr>
        <w:t xml:space="preserve">Until recently, most researchers have modeled fraud detection by traditional statistical techniques such as logistic regression </w:t>
      </w:r>
      <w:r>
        <w:rPr>
          <w:rStyle w:val="fontstyle01"/>
          <w:color w:val="0000FF"/>
        </w:rPr>
        <w:t>Persons 1995</w:t>
      </w:r>
      <w:r>
        <w:rPr>
          <w:rStyle w:val="fontstyle01"/>
        </w:rPr>
        <w:t xml:space="preserve">; </w:t>
      </w:r>
      <w:r>
        <w:rPr>
          <w:rStyle w:val="fontstyle01"/>
          <w:color w:val="0000FF"/>
        </w:rPr>
        <w:t>Beasley 1996</w:t>
      </w:r>
      <w:r>
        <w:rPr>
          <w:rStyle w:val="fontstyle01"/>
        </w:rPr>
        <w:t xml:space="preserve">; </w:t>
      </w:r>
      <w:r>
        <w:rPr>
          <w:rStyle w:val="fontstyle01"/>
          <w:color w:val="0000FF"/>
        </w:rPr>
        <w:t>Summers and Sweeney 1998</w:t>
      </w:r>
      <w:r>
        <w:rPr>
          <w:rStyle w:val="fontstyle01"/>
        </w:rPr>
        <w:t xml:space="preserve">; </w:t>
      </w:r>
      <w:r>
        <w:rPr>
          <w:rStyle w:val="fontstyle01"/>
          <w:color w:val="0000FF"/>
        </w:rPr>
        <w:t>Lee</w:t>
      </w:r>
      <w:r>
        <w:rPr>
          <w:rFonts w:ascii="Times-Roman" w:hAnsi="Times-Roman"/>
          <w:color w:val="0000FF"/>
          <w:sz w:val="20"/>
          <w:szCs w:val="20"/>
        </w:rPr>
        <w:br/>
      </w:r>
      <w:r>
        <w:rPr>
          <w:rStyle w:val="fontstyle01"/>
          <w:color w:val="0000FF"/>
        </w:rPr>
        <w:t>et al. 1999</w:t>
      </w:r>
      <w:r>
        <w:rPr>
          <w:rStyle w:val="fontstyle01"/>
        </w:rPr>
        <w:t xml:space="preserve">; </w:t>
      </w:r>
      <w:r>
        <w:rPr>
          <w:rStyle w:val="fontstyle01"/>
          <w:color w:val="0000FF"/>
        </w:rPr>
        <w:t>Abbot et al. 2000</w:t>
      </w:r>
      <w:r>
        <w:rPr>
          <w:rStyle w:val="fontstyle01"/>
        </w:rPr>
        <w:t xml:space="preserve">; </w:t>
      </w:r>
      <w:r>
        <w:rPr>
          <w:rStyle w:val="fontstyle01"/>
          <w:color w:val="0000FF"/>
        </w:rPr>
        <w:t xml:space="preserve">Bell and </w:t>
      </w:r>
      <w:proofErr w:type="spellStart"/>
      <w:r>
        <w:rPr>
          <w:rStyle w:val="fontstyle01"/>
          <w:color w:val="0000FF"/>
        </w:rPr>
        <w:t>Carcello</w:t>
      </w:r>
      <w:proofErr w:type="spellEnd"/>
      <w:r>
        <w:rPr>
          <w:rStyle w:val="fontstyle01"/>
          <w:color w:val="0000FF"/>
        </w:rPr>
        <w:t xml:space="preserve"> 2000</w:t>
      </w:r>
      <w:r>
        <w:rPr>
          <w:rStyle w:val="fontstyle01"/>
        </w:rPr>
        <w:t xml:space="preserve">; </w:t>
      </w:r>
      <w:proofErr w:type="spellStart"/>
      <w:r>
        <w:rPr>
          <w:rStyle w:val="fontstyle01"/>
          <w:color w:val="0000FF"/>
        </w:rPr>
        <w:t>Spathis</w:t>
      </w:r>
      <w:proofErr w:type="spellEnd"/>
      <w:r>
        <w:rPr>
          <w:rStyle w:val="fontstyle01"/>
          <w:color w:val="0000FF"/>
        </w:rPr>
        <w:t xml:space="preserve"> 2002</w:t>
      </w:r>
      <w:r>
        <w:rPr>
          <w:rStyle w:val="fontstyle01"/>
        </w:rPr>
        <w:t>, linear discriminant analysis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  <w:color w:val="0000FF"/>
        </w:rPr>
        <w:t xml:space="preserve">Fanning and </w:t>
      </w:r>
      <w:proofErr w:type="spellStart"/>
      <w:r>
        <w:rPr>
          <w:rStyle w:val="fontstyle01"/>
          <w:color w:val="0000FF"/>
        </w:rPr>
        <w:t>Cogger</w:t>
      </w:r>
      <w:proofErr w:type="spellEnd"/>
      <w:r>
        <w:rPr>
          <w:rStyle w:val="fontstyle01"/>
          <w:color w:val="0000FF"/>
        </w:rPr>
        <w:t xml:space="preserve"> 1998</w:t>
      </w:r>
      <w:r>
        <w:rPr>
          <w:rStyle w:val="fontstyle01"/>
        </w:rPr>
        <w:t xml:space="preserve">; </w:t>
      </w:r>
      <w:r>
        <w:rPr>
          <w:rStyle w:val="fontstyle01"/>
          <w:color w:val="0000FF"/>
        </w:rPr>
        <w:t>Kaminski et al. 2004</w:t>
      </w:r>
      <w:r>
        <w:rPr>
          <w:rStyle w:val="fontstyle01"/>
        </w:rPr>
        <w:t xml:space="preserve">, and </w:t>
      </w:r>
      <w:proofErr w:type="spellStart"/>
      <w:r>
        <w:rPr>
          <w:rStyle w:val="fontstyle01"/>
        </w:rPr>
        <w:t>probit</w:t>
      </w:r>
      <w:proofErr w:type="spellEnd"/>
      <w:r>
        <w:rPr>
          <w:rStyle w:val="fontstyle01"/>
        </w:rPr>
        <w:t xml:space="preserve"> analysis </w:t>
      </w:r>
      <w:proofErr w:type="spellStart"/>
      <w:r>
        <w:rPr>
          <w:rStyle w:val="fontstyle01"/>
          <w:color w:val="0000FF"/>
        </w:rPr>
        <w:t>Dopuch</w:t>
      </w:r>
      <w:proofErr w:type="spellEnd"/>
      <w:r>
        <w:rPr>
          <w:rStyle w:val="fontstyle01"/>
          <w:color w:val="0000FF"/>
        </w:rPr>
        <w:t xml:space="preserve"> et al. 1987</w:t>
      </w:r>
      <w:proofErr w:type="gramStart"/>
      <w:r>
        <w:rPr>
          <w:rStyle w:val="fontstyle01"/>
        </w:rPr>
        <w:t>;</w:t>
      </w:r>
      <w:proofErr w:type="gramEnd"/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  <w:color w:val="0000FF"/>
        </w:rPr>
        <w:t>Hansen et al. 1996</w:t>
      </w:r>
      <w:r>
        <w:rPr>
          <w:rStyle w:val="fontstyle01"/>
        </w:rPr>
        <w:t xml:space="preserve">; </w:t>
      </w:r>
      <w:proofErr w:type="spellStart"/>
      <w:r>
        <w:rPr>
          <w:rStyle w:val="fontstyle01"/>
          <w:color w:val="0000FF"/>
        </w:rPr>
        <w:t>Beneish</w:t>
      </w:r>
      <w:proofErr w:type="spellEnd"/>
      <w:r>
        <w:rPr>
          <w:rStyle w:val="fontstyle01"/>
          <w:color w:val="0000FF"/>
        </w:rPr>
        <w:t xml:space="preserve"> 1999</w:t>
      </w:r>
      <w:r>
        <w:rPr>
          <w:rStyle w:val="fontstyle01"/>
        </w:rPr>
        <w:t xml:space="preserve">; </w:t>
      </w:r>
      <w:r>
        <w:rPr>
          <w:rStyle w:val="fontstyle01"/>
          <w:color w:val="0000FF"/>
        </w:rPr>
        <w:t>Lennox 2000</w:t>
      </w:r>
      <w:r>
        <w:rPr>
          <w:rStyle w:val="fontstyle01"/>
        </w:rPr>
        <w:t>. More recently, the studies have used data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mining and machine learning techniques to model problems in the domains of accounting and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finance. This shift can be attributed to the limitations of the traditional statistical techniques used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in the earlier studies. Drawing on the field of Artificial Intelligence AI, some of the fraud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 xml:space="preserve">detection models have used neural networks </w:t>
      </w:r>
      <w:r>
        <w:rPr>
          <w:rStyle w:val="fontstyle01"/>
          <w:color w:val="0000FF"/>
        </w:rPr>
        <w:t>Green and Choi 1997</w:t>
      </w:r>
      <w:r>
        <w:rPr>
          <w:rStyle w:val="fontstyle01"/>
        </w:rPr>
        <w:t xml:space="preserve">; </w:t>
      </w:r>
      <w:r>
        <w:rPr>
          <w:rStyle w:val="fontstyle01"/>
          <w:color w:val="0000FF"/>
        </w:rPr>
        <w:t xml:space="preserve">Fanning and </w:t>
      </w:r>
      <w:proofErr w:type="spellStart"/>
      <w:r>
        <w:rPr>
          <w:rStyle w:val="fontstyle01"/>
          <w:color w:val="0000FF"/>
        </w:rPr>
        <w:t>Cogger</w:t>
      </w:r>
      <w:proofErr w:type="spellEnd"/>
      <w:r>
        <w:rPr>
          <w:rStyle w:val="fontstyle01"/>
          <w:color w:val="0000FF"/>
        </w:rPr>
        <w:t xml:space="preserve"> 1998</w:t>
      </w:r>
      <w:r>
        <w:rPr>
          <w:rStyle w:val="fontstyle01"/>
        </w:rPr>
        <w:t>,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 xml:space="preserve">expert systems </w:t>
      </w:r>
      <w:proofErr w:type="spellStart"/>
      <w:r>
        <w:rPr>
          <w:rStyle w:val="fontstyle01"/>
          <w:color w:val="0000FF"/>
        </w:rPr>
        <w:t>Ragothaman</w:t>
      </w:r>
      <w:proofErr w:type="spellEnd"/>
      <w:r>
        <w:rPr>
          <w:rStyle w:val="fontstyle01"/>
          <w:color w:val="0000FF"/>
        </w:rPr>
        <w:t xml:space="preserve"> et al. 1995</w:t>
      </w:r>
      <w:r>
        <w:rPr>
          <w:rStyle w:val="fontstyle01"/>
        </w:rPr>
        <w:t xml:space="preserve">; </w:t>
      </w:r>
      <w:proofErr w:type="spellStart"/>
      <w:r>
        <w:rPr>
          <w:rStyle w:val="fontstyle01"/>
          <w:color w:val="0000FF"/>
        </w:rPr>
        <w:t>Eining</w:t>
      </w:r>
      <w:proofErr w:type="spellEnd"/>
      <w:r>
        <w:rPr>
          <w:rStyle w:val="fontstyle01"/>
          <w:color w:val="0000FF"/>
        </w:rPr>
        <w:t xml:space="preserve"> et al. 1997</w:t>
      </w:r>
      <w:r>
        <w:rPr>
          <w:rStyle w:val="fontstyle01"/>
        </w:rPr>
        <w:t xml:space="preserve">, genetic algorithms </w:t>
      </w:r>
      <w:proofErr w:type="spellStart"/>
      <w:r>
        <w:rPr>
          <w:rStyle w:val="fontstyle01"/>
          <w:color w:val="0000FF"/>
        </w:rPr>
        <w:t>Hoogs</w:t>
      </w:r>
      <w:proofErr w:type="spellEnd"/>
      <w:r>
        <w:rPr>
          <w:rStyle w:val="fontstyle01"/>
          <w:color w:val="0000FF"/>
        </w:rPr>
        <w:t xml:space="preserve"> et al.</w:t>
      </w:r>
      <w:r>
        <w:rPr>
          <w:rFonts w:ascii="Times-Roman" w:hAnsi="Times-Roman"/>
          <w:color w:val="0000FF"/>
          <w:sz w:val="20"/>
          <w:szCs w:val="20"/>
        </w:rPr>
        <w:br/>
      </w:r>
      <w:r>
        <w:rPr>
          <w:rStyle w:val="fontstyle01"/>
          <w:color w:val="0000FF"/>
        </w:rPr>
        <w:t>2007</w:t>
      </w:r>
      <w:r>
        <w:rPr>
          <w:rStyle w:val="fontstyle01"/>
        </w:rPr>
        <w:t xml:space="preserve">, and decision trees </w:t>
      </w:r>
      <w:proofErr w:type="spellStart"/>
      <w:r>
        <w:rPr>
          <w:rStyle w:val="fontstyle01"/>
          <w:color w:val="0000FF"/>
        </w:rPr>
        <w:t>Kirkos</w:t>
      </w:r>
      <w:proofErr w:type="spellEnd"/>
      <w:r>
        <w:rPr>
          <w:rStyle w:val="fontstyle01"/>
          <w:color w:val="0000FF"/>
        </w:rPr>
        <w:t xml:space="preserve"> et al. 2007</w:t>
      </w:r>
      <w:r>
        <w:rPr>
          <w:rStyle w:val="fontstyle21"/>
        </w:rPr>
        <w:t xml:space="preserve"> </w:t>
      </w:r>
      <w:r>
        <w:rPr>
          <w:rStyle w:val="fontstyle01"/>
        </w:rPr>
        <w:t>to detect fraud.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A perusal of the above literature shows that most of the studies used financial metrics and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ratios extracted from financial statements to detect fraud. Some of these studies have focused on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examining the relationship between fraudulent financial reporting and quantitative indicators such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as composition of boards of directors, insider trading, auditor rotation, or financial restatements, in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addition to financial data.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 xml:space="preserve">Furthermore, it should be noted that many studies, including </w:t>
      </w:r>
      <w:r>
        <w:rPr>
          <w:rStyle w:val="fontstyle01"/>
          <w:color w:val="0000FF"/>
        </w:rPr>
        <w:t>Hansen et al. 1996</w:t>
      </w:r>
      <w:r>
        <w:rPr>
          <w:rStyle w:val="fontstyle01"/>
        </w:rPr>
        <w:t xml:space="preserve">, </w:t>
      </w:r>
      <w:proofErr w:type="spellStart"/>
      <w:r>
        <w:rPr>
          <w:rStyle w:val="fontstyle01"/>
          <w:color w:val="0000FF"/>
        </w:rPr>
        <w:t>Eining</w:t>
      </w:r>
      <w:proofErr w:type="spellEnd"/>
      <w:r>
        <w:rPr>
          <w:rStyle w:val="fontstyle01"/>
          <w:color w:val="0000FF"/>
        </w:rPr>
        <w:t xml:space="preserve"> et</w:t>
      </w:r>
      <w:r>
        <w:rPr>
          <w:rFonts w:ascii="Times-Roman" w:hAnsi="Times-Roman"/>
          <w:color w:val="0000FF"/>
          <w:sz w:val="20"/>
          <w:szCs w:val="20"/>
        </w:rPr>
        <w:br/>
      </w:r>
      <w:r>
        <w:rPr>
          <w:rStyle w:val="fontstyle01"/>
          <w:color w:val="0000FF"/>
        </w:rPr>
        <w:t>al. 1997</w:t>
      </w:r>
      <w:r>
        <w:rPr>
          <w:rStyle w:val="fontstyle01"/>
        </w:rPr>
        <w:t xml:space="preserve">, and </w:t>
      </w:r>
      <w:r>
        <w:rPr>
          <w:rStyle w:val="fontstyle01"/>
          <w:color w:val="0000FF"/>
        </w:rPr>
        <w:t xml:space="preserve">Bell and </w:t>
      </w:r>
      <w:proofErr w:type="spellStart"/>
      <w:r>
        <w:rPr>
          <w:rStyle w:val="fontstyle01"/>
          <w:color w:val="0000FF"/>
        </w:rPr>
        <w:t>Carcello</w:t>
      </w:r>
      <w:proofErr w:type="spellEnd"/>
      <w:r>
        <w:rPr>
          <w:rStyle w:val="fontstyle01"/>
          <w:color w:val="0000FF"/>
        </w:rPr>
        <w:t xml:space="preserve"> 2000</w:t>
      </w:r>
      <w:r>
        <w:rPr>
          <w:rStyle w:val="fontstyle01"/>
        </w:rPr>
        <w:t>, used internally generated financial information. On the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 xml:space="preserve">other hand, fraud studies by researchers such as </w:t>
      </w:r>
      <w:r>
        <w:rPr>
          <w:rStyle w:val="fontstyle01"/>
          <w:color w:val="0000FF"/>
        </w:rPr>
        <w:t>Green and Choi 1997</w:t>
      </w:r>
      <w:r>
        <w:rPr>
          <w:rStyle w:val="fontstyle01"/>
        </w:rPr>
        <w:t xml:space="preserve">, </w:t>
      </w:r>
      <w:proofErr w:type="gramStart"/>
      <w:r>
        <w:rPr>
          <w:rStyle w:val="fontstyle01"/>
          <w:color w:val="0000FF"/>
        </w:rPr>
        <w:t>Summers</w:t>
      </w:r>
      <w:proofErr w:type="gramEnd"/>
      <w:r>
        <w:rPr>
          <w:rStyle w:val="fontstyle01"/>
          <w:color w:val="0000FF"/>
        </w:rPr>
        <w:t xml:space="preserve"> and Sweeney</w:t>
      </w:r>
    </w:p>
    <w:p w:rsidR="00064C1E" w:rsidRDefault="00064C1E">
      <w:pPr>
        <w:rPr>
          <w:rFonts w:ascii="Times-Roman" w:hAnsi="Times-Roman"/>
          <w:color w:val="231F20"/>
          <w:sz w:val="20"/>
          <w:szCs w:val="20"/>
        </w:rPr>
      </w:pPr>
      <w:r w:rsidRPr="00064C1E">
        <w:rPr>
          <w:rFonts w:ascii="Times-Roman" w:hAnsi="Times-Roman"/>
          <w:color w:val="0000FF"/>
          <w:sz w:val="20"/>
          <w:szCs w:val="20"/>
        </w:rPr>
        <w:t>1998</w:t>
      </w:r>
      <w:r w:rsidRPr="00064C1E">
        <w:rPr>
          <w:rFonts w:ascii="Times-Roman" w:hAnsi="Times-Roman"/>
          <w:color w:val="231F20"/>
          <w:sz w:val="20"/>
          <w:szCs w:val="20"/>
        </w:rPr>
        <w:t xml:space="preserve">, </w:t>
      </w:r>
      <w:proofErr w:type="spellStart"/>
      <w:r w:rsidRPr="00064C1E">
        <w:rPr>
          <w:rFonts w:ascii="Times-Roman" w:hAnsi="Times-Roman"/>
          <w:color w:val="0000FF"/>
          <w:sz w:val="20"/>
          <w:szCs w:val="20"/>
        </w:rPr>
        <w:t>Beneish</w:t>
      </w:r>
      <w:proofErr w:type="spellEnd"/>
      <w:r w:rsidRPr="00064C1E">
        <w:rPr>
          <w:rFonts w:ascii="Times-Roman" w:hAnsi="Times-Roman"/>
          <w:color w:val="0000FF"/>
          <w:sz w:val="20"/>
          <w:szCs w:val="20"/>
        </w:rPr>
        <w:t xml:space="preserve"> 1999</w:t>
      </w:r>
      <w:r w:rsidRPr="00064C1E">
        <w:rPr>
          <w:rFonts w:ascii="Times-Roman" w:hAnsi="Times-Roman"/>
          <w:color w:val="231F20"/>
          <w:sz w:val="20"/>
          <w:szCs w:val="20"/>
        </w:rPr>
        <w:t xml:space="preserve">, </w:t>
      </w:r>
      <w:r w:rsidRPr="00064C1E">
        <w:rPr>
          <w:rFonts w:ascii="Times-Roman" w:hAnsi="Times-Roman"/>
          <w:color w:val="0000FF"/>
          <w:sz w:val="20"/>
          <w:szCs w:val="20"/>
        </w:rPr>
        <w:t>Kaminski et al. 2004</w:t>
      </w:r>
      <w:r w:rsidRPr="00064C1E">
        <w:rPr>
          <w:rFonts w:ascii="Times-Roman" w:hAnsi="Times-Roman"/>
          <w:color w:val="231F20"/>
          <w:sz w:val="20"/>
          <w:szCs w:val="20"/>
        </w:rPr>
        <w:t xml:space="preserve">, </w:t>
      </w:r>
      <w:proofErr w:type="spellStart"/>
      <w:r w:rsidRPr="00064C1E">
        <w:rPr>
          <w:rFonts w:ascii="Times-Roman" w:hAnsi="Times-Roman"/>
          <w:color w:val="0000FF"/>
          <w:sz w:val="20"/>
          <w:szCs w:val="20"/>
        </w:rPr>
        <w:t>Hoogs</w:t>
      </w:r>
      <w:proofErr w:type="spellEnd"/>
      <w:r w:rsidRPr="00064C1E">
        <w:rPr>
          <w:rFonts w:ascii="Times-Roman" w:hAnsi="Times-Roman"/>
          <w:color w:val="0000FF"/>
          <w:sz w:val="20"/>
          <w:szCs w:val="20"/>
        </w:rPr>
        <w:t xml:space="preserve"> et al. 2007</w:t>
      </w:r>
      <w:r w:rsidRPr="00064C1E">
        <w:rPr>
          <w:rFonts w:ascii="Times-Roman" w:hAnsi="Times-Roman"/>
          <w:color w:val="231F20"/>
          <w:sz w:val="20"/>
          <w:szCs w:val="20"/>
        </w:rPr>
        <w:t xml:space="preserve">, and </w:t>
      </w:r>
      <w:proofErr w:type="spellStart"/>
      <w:r w:rsidRPr="00064C1E">
        <w:rPr>
          <w:rFonts w:ascii="Times-Roman" w:hAnsi="Times-Roman"/>
          <w:color w:val="0000FF"/>
          <w:sz w:val="20"/>
          <w:szCs w:val="20"/>
        </w:rPr>
        <w:t>Kirkos</w:t>
      </w:r>
      <w:proofErr w:type="spellEnd"/>
      <w:r w:rsidRPr="00064C1E">
        <w:rPr>
          <w:rFonts w:ascii="Times-Roman" w:hAnsi="Times-Roman"/>
          <w:color w:val="0000FF"/>
          <w:sz w:val="20"/>
          <w:szCs w:val="20"/>
        </w:rPr>
        <w:t xml:space="preserve"> et al. 2007</w:t>
      </w:r>
      <w:r w:rsidRPr="00064C1E">
        <w:rPr>
          <w:rFonts w:ascii="MathematicalPi-Three" w:hAnsi="MathematicalPi-Three"/>
          <w:color w:val="0000FF"/>
          <w:sz w:val="20"/>
          <w:szCs w:val="20"/>
        </w:rPr>
        <w:br/>
      </w:r>
      <w:r w:rsidRPr="00064C1E">
        <w:rPr>
          <w:rFonts w:ascii="Times-Roman" w:hAnsi="Times-Roman"/>
          <w:color w:val="231F20"/>
          <w:sz w:val="20"/>
          <w:szCs w:val="20"/>
        </w:rPr>
        <w:t xml:space="preserve">showed the benefits of using external information. </w:t>
      </w:r>
      <w:r w:rsidRPr="00064C1E">
        <w:rPr>
          <w:rFonts w:ascii="Times-Roman" w:hAnsi="Times-Roman"/>
          <w:color w:val="0000FF"/>
          <w:sz w:val="20"/>
          <w:szCs w:val="20"/>
        </w:rPr>
        <w:t>Summers and Sweeney 1998</w:t>
      </w:r>
      <w:r w:rsidRPr="00064C1E">
        <w:rPr>
          <w:rFonts w:ascii="MathematicalPi-Three" w:hAnsi="MathematicalPi-Three"/>
          <w:color w:val="0000FF"/>
          <w:sz w:val="20"/>
          <w:szCs w:val="20"/>
        </w:rPr>
        <w:t xml:space="preserve"> </w:t>
      </w:r>
      <w:r w:rsidRPr="00064C1E">
        <w:rPr>
          <w:rFonts w:ascii="Times-Roman" w:hAnsi="Times-Roman"/>
          <w:color w:val="231F20"/>
          <w:sz w:val="20"/>
          <w:szCs w:val="20"/>
        </w:rPr>
        <w:t>demonstrated</w:t>
      </w:r>
      <w:r w:rsidRPr="00064C1E">
        <w:rPr>
          <w:rFonts w:ascii="Times-Roman" w:hAnsi="Times-Roman"/>
          <w:color w:val="231F20"/>
          <w:sz w:val="20"/>
          <w:szCs w:val="20"/>
        </w:rPr>
        <w:br/>
      </w:r>
      <w:r w:rsidRPr="00064C1E">
        <w:rPr>
          <w:rFonts w:ascii="Times-Roman" w:hAnsi="Times-Roman"/>
          <w:color w:val="231F20"/>
          <w:sz w:val="20"/>
          <w:szCs w:val="20"/>
        </w:rPr>
        <w:lastRenderedPageBreak/>
        <w:t>that their findings hold even when fraud risk factors from prior studies were controlled, indicating</w:t>
      </w:r>
      <w:r w:rsidRPr="00064C1E">
        <w:rPr>
          <w:rFonts w:ascii="Times-Roman" w:hAnsi="Times-Roman"/>
          <w:color w:val="231F20"/>
          <w:sz w:val="20"/>
          <w:szCs w:val="20"/>
        </w:rPr>
        <w:br/>
        <w:t>an incremental benefit to using external information.</w:t>
      </w:r>
      <w:r w:rsidRPr="00064C1E">
        <w:rPr>
          <w:rFonts w:ascii="Times-Roman" w:hAnsi="Times-Roman"/>
          <w:color w:val="231F20"/>
          <w:sz w:val="20"/>
          <w:szCs w:val="20"/>
        </w:rPr>
        <w:br/>
        <w:t>However, the limitations of these models to correctly predict fraud can have serious implications due to high rates of false negatives Type I error</w:t>
      </w:r>
      <w:r w:rsidRPr="00064C1E">
        <w:rPr>
          <w:rFonts w:ascii="MathematicalPi-Three" w:hAnsi="MathematicalPi-Three"/>
          <w:color w:val="231F20"/>
          <w:sz w:val="20"/>
          <w:szCs w:val="20"/>
        </w:rPr>
        <w:t xml:space="preserve"> </w:t>
      </w:r>
      <w:r w:rsidRPr="00064C1E">
        <w:rPr>
          <w:rFonts w:ascii="Times-Roman" w:hAnsi="Times-Roman"/>
          <w:color w:val="231F20"/>
          <w:sz w:val="20"/>
          <w:szCs w:val="20"/>
        </w:rPr>
        <w:t>and false positives Type II error.</w:t>
      </w:r>
      <w:r w:rsidRPr="00064C1E">
        <w:rPr>
          <w:rFonts w:ascii="Times-Roman" w:hAnsi="Times-Roman"/>
          <w:color w:val="231F20"/>
          <w:sz w:val="20"/>
          <w:szCs w:val="20"/>
        </w:rPr>
        <w:br/>
        <w:t>Typically, the cost of misclassifying a company involving fraud i.e., a false negative</w:t>
      </w:r>
      <w:r w:rsidRPr="00064C1E">
        <w:rPr>
          <w:rFonts w:ascii="MathematicalPi-Three" w:hAnsi="MathematicalPi-Three"/>
          <w:color w:val="231F20"/>
          <w:sz w:val="20"/>
          <w:szCs w:val="20"/>
        </w:rPr>
        <w:t xml:space="preserve"> </w:t>
      </w:r>
      <w:r w:rsidRPr="00064C1E">
        <w:rPr>
          <w:rFonts w:ascii="Times-Roman" w:hAnsi="Times-Roman"/>
          <w:color w:val="231F20"/>
          <w:sz w:val="20"/>
          <w:szCs w:val="20"/>
        </w:rPr>
        <w:t>is higher</w:t>
      </w:r>
      <w:r w:rsidRPr="00064C1E">
        <w:rPr>
          <w:rFonts w:ascii="Times-Roman" w:hAnsi="Times-Roman"/>
          <w:color w:val="231F20"/>
          <w:sz w:val="20"/>
          <w:szCs w:val="20"/>
        </w:rPr>
        <w:br/>
        <w:t>than the cost of misclassifying a no-fraud company i.e., a false positive. For example, if an</w:t>
      </w:r>
      <w:r w:rsidRPr="00064C1E">
        <w:rPr>
          <w:rFonts w:ascii="Times-Roman" w:hAnsi="Times-Roman"/>
          <w:color w:val="231F20"/>
          <w:sz w:val="20"/>
          <w:szCs w:val="20"/>
        </w:rPr>
        <w:br/>
        <w:t>investor invests in a company that is involved in fraud, but this company has been misclassified as</w:t>
      </w:r>
      <w:r w:rsidRPr="00064C1E">
        <w:rPr>
          <w:rFonts w:ascii="Times-Roman" w:hAnsi="Times-Roman"/>
          <w:color w:val="231F20"/>
          <w:sz w:val="20"/>
          <w:szCs w:val="20"/>
        </w:rPr>
        <w:br/>
        <w:t>a no-fraud company, he will incur a loss when fraud is discovered. On the other hand, if he does</w:t>
      </w:r>
      <w:r w:rsidRPr="00064C1E">
        <w:rPr>
          <w:rFonts w:ascii="Times-Roman" w:hAnsi="Times-Roman"/>
          <w:color w:val="231F20"/>
          <w:sz w:val="20"/>
          <w:szCs w:val="20"/>
        </w:rPr>
        <w:br/>
        <w:t>not invest in a no-fraud company as this company is misclassified as a fraud company, he will miss</w:t>
      </w:r>
      <w:r w:rsidRPr="00064C1E">
        <w:rPr>
          <w:rFonts w:ascii="Times-Roman" w:hAnsi="Times-Roman"/>
          <w:color w:val="231F20"/>
          <w:sz w:val="20"/>
          <w:szCs w:val="20"/>
        </w:rPr>
        <w:br/>
        <w:t>a profitable investment opportunity.</w:t>
      </w:r>
      <w:r w:rsidRPr="00064C1E">
        <w:rPr>
          <w:rFonts w:ascii="Times-Roman" w:hAnsi="Times-Roman"/>
          <w:color w:val="231F20"/>
          <w:sz w:val="20"/>
          <w:szCs w:val="20"/>
        </w:rPr>
        <w:br/>
      </w:r>
      <w:r w:rsidRPr="00064C1E">
        <w:rPr>
          <w:rFonts w:ascii="Times-Roman" w:hAnsi="Times-Roman"/>
          <w:color w:val="0000FF"/>
          <w:sz w:val="20"/>
          <w:szCs w:val="20"/>
        </w:rPr>
        <w:t>Kaminski et al. 2004</w:t>
      </w:r>
      <w:r w:rsidRPr="00064C1E">
        <w:rPr>
          <w:rFonts w:ascii="MathematicalPi-Three" w:hAnsi="MathematicalPi-Three"/>
          <w:color w:val="0000FF"/>
          <w:sz w:val="20"/>
          <w:szCs w:val="20"/>
        </w:rPr>
        <w:t xml:space="preserve"> </w:t>
      </w:r>
      <w:r w:rsidRPr="00064C1E">
        <w:rPr>
          <w:rFonts w:ascii="Times-Roman" w:hAnsi="Times-Roman"/>
          <w:color w:val="231F20"/>
          <w:sz w:val="20"/>
          <w:szCs w:val="20"/>
        </w:rPr>
        <w:t>demonstrated the limited ability of financial ratios to detect fraud and</w:t>
      </w:r>
      <w:r w:rsidRPr="00064C1E">
        <w:rPr>
          <w:rFonts w:ascii="Times-Roman" w:hAnsi="Times-Roman"/>
          <w:color w:val="231F20"/>
          <w:sz w:val="20"/>
          <w:szCs w:val="20"/>
        </w:rPr>
        <w:br/>
        <w:t>concluded that these conventional quantitative financial factors are inadequate for predicting fraud.</w:t>
      </w:r>
      <w:r w:rsidRPr="00064C1E">
        <w:rPr>
          <w:rFonts w:ascii="Times-Roman" w:hAnsi="Times-Roman"/>
          <w:color w:val="231F20"/>
          <w:sz w:val="20"/>
          <w:szCs w:val="20"/>
        </w:rPr>
        <w:br/>
        <w:t xml:space="preserve">More recently, </w:t>
      </w:r>
      <w:proofErr w:type="spellStart"/>
      <w:r w:rsidRPr="00064C1E">
        <w:rPr>
          <w:rFonts w:ascii="Times-Roman" w:hAnsi="Times-Roman"/>
          <w:color w:val="0000FF"/>
          <w:sz w:val="20"/>
          <w:szCs w:val="20"/>
        </w:rPr>
        <w:t>Dikmen</w:t>
      </w:r>
      <w:proofErr w:type="spellEnd"/>
      <w:r w:rsidRPr="00064C1E">
        <w:rPr>
          <w:rFonts w:ascii="Times-Roman" w:hAnsi="Times-Roman"/>
          <w:color w:val="0000FF"/>
          <w:sz w:val="20"/>
          <w:szCs w:val="20"/>
        </w:rPr>
        <w:t xml:space="preserve"> and </w:t>
      </w:r>
      <w:proofErr w:type="spellStart"/>
      <w:r w:rsidRPr="00064C1E">
        <w:rPr>
          <w:rFonts w:ascii="Times-Roman" w:hAnsi="Times-Roman"/>
          <w:color w:val="0000FF"/>
          <w:sz w:val="20"/>
          <w:szCs w:val="20"/>
        </w:rPr>
        <w:t>Küçükkocaolu</w:t>
      </w:r>
      <w:proofErr w:type="spellEnd"/>
      <w:r w:rsidRPr="00064C1E">
        <w:rPr>
          <w:rFonts w:ascii="Times-Roman" w:hAnsi="Times-Roman"/>
          <w:color w:val="0000FF"/>
          <w:sz w:val="20"/>
          <w:szCs w:val="20"/>
        </w:rPr>
        <w:t xml:space="preserve"> 2010</w:t>
      </w:r>
      <w:r w:rsidRPr="00064C1E">
        <w:rPr>
          <w:rFonts w:ascii="MathematicalPi-Three" w:hAnsi="MathematicalPi-Three"/>
          <w:color w:val="0000FF"/>
          <w:sz w:val="20"/>
          <w:szCs w:val="20"/>
        </w:rPr>
        <w:t xml:space="preserve"> </w:t>
      </w:r>
      <w:r w:rsidRPr="00064C1E">
        <w:rPr>
          <w:rFonts w:ascii="Times-Roman" w:hAnsi="Times-Roman"/>
          <w:color w:val="231F20"/>
          <w:sz w:val="20"/>
          <w:szCs w:val="20"/>
        </w:rPr>
        <w:t>have used a sample of 126 Turkish manufacturing firms described over ten financial ratios to detect factors associated with false financial</w:t>
      </w:r>
      <w:r w:rsidRPr="00064C1E">
        <w:rPr>
          <w:rFonts w:ascii="Times-Roman" w:hAnsi="Times-Roman"/>
          <w:color w:val="231F20"/>
          <w:sz w:val="20"/>
          <w:szCs w:val="20"/>
        </w:rPr>
        <w:br/>
        <w:t xml:space="preserve">statements with 82 percent accuracy. </w:t>
      </w:r>
      <w:proofErr w:type="spellStart"/>
      <w:r w:rsidRPr="00064C1E">
        <w:rPr>
          <w:rFonts w:ascii="Times-Roman" w:hAnsi="Times-Roman"/>
          <w:color w:val="0000FF"/>
          <w:sz w:val="20"/>
          <w:szCs w:val="20"/>
        </w:rPr>
        <w:t>Dechow</w:t>
      </w:r>
      <w:proofErr w:type="spellEnd"/>
      <w:r w:rsidRPr="00064C1E">
        <w:rPr>
          <w:rFonts w:ascii="Times-Roman" w:hAnsi="Times-Roman"/>
          <w:color w:val="0000FF"/>
          <w:sz w:val="20"/>
          <w:szCs w:val="20"/>
        </w:rPr>
        <w:t xml:space="preserve"> et al. 2011</w:t>
      </w:r>
      <w:r w:rsidRPr="00064C1E">
        <w:rPr>
          <w:rFonts w:ascii="MathematicalPi-Three" w:hAnsi="MathematicalPi-Three"/>
          <w:color w:val="0000FF"/>
          <w:sz w:val="20"/>
          <w:szCs w:val="20"/>
        </w:rPr>
        <w:t xml:space="preserve"> </w:t>
      </w:r>
      <w:r w:rsidRPr="00064C1E">
        <w:rPr>
          <w:rFonts w:ascii="Times-Roman" w:hAnsi="Times-Roman"/>
          <w:color w:val="231F20"/>
          <w:sz w:val="20"/>
          <w:szCs w:val="20"/>
        </w:rPr>
        <w:t>conducted a detailed analysis of firms</w:t>
      </w:r>
      <w:r w:rsidRPr="00064C1E">
        <w:rPr>
          <w:rFonts w:ascii="Times-Roman" w:hAnsi="Times-Roman"/>
          <w:color w:val="231F20"/>
          <w:sz w:val="20"/>
          <w:szCs w:val="20"/>
        </w:rPr>
        <w:br/>
        <w:t>investigated by the SEC for misstating quarterly or annual earnings. Using F-ratio, they predicted</w:t>
      </w:r>
      <w:r w:rsidRPr="00064C1E">
        <w:rPr>
          <w:rFonts w:ascii="Times-Roman" w:hAnsi="Times-Roman"/>
          <w:color w:val="231F20"/>
          <w:sz w:val="20"/>
          <w:szCs w:val="20"/>
        </w:rPr>
        <w:br/>
        <w:t>fraud with 79 percent accuracy.</w:t>
      </w:r>
      <w:r w:rsidRPr="00064C1E">
        <w:rPr>
          <w:rFonts w:ascii="Times-Roman" w:hAnsi="Times-Roman"/>
          <w:color w:val="231F20"/>
          <w:sz w:val="20"/>
          <w:szCs w:val="20"/>
        </w:rPr>
        <w:br/>
        <w:t xml:space="preserve">In contrast, in this paper we use the verbal, qualitative </w:t>
      </w:r>
      <w:proofErr w:type="spellStart"/>
      <w:r w:rsidRPr="00064C1E">
        <w:rPr>
          <w:rFonts w:ascii="Times-Roman" w:hAnsi="Times-Roman"/>
          <w:color w:val="231F20"/>
          <w:sz w:val="20"/>
          <w:szCs w:val="20"/>
        </w:rPr>
        <w:t>nonquantitative</w:t>
      </w:r>
      <w:proofErr w:type="spellEnd"/>
      <w:r w:rsidRPr="00064C1E">
        <w:rPr>
          <w:rFonts w:ascii="MathematicalPi-Three" w:hAnsi="MathematicalPi-Three"/>
          <w:color w:val="231F20"/>
          <w:sz w:val="20"/>
          <w:szCs w:val="20"/>
        </w:rPr>
        <w:t xml:space="preserve"> </w:t>
      </w:r>
      <w:r w:rsidRPr="00064C1E">
        <w:rPr>
          <w:rFonts w:ascii="Times-Roman" w:hAnsi="Times-Roman"/>
          <w:color w:val="231F20"/>
          <w:sz w:val="20"/>
          <w:szCs w:val="20"/>
        </w:rPr>
        <w:t>content of the annual</w:t>
      </w:r>
      <w:r w:rsidRPr="00064C1E">
        <w:rPr>
          <w:rFonts w:ascii="Times-Roman" w:hAnsi="Times-Roman"/>
          <w:color w:val="231F20"/>
          <w:sz w:val="20"/>
          <w:szCs w:val="20"/>
        </w:rPr>
        <w:br/>
        <w:t>reports to build our fraud detection model, as textual content of annual reports contains richer</w:t>
      </w:r>
      <w:r w:rsidRPr="00064C1E">
        <w:rPr>
          <w:rFonts w:ascii="Times-Roman" w:hAnsi="Times-Roman"/>
          <w:color w:val="231F20"/>
          <w:sz w:val="20"/>
          <w:szCs w:val="20"/>
        </w:rPr>
        <w:br/>
        <w:t>information than the financial ratios, which can be easily camouflaged. As our results show, our</w:t>
      </w:r>
      <w:r w:rsidRPr="00064C1E">
        <w:rPr>
          <w:rFonts w:ascii="Times-Roman" w:hAnsi="Times-Roman"/>
          <w:color w:val="231F20"/>
          <w:sz w:val="20"/>
          <w:szCs w:val="20"/>
        </w:rPr>
        <w:br/>
        <w:t>model performs better than the earlier fraud detection models see the “Results and Discussion”</w:t>
      </w:r>
      <w:r w:rsidRPr="00064C1E">
        <w:rPr>
          <w:rFonts w:ascii="Times-Roman" w:hAnsi="Times-Roman"/>
          <w:color w:val="231F20"/>
          <w:sz w:val="20"/>
          <w:szCs w:val="20"/>
        </w:rPr>
        <w:br/>
        <w:t>section</w:t>
      </w:r>
    </w:p>
    <w:p w:rsidR="00064C1E" w:rsidRDefault="00064C1E">
      <w:pPr>
        <w:rPr>
          <w:rFonts w:ascii="Times-Roman" w:hAnsi="Times-Roman"/>
          <w:color w:val="231F20"/>
          <w:sz w:val="20"/>
          <w:szCs w:val="20"/>
        </w:rPr>
      </w:pPr>
    </w:p>
    <w:p w:rsidR="00064C1E" w:rsidRDefault="00064C1E">
      <w:pPr>
        <w:rPr>
          <w:rFonts w:ascii="Times-Roman" w:hAnsi="Times-Roman"/>
          <w:color w:val="231F20"/>
          <w:sz w:val="20"/>
          <w:szCs w:val="20"/>
        </w:rPr>
      </w:pPr>
    </w:p>
    <w:p w:rsidR="00064C1E" w:rsidRDefault="00064C1E">
      <w:r>
        <w:rPr>
          <w:noProof/>
        </w:rPr>
        <w:drawing>
          <wp:inline distT="0" distB="0" distL="0" distR="0" wp14:anchorId="3C4E9B88" wp14:editId="72B538B6">
            <wp:extent cx="5274310" cy="2106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8E581C" wp14:editId="3784153A">
            <wp:extent cx="5274310" cy="4680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athematicalPi-Thre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68"/>
    <w:rsid w:val="00064C1E"/>
    <w:rsid w:val="005863E5"/>
    <w:rsid w:val="008721E9"/>
    <w:rsid w:val="00C6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71FEB-D906-47C4-A29B-2E7EAA4C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721E9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8721E9"/>
    <w:rPr>
      <w:rFonts w:ascii="MathematicalPi-Three" w:hAnsi="MathematicalPi-Three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11">
    <w:name w:val="fontstyle11"/>
    <w:basedOn w:val="a0"/>
    <w:rsid w:val="00064C1E"/>
    <w:rPr>
      <w:rFonts w:ascii="Times-Roman" w:hAnsi="Times-Roman" w:hint="default"/>
      <w:b w:val="0"/>
      <w:bCs w:val="0"/>
      <w:i w:val="0"/>
      <w:i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Zhou</dc:creator>
  <cp:keywords/>
  <dc:description/>
  <cp:lastModifiedBy>Luofeng Zhou</cp:lastModifiedBy>
  <cp:revision>3</cp:revision>
  <dcterms:created xsi:type="dcterms:W3CDTF">2018-03-31T15:05:00Z</dcterms:created>
  <dcterms:modified xsi:type="dcterms:W3CDTF">2018-03-31T15:19:00Z</dcterms:modified>
</cp:coreProperties>
</file>