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B5" w:rsidRPr="00AD23B5" w:rsidRDefault="00AD23B5" w:rsidP="00AD23B5">
      <w:pPr>
        <w:widowControl/>
        <w:jc w:val="left"/>
        <w:rPr>
          <w:rFonts w:ascii="宋体" w:eastAsia="宋体" w:hAnsi="宋体" w:cs="宋体"/>
          <w:kern w:val="0"/>
          <w:sz w:val="24"/>
          <w:szCs w:val="24"/>
        </w:rPr>
      </w:pPr>
      <w:r w:rsidRPr="00AD23B5">
        <w:rPr>
          <w:rFonts w:ascii="宋体" w:eastAsia="宋体" w:hAnsi="宋体" w:cs="宋体"/>
          <w:b/>
          <w:bCs/>
          <w:kern w:val="0"/>
          <w:sz w:val="24"/>
          <w:szCs w:val="24"/>
        </w:rPr>
        <w:t xml:space="preserve">Table 2. </w:t>
      </w:r>
      <w:r w:rsidRPr="00AD23B5">
        <w:rPr>
          <w:rFonts w:ascii="宋体" w:eastAsia="宋体" w:hAnsi="宋体" w:cs="宋体"/>
          <w:kern w:val="0"/>
          <w:sz w:val="24"/>
          <w:szCs w:val="24"/>
        </w:rPr>
        <w:t xml:space="preserve">Summary of alternative fraud‐detection techniques </w:t>
      </w:r>
    </w:p>
    <w:tbl>
      <w:tblPr>
        <w:tblW w:w="10349" w:type="dxa"/>
        <w:tblBorders>
          <w:top w:val="single" w:sz="2" w:space="0" w:color="9E9E9E"/>
          <w:left w:val="single" w:sz="2" w:space="0" w:color="9E9E9E"/>
          <w:bottom w:val="single" w:sz="2" w:space="0" w:color="9E9E9E"/>
          <w:right w:val="single" w:sz="2" w:space="0" w:color="9E9E9E"/>
        </w:tblBorders>
        <w:tblCellMar>
          <w:top w:w="15" w:type="dxa"/>
          <w:left w:w="15" w:type="dxa"/>
          <w:bottom w:w="15" w:type="dxa"/>
          <w:right w:w="15" w:type="dxa"/>
        </w:tblCellMar>
        <w:tblLook w:val="04A0" w:firstRow="1" w:lastRow="0" w:firstColumn="1" w:lastColumn="0" w:noHBand="0" w:noVBand="1"/>
      </w:tblPr>
      <w:tblGrid>
        <w:gridCol w:w="1699"/>
        <w:gridCol w:w="6197"/>
        <w:gridCol w:w="2453"/>
      </w:tblGrid>
      <w:tr w:rsidR="00AD23B5" w:rsidRPr="00AD23B5" w:rsidTr="00AD23B5">
        <w:trPr>
          <w:tblHeader/>
        </w:trPr>
        <w:tc>
          <w:tcPr>
            <w:tcW w:w="0" w:type="auto"/>
            <w:tcBorders>
              <w:top w:val="nil"/>
              <w:left w:val="nil"/>
              <w:bottom w:val="nil"/>
              <w:right w:val="nil"/>
            </w:tcBorders>
            <w:shd w:val="clear" w:color="auto" w:fill="EEEEEE"/>
            <w:tcMar>
              <w:top w:w="120" w:type="dxa"/>
              <w:left w:w="120" w:type="dxa"/>
              <w:bottom w:w="120" w:type="dxa"/>
              <w:right w:w="120" w:type="dxa"/>
            </w:tcMar>
            <w:hideMark/>
          </w:tcPr>
          <w:p w:rsidR="00AD23B5" w:rsidRPr="00AD23B5" w:rsidRDefault="00AD23B5" w:rsidP="00AD23B5">
            <w:pPr>
              <w:widowControl/>
              <w:spacing w:before="225" w:after="225" w:line="360" w:lineRule="atLeast"/>
              <w:jc w:val="left"/>
              <w:rPr>
                <w:rFonts w:ascii="宋体" w:eastAsia="宋体" w:hAnsi="宋体" w:cs="宋体"/>
                <w:b/>
                <w:bCs/>
                <w:color w:val="000000"/>
                <w:kern w:val="0"/>
                <w:szCs w:val="21"/>
              </w:rPr>
            </w:pPr>
            <w:r w:rsidRPr="00AD23B5">
              <w:rPr>
                <w:rFonts w:ascii="宋体" w:eastAsia="宋体" w:hAnsi="宋体" w:cs="宋体"/>
                <w:b/>
                <w:bCs/>
                <w:color w:val="000000"/>
                <w:kern w:val="0"/>
                <w:szCs w:val="21"/>
              </w:rPr>
              <w:t>Technique</w:t>
            </w:r>
          </w:p>
        </w:tc>
        <w:tc>
          <w:tcPr>
            <w:tcW w:w="0" w:type="auto"/>
            <w:tcBorders>
              <w:top w:val="nil"/>
              <w:left w:val="single" w:sz="6" w:space="0" w:color="B2B2B2"/>
              <w:bottom w:val="nil"/>
              <w:right w:val="nil"/>
            </w:tcBorders>
            <w:shd w:val="clear" w:color="auto" w:fill="EEEEEE"/>
            <w:tcMar>
              <w:top w:w="120" w:type="dxa"/>
              <w:left w:w="120" w:type="dxa"/>
              <w:bottom w:w="120" w:type="dxa"/>
              <w:right w:w="120" w:type="dxa"/>
            </w:tcMar>
            <w:hideMark/>
          </w:tcPr>
          <w:p w:rsidR="00AD23B5" w:rsidRPr="00AD23B5" w:rsidRDefault="00AD23B5" w:rsidP="00AD23B5">
            <w:pPr>
              <w:widowControl/>
              <w:spacing w:before="225" w:after="225" w:line="360" w:lineRule="atLeast"/>
              <w:jc w:val="left"/>
              <w:rPr>
                <w:rFonts w:ascii="宋体" w:eastAsia="宋体" w:hAnsi="宋体" w:cs="宋体"/>
                <w:b/>
                <w:bCs/>
                <w:color w:val="000000"/>
                <w:kern w:val="0"/>
                <w:szCs w:val="21"/>
              </w:rPr>
            </w:pPr>
            <w:r w:rsidRPr="00AD23B5">
              <w:rPr>
                <w:rFonts w:ascii="宋体" w:eastAsia="宋体" w:hAnsi="宋体" w:cs="宋体"/>
                <w:b/>
                <w:bCs/>
                <w:color w:val="000000"/>
                <w:kern w:val="0"/>
                <w:szCs w:val="21"/>
              </w:rPr>
              <w:t>Description</w:t>
            </w:r>
          </w:p>
        </w:tc>
        <w:tc>
          <w:tcPr>
            <w:tcW w:w="0" w:type="auto"/>
            <w:tcBorders>
              <w:top w:val="nil"/>
              <w:left w:val="single" w:sz="6" w:space="0" w:color="B2B2B2"/>
              <w:bottom w:val="nil"/>
              <w:right w:val="nil"/>
            </w:tcBorders>
            <w:shd w:val="clear" w:color="auto" w:fill="EEEEEE"/>
            <w:tcMar>
              <w:top w:w="120" w:type="dxa"/>
              <w:left w:w="120" w:type="dxa"/>
              <w:bottom w:w="120" w:type="dxa"/>
              <w:right w:w="120" w:type="dxa"/>
            </w:tcMar>
            <w:hideMark/>
          </w:tcPr>
          <w:p w:rsidR="00AD23B5" w:rsidRPr="00AD23B5" w:rsidRDefault="00AD23B5" w:rsidP="00AD23B5">
            <w:pPr>
              <w:widowControl/>
              <w:spacing w:before="225" w:after="225" w:line="360" w:lineRule="atLeast"/>
              <w:jc w:val="left"/>
              <w:rPr>
                <w:rFonts w:ascii="宋体" w:eastAsia="宋体" w:hAnsi="宋体" w:cs="宋体"/>
                <w:b/>
                <w:bCs/>
                <w:color w:val="000000"/>
                <w:kern w:val="0"/>
                <w:szCs w:val="21"/>
              </w:rPr>
            </w:pPr>
            <w:r w:rsidRPr="00AD23B5">
              <w:rPr>
                <w:rFonts w:ascii="宋体" w:eastAsia="宋体" w:hAnsi="宋体" w:cs="宋体"/>
                <w:b/>
                <w:bCs/>
                <w:color w:val="000000"/>
                <w:kern w:val="0"/>
                <w:szCs w:val="21"/>
              </w:rPr>
              <w:t>Source</w:t>
            </w:r>
          </w:p>
        </w:tc>
      </w:tr>
      <w:tr w:rsidR="00AD23B5" w:rsidRPr="00AD23B5" w:rsidTr="00AD23B5">
        <w:tc>
          <w:tcPr>
            <w:tcW w:w="0" w:type="auto"/>
            <w:gridSpan w:val="3"/>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i/>
                <w:iCs/>
                <w:color w:val="000000"/>
                <w:kern w:val="0"/>
                <w:sz w:val="18"/>
                <w:szCs w:val="18"/>
              </w:rPr>
              <w:t>Quantitative detection techniques</w:t>
            </w:r>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i/>
                <w:iCs/>
                <w:color w:val="000000"/>
                <w:kern w:val="0"/>
                <w:sz w:val="18"/>
                <w:szCs w:val="18"/>
              </w:rPr>
              <w:t>F</w:t>
            </w:r>
            <w:r w:rsidRPr="00AD23B5">
              <w:rPr>
                <w:rFonts w:ascii="宋体" w:eastAsia="宋体" w:hAnsi="宋体" w:cs="宋体"/>
                <w:color w:val="000000"/>
                <w:kern w:val="0"/>
                <w:sz w:val="18"/>
                <w:szCs w:val="18"/>
              </w:rPr>
              <w:t xml:space="preserve">‐score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Ratio of the predicted probability of fraud based on a logit model of firm financial characteristics, over the unconditional expectation of a financial misstatement.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roofErr w:type="spellStart"/>
            <w:r w:rsidRPr="00AD23B5">
              <w:rPr>
                <w:rFonts w:ascii="宋体" w:eastAsia="宋体" w:hAnsi="宋体" w:cs="宋体"/>
                <w:color w:val="000000"/>
                <w:kern w:val="0"/>
                <w:sz w:val="18"/>
                <w:szCs w:val="18"/>
              </w:rPr>
              <w:t>Dechow</w:t>
            </w:r>
            <w:proofErr w:type="spellEnd"/>
            <w:r w:rsidRPr="00AD23B5">
              <w:rPr>
                <w:rFonts w:ascii="宋体" w:eastAsia="宋体" w:hAnsi="宋体" w:cs="宋体"/>
                <w:color w:val="000000"/>
                <w:kern w:val="0"/>
                <w:sz w:val="18"/>
                <w:szCs w:val="18"/>
              </w:rPr>
              <w:t xml:space="preserve"> et al. (</w:t>
            </w:r>
            <w:hyperlink r:id="rId5" w:anchor="care12089-bib-0016" w:history="1">
              <w:r w:rsidRPr="00AD23B5">
                <w:rPr>
                  <w:rFonts w:ascii="宋体" w:eastAsia="宋体" w:hAnsi="宋体" w:cs="宋体"/>
                  <w:color w:val="2F7BAE"/>
                  <w:kern w:val="0"/>
                  <w:sz w:val="18"/>
                  <w:szCs w:val="18"/>
                  <w:u w:val="single"/>
                </w:rPr>
                <w:t>2011</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Capacity difference</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Difference between the year‐over‐year </w:t>
            </w:r>
            <w:proofErr w:type="gramStart"/>
            <w:r w:rsidRPr="00AD23B5">
              <w:rPr>
                <w:rFonts w:ascii="宋体" w:eastAsia="宋体" w:hAnsi="宋体" w:cs="宋体"/>
                <w:color w:val="000000"/>
                <w:kern w:val="0"/>
                <w:sz w:val="18"/>
                <w:szCs w:val="18"/>
              </w:rPr>
              <w:t>change</w:t>
            </w:r>
            <w:proofErr w:type="gramEnd"/>
            <w:r w:rsidRPr="00AD23B5">
              <w:rPr>
                <w:rFonts w:ascii="宋体" w:eastAsia="宋体" w:hAnsi="宋体" w:cs="宋体"/>
                <w:color w:val="000000"/>
                <w:kern w:val="0"/>
                <w:sz w:val="18"/>
                <w:szCs w:val="18"/>
              </w:rPr>
              <w:t xml:space="preserve"> in revenue less the year‐over‐year change in number of employees.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roofErr w:type="spellStart"/>
            <w:r w:rsidRPr="00AD23B5">
              <w:rPr>
                <w:rFonts w:ascii="宋体" w:eastAsia="宋体" w:hAnsi="宋体" w:cs="宋体"/>
                <w:color w:val="000000"/>
                <w:kern w:val="0"/>
                <w:sz w:val="18"/>
                <w:szCs w:val="18"/>
              </w:rPr>
              <w:t>Brazel</w:t>
            </w:r>
            <w:proofErr w:type="spellEnd"/>
            <w:r w:rsidRPr="00AD23B5">
              <w:rPr>
                <w:rFonts w:ascii="宋体" w:eastAsia="宋体" w:hAnsi="宋体" w:cs="宋体"/>
                <w:color w:val="000000"/>
                <w:kern w:val="0"/>
                <w:sz w:val="18"/>
                <w:szCs w:val="18"/>
              </w:rPr>
              <w:t xml:space="preserve"> et al. (</w:t>
            </w:r>
            <w:hyperlink r:id="rId6" w:anchor="care12089-bib-0006" w:history="1">
              <w:r w:rsidRPr="00AD23B5">
                <w:rPr>
                  <w:rFonts w:ascii="宋体" w:eastAsia="宋体" w:hAnsi="宋体" w:cs="宋体"/>
                  <w:color w:val="2F7BAE"/>
                  <w:kern w:val="0"/>
                  <w:sz w:val="18"/>
                  <w:szCs w:val="18"/>
                  <w:u w:val="single"/>
                </w:rPr>
                <w:t>2009</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M&amp;A activity</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Dummy variable equal to one if the firm acquires a target or merges with another firm during the fiscal year. The variable is otherwise equal to zero.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roofErr w:type="spellStart"/>
            <w:r w:rsidRPr="00AD23B5">
              <w:rPr>
                <w:rFonts w:ascii="宋体" w:eastAsia="宋体" w:hAnsi="宋体" w:cs="宋体"/>
                <w:color w:val="000000"/>
                <w:kern w:val="0"/>
                <w:sz w:val="18"/>
                <w:szCs w:val="18"/>
              </w:rPr>
              <w:t>Brazel</w:t>
            </w:r>
            <w:proofErr w:type="spellEnd"/>
            <w:r w:rsidRPr="00AD23B5">
              <w:rPr>
                <w:rFonts w:ascii="宋体" w:eastAsia="宋体" w:hAnsi="宋体" w:cs="宋体"/>
                <w:color w:val="000000"/>
                <w:kern w:val="0"/>
                <w:sz w:val="18"/>
                <w:szCs w:val="18"/>
              </w:rPr>
              <w:t xml:space="preserve"> et al. (</w:t>
            </w:r>
            <w:hyperlink r:id="rId7" w:anchor="care12089-bib-0006" w:history="1">
              <w:r w:rsidRPr="00AD23B5">
                <w:rPr>
                  <w:rFonts w:ascii="宋体" w:eastAsia="宋体" w:hAnsi="宋体" w:cs="宋体"/>
                  <w:color w:val="2F7BAE"/>
                  <w:kern w:val="0"/>
                  <w:sz w:val="18"/>
                  <w:szCs w:val="18"/>
                  <w:u w:val="single"/>
                </w:rPr>
                <w:t>2009</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Unexplained audit fees</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The residual from a regression of characteristics previously shown to be associated with audit fees on the log of audit fees.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roofErr w:type="spellStart"/>
            <w:r w:rsidRPr="00AD23B5">
              <w:rPr>
                <w:rFonts w:ascii="宋体" w:eastAsia="宋体" w:hAnsi="宋体" w:cs="宋体"/>
                <w:color w:val="000000"/>
                <w:kern w:val="0"/>
                <w:sz w:val="18"/>
                <w:szCs w:val="18"/>
              </w:rPr>
              <w:t>Hribar</w:t>
            </w:r>
            <w:proofErr w:type="spellEnd"/>
            <w:r w:rsidRPr="00AD23B5">
              <w:rPr>
                <w:rFonts w:ascii="宋体" w:eastAsia="宋体" w:hAnsi="宋体" w:cs="宋体"/>
                <w:color w:val="000000"/>
                <w:kern w:val="0"/>
                <w:sz w:val="18"/>
                <w:szCs w:val="18"/>
              </w:rPr>
              <w:t xml:space="preserve"> et al. (</w:t>
            </w:r>
            <w:hyperlink r:id="rId8" w:anchor="care12089-bib-0026" w:history="1">
              <w:r w:rsidRPr="00AD23B5">
                <w:rPr>
                  <w:rFonts w:ascii="宋体" w:eastAsia="宋体" w:hAnsi="宋体" w:cs="宋体"/>
                  <w:color w:val="2F7BAE"/>
                  <w:kern w:val="0"/>
                  <w:sz w:val="18"/>
                  <w:szCs w:val="18"/>
                  <w:u w:val="single"/>
                </w:rPr>
                <w:t>2010</w:t>
              </w:r>
            </w:hyperlink>
            <w:r w:rsidRPr="00AD23B5">
              <w:rPr>
                <w:rFonts w:ascii="宋体" w:eastAsia="宋体" w:hAnsi="宋体" w:cs="宋体"/>
                <w:color w:val="000000"/>
                <w:kern w:val="0"/>
                <w:sz w:val="18"/>
                <w:szCs w:val="18"/>
              </w:rPr>
              <w:t>) with modifications proposed by Price et al. (</w:t>
            </w:r>
            <w:hyperlink r:id="rId9" w:anchor="care12089-bib-0037" w:history="1">
              <w:r w:rsidRPr="00AD23B5">
                <w:rPr>
                  <w:rFonts w:ascii="宋体" w:eastAsia="宋体" w:hAnsi="宋体" w:cs="宋体"/>
                  <w:color w:val="2F7BAE"/>
                  <w:kern w:val="0"/>
                  <w:sz w:val="18"/>
                  <w:szCs w:val="18"/>
                  <w:u w:val="single"/>
                </w:rPr>
                <w:t>2011</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gridSpan w:val="3"/>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i/>
                <w:iCs/>
                <w:color w:val="000000"/>
                <w:kern w:val="0"/>
                <w:sz w:val="18"/>
                <w:szCs w:val="18"/>
              </w:rPr>
              <w:t>Language‐based detection techniques</w:t>
            </w:r>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Deceptive proportion</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Frequency of appearance in the MD&amp;A section of words from a list of deceptive words corresponding to the categories of first person singular pronouns, exclusive words, negative‐emotion words, and action verbs. The frequency is then divided by the total number of words in the MD&amp;A.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Newman et al. (</w:t>
            </w:r>
            <w:hyperlink r:id="rId10" w:anchor="care12089-bib-0036" w:history="1">
              <w:r w:rsidRPr="00AD23B5">
                <w:rPr>
                  <w:rFonts w:ascii="宋体" w:eastAsia="宋体" w:hAnsi="宋体" w:cs="宋体"/>
                  <w:color w:val="2F7BAE"/>
                  <w:kern w:val="0"/>
                  <w:sz w:val="18"/>
                  <w:szCs w:val="18"/>
                  <w:u w:val="single"/>
                </w:rPr>
                <w:t>2003</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lastRenderedPageBreak/>
              <w:t>Litigious proportion</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Frequency of appearance in the MD&amp;A section of words from the Fin‐Litigious list. The frequency is then divided by the total number of words in the MD&amp;A.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roofErr w:type="spellStart"/>
            <w:r w:rsidRPr="00AD23B5">
              <w:rPr>
                <w:rFonts w:ascii="宋体" w:eastAsia="宋体" w:hAnsi="宋体" w:cs="宋体"/>
                <w:color w:val="000000"/>
                <w:kern w:val="0"/>
                <w:sz w:val="18"/>
                <w:szCs w:val="18"/>
              </w:rPr>
              <w:t>Loughran</w:t>
            </w:r>
            <w:proofErr w:type="spellEnd"/>
            <w:r w:rsidRPr="00AD23B5">
              <w:rPr>
                <w:rFonts w:ascii="宋体" w:eastAsia="宋体" w:hAnsi="宋体" w:cs="宋体"/>
                <w:color w:val="000000"/>
                <w:kern w:val="0"/>
                <w:sz w:val="18"/>
                <w:szCs w:val="18"/>
              </w:rPr>
              <w:t xml:space="preserve"> and McDonald (</w:t>
            </w:r>
            <w:hyperlink r:id="rId11" w:anchor="care12089-bib-0034" w:history="1">
              <w:r w:rsidRPr="00AD23B5">
                <w:rPr>
                  <w:rFonts w:ascii="宋体" w:eastAsia="宋体" w:hAnsi="宋体" w:cs="宋体"/>
                  <w:color w:val="2F7BAE"/>
                  <w:kern w:val="0"/>
                  <w:sz w:val="18"/>
                  <w:szCs w:val="18"/>
                  <w:u w:val="single"/>
                </w:rPr>
                <w:t>2011</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Uncertain proportion</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Frequency of appearance in the MD&amp;A section of words from the Fin‐Uncertain list. The frequency is then divided by the total number of words in the MD&amp;A.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roofErr w:type="spellStart"/>
            <w:r w:rsidRPr="00AD23B5">
              <w:rPr>
                <w:rFonts w:ascii="宋体" w:eastAsia="宋体" w:hAnsi="宋体" w:cs="宋体"/>
                <w:color w:val="000000"/>
                <w:kern w:val="0"/>
                <w:sz w:val="18"/>
                <w:szCs w:val="18"/>
              </w:rPr>
              <w:t>Loughran</w:t>
            </w:r>
            <w:proofErr w:type="spellEnd"/>
            <w:r w:rsidRPr="00AD23B5">
              <w:rPr>
                <w:rFonts w:ascii="宋体" w:eastAsia="宋体" w:hAnsi="宋体" w:cs="宋体"/>
                <w:color w:val="000000"/>
                <w:kern w:val="0"/>
                <w:sz w:val="18"/>
                <w:szCs w:val="18"/>
              </w:rPr>
              <w:t xml:space="preserve"> and McDonald (</w:t>
            </w:r>
            <w:hyperlink r:id="rId12" w:anchor="care12089-bib-0034" w:history="1">
              <w:r w:rsidRPr="00AD23B5">
                <w:rPr>
                  <w:rFonts w:ascii="宋体" w:eastAsia="宋体" w:hAnsi="宋体" w:cs="宋体"/>
                  <w:color w:val="2F7BAE"/>
                  <w:kern w:val="0"/>
                  <w:sz w:val="18"/>
                  <w:szCs w:val="18"/>
                  <w:u w:val="single"/>
                </w:rPr>
                <w:t>2011</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36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Negative proportion</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Frequency of appearance in the MD&amp;A section of words from the Fin‐Negative list. The frequency is then divided by the total number of words in the MD&amp;A. </w:t>
            </w:r>
          </w:p>
        </w:tc>
        <w:tc>
          <w:tcPr>
            <w:tcW w:w="0" w:type="auto"/>
            <w:tcMar>
              <w:top w:w="180" w:type="dxa"/>
              <w:left w:w="180" w:type="dxa"/>
              <w:bottom w:w="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roofErr w:type="spellStart"/>
            <w:r w:rsidRPr="00AD23B5">
              <w:rPr>
                <w:rFonts w:ascii="宋体" w:eastAsia="宋体" w:hAnsi="宋体" w:cs="宋体"/>
                <w:color w:val="000000"/>
                <w:kern w:val="0"/>
                <w:sz w:val="18"/>
                <w:szCs w:val="18"/>
              </w:rPr>
              <w:t>Loughran</w:t>
            </w:r>
            <w:proofErr w:type="spellEnd"/>
            <w:r w:rsidRPr="00AD23B5">
              <w:rPr>
                <w:rFonts w:ascii="宋体" w:eastAsia="宋体" w:hAnsi="宋体" w:cs="宋体"/>
                <w:color w:val="000000"/>
                <w:kern w:val="0"/>
                <w:sz w:val="18"/>
                <w:szCs w:val="18"/>
              </w:rPr>
              <w:t xml:space="preserve"> and McDonald (</w:t>
            </w:r>
            <w:hyperlink r:id="rId13" w:anchor="care12089-bib-0034" w:history="1">
              <w:r w:rsidRPr="00AD23B5">
                <w:rPr>
                  <w:rFonts w:ascii="宋体" w:eastAsia="宋体" w:hAnsi="宋体" w:cs="宋体"/>
                  <w:color w:val="2F7BAE"/>
                  <w:kern w:val="0"/>
                  <w:sz w:val="18"/>
                  <w:szCs w:val="18"/>
                  <w:u w:val="single"/>
                </w:rPr>
                <w:t>2011</w:t>
              </w:r>
            </w:hyperlink>
            <w:r w:rsidRPr="00AD23B5">
              <w:rPr>
                <w:rFonts w:ascii="宋体" w:eastAsia="宋体" w:hAnsi="宋体" w:cs="宋体"/>
                <w:color w:val="000000"/>
                <w:kern w:val="0"/>
                <w:sz w:val="18"/>
                <w:szCs w:val="18"/>
              </w:rPr>
              <w:t xml:space="preserve">) </w:t>
            </w:r>
          </w:p>
        </w:tc>
      </w:tr>
      <w:tr w:rsidR="00AD23B5" w:rsidRPr="00AD23B5" w:rsidTr="00AD23B5">
        <w:tc>
          <w:tcPr>
            <w:tcW w:w="0" w:type="auto"/>
            <w:tcMar>
              <w:top w:w="180" w:type="dxa"/>
              <w:left w:w="180" w:type="dxa"/>
              <w:bottom w:w="18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Probability of truth</w:t>
            </w:r>
          </w:p>
        </w:tc>
        <w:tc>
          <w:tcPr>
            <w:tcW w:w="0" w:type="auto"/>
            <w:tcMar>
              <w:top w:w="180" w:type="dxa"/>
              <w:left w:w="180" w:type="dxa"/>
              <w:bottom w:w="18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r w:rsidRPr="00AD23B5">
              <w:rPr>
                <w:rFonts w:ascii="宋体" w:eastAsia="宋体" w:hAnsi="宋体" w:cs="宋体"/>
                <w:color w:val="000000"/>
                <w:kern w:val="0"/>
                <w:sz w:val="18"/>
                <w:szCs w:val="18"/>
              </w:rPr>
              <w:t xml:space="preserve">Measure of how likely a report is to be truthful based on classification by support vector machines (SVM). The presence in the MD&amp;A of the top 200 words most predictive of fraud provide the inputs for the SVM classification. Predictive words are identified from a training sample and not known ex ante. </w:t>
            </w:r>
          </w:p>
        </w:tc>
        <w:tc>
          <w:tcPr>
            <w:tcW w:w="0" w:type="auto"/>
            <w:tcMar>
              <w:top w:w="180" w:type="dxa"/>
              <w:left w:w="180" w:type="dxa"/>
              <w:bottom w:w="180" w:type="dxa"/>
              <w:right w:w="180" w:type="dxa"/>
            </w:tcMar>
            <w:hideMark/>
          </w:tcPr>
          <w:p w:rsidR="00AD23B5" w:rsidRPr="00AD23B5" w:rsidRDefault="00AD23B5" w:rsidP="00AD23B5">
            <w:pPr>
              <w:widowControl/>
              <w:spacing w:before="225" w:after="225" w:line="360" w:lineRule="atLeast"/>
              <w:jc w:val="left"/>
              <w:rPr>
                <w:rFonts w:ascii="宋体" w:eastAsia="宋体" w:hAnsi="宋体" w:cs="宋体"/>
                <w:color w:val="000000"/>
                <w:kern w:val="0"/>
                <w:sz w:val="18"/>
                <w:szCs w:val="18"/>
              </w:rPr>
            </w:pPr>
          </w:p>
        </w:tc>
      </w:tr>
    </w:tbl>
    <w:p w:rsidR="00AD23B5" w:rsidRPr="00AD23B5" w:rsidRDefault="00AD23B5" w:rsidP="00AD23B5">
      <w:pPr>
        <w:widowControl/>
        <w:spacing w:after="120" w:line="396" w:lineRule="atLeast"/>
        <w:jc w:val="left"/>
        <w:outlineLvl w:val="2"/>
        <w:rPr>
          <w:rFonts w:ascii="Arial" w:eastAsia="宋体" w:hAnsi="Arial" w:cs="Arial"/>
          <w:color w:val="1C1D1E"/>
          <w:kern w:val="0"/>
          <w:sz w:val="33"/>
          <w:szCs w:val="33"/>
        </w:rPr>
      </w:pPr>
      <w:r w:rsidRPr="00AD23B5">
        <w:rPr>
          <w:rFonts w:ascii="Arial" w:eastAsia="宋体" w:hAnsi="Arial" w:cs="Arial"/>
          <w:color w:val="1C1D1E"/>
          <w:kern w:val="0"/>
          <w:sz w:val="33"/>
          <w:szCs w:val="33"/>
        </w:rPr>
        <w:t>Notes</w:t>
      </w:r>
    </w:p>
    <w:p w:rsidR="00AD23B5" w:rsidRPr="00AD23B5" w:rsidRDefault="00AD23B5" w:rsidP="00AD23B5">
      <w:pPr>
        <w:widowControl/>
        <w:numPr>
          <w:ilvl w:val="0"/>
          <w:numId w:val="1"/>
        </w:numPr>
        <w:spacing w:before="100" w:beforeAutospacing="1" w:after="100" w:afterAutospacing="1" w:line="390" w:lineRule="atLeast"/>
        <w:ind w:left="0"/>
        <w:jc w:val="left"/>
        <w:rPr>
          <w:rFonts w:ascii="Arial" w:eastAsia="宋体" w:hAnsi="Arial" w:cs="Arial"/>
          <w:color w:val="1C1D1E"/>
          <w:kern w:val="0"/>
          <w:sz w:val="24"/>
          <w:szCs w:val="24"/>
        </w:rPr>
      </w:pPr>
      <w:r w:rsidRPr="00AD23B5">
        <w:rPr>
          <w:rFonts w:ascii="Arial" w:eastAsia="宋体" w:hAnsi="Arial" w:cs="Arial"/>
          <w:color w:val="1C1D1E"/>
          <w:kern w:val="0"/>
          <w:sz w:val="24"/>
          <w:szCs w:val="24"/>
        </w:rPr>
        <w:t>The table provides a brief description of the nine alternative fraud detection techniques compared in this paper and their source. We divide these techniques into those based on financial/quantitative measures and those using textual analysis. For reference the probability</w:t>
      </w:r>
      <w:r w:rsidRPr="00AD23B5">
        <w:rPr>
          <w:rFonts w:ascii="宋体" w:eastAsia="宋体" w:hAnsi="宋体" w:cs="宋体" w:hint="eastAsia"/>
          <w:color w:val="1C1D1E"/>
          <w:kern w:val="0"/>
          <w:sz w:val="24"/>
          <w:szCs w:val="24"/>
        </w:rPr>
        <w:t>‐</w:t>
      </w:r>
      <w:r w:rsidRPr="00AD23B5">
        <w:rPr>
          <w:rFonts w:ascii="Arial" w:eastAsia="宋体" w:hAnsi="Arial" w:cs="Arial"/>
          <w:color w:val="1C1D1E"/>
          <w:kern w:val="0"/>
          <w:sz w:val="24"/>
          <w:szCs w:val="24"/>
        </w:rPr>
        <w:t>of</w:t>
      </w:r>
      <w:r w:rsidRPr="00AD23B5">
        <w:rPr>
          <w:rFonts w:ascii="宋体" w:eastAsia="宋体" w:hAnsi="宋体" w:cs="宋体" w:hint="eastAsia"/>
          <w:color w:val="1C1D1E"/>
          <w:kern w:val="0"/>
          <w:sz w:val="24"/>
          <w:szCs w:val="24"/>
        </w:rPr>
        <w:t>‐</w:t>
      </w:r>
      <w:r w:rsidRPr="00AD23B5">
        <w:rPr>
          <w:rFonts w:ascii="Arial" w:eastAsia="宋体" w:hAnsi="Arial" w:cs="Arial"/>
          <w:color w:val="1C1D1E"/>
          <w:kern w:val="0"/>
          <w:sz w:val="24"/>
          <w:szCs w:val="24"/>
        </w:rPr>
        <w:t xml:space="preserve">truth measure derived in this paper is also described. </w:t>
      </w:r>
    </w:p>
    <w:p w:rsidR="005A0BE3" w:rsidRPr="00AD23B5" w:rsidRDefault="005A0BE3">
      <w:bookmarkStart w:id="0" w:name="_GoBack"/>
      <w:bookmarkEnd w:id="0"/>
    </w:p>
    <w:sectPr w:rsidR="005A0BE3" w:rsidRPr="00AD23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149E1"/>
    <w:multiLevelType w:val="multilevel"/>
    <w:tmpl w:val="1F2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AB2"/>
    <w:rsid w:val="004B4AB2"/>
    <w:rsid w:val="005A0BE3"/>
    <w:rsid w:val="00AD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857F3-1CBD-4B44-9B7D-2436166D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AD23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D23B5"/>
    <w:rPr>
      <w:rFonts w:ascii="宋体" w:eastAsia="宋体" w:hAnsi="宋体" w:cs="宋体"/>
      <w:b/>
      <w:bCs/>
      <w:kern w:val="0"/>
      <w:sz w:val="27"/>
      <w:szCs w:val="27"/>
    </w:rPr>
  </w:style>
  <w:style w:type="character" w:customStyle="1" w:styleId="table-captionlabel">
    <w:name w:val="table-caption__label"/>
    <w:basedOn w:val="a0"/>
    <w:rsid w:val="00AD23B5"/>
  </w:style>
  <w:style w:type="character" w:styleId="a3">
    <w:name w:val="Hyperlink"/>
    <w:basedOn w:val="a0"/>
    <w:uiPriority w:val="99"/>
    <w:semiHidden/>
    <w:unhideWhenUsed/>
    <w:rsid w:val="00AD2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9655">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single" w:sz="6" w:space="11" w:color="BDBBB7"/>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1911-3846.12089" TargetMode="External"/><Relationship Id="rId13" Type="http://schemas.openxmlformats.org/officeDocument/2006/relationships/hyperlink" Target="https://onlinelibrary.wiley.com/doi/full/10.1111/1911-3846.12089" TargetMode="External"/><Relationship Id="rId3" Type="http://schemas.openxmlformats.org/officeDocument/2006/relationships/settings" Target="settings.xml"/><Relationship Id="rId7" Type="http://schemas.openxmlformats.org/officeDocument/2006/relationships/hyperlink" Target="https://onlinelibrary.wiley.com/doi/full/10.1111/1911-3846.12089" TargetMode="External"/><Relationship Id="rId12" Type="http://schemas.openxmlformats.org/officeDocument/2006/relationships/hyperlink" Target="https://onlinelibrary.wiley.com/doi/full/10.1111/1911-3846.120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full/10.1111/1911-3846.12089" TargetMode="External"/><Relationship Id="rId11" Type="http://schemas.openxmlformats.org/officeDocument/2006/relationships/hyperlink" Target="https://onlinelibrary.wiley.com/doi/full/10.1111/1911-3846.12089" TargetMode="External"/><Relationship Id="rId5" Type="http://schemas.openxmlformats.org/officeDocument/2006/relationships/hyperlink" Target="https://onlinelibrary.wiley.com/doi/full/10.1111/1911-3846.12089" TargetMode="External"/><Relationship Id="rId15" Type="http://schemas.openxmlformats.org/officeDocument/2006/relationships/theme" Target="theme/theme1.xml"/><Relationship Id="rId10" Type="http://schemas.openxmlformats.org/officeDocument/2006/relationships/hyperlink" Target="https://onlinelibrary.wiley.com/doi/full/10.1111/1911-3846.12089" TargetMode="External"/><Relationship Id="rId4" Type="http://schemas.openxmlformats.org/officeDocument/2006/relationships/webSettings" Target="webSettings.xml"/><Relationship Id="rId9" Type="http://schemas.openxmlformats.org/officeDocument/2006/relationships/hyperlink" Target="https://onlinelibrary.wiley.com/doi/full/10.1111/1911-3846.1208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2</cp:revision>
  <dcterms:created xsi:type="dcterms:W3CDTF">2018-04-01T00:21:00Z</dcterms:created>
  <dcterms:modified xsi:type="dcterms:W3CDTF">2018-04-01T00:21:00Z</dcterms:modified>
</cp:coreProperties>
</file>