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38" w:rsidRPr="00754038" w:rsidRDefault="00754038" w:rsidP="00754038">
      <w:pPr>
        <w:widowControl/>
        <w:spacing w:line="330" w:lineRule="atLeast"/>
        <w:jc w:val="left"/>
        <w:rPr>
          <w:rFonts w:ascii="Arial" w:eastAsia="宋体" w:hAnsi="Arial" w:cs="Arial"/>
          <w:color w:val="737373"/>
          <w:kern w:val="0"/>
          <w:sz w:val="20"/>
          <w:szCs w:val="20"/>
        </w:rPr>
      </w:pPr>
      <w:r w:rsidRPr="00754038">
        <w:rPr>
          <w:rFonts w:ascii="Arial" w:eastAsia="宋体" w:hAnsi="Arial" w:cs="Arial"/>
          <w:color w:val="737373"/>
          <w:kern w:val="0"/>
          <w:sz w:val="20"/>
          <w:szCs w:val="20"/>
        </w:rPr>
        <w:t>Table 2. Description of the features.</w:t>
      </w:r>
    </w:p>
    <w:tbl>
      <w:tblPr>
        <w:tblW w:w="7920" w:type="dxa"/>
        <w:tblBorders>
          <w:top w:val="single" w:sz="2" w:space="0" w:color="EBEBEB"/>
          <w:bottom w:val="single" w:sz="2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150"/>
        <w:gridCol w:w="5538"/>
      </w:tblGrid>
      <w:tr w:rsidR="00754038" w:rsidRPr="00754038" w:rsidTr="00754038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Feature Category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754038" w:rsidRPr="00754038" w:rsidTr="00754038">
        <w:tc>
          <w:tcPr>
            <w:tcW w:w="0" w:type="auto"/>
            <w:vMerge w:val="restart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Accounting Risk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lnMVE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Natural logarithm of market value of equity, in millions of dollars, at the end of the fiscal quarter.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BM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The ratio of book value of equity to market value of equity at the end of the fiscal quarter.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VOL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Stock return volatility, measured as the standard deviation of daily stock returns over the half-year period (trading days </w:t>
            </w:r>
            <w:r w:rsidRPr="00754038">
              <w:rPr>
                <w:rFonts w:ascii="MS Gothic" w:eastAsia="MS Gothic" w:hAnsi="MS Gothic" w:cs="MS Gothic"/>
                <w:kern w:val="0"/>
                <w:sz w:val="20"/>
                <w:szCs w:val="20"/>
              </w:rPr>
              <w:t>−</w:t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127 to, </w:t>
            </w:r>
            <w:r w:rsidRPr="00754038">
              <w:rPr>
                <w:rFonts w:ascii="MS Gothic" w:eastAsia="MS Gothic" w:hAnsi="MS Gothic" w:cs="MS Gothic"/>
                <w:kern w:val="0"/>
                <w:sz w:val="20"/>
                <w:szCs w:val="20"/>
              </w:rPr>
              <w:t>−</w:t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 2 relative to the conference call date). Variable is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winsorized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at the 1% and 99% level to mitigate undue outlier effects.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RET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Current year market adjusted buy and hold stock return (i.e., firm’s return minus the return to a market index). Buy and hold return is calculated for the trading days spanning the four prior fiscal quarters. Variable is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winsorized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at the 1% and 99% level to mitigate undue outlier effects.</w:t>
            </w:r>
          </w:p>
        </w:tc>
      </w:tr>
      <w:tr w:rsidR="00754038" w:rsidRPr="00754038" w:rsidTr="00754038">
        <w:tc>
          <w:tcPr>
            <w:tcW w:w="0" w:type="auto"/>
            <w:vMerge w:val="restart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Acoustic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Meanf0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Average fundamental frequency of the CEO, as measured via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Praat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with default system settings.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Stdevf0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Standard deviation of the fundamental frequency of the CEO, as measured via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Praat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with default system settings.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Jitter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Small-scale perturbations of the fundamental frequency of the CEO, as measured via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Praat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with default system settings.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Shimmer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Variations of amplitude maxima in successive glottal cycles of the CEO, as measured via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Praat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with default system settings.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Meanhnr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Mean harmonics-to-noise ratio of the CEO, where the ratio quantifies the amount of additive noise in the voice signal, as measured via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Praat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with default system settings.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Stdevhnr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Standard deviation of the harmonics-to-noise ratio of the CEO, as measured via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Praat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with default system settings.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Pctvoiced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Proportion of voiced speech of the CEO, as measured via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Praat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with default system settings.</w:t>
            </w:r>
          </w:p>
        </w:tc>
      </w:tr>
      <w:tr w:rsidR="00754038" w:rsidRPr="00754038" w:rsidTr="00754038">
        <w:tc>
          <w:tcPr>
            <w:tcW w:w="0" w:type="auto"/>
            <w:vMerge w:val="restart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bookmarkStart w:id="0" w:name="bbb0075" w:colFirst="2" w:colLast="2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Linguistic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LZi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The proportion of words spoken by the CEO that are first person singular pronouns multiplied by the sample median length of the transcript as in </w:t>
            </w:r>
            <w:hyperlink r:id="rId4" w:anchor="bb007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[15]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LZwe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The proportion of words spoken by the CEO that are first person plural pronouns multiplied by the sample median length of the transcript as in </w:t>
            </w:r>
            <w:hyperlink r:id="rId5" w:anchor="bb007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[15]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LZipron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The proportion of words spoken by the CEO that are impersonal pronouns multiplied by the sample median length of the transcript as in </w:t>
            </w:r>
            <w:hyperlink r:id="rId6" w:anchor="bb007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[15]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LZposemone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The proportion of words spoken by the CEO that express positive emotion such as love, nice, accept etc., multiplied by the sample median length of the transcript as in </w:t>
            </w:r>
            <w:hyperlink r:id="rId7" w:anchor="bb007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[15]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LZnegate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The proportion of words spoken by the CEO that are negative such as no, not, never, etc., multiplied by the sample median length of the transcript as in </w:t>
            </w:r>
            <w:hyperlink r:id="rId8" w:anchor="bb007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[15]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LZcertain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The proportion of certainty words spoken by the CEO such as always, never, etc., multiplied by the sample median length of the transcript as in </w:t>
            </w:r>
            <w:hyperlink r:id="rId9" w:anchor="bb007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[15]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LZtentat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The proportion of tentative words spoken by the CEO such as maybe, perhaps, guess, etc., multiplied by the sample median length of the transcript as in </w:t>
            </w:r>
            <w:hyperlink r:id="rId10" w:anchor="bb007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[15]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bookmarkEnd w:id="0"/>
      <w:tr w:rsidR="00754038" w:rsidRPr="00754038" w:rsidTr="00754038">
        <w:tc>
          <w:tcPr>
            <w:tcW w:w="0" w:type="auto"/>
            <w:vMerge w:val="restart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Baseline metrics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Fscore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Scaled probability of misstatement, using model developed in </w:t>
            </w:r>
            <w:bookmarkStart w:id="1" w:name="bbb0015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begin"/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instrText xml:space="preserve"> HYPERLINK "https://www.sciencedirect.com/science/article/pii/S0167923615000779" \l "bb0015" </w:instrText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separate"/>
            </w:r>
            <w:r w:rsidRPr="00754038">
              <w:rPr>
                <w:rFonts w:ascii="宋体" w:eastAsia="宋体" w:hAnsi="宋体" w:cs="宋体"/>
                <w:color w:val="007398"/>
                <w:kern w:val="0"/>
                <w:sz w:val="20"/>
                <w:szCs w:val="20"/>
              </w:rPr>
              <w:t>[3]</w:t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end"/>
            </w:r>
            <w:bookmarkEnd w:id="1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as applied in </w:t>
            </w:r>
            <w:bookmarkStart w:id="2" w:name="bbb0045" w:colFirst="2" w:colLast="2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begin"/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instrText xml:space="preserve"> HYPERLINK "https://www.sciencedirect.com/science/article/pii/S0167923615000779" \l "bb0045" </w:instrText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separate"/>
            </w:r>
            <w:r w:rsidRPr="00754038">
              <w:rPr>
                <w:rFonts w:ascii="宋体" w:eastAsia="宋体" w:hAnsi="宋体" w:cs="宋体"/>
                <w:color w:val="007398"/>
                <w:kern w:val="0"/>
                <w:sz w:val="20"/>
                <w:szCs w:val="20"/>
              </w:rPr>
              <w:t>[9]</w:t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fldChar w:fldCharType="end"/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Accounting Risk variable based on the measure developed by Audit Integrity, LLC (part of </w:t>
            </w:r>
            <w:proofErr w:type="spellStart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GovernanceMetrics</w:t>
            </w:r>
            <w:proofErr w:type="spellEnd"/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 International Ratings). Values range from 0 to 100, with higher values indicating more high risk of misstatement.</w:t>
            </w:r>
          </w:p>
        </w:tc>
      </w:tr>
      <w:tr w:rsidR="00754038" w:rsidRPr="00754038" w:rsidTr="00754038">
        <w:tc>
          <w:tcPr>
            <w:tcW w:w="0" w:type="auto"/>
            <w:vMerge/>
            <w:tcBorders>
              <w:bottom w:val="nil"/>
              <w:right w:val="nil"/>
            </w:tcBorders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COGDIS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54038" w:rsidRPr="00754038" w:rsidRDefault="00754038" w:rsidP="00754038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Ex-Sense Pro R voice-based measure of cognitive dissonance, measured as the proportion of voice segments that register greater than 120 on the </w:t>
            </w:r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lastRenderedPageBreak/>
              <w:t xml:space="preserve">Cognition Level measure </w:t>
            </w:r>
            <w:hyperlink r:id="rId11" w:anchor="bb0045" w:history="1">
              <w:r w:rsidRPr="00754038">
                <w:rPr>
                  <w:rFonts w:ascii="宋体" w:eastAsia="宋体" w:hAnsi="宋体" w:cs="宋体"/>
                  <w:color w:val="007398"/>
                  <w:kern w:val="0"/>
                  <w:sz w:val="20"/>
                  <w:szCs w:val="20"/>
                </w:rPr>
                <w:t>[9]</w:t>
              </w:r>
            </w:hyperlink>
            <w:r w:rsidRPr="00754038">
              <w:rPr>
                <w:rFonts w:ascii="宋体" w:eastAsia="宋体" w:hAnsi="宋体" w:cs="宋体"/>
                <w:kern w:val="0"/>
                <w:sz w:val="20"/>
                <w:szCs w:val="20"/>
              </w:rPr>
              <w:t>. Higher values indicate more dissonance. Voice segments are approximately two-second vocal wave intervals.</w:t>
            </w:r>
          </w:p>
        </w:tc>
      </w:tr>
    </w:tbl>
    <w:p w:rsidR="00F81083" w:rsidRPr="00754038" w:rsidRDefault="00F81083">
      <w:bookmarkStart w:id="3" w:name="_GoBack"/>
      <w:bookmarkEnd w:id="2"/>
      <w:bookmarkEnd w:id="3"/>
    </w:p>
    <w:sectPr w:rsidR="00F81083" w:rsidRPr="00754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28000ce1.B">
    <w:altName w:val="Times New Roman"/>
    <w:panose1 w:val="00000000000000000000"/>
    <w:charset w:val="00"/>
    <w:family w:val="roman"/>
    <w:notTrueType/>
    <w:pitch w:val="default"/>
  </w:font>
  <w:font w:name="AdvTT5235d5a9">
    <w:altName w:val="Times New Roman"/>
    <w:panose1 w:val="00000000000000000000"/>
    <w:charset w:val="00"/>
    <w:family w:val="roman"/>
    <w:notTrueType/>
    <w:pitch w:val="default"/>
  </w:font>
  <w:font w:name="AdvTT5235d5a9+fb">
    <w:altName w:val="Times New Roman"/>
    <w:panose1 w:val="00000000000000000000"/>
    <w:charset w:val="00"/>
    <w:family w:val="roman"/>
    <w:notTrueType/>
    <w:pitch w:val="default"/>
  </w:font>
  <w:font w:name="AdvTT5235d5a9+22">
    <w:altName w:val="Times New Roman"/>
    <w:panose1 w:val="00000000000000000000"/>
    <w:charset w:val="00"/>
    <w:family w:val="roman"/>
    <w:notTrueType/>
    <w:pitch w:val="default"/>
  </w:font>
  <w:font w:name="AdvTT5235d5a9+2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64"/>
    <w:rsid w:val="00754038"/>
    <w:rsid w:val="00C52E08"/>
    <w:rsid w:val="00EE2764"/>
    <w:rsid w:val="00F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8CB4C-4A6D-48CC-9A2B-35E70FCD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52E08"/>
    <w:rPr>
      <w:rFonts w:ascii="AdvTT28000ce1.B" w:hAnsi="AdvTT28000ce1.B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21">
    <w:name w:val="fontstyle21"/>
    <w:basedOn w:val="a0"/>
    <w:rsid w:val="00C52E08"/>
    <w:rPr>
      <w:rFonts w:ascii="AdvTT5235d5a9" w:hAnsi="AdvTT5235d5a9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31">
    <w:name w:val="fontstyle31"/>
    <w:basedOn w:val="a0"/>
    <w:rsid w:val="00C52E08"/>
    <w:rPr>
      <w:rFonts w:ascii="AdvTT5235d5a9+fb" w:hAnsi="AdvTT5235d5a9+fb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C52E08"/>
    <w:rPr>
      <w:rFonts w:ascii="AdvTT5235d5a9+22" w:hAnsi="AdvTT5235d5a9+22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C52E08"/>
    <w:rPr>
      <w:rFonts w:ascii="AdvTT5235d5a9+20" w:hAnsi="AdvTT5235d5a9+20" w:hint="default"/>
      <w:b w:val="0"/>
      <w:bCs w:val="0"/>
      <w:i w:val="0"/>
      <w:iCs w:val="0"/>
      <w:color w:val="231F20"/>
      <w:sz w:val="14"/>
      <w:szCs w:val="14"/>
    </w:rPr>
  </w:style>
  <w:style w:type="paragraph" w:styleId="a3">
    <w:name w:val="Normal (Web)"/>
    <w:basedOn w:val="a"/>
    <w:uiPriority w:val="99"/>
    <w:semiHidden/>
    <w:unhideWhenUsed/>
    <w:rsid w:val="007540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754038"/>
  </w:style>
  <w:style w:type="character" w:styleId="a4">
    <w:name w:val="Hyperlink"/>
    <w:basedOn w:val="a0"/>
    <w:uiPriority w:val="99"/>
    <w:semiHidden/>
    <w:unhideWhenUsed/>
    <w:rsid w:val="00754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346">
          <w:marLeft w:val="360"/>
          <w:marRight w:val="360"/>
          <w:marTop w:val="24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792361500077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792361500077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67923615000779" TargetMode="External"/><Relationship Id="rId11" Type="http://schemas.openxmlformats.org/officeDocument/2006/relationships/hyperlink" Target="https://www.sciencedirect.com/science/article/pii/S0167923615000779" TargetMode="External"/><Relationship Id="rId5" Type="http://schemas.openxmlformats.org/officeDocument/2006/relationships/hyperlink" Target="https://www.sciencedirect.com/science/article/pii/S0167923615000779" TargetMode="External"/><Relationship Id="rId10" Type="http://schemas.openxmlformats.org/officeDocument/2006/relationships/hyperlink" Target="https://www.sciencedirect.com/science/article/pii/S0167923615000779" TargetMode="External"/><Relationship Id="rId4" Type="http://schemas.openxmlformats.org/officeDocument/2006/relationships/hyperlink" Target="https://www.sciencedirect.com/science/article/pii/S0167923615000779" TargetMode="External"/><Relationship Id="rId9" Type="http://schemas.openxmlformats.org/officeDocument/2006/relationships/hyperlink" Target="https://www.sciencedirect.com/science/article/pii/S01679236150007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2</cp:revision>
  <dcterms:created xsi:type="dcterms:W3CDTF">2018-04-01T01:42:00Z</dcterms:created>
  <dcterms:modified xsi:type="dcterms:W3CDTF">2018-04-01T02:28:00Z</dcterms:modified>
</cp:coreProperties>
</file>