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26" w:rsidRDefault="00083130">
      <w:pPr>
        <w:rPr>
          <w:rStyle w:val="fontstyle01"/>
        </w:rPr>
      </w:pPr>
      <w:r>
        <w:rPr>
          <w:rStyle w:val="fontstyle01"/>
        </w:rPr>
        <w:t>10-Ks may contain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>fraud in the form of intentionally misstated numbers and/or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>misleading statements made by the authors. In the Form 10-K, a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>corporate annual report mandated by the Securities and Exchange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>Act of 1934, the MD&amp;A section contains written explanations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>regarding the current status of the company, the industry, and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>forward looking statements for the company. Since the MD&amp;A is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>intended to give investors a sense of management's perspective on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>the health and future outlook of a company, it contains a discussion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 xml:space="preserve">of the company's </w:t>
      </w:r>
      <w:r>
        <w:rPr>
          <w:rStyle w:val="fontstyle21"/>
        </w:rPr>
        <w:t>fi</w:t>
      </w:r>
      <w:r>
        <w:rPr>
          <w:rStyle w:val="fontstyle01"/>
        </w:rPr>
        <w:t>nancial condition, the results of operations, and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>an analysis of the quantitative and qualitative market risks facing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 xml:space="preserve">the company. The MD&amp;A, an unaudited section of the 10-K, is </w:t>
      </w:r>
      <w:proofErr w:type="spellStart"/>
      <w:r>
        <w:rPr>
          <w:rStyle w:val="fontstyle01"/>
        </w:rPr>
        <w:t>quasimandatory</w:t>
      </w:r>
      <w:proofErr w:type="spellEnd"/>
      <w:r>
        <w:rPr>
          <w:rStyle w:val="fontstyle01"/>
        </w:rPr>
        <w:t xml:space="preserve"> because much of the content is only suggested by the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>SEC and the content is largely uncontrolled. It is the most read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 xml:space="preserve">section of the 10-K </w:t>
      </w:r>
      <w:r>
        <w:rPr>
          <w:rStyle w:val="fontstyle01"/>
          <w:color w:val="2E3092"/>
        </w:rPr>
        <w:t>[50]</w:t>
      </w:r>
      <w:r>
        <w:rPr>
          <w:rStyle w:val="fontstyle01"/>
        </w:rPr>
        <w:t>, but there is little research on the language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>used in the MD&amp;A. Many scholars have called for additional</w:t>
      </w:r>
      <w:r>
        <w:rPr>
          <w:rFonts w:ascii="AdvTT5235d5a9" w:hAnsi="AdvTT5235d5a9"/>
          <w:color w:val="231F20"/>
          <w:sz w:val="16"/>
          <w:szCs w:val="16"/>
        </w:rPr>
        <w:br/>
      </w:r>
      <w:r>
        <w:rPr>
          <w:rStyle w:val="fontstyle01"/>
        </w:rPr>
        <w:t xml:space="preserve">research in this area </w:t>
      </w:r>
      <w:r>
        <w:rPr>
          <w:rStyle w:val="fontstyle01"/>
          <w:color w:val="2E3092"/>
        </w:rPr>
        <w:t>[13]</w:t>
      </w:r>
      <w:r>
        <w:rPr>
          <w:rStyle w:val="fontstyle01"/>
        </w:rPr>
        <w:t>.</w:t>
      </w:r>
    </w:p>
    <w:p w:rsidR="00C14691" w:rsidRDefault="00C14691">
      <w:pPr>
        <w:rPr>
          <w:rStyle w:val="fontstyle01"/>
        </w:rPr>
      </w:pPr>
    </w:p>
    <w:p w:rsidR="00C14691" w:rsidRDefault="00C14691">
      <w:pPr>
        <w:rPr>
          <w:rStyle w:val="fontstyle01"/>
        </w:rPr>
      </w:pPr>
    </w:p>
    <w:p w:rsidR="00C14691" w:rsidRDefault="00C14691">
      <w:r w:rsidRPr="00C14691">
        <w:rPr>
          <w:rFonts w:ascii="AdvTT94c8263f.I" w:hAnsi="AdvTT94c8263f.I"/>
          <w:color w:val="231F20"/>
          <w:sz w:val="16"/>
          <w:szCs w:val="16"/>
        </w:rPr>
        <w:t>Fraudulent MD&amp;As display higher (a) quantity, (b) expressivity, (c)</w:t>
      </w:r>
      <w:r w:rsidRPr="00C14691">
        <w:rPr>
          <w:rFonts w:ascii="AdvTT94c8263f.I" w:hAnsi="AdvTT94c8263f.I"/>
          <w:color w:val="231F20"/>
          <w:sz w:val="16"/>
          <w:szCs w:val="16"/>
        </w:rPr>
        <w:br/>
        <w:t xml:space="preserve">affect, (d) uncertainty, (e) </w:t>
      </w:r>
      <w:proofErr w:type="spellStart"/>
      <w:r w:rsidRPr="00C14691">
        <w:rPr>
          <w:rFonts w:ascii="AdvTT94c8263f.I" w:hAnsi="AdvTT94c8263f.I"/>
          <w:color w:val="231F20"/>
          <w:sz w:val="16"/>
          <w:szCs w:val="16"/>
        </w:rPr>
        <w:t>nonimmediacy</w:t>
      </w:r>
      <w:proofErr w:type="spellEnd"/>
      <w:r w:rsidRPr="00C14691">
        <w:rPr>
          <w:rFonts w:ascii="AdvTT94c8263f.I" w:hAnsi="AdvTT94c8263f.I"/>
          <w:color w:val="231F20"/>
          <w:sz w:val="16"/>
          <w:szCs w:val="16"/>
        </w:rPr>
        <w:t>, and (f) complexity, and</w:t>
      </w:r>
      <w:r w:rsidRPr="00C14691">
        <w:rPr>
          <w:rFonts w:ascii="AdvTT94c8263f.I" w:hAnsi="AdvTT94c8263f.I"/>
          <w:color w:val="231F20"/>
          <w:sz w:val="16"/>
          <w:szCs w:val="16"/>
        </w:rPr>
        <w:br/>
        <w:t>less (g) diversity and (h) speci</w:t>
      </w:r>
      <w:r w:rsidRPr="00C14691">
        <w:rPr>
          <w:rFonts w:ascii="AdvTT94c8263f.I+fb" w:hAnsi="AdvTT94c8263f.I+fb"/>
          <w:color w:val="231F20"/>
          <w:sz w:val="16"/>
          <w:szCs w:val="16"/>
        </w:rPr>
        <w:t>fi</w:t>
      </w:r>
      <w:r w:rsidRPr="00C14691">
        <w:rPr>
          <w:rFonts w:ascii="AdvTT94c8263f.I" w:hAnsi="AdvTT94c8263f.I"/>
          <w:color w:val="231F20"/>
          <w:sz w:val="16"/>
          <w:szCs w:val="16"/>
        </w:rPr>
        <w:t>city of language than non-fraudulent</w:t>
      </w:r>
      <w:r w:rsidRPr="00C14691">
        <w:rPr>
          <w:rFonts w:ascii="AdvTT94c8263f.I" w:hAnsi="AdvTT94c8263f.I"/>
          <w:color w:val="231F20"/>
          <w:sz w:val="16"/>
          <w:szCs w:val="16"/>
        </w:rPr>
        <w:br/>
        <w:t>MD&amp;As.</w:t>
      </w:r>
      <w:bookmarkStart w:id="0" w:name="_GoBack"/>
      <w:bookmarkEnd w:id="0"/>
    </w:p>
    <w:sectPr w:rsidR="00C1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5235d5a9">
    <w:altName w:val="Times New Roman"/>
    <w:panose1 w:val="00000000000000000000"/>
    <w:charset w:val="00"/>
    <w:family w:val="roman"/>
    <w:notTrueType/>
    <w:pitch w:val="default"/>
  </w:font>
  <w:font w:name="AdvTT5235d5a9+fb">
    <w:altName w:val="Times New Roman"/>
    <w:panose1 w:val="00000000000000000000"/>
    <w:charset w:val="00"/>
    <w:family w:val="roman"/>
    <w:notTrueType/>
    <w:pitch w:val="default"/>
  </w:font>
  <w:font w:name="AdvTT94c8263f.I">
    <w:altName w:val="Times New Roman"/>
    <w:panose1 w:val="00000000000000000000"/>
    <w:charset w:val="00"/>
    <w:family w:val="roman"/>
    <w:notTrueType/>
    <w:pitch w:val="default"/>
  </w:font>
  <w:font w:name="AdvTT94c8263f.I+f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E4"/>
    <w:rsid w:val="00083130"/>
    <w:rsid w:val="000A3526"/>
    <w:rsid w:val="00C14691"/>
    <w:rsid w:val="00F7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6357F-2ADD-4700-A656-F51C8A31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83130"/>
    <w:rPr>
      <w:rFonts w:ascii="AdvTT5235d5a9" w:hAnsi="AdvTT5235d5a9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21">
    <w:name w:val="fontstyle21"/>
    <w:basedOn w:val="a0"/>
    <w:rsid w:val="00083130"/>
    <w:rPr>
      <w:rFonts w:ascii="AdvTT5235d5a9+fb" w:hAnsi="AdvTT5235d5a9+fb" w:hint="default"/>
      <w:b w:val="0"/>
      <w:bCs w:val="0"/>
      <w:i w:val="0"/>
      <w:iCs w:val="0"/>
      <w:color w:val="231F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Zhou</dc:creator>
  <cp:keywords/>
  <dc:description/>
  <cp:lastModifiedBy>Luofeng Zhou</cp:lastModifiedBy>
  <cp:revision>3</cp:revision>
  <dcterms:created xsi:type="dcterms:W3CDTF">2018-04-01T03:35:00Z</dcterms:created>
  <dcterms:modified xsi:type="dcterms:W3CDTF">2018-04-01T03:39:00Z</dcterms:modified>
</cp:coreProperties>
</file>