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mc:AlternateContent>
          <mc:Choice Requires="wps">
            <w:drawing>
              <wp:anchor distT="0" distB="0" distL="0" distR="0" allowOverlap="1" layoutInCell="1" locked="0" behindDoc="0" simplePos="0" relativeHeight="15729664">
                <wp:simplePos x="0" y="0"/>
                <wp:positionH relativeFrom="page">
                  <wp:posOffset>3749040</wp:posOffset>
                </wp:positionH>
                <wp:positionV relativeFrom="page">
                  <wp:posOffset>10568209</wp:posOffset>
                </wp:positionV>
                <wp:extent cx="64135" cy="1282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135" cy="128270"/>
                        </a:xfrm>
                        <a:prstGeom prst="rect">
                          <a:avLst/>
                        </a:prstGeom>
                      </wps:spPr>
                      <wps:txbx>
                        <w:txbxContent>
                          <w:p>
                            <w:pPr>
                              <w:spacing w:line="201" w:lineRule="exact" w:before="0"/>
                              <w:ind w:left="0" w:right="0" w:firstLine="0"/>
                              <w:jc w:val="left"/>
                              <w:rPr>
                                <w:rFonts w:ascii="Arial"/>
                                <w:sz w:val="18"/>
                              </w:rPr>
                            </w:pPr>
                            <w:r>
                              <w:rPr>
                                <w:rFonts w:ascii="Arial"/>
                                <w:sz w:val="1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200012pt;margin-top:832.142517pt;width:5.05pt;height:10.1pt;mso-position-horizontal-relative:page;mso-position-vertical-relative:page;z-index:15729664" type="#_x0000_t202" id="docshape1" filled="false" stroked="false">
                <v:textbox inset="0,0,0,0">
                  <w:txbxContent>
                    <w:p>
                      <w:pPr>
                        <w:spacing w:line="201" w:lineRule="exact" w:before="0"/>
                        <w:ind w:left="0" w:right="0" w:firstLine="0"/>
                        <w:jc w:val="left"/>
                        <w:rPr>
                          <w:rFonts w:ascii="Arial"/>
                          <w:sz w:val="18"/>
                        </w:rPr>
                      </w:pPr>
                      <w:r>
                        <w:rPr>
                          <w:rFonts w:ascii="Arial"/>
                          <w:sz w:val="18"/>
                        </w:rPr>
                        <w:t>1</w:t>
                      </w:r>
                    </w:p>
                  </w:txbxContent>
                </v:textbox>
                <w10:wrap type="none"/>
              </v:shape>
            </w:pict>
          </mc:Fallback>
        </mc:AlternateContent>
      </w:r>
    </w:p>
    <w:p>
      <w:pPr>
        <w:pStyle w:val="BodyText"/>
        <w:rPr>
          <w:rFonts w:ascii="Times New Roman"/>
          <w:sz w:val="20"/>
        </w:rPr>
      </w:pPr>
    </w:p>
    <w:p>
      <w:pPr>
        <w:pStyle w:val="BodyText"/>
        <w:rPr>
          <w:rFonts w:ascii="Times New Roman"/>
          <w:sz w:val="20"/>
        </w:rPr>
      </w:pPr>
    </w:p>
    <w:p>
      <w:pPr>
        <w:pStyle w:val="BodyText"/>
        <w:spacing w:before="3"/>
        <w:rPr>
          <w:rFonts w:ascii="Times New Roman"/>
          <w:sz w:val="21"/>
        </w:rPr>
      </w:pPr>
    </w:p>
    <w:p>
      <w:pPr>
        <w:pStyle w:val="BodyText"/>
        <w:ind w:left="3956"/>
        <w:rPr>
          <w:rFonts w:ascii="Times New Roman"/>
          <w:sz w:val="20"/>
        </w:rPr>
      </w:pPr>
      <w:r>
        <w:rPr>
          <w:rFonts w:ascii="Times New Roman"/>
          <w:sz w:val="20"/>
        </w:rPr>
        <w:drawing>
          <wp:inline distT="0" distB="0" distL="0" distR="0">
            <wp:extent cx="1424083" cy="754379"/>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424083" cy="754379"/>
                    </a:xfrm>
                    <a:prstGeom prst="rect">
                      <a:avLst/>
                    </a:prstGeom>
                  </pic:spPr>
                </pic:pic>
              </a:graphicData>
            </a:graphic>
          </wp:inline>
        </w:drawing>
      </w:r>
      <w:r>
        <w:rPr>
          <w:rFonts w:ascii="Times New Roman"/>
          <w:sz w:val="20"/>
        </w:rPr>
      </w:r>
    </w:p>
    <w:p>
      <w:pPr>
        <w:pStyle w:val="BodyText"/>
        <w:rPr>
          <w:rFonts w:ascii="Times New Roman"/>
          <w:sz w:val="20"/>
        </w:rPr>
      </w:pPr>
    </w:p>
    <w:p>
      <w:pPr>
        <w:pStyle w:val="BodyText"/>
        <w:spacing w:before="4"/>
        <w:rPr>
          <w:rFonts w:ascii="Times New Roman"/>
          <w:sz w:val="18"/>
        </w:rPr>
      </w:pPr>
      <w:r>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149618</wp:posOffset>
                </wp:positionV>
                <wp:extent cx="618934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89345" cy="9525"/>
                        </a:xfrm>
                        <a:custGeom>
                          <a:avLst/>
                          <a:gdLst/>
                          <a:ahLst/>
                          <a:cxnLst/>
                          <a:rect l="l" t="t" r="r" b="b"/>
                          <a:pathLst>
                            <a:path w="6189345" h="9525">
                              <a:moveTo>
                                <a:pt x="6188964" y="9143"/>
                              </a:moveTo>
                              <a:lnTo>
                                <a:pt x="0" y="9143"/>
                              </a:lnTo>
                              <a:lnTo>
                                <a:pt x="0" y="0"/>
                              </a:lnTo>
                              <a:lnTo>
                                <a:pt x="6188964" y="0"/>
                              </a:lnTo>
                              <a:lnTo>
                                <a:pt x="6188964" y="9143"/>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rect style="position:absolute;margin-left:54pt;margin-top:11.780976pt;width:487.32pt;height:.72pt;mso-position-horizontal-relative:page;mso-position-vertical-relative:paragraph;z-index:-15728640;mso-wrap-distance-left:0;mso-wrap-distance-right:0" id="docshape2" filled="true" fillcolor="#4470c4" stroked="false">
                <v:fill type="solid"/>
                <w10:wrap type="topAndBottom"/>
              </v:rect>
            </w:pict>
          </mc:Fallback>
        </mc:AlternateContent>
      </w:r>
    </w:p>
    <w:p>
      <w:pPr>
        <w:pStyle w:val="BodyText"/>
        <w:rPr>
          <w:rFonts w:ascii="Times New Roman"/>
          <w:sz w:val="20"/>
        </w:rPr>
      </w:pPr>
    </w:p>
    <w:p>
      <w:pPr>
        <w:pStyle w:val="Title"/>
        <w:rPr>
          <w:u w:val="none"/>
        </w:rPr>
      </w:pPr>
      <w:r>
        <w:rPr>
          <w:color w:val="4470C4"/>
          <w:spacing w:val="-2"/>
          <w:u w:val="thick" w:color="4470C4"/>
        </w:rPr>
        <w:t>申论领跑营2027</w:t>
      </w:r>
      <w:r>
        <w:rPr>
          <w:color w:val="4470C4"/>
          <w:spacing w:val="-4"/>
          <w:u w:val="thick" w:color="4470C4"/>
        </w:rPr>
        <w:t>版方法实战班</w:t>
      </w:r>
    </w:p>
    <w:p>
      <w:pPr>
        <w:pStyle w:val="BodyText"/>
        <w:rPr>
          <w:sz w:val="20"/>
        </w:rPr>
      </w:pPr>
    </w:p>
    <w:p>
      <w:pPr>
        <w:pStyle w:val="BodyText"/>
        <w:spacing w:before="12"/>
        <w:rPr>
          <w:sz w:val="23"/>
        </w:rPr>
      </w:pPr>
    </w:p>
    <w:p>
      <w:pPr>
        <w:spacing w:before="2"/>
        <w:ind w:left="2683" w:right="2986" w:firstLine="0"/>
        <w:jc w:val="center"/>
        <w:rPr>
          <w:sz w:val="52"/>
        </w:rPr>
      </w:pPr>
      <w:r>
        <w:rPr>
          <w:color w:val="4470C4"/>
          <w:spacing w:val="-42"/>
          <w:sz w:val="52"/>
        </w:rPr>
        <w:t>公文写作【汇报提纲】</w:t>
      </w:r>
    </w:p>
    <w:p>
      <w:pPr>
        <w:pStyle w:val="BodyText"/>
        <w:spacing w:before="4"/>
      </w:pPr>
      <w:r>
        <w:rPr/>
        <w:drawing>
          <wp:anchor distT="0" distB="0" distL="0" distR="0" allowOverlap="1" layoutInCell="1" locked="0" behindDoc="1" simplePos="0" relativeHeight="487588352">
            <wp:simplePos x="0" y="0"/>
            <wp:positionH relativeFrom="page">
              <wp:posOffset>3246120</wp:posOffset>
            </wp:positionH>
            <wp:positionV relativeFrom="paragraph">
              <wp:posOffset>213602</wp:posOffset>
            </wp:positionV>
            <wp:extent cx="902734" cy="62541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902734" cy="625411"/>
                    </a:xfrm>
                    <a:prstGeom prst="rect">
                      <a:avLst/>
                    </a:prstGeom>
                  </pic:spPr>
                </pic:pic>
              </a:graphicData>
            </a:graphic>
          </wp:anchor>
        </w:drawing>
      </w:r>
    </w:p>
    <w:p>
      <w:pPr>
        <w:spacing w:after="0"/>
        <w:sectPr>
          <w:type w:val="continuous"/>
          <w:pgSz w:w="11910" w:h="16840"/>
          <w:pgMar w:top="1940" w:bottom="0" w:left="880" w:right="540"/>
        </w:sectPr>
      </w:pPr>
    </w:p>
    <w:p>
      <w:pPr>
        <w:pStyle w:val="BodyText"/>
        <w:spacing w:before="1"/>
        <w:rPr>
          <w:sz w:val="21"/>
        </w:rPr>
      </w:pPr>
    </w:p>
    <w:p>
      <w:pPr>
        <w:spacing w:line="417" w:lineRule="exact" w:before="0"/>
        <w:ind w:left="101" w:right="0" w:firstLine="0"/>
        <w:jc w:val="left"/>
        <w:rPr>
          <w:rFonts w:ascii="Microsoft JhengHei" w:hAnsi="Microsoft JhengHei" w:eastAsia="Microsoft JhengHei"/>
          <w:b/>
          <w:sz w:val="24"/>
        </w:rPr>
      </w:pPr>
      <w:r>
        <w:rPr/>
        <w:drawing>
          <wp:anchor distT="0" distB="0" distL="0" distR="0" allowOverlap="1" layoutInCell="1" locked="0" behindDoc="1" simplePos="0" relativeHeight="487484928">
            <wp:simplePos x="0" y="0"/>
            <wp:positionH relativeFrom="page">
              <wp:posOffset>685800</wp:posOffset>
            </wp:positionH>
            <wp:positionV relativeFrom="paragraph">
              <wp:posOffset>-172759</wp:posOffset>
            </wp:positionV>
            <wp:extent cx="6456680" cy="29590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hAnsi="Microsoft JhengHei" w:eastAsia="Microsoft JhengHei"/>
          <w:b/>
          <w:w w:val="95"/>
          <w:sz w:val="24"/>
        </w:rPr>
        <w:t>D市市场监管局拟召开月度工作总结会。假如你是郭队长，请根据</w:t>
      </w:r>
      <w:r>
        <w:rPr>
          <w:rFonts w:ascii="Microsoft JhengHei" w:hAnsi="Microsoft JhengHei" w:eastAsia="Microsoft JhengHei"/>
          <w:b/>
          <w:w w:val="80"/>
          <w:sz w:val="24"/>
        </w:rPr>
        <w:t>“</w:t>
      </w:r>
      <w:r>
        <w:rPr>
          <w:rFonts w:ascii="Microsoft JhengHei" w:hAnsi="Microsoft JhengHei" w:eastAsia="Microsoft JhengHei"/>
          <w:b/>
          <w:w w:val="95"/>
          <w:sz w:val="24"/>
        </w:rPr>
        <w:t>给定资料3</w:t>
      </w:r>
      <w:r>
        <w:rPr>
          <w:rFonts w:ascii="Microsoft JhengHei" w:hAnsi="Microsoft JhengHei" w:eastAsia="Microsoft JhengHei"/>
          <w:b/>
          <w:spacing w:val="-2"/>
          <w:w w:val="95"/>
          <w:sz w:val="24"/>
        </w:rPr>
        <w:t>”，拟写一份关于</w:t>
      </w:r>
    </w:p>
    <w:p>
      <w:pPr>
        <w:spacing w:line="352" w:lineRule="auto" w:before="209"/>
        <w:ind w:left="101" w:right="6041" w:firstLine="0"/>
        <w:jc w:val="left"/>
        <w:rPr>
          <w:rFonts w:ascii="Microsoft JhengHei" w:eastAsia="Microsoft JhengHei"/>
          <w:b/>
          <w:sz w:val="24"/>
        </w:rPr>
      </w:pPr>
      <w:r>
        <w:rPr>
          <w:rFonts w:ascii="Microsoft JhengHei" w:eastAsia="Microsoft JhengHei"/>
          <w:b/>
          <w:spacing w:val="-2"/>
          <w:sz w:val="24"/>
        </w:rPr>
        <w:t>三个案例的执法情况汇报提纲。（20分</w:t>
      </w:r>
      <w:r>
        <w:rPr>
          <w:rFonts w:ascii="Microsoft JhengHei" w:eastAsia="Microsoft JhengHei"/>
          <w:b/>
          <w:spacing w:val="-2"/>
          <w:sz w:val="24"/>
        </w:rPr>
        <w:t>）</w:t>
      </w:r>
      <w:r>
        <w:rPr>
          <w:rFonts w:ascii="Microsoft JhengHei" w:eastAsia="Microsoft JhengHei"/>
          <w:b/>
          <w:spacing w:val="-4"/>
          <w:sz w:val="24"/>
        </w:rPr>
        <w:t>要求：</w:t>
      </w:r>
    </w:p>
    <w:p>
      <w:pPr>
        <w:pStyle w:val="ListParagraph"/>
        <w:numPr>
          <w:ilvl w:val="0"/>
          <w:numId w:val="1"/>
        </w:numPr>
        <w:tabs>
          <w:tab w:pos="712" w:val="left" w:leader="none"/>
        </w:tabs>
        <w:spacing w:line="240" w:lineRule="auto" w:before="3" w:after="0"/>
        <w:ind w:left="712" w:right="0" w:hanging="611"/>
        <w:jc w:val="left"/>
        <w:rPr>
          <w:rFonts w:ascii="Microsoft JhengHei" w:eastAsia="Microsoft JhengHei"/>
          <w:b/>
          <w:sz w:val="24"/>
        </w:rPr>
      </w:pPr>
      <w:r>
        <w:rPr>
          <w:rFonts w:ascii="Microsoft JhengHei" w:eastAsia="Microsoft JhengHei"/>
          <w:b/>
          <w:spacing w:val="-1"/>
          <w:sz w:val="24"/>
        </w:rPr>
        <w:t>包括三个案例的基本情况、执法过程及处理结果；</w:t>
      </w:r>
    </w:p>
    <w:p>
      <w:pPr>
        <w:pStyle w:val="ListParagraph"/>
        <w:numPr>
          <w:ilvl w:val="0"/>
          <w:numId w:val="1"/>
        </w:numPr>
        <w:tabs>
          <w:tab w:pos="712" w:val="left" w:leader="none"/>
        </w:tabs>
        <w:spacing w:line="240" w:lineRule="auto" w:before="209" w:after="0"/>
        <w:ind w:left="712" w:right="0" w:hanging="611"/>
        <w:jc w:val="left"/>
        <w:rPr>
          <w:rFonts w:ascii="Microsoft JhengHei" w:eastAsia="Microsoft JhengHei"/>
          <w:b/>
          <w:sz w:val="24"/>
        </w:rPr>
      </w:pPr>
      <w:r>
        <w:rPr>
          <w:rFonts w:ascii="Microsoft JhengHei" w:eastAsia="Microsoft JhengHei"/>
          <w:b/>
          <w:spacing w:val="-1"/>
          <w:sz w:val="24"/>
        </w:rPr>
        <w:t>要点全面，层次分明；</w:t>
      </w:r>
    </w:p>
    <w:p>
      <w:pPr>
        <w:pStyle w:val="ListParagraph"/>
        <w:numPr>
          <w:ilvl w:val="0"/>
          <w:numId w:val="1"/>
        </w:numPr>
        <w:tabs>
          <w:tab w:pos="712" w:val="left" w:leader="none"/>
        </w:tabs>
        <w:spacing w:line="240" w:lineRule="auto" w:before="209" w:after="0"/>
        <w:ind w:left="712" w:right="0" w:hanging="611"/>
        <w:jc w:val="left"/>
        <w:rPr>
          <w:rFonts w:ascii="Microsoft JhengHei" w:eastAsia="Microsoft JhengHei"/>
          <w:b/>
          <w:sz w:val="24"/>
        </w:rPr>
      </w:pPr>
      <w:r>
        <w:rPr>
          <w:rFonts w:ascii="Microsoft JhengHei" w:eastAsia="Microsoft JhengHei"/>
          <w:b/>
          <w:spacing w:val="-6"/>
          <w:sz w:val="24"/>
        </w:rPr>
        <w:t>不超过400</w:t>
      </w:r>
      <w:r>
        <w:rPr>
          <w:rFonts w:ascii="Microsoft JhengHei" w:eastAsia="Microsoft JhengHei"/>
          <w:b/>
          <w:spacing w:val="-8"/>
          <w:sz w:val="24"/>
        </w:rPr>
        <w:t>字。</w:t>
      </w:r>
    </w:p>
    <w:p>
      <w:pPr>
        <w:pStyle w:val="BodyText"/>
        <w:rPr>
          <w:rFonts w:ascii="Microsoft JhengHei"/>
          <w:b/>
        </w:rPr>
      </w:pPr>
    </w:p>
    <w:p>
      <w:pPr>
        <w:pStyle w:val="BodyText"/>
        <w:spacing w:before="16"/>
        <w:rPr>
          <w:rFonts w:ascii="Microsoft JhengHei"/>
          <w:b/>
          <w:sz w:val="31"/>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材料三</w:t>
      </w:r>
    </w:p>
    <w:p>
      <w:pPr>
        <w:pStyle w:val="BodyText"/>
        <w:spacing w:before="10"/>
        <w:rPr>
          <w:rFonts w:ascii="Microsoft JhengHei"/>
          <w:b/>
          <w:sz w:val="15"/>
        </w:rPr>
      </w:pPr>
    </w:p>
    <w:p>
      <w:pPr>
        <w:pStyle w:val="BodyText"/>
        <w:spacing w:line="508" w:lineRule="auto"/>
        <w:ind w:left="101" w:right="409" w:firstLine="278"/>
      </w:pPr>
      <w:r>
        <w:rPr>
          <w:w w:val="105"/>
        </w:rPr>
        <w:t>202</w:t>
      </w:r>
      <w:r>
        <w:rPr>
          <w:spacing w:val="-2"/>
          <w:w w:val="105"/>
        </w:rPr>
        <w:t>5</w:t>
      </w:r>
      <w:r>
        <w:rPr/>
        <w:t>年</w:t>
      </w:r>
      <w:r>
        <w:rPr>
          <w:w w:val="105"/>
        </w:rPr>
        <w:t>8</w:t>
      </w:r>
      <w:r>
        <w:rPr/>
        <w:t>月初，</w:t>
      </w:r>
      <w:r>
        <w:rPr>
          <w:spacing w:val="-2"/>
          <w:w w:val="137"/>
        </w:rPr>
        <w:t>D</w:t>
      </w:r>
      <w:r>
        <w:rPr/>
        <w:t>市市场监管局接到多起投诉，均指向河滨区婧心瑜伽馆的《入会协议书》。投诉人陈女士找到综合执法队郭队长：</w:t>
      </w:r>
      <w:r>
        <w:rPr>
          <w:spacing w:val="-2"/>
          <w:w w:val="35"/>
        </w:rPr>
        <w:t>“</w:t>
      </w:r>
      <w:r>
        <w:rPr/>
        <w:t>协议说</w:t>
      </w:r>
      <w:r>
        <w:rPr>
          <w:spacing w:val="-1"/>
          <w:w w:val="22"/>
        </w:rPr>
        <w:t>‘</w:t>
      </w:r>
      <w:r>
        <w:rPr>
          <w:spacing w:val="-1"/>
        </w:rPr>
        <w:t>会籍申请一经接纳，不得擅自退会。无论主动还</w:t>
      </w:r>
      <w:r>
        <w:rPr/>
        <w:t>是被动终止，均无权以任何理由要求退还已交费用</w:t>
      </w:r>
      <w:r>
        <w:rPr>
          <w:spacing w:val="-1"/>
          <w:w w:val="22"/>
        </w:rPr>
        <w:t>’</w:t>
      </w:r>
      <w:r>
        <w:rPr/>
        <w:t>。我近期刚做完手术，没办法做瑜伽，可馆方就是不退款，还规定</w:t>
      </w:r>
      <w:r>
        <w:rPr>
          <w:spacing w:val="-1"/>
          <w:w w:val="22"/>
        </w:rPr>
        <w:t>‘</w:t>
      </w:r>
      <w:r>
        <w:rPr>
          <w:spacing w:val="-1"/>
        </w:rPr>
        <w:t>会员已知悉运动风险，因自身原因造成的意外事故，会馆不承担责任</w:t>
      </w:r>
      <w:r>
        <w:rPr>
          <w:spacing w:val="-1"/>
          <w:w w:val="22"/>
        </w:rPr>
        <w:t>’</w:t>
      </w:r>
      <w:r>
        <w:rPr/>
        <w:t>。</w:t>
      </w:r>
      <w:r>
        <w:rPr/>
        <w:t>这感觉像是被骗了。</w:t>
      </w:r>
      <w:r>
        <w:rPr>
          <w:w w:val="35"/>
        </w:rPr>
        <w:t>”</w:t>
      </w:r>
    </w:p>
    <w:p>
      <w:pPr>
        <w:pStyle w:val="BodyText"/>
        <w:spacing w:line="508" w:lineRule="auto"/>
        <w:ind w:left="101" w:right="421" w:firstLine="278"/>
      </w:pPr>
      <w:r>
        <w:rPr/>
        <w:t>郭队长带队前去检查，瑜伽馆甘经理赶忙解释：</w:t>
      </w:r>
      <w:r>
        <w:rPr>
          <w:w w:val="35"/>
        </w:rPr>
        <w:t>“</w:t>
      </w:r>
      <w:r>
        <w:rPr>
          <w:spacing w:val="-1"/>
        </w:rPr>
        <w:t>我这是协议书不是合同，而且会员卡本来就</w:t>
      </w:r>
      <w:r>
        <w:rPr/>
        <w:t>是预付费性质，成本都摊进去了。瑜伽练习确实有风险，我们提前告知，也是为会员负责，她签了字就代表认可了。</w:t>
      </w:r>
      <w:r>
        <w:rPr>
          <w:w w:val="35"/>
        </w:rPr>
        <w:t>”</w:t>
      </w:r>
    </w:p>
    <w:p>
      <w:pPr>
        <w:pStyle w:val="BodyText"/>
        <w:spacing w:line="506" w:lineRule="auto"/>
        <w:ind w:left="101" w:right="181" w:firstLine="278"/>
      </w:pPr>
      <w:r>
        <w:rPr>
          <w:spacing w:val="-4"/>
        </w:rPr>
        <w:t>郭队长请甘经理坐下后对其解释：“您这种协议书包含了所有关于合同的要件，实质就是合同。</w:t>
      </w:r>
      <w:r>
        <w:rPr>
          <w:spacing w:val="-2"/>
        </w:rPr>
        <w:t>法律规定，当事人为了重复使用而预先拟定，并在订立合同时未与对方协商的条款，就是格式</w:t>
      </w:r>
    </w:p>
    <w:p>
      <w:pPr>
        <w:pStyle w:val="BodyText"/>
        <w:spacing w:line="508" w:lineRule="auto"/>
        <w:ind w:left="101" w:right="306"/>
        <w:jc w:val="both"/>
      </w:pPr>
      <w:r>
        <w:rPr>
          <w:spacing w:val="-1"/>
        </w:rPr>
        <w:t>条款。您家入会协议里的两条是典型的利用格式条款不合理地免除自身责任、加重消费者责任，</w:t>
      </w:r>
      <w:r>
        <w:rPr/>
        <w:t>属于可以被判定无效的情形。</w:t>
      </w:r>
      <w:r>
        <w:rPr>
          <w:spacing w:val="-2"/>
          <w:w w:val="35"/>
        </w:rPr>
        <w:t>”</w:t>
      </w:r>
      <w:r>
        <w:rPr/>
        <w:t>甘经理沉默不语。郭队长强调：</w:t>
      </w:r>
      <w:r>
        <w:rPr>
          <w:w w:val="35"/>
        </w:rPr>
        <w:t>“</w:t>
      </w:r>
      <w:r>
        <w:rPr/>
        <w:t>法律保护公平交易，而非单方面的免责盾牌。消费者因健康等原因要求退还未消费部分是合理的，不能通过条款拒绝退费。</w:t>
      </w:r>
      <w:r>
        <w:rPr>
          <w:w w:val="35"/>
        </w:rPr>
        <w:t>”</w:t>
      </w:r>
    </w:p>
    <w:p>
      <w:pPr>
        <w:spacing w:after="0" w:line="508" w:lineRule="auto"/>
        <w:jc w:val="both"/>
        <w:sectPr>
          <w:footerReference w:type="default" r:id="rId7"/>
          <w:pgSz w:w="11910" w:h="16840"/>
          <w:pgMar w:footer="1202" w:header="0" w:top="1200" w:bottom="1400" w:left="880" w:right="540"/>
          <w:pgNumType w:start="2"/>
        </w:sectPr>
      </w:pPr>
    </w:p>
    <w:p>
      <w:pPr>
        <w:pStyle w:val="BodyText"/>
        <w:ind w:left="200"/>
        <w:rPr>
          <w:sz w:val="20"/>
        </w:rPr>
      </w:pPr>
      <w:r>
        <w:rPr>
          <w:sz w:val="20"/>
        </w:rPr>
        <mc:AlternateContent>
          <mc:Choice Requires="wps">
            <w:drawing>
              <wp:inline distT="0" distB="0" distL="0" distR="0">
                <wp:extent cx="6456680" cy="395605"/>
                <wp:effectExtent l="0" t="0" r="0" b="4445"/>
                <wp:docPr id="7" name="Group 7"/>
                <wp:cNvGraphicFramePr>
                  <a:graphicFrameLocks/>
                </wp:cNvGraphicFramePr>
                <a:graphic>
                  <a:graphicData uri="http://schemas.microsoft.com/office/word/2010/wordprocessingGroup">
                    <wpg:wgp>
                      <wpg:cNvPr id="7" name="Group 7"/>
                      <wpg:cNvGrpSpPr/>
                      <wpg:grpSpPr>
                        <a:xfrm>
                          <a:off x="0" y="0"/>
                          <a:ext cx="6456680" cy="395605"/>
                          <a:chExt cx="6456680" cy="395605"/>
                        </a:xfrm>
                      </wpg:grpSpPr>
                      <pic:pic>
                        <pic:nvPicPr>
                          <pic:cNvPr id="8" name="Image 8"/>
                          <pic:cNvPicPr/>
                        </pic:nvPicPr>
                        <pic:blipFill>
                          <a:blip r:embed="rId8" cstate="print"/>
                          <a:stretch>
                            <a:fillRect/>
                          </a:stretch>
                        </pic:blipFill>
                        <pic:spPr>
                          <a:xfrm>
                            <a:off x="0" y="0"/>
                            <a:ext cx="6456680" cy="295909"/>
                          </a:xfrm>
                          <a:prstGeom prst="rect">
                            <a:avLst/>
                          </a:prstGeom>
                        </pic:spPr>
                      </pic:pic>
                      <wps:wsp>
                        <wps:cNvPr id="9" name="Textbox 9"/>
                        <wps:cNvSpPr txBox="1"/>
                        <wps:spPr>
                          <a:xfrm>
                            <a:off x="0" y="0"/>
                            <a:ext cx="6456680" cy="395605"/>
                          </a:xfrm>
                          <a:prstGeom prst="rect">
                            <a:avLst/>
                          </a:prstGeom>
                        </wps:spPr>
                        <wps:txbx>
                          <w:txbxContent>
                            <w:p>
                              <w:pPr>
                                <w:spacing w:line="240" w:lineRule="auto" w:before="6"/>
                                <w:rPr>
                                  <w:sz w:val="25"/>
                                </w:rPr>
                              </w:pPr>
                            </w:p>
                            <w:p>
                              <w:pPr>
                                <w:spacing w:line="296" w:lineRule="exact" w:before="0"/>
                                <w:ind w:left="180" w:right="0" w:firstLine="0"/>
                                <w:jc w:val="left"/>
                                <w:rPr>
                                  <w:sz w:val="24"/>
                                </w:rPr>
                              </w:pPr>
                              <w:r>
                                <w:rPr>
                                  <w:spacing w:val="-3"/>
                                  <w:sz w:val="24"/>
                                </w:rPr>
                                <w:t>市场监管局依法对婧心瑜伽馆进行了罚款，责令其退款并立即修改《入会协议书》。陈女士</w:t>
                              </w:r>
                            </w:p>
                          </w:txbxContent>
                        </wps:txbx>
                        <wps:bodyPr wrap="square" lIns="0" tIns="0" rIns="0" bIns="0" rtlCol="0">
                          <a:noAutofit/>
                        </wps:bodyPr>
                      </wps:wsp>
                    </wpg:wgp>
                  </a:graphicData>
                </a:graphic>
              </wp:inline>
            </w:drawing>
          </mc:Choice>
          <mc:Fallback>
            <w:pict>
              <v:group style="width:508.4pt;height:31.15pt;mso-position-horizontal-relative:char;mso-position-vertical-relative:line" id="docshapegroup4" coordorigin="0,0" coordsize="10168,623">
                <v:shape style="position:absolute;left:0;top:0;width:10168;height:466" type="#_x0000_t75" id="docshape5" stroked="false">
                  <v:imagedata r:id="rId8" o:title=""/>
                </v:shape>
                <v:shape style="position:absolute;left:0;top:0;width:10168;height:623" type="#_x0000_t202" id="docshape6" filled="false" stroked="false">
                  <v:textbox inset="0,0,0,0">
                    <w:txbxContent>
                      <w:p>
                        <w:pPr>
                          <w:spacing w:line="240" w:lineRule="auto" w:before="6"/>
                          <w:rPr>
                            <w:sz w:val="25"/>
                          </w:rPr>
                        </w:pPr>
                      </w:p>
                      <w:p>
                        <w:pPr>
                          <w:spacing w:line="296" w:lineRule="exact" w:before="0"/>
                          <w:ind w:left="180" w:right="0" w:firstLine="0"/>
                          <w:jc w:val="left"/>
                          <w:rPr>
                            <w:sz w:val="24"/>
                          </w:rPr>
                        </w:pPr>
                        <w:r>
                          <w:rPr>
                            <w:spacing w:val="-3"/>
                            <w:sz w:val="24"/>
                          </w:rPr>
                          <w:t>市场监管局依法对婧心瑜伽馆进行了罚款，责令其退款并立即修改《入会协议书》。陈女士</w:t>
                        </w:r>
                      </w:p>
                    </w:txbxContent>
                  </v:textbox>
                  <w10:wrap type="none"/>
                </v:shape>
              </v:group>
            </w:pict>
          </mc:Fallback>
        </mc:AlternateContent>
      </w:r>
      <w:r>
        <w:rPr>
          <w:sz w:val="20"/>
        </w:rPr>
      </w:r>
    </w:p>
    <w:p>
      <w:pPr>
        <w:pStyle w:val="BodyText"/>
        <w:spacing w:before="6"/>
        <w:rPr>
          <w:sz w:val="22"/>
        </w:rPr>
      </w:pPr>
    </w:p>
    <w:p>
      <w:pPr>
        <w:pStyle w:val="BodyText"/>
        <w:spacing w:before="54"/>
        <w:ind w:left="101"/>
      </w:pPr>
      <w:r>
        <w:rPr/>
        <w:t>收到应退款项后很高兴，婧心瑜伽馆新的协议文本也明确列🎧</w:t>
      </w:r>
      <w:r>
        <w:rPr>
          <w:spacing w:val="-1"/>
        </w:rPr>
        <w:t>了可协商退费的情形。</w:t>
      </w:r>
    </w:p>
    <w:p>
      <w:pPr>
        <w:pStyle w:val="BodyText"/>
        <w:spacing w:before="10"/>
        <w:rPr>
          <w:sz w:val="26"/>
        </w:rPr>
      </w:pPr>
    </w:p>
    <w:p>
      <w:pPr>
        <w:pStyle w:val="BodyText"/>
        <w:spacing w:line="508" w:lineRule="auto"/>
        <w:ind w:left="101" w:right="380" w:firstLine="278"/>
      </w:pPr>
      <w:r>
        <w:rPr>
          <w:spacing w:val="-2"/>
        </w:rPr>
        <w:t>8月中旬，市场监管局收到两份投诉，均指向嘉力美健身中心。该中心在提供给消费者的收据上加盖提示章</w:t>
      </w:r>
      <w:r>
        <w:rPr>
          <w:spacing w:val="-2"/>
          <w:w w:val="90"/>
        </w:rPr>
        <w:t>：“</w:t>
      </w:r>
      <w:r>
        <w:rPr>
          <w:spacing w:val="-2"/>
        </w:rPr>
        <w:t>此卡售🎧不退不换不转</w:t>
      </w:r>
      <w:r>
        <w:rPr>
          <w:spacing w:val="-2"/>
          <w:w w:val="65"/>
        </w:rPr>
        <w:t>”</w:t>
      </w:r>
      <w:r>
        <w:rPr>
          <w:spacing w:val="-2"/>
        </w:rPr>
        <w:t>。</w:t>
      </w:r>
    </w:p>
    <w:p>
      <w:pPr>
        <w:pStyle w:val="BodyText"/>
        <w:spacing w:line="506" w:lineRule="auto"/>
        <w:ind w:left="101" w:right="356" w:firstLine="278"/>
      </w:pPr>
      <w:r>
        <w:rPr/>
        <w:t>案件交到了郭队长手上，他带人到嘉力美健身中心检查，约谈了负责人施经理。施经理起初试图辩解：</w:t>
      </w:r>
      <w:r>
        <w:rPr>
          <w:spacing w:val="-2"/>
          <w:w w:val="35"/>
        </w:rPr>
        <w:t>“</w:t>
      </w:r>
      <w:r>
        <w:rPr/>
        <w:t>我们不是所有收据都盖这个章！只有那些看起来</w:t>
      </w:r>
      <w:r>
        <w:rPr>
          <w:spacing w:val="-1"/>
          <w:w w:val="22"/>
        </w:rPr>
        <w:t>‘</w:t>
      </w:r>
      <w:r>
        <w:rPr/>
        <w:t>可能</w:t>
      </w:r>
      <w:r>
        <w:rPr>
          <w:spacing w:val="-1"/>
          <w:w w:val="22"/>
        </w:rPr>
        <w:t>’</w:t>
      </w:r>
      <w:r>
        <w:rPr>
          <w:spacing w:val="-2"/>
        </w:rPr>
        <w:t>会闹着退卡的顾客，销售员才</w:t>
      </w:r>
      <w:r>
        <w:rPr/>
        <w:t>给盖上。我们没靠这个多赚钱！</w:t>
      </w:r>
      <w:r>
        <w:rPr>
          <w:w w:val="35"/>
        </w:rPr>
        <w:t>”</w:t>
      </w:r>
    </w:p>
    <w:p>
      <w:pPr>
        <w:pStyle w:val="BodyText"/>
        <w:spacing w:line="506" w:lineRule="auto" w:before="2"/>
        <w:ind w:left="101" w:right="421" w:firstLine="278"/>
      </w:pPr>
      <w:r>
        <w:rPr/>
        <w:t>郭队长耐心听完后说：</w:t>
      </w:r>
      <w:r>
        <w:rPr>
          <w:w w:val="35"/>
        </w:rPr>
        <w:t>“</w:t>
      </w:r>
      <w:r>
        <w:rPr>
          <w:spacing w:val="-1"/>
        </w:rPr>
        <w:t>您这枚提示章，无论是否每张都盖，无论是否因此额外获利，其内容</w:t>
      </w:r>
      <w:r>
        <w:rPr/>
        <w:t>都直接单方面封死了所有退费可能。这本身就是侵害消费者权益的违法行为。</w:t>
      </w:r>
      <w:r>
        <w:rPr>
          <w:w w:val="35"/>
        </w:rPr>
        <w:t>”</w:t>
      </w:r>
    </w:p>
    <w:p>
      <w:pPr>
        <w:pStyle w:val="BodyText"/>
        <w:spacing w:line="508" w:lineRule="auto"/>
        <w:ind w:left="101" w:right="460" w:firstLine="278"/>
      </w:pPr>
      <w:r>
        <w:rPr/>
        <w:t>郭队长进一步说：</w:t>
      </w:r>
      <w:r>
        <w:rPr>
          <w:w w:val="35"/>
        </w:rPr>
        <w:t>“</w:t>
      </w:r>
      <w:r>
        <w:rPr/>
        <w:t>您说只有</w:t>
      </w:r>
      <w:r>
        <w:rPr>
          <w:spacing w:val="-1"/>
          <w:w w:val="22"/>
        </w:rPr>
        <w:t>‘</w:t>
      </w:r>
      <w:r>
        <w:rPr/>
        <w:t>可能退卡</w:t>
      </w:r>
      <w:r>
        <w:rPr>
          <w:spacing w:val="-1"/>
          <w:w w:val="22"/>
        </w:rPr>
        <w:t>’</w:t>
      </w:r>
      <w:r>
        <w:rPr/>
        <w:t>的人才盖，这恰恰说明你们意识到消费者有退卡的需求和可能，却选择用这种不公平的方式去堵。至于是否因此获利，不影响对违法行为的认定。</w:t>
      </w:r>
      <w:r>
        <w:rPr>
          <w:spacing w:val="-17"/>
          <w:w w:val="35"/>
        </w:rPr>
        <w:t>”</w:t>
      </w:r>
      <w:r>
        <w:rPr/>
        <w:t>市场监管局依法对嘉力美健身中心这枚提示章予以没收并销毁，对该中心给予警告并罚款，同时要求其退还应退费用。</w:t>
      </w:r>
    </w:p>
    <w:p>
      <w:pPr>
        <w:pStyle w:val="BodyText"/>
        <w:spacing w:line="508" w:lineRule="auto"/>
        <w:ind w:left="101" w:right="450" w:firstLine="278"/>
      </w:pPr>
      <w:r>
        <w:rPr>
          <w:w w:val="105"/>
        </w:rPr>
        <w:t>8</w:t>
      </w:r>
      <w:r>
        <w:rPr/>
        <w:t>月下旬，城南佳荷小区多位居民向市场监管局反映：每次用</w:t>
      </w:r>
      <w:r>
        <w:rPr>
          <w:spacing w:val="-2"/>
          <w:w w:val="35"/>
        </w:rPr>
        <w:t>“</w:t>
      </w:r>
      <w:r>
        <w:rPr/>
        <w:t>能易充</w:t>
      </w:r>
      <w:r>
        <w:rPr>
          <w:spacing w:val="1"/>
          <w:w w:val="35"/>
        </w:rPr>
        <w:t>”</w:t>
      </w:r>
      <w:r>
        <w:rPr>
          <w:spacing w:val="-2"/>
        </w:rPr>
        <w:t>电动自行车充电桩给车</w:t>
      </w:r>
      <w:r>
        <w:rPr/>
        <w:t>充电，</w:t>
      </w:r>
      <w:r>
        <w:rPr>
          <w:w w:val="127"/>
        </w:rPr>
        <w:t>A</w:t>
      </w:r>
      <w:r>
        <w:rPr>
          <w:spacing w:val="-1"/>
          <w:w w:val="114"/>
        </w:rPr>
        <w:t>pp</w:t>
      </w:r>
      <w:r>
        <w:rPr/>
        <w:t>里的支付账单总莫名其妙多🎧</w:t>
      </w:r>
      <w:r>
        <w:rPr>
          <w:w w:val="105"/>
        </w:rPr>
        <w:t>0</w:t>
      </w:r>
      <w:r>
        <w:rPr>
          <w:w w:val="43"/>
        </w:rPr>
        <w:t>.</w:t>
      </w:r>
      <w:r>
        <w:rPr>
          <w:w w:val="105"/>
        </w:rPr>
        <w:t>0</w:t>
      </w:r>
      <w:r>
        <w:rPr>
          <w:spacing w:val="-2"/>
          <w:w w:val="105"/>
        </w:rPr>
        <w:t>9</w:t>
      </w:r>
      <w:r>
        <w:rPr/>
        <w:t>元的充电保障服务费。</w:t>
      </w:r>
    </w:p>
    <w:p>
      <w:pPr>
        <w:pStyle w:val="BodyText"/>
        <w:spacing w:line="506" w:lineRule="auto"/>
        <w:ind w:left="101" w:right="102" w:firstLine="278"/>
      </w:pPr>
      <w:r>
        <w:rPr>
          <w:spacing w:val="-2"/>
        </w:rPr>
        <w:t>郭队长负责此案。他了解到，该小区电动自行车充电桩运营方是</w:t>
      </w:r>
      <w:r>
        <w:rPr>
          <w:spacing w:val="-2"/>
          <w:w w:val="115"/>
        </w:rPr>
        <w:t>D</w:t>
      </w:r>
      <w:r>
        <w:rPr>
          <w:spacing w:val="-2"/>
        </w:rPr>
        <w:t>市能易充智能设备有限公司。他前去体验</w:t>
      </w:r>
      <w:r>
        <w:rPr>
          <w:spacing w:val="-2"/>
          <w:w w:val="75"/>
        </w:rPr>
        <w:t>“</w:t>
      </w:r>
      <w:r>
        <w:rPr>
          <w:spacing w:val="-2"/>
        </w:rPr>
        <w:t>能易充”App，扫码、选择充电时长、跳转到支付页面后，屏幕中央显示充电金额， </w:t>
      </w:r>
      <w:r>
        <w:rPr>
          <w:spacing w:val="-4"/>
        </w:rPr>
        <w:t>下方一行小字标注“+充电保障服务费0.09元”，旁边一个方框已被默认勾选。若不仔细看，角落</w:t>
      </w:r>
    </w:p>
    <w:p>
      <w:pPr>
        <w:pStyle w:val="BodyText"/>
        <w:ind w:left="101"/>
      </w:pPr>
      <w:r>
        <w:rPr>
          <w:w w:val="95"/>
        </w:rPr>
        <w:t>里的</w:t>
      </w:r>
      <w:r>
        <w:rPr>
          <w:w w:val="65"/>
        </w:rPr>
        <w:t>“</w:t>
      </w:r>
      <w:r>
        <w:rPr>
          <w:w w:val="95"/>
        </w:rPr>
        <w:t>取消</w:t>
      </w:r>
      <w:r>
        <w:rPr>
          <w:w w:val="65"/>
        </w:rPr>
        <w:t>”</w:t>
      </w:r>
      <w:r>
        <w:rPr>
          <w:spacing w:val="-1"/>
          <w:w w:val="95"/>
        </w:rPr>
        <w:t>选项几乎无法发现，极易被搭售。</w:t>
      </w:r>
    </w:p>
    <w:p>
      <w:pPr>
        <w:pStyle w:val="BodyText"/>
        <w:spacing w:before="3"/>
        <w:rPr>
          <w:sz w:val="26"/>
        </w:rPr>
      </w:pPr>
    </w:p>
    <w:p>
      <w:pPr>
        <w:pStyle w:val="BodyText"/>
        <w:spacing w:line="508" w:lineRule="auto" w:before="1"/>
        <w:ind w:left="101" w:right="421" w:firstLine="278"/>
      </w:pPr>
      <w:r>
        <w:rPr>
          <w:spacing w:val="-2"/>
        </w:rPr>
        <w:t>郭队长带队前往能易充公司调查。公司负责人说：“这是今年4月上线的新功能，针对充电过</w:t>
      </w:r>
      <w:r>
        <w:rPr/>
        <w:t>程中车辆可能发生的自燃、爆炸等意外提供一定的费用补助保障，单次9</w:t>
      </w:r>
      <w:r>
        <w:rPr>
          <w:spacing w:val="-1"/>
        </w:rPr>
        <w:t>分钱。我们绝对没有强</w:t>
      </w:r>
    </w:p>
    <w:p>
      <w:pPr>
        <w:spacing w:after="0" w:line="508" w:lineRule="auto"/>
        <w:sectPr>
          <w:pgSz w:w="11910" w:h="16840"/>
          <w:pgMar w:header="0" w:footer="1202" w:top="1200" w:bottom="1400" w:left="880" w:right="540"/>
        </w:sectPr>
      </w:pPr>
    </w:p>
    <w:p>
      <w:pPr>
        <w:pStyle w:val="BodyText"/>
        <w:spacing w:before="1"/>
        <w:rPr>
          <w:sz w:val="21"/>
        </w:rPr>
      </w:pPr>
    </w:p>
    <w:p>
      <w:pPr>
        <w:pStyle w:val="BodyText"/>
        <w:spacing w:line="508" w:lineRule="auto" w:before="55"/>
        <w:ind w:left="101" w:right="359"/>
      </w:pPr>
      <w:r>
        <w:rPr/>
        <w:drawing>
          <wp:anchor distT="0" distB="0" distL="0" distR="0" allowOverlap="1" layoutInCell="1" locked="0" behindDoc="1" simplePos="0" relativeHeight="487485952">
            <wp:simplePos x="0" y="0"/>
            <wp:positionH relativeFrom="page">
              <wp:posOffset>685800</wp:posOffset>
            </wp:positionH>
            <wp:positionV relativeFrom="paragraph">
              <wp:posOffset>-172720</wp:posOffset>
            </wp:positionV>
            <wp:extent cx="6456680" cy="29590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6456680" cy="295909"/>
                    </a:xfrm>
                    <a:prstGeom prst="rect">
                      <a:avLst/>
                    </a:prstGeom>
                  </pic:spPr>
                </pic:pic>
              </a:graphicData>
            </a:graphic>
          </wp:anchor>
        </w:drawing>
      </w:r>
      <w:r>
        <w:rPr>
          <w:spacing w:val="-2"/>
        </w:rPr>
        <w:t>制，用户是可以手动取消的。</w:t>
      </w:r>
      <w:r>
        <w:rPr>
          <w:spacing w:val="-2"/>
          <w:w w:val="75"/>
        </w:rPr>
        <w:t>”</w:t>
      </w:r>
      <w:r>
        <w:rPr>
          <w:spacing w:val="-2"/>
        </w:rPr>
        <w:t>负责人表示，接到用户投诉后他们已经开始整改，在即将更新的 App上设置了两个并列按钮供用户选择，再加上操作说明，同时承诺将之前收取的全部充电保障</w:t>
      </w:r>
      <w:r>
        <w:rPr>
          <w:spacing w:val="-2"/>
          <w:w w:val="105"/>
        </w:rPr>
        <w:t>服务费原路退还。</w:t>
      </w:r>
    </w:p>
    <w:p>
      <w:pPr>
        <w:pStyle w:val="BodyText"/>
        <w:spacing w:line="508" w:lineRule="auto"/>
        <w:ind w:left="101" w:right="359" w:firstLine="278"/>
      </w:pPr>
      <w:r>
        <w:rPr>
          <w:spacing w:val="-2"/>
        </w:rPr>
        <w:t>鉴于能易充公司发现问题后主动整改，态度诚恳且配合调查，市场监管局依法对其作🎧不予行政处罚的决定，但对其进行了严肃批评，要求限期完成退款并持续优化App界面，确保交易透明、选择自由。</w:t>
      </w:r>
    </w:p>
    <w:p>
      <w:pPr>
        <w:spacing w:after="0" w:line="508" w:lineRule="auto"/>
        <w:sectPr>
          <w:pgSz w:w="11910" w:h="16840"/>
          <w:pgMar w:header="0" w:footer="1202" w:top="1200" w:bottom="1400" w:left="880" w:right="540"/>
        </w:sectPr>
      </w:pPr>
    </w:p>
    <w:p>
      <w:pPr>
        <w:pStyle w:val="BodyText"/>
        <w:spacing w:before="1"/>
        <w:rPr>
          <w:sz w:val="21"/>
        </w:rPr>
      </w:pPr>
    </w:p>
    <w:p>
      <w:pPr>
        <w:spacing w:line="417" w:lineRule="exact" w:before="0"/>
        <w:ind w:left="101" w:right="0" w:firstLine="0"/>
        <w:jc w:val="left"/>
        <w:rPr>
          <w:rFonts w:ascii="Microsoft JhengHei" w:eastAsia="Microsoft JhengHei"/>
          <w:b/>
          <w:sz w:val="24"/>
        </w:rPr>
      </w:pPr>
      <w:r>
        <w:rPr/>
        <w:drawing>
          <wp:anchor distT="0" distB="0" distL="0" distR="0" allowOverlap="1" layoutInCell="1" locked="0" behindDoc="1" simplePos="0" relativeHeight="487486464">
            <wp:simplePos x="0" y="0"/>
            <wp:positionH relativeFrom="page">
              <wp:posOffset>685800</wp:posOffset>
            </wp:positionH>
            <wp:positionV relativeFrom="paragraph">
              <wp:posOffset>-172759</wp:posOffset>
            </wp:positionV>
            <wp:extent cx="6456680" cy="29590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spacing w:val="-4"/>
          <w:sz w:val="24"/>
        </w:rPr>
        <w:t>解析：</w:t>
      </w:r>
    </w:p>
    <w:p>
      <w:pPr>
        <w:pStyle w:val="BodyText"/>
        <w:spacing w:before="4"/>
        <w:rPr>
          <w:rFonts w:ascii="Microsoft JhengHei"/>
          <w:b/>
          <w:sz w:val="20"/>
        </w:rPr>
      </w:pPr>
    </w:p>
    <w:p>
      <w:pPr>
        <w:pStyle w:val="BodyText"/>
        <w:ind w:left="101"/>
      </w:pPr>
      <w:r>
        <w:rPr>
          <w:spacing w:val="-1"/>
        </w:rPr>
        <w:t>关于三个案例的执法情况汇报提纲</w:t>
      </w:r>
    </w:p>
    <w:p>
      <w:pPr>
        <w:pStyle w:val="BodyText"/>
        <w:spacing w:before="4"/>
        <w:rPr>
          <w:sz w:val="33"/>
        </w:rPr>
      </w:pPr>
    </w:p>
    <w:p>
      <w:pPr>
        <w:pStyle w:val="BodyText"/>
        <w:ind w:left="101"/>
      </w:pPr>
      <w:r>
        <w:rPr/>
        <w:t>我队8月处理了3</w:t>
      </w:r>
      <w:r>
        <w:rPr>
          <w:spacing w:val="-1"/>
        </w:rPr>
        <w:t>起侵害消费者权益案件，情况如下：</w:t>
      </w:r>
    </w:p>
    <w:p>
      <w:pPr>
        <w:pStyle w:val="BodyText"/>
        <w:spacing w:before="4"/>
        <w:rPr>
          <w:sz w:val="33"/>
        </w:rPr>
      </w:pPr>
    </w:p>
    <w:p>
      <w:pPr>
        <w:pStyle w:val="BodyText"/>
        <w:spacing w:line="508" w:lineRule="auto"/>
        <w:ind w:left="101" w:right="546"/>
        <w:jc w:val="both"/>
      </w:pPr>
      <w:r>
        <w:rPr>
          <w:spacing w:val="-2"/>
        </w:rPr>
        <w:t>一、婧心瑜伽馆案：多起投诉指向该馆《入会协议书》规定不合理。我队检查了解后解释该协议实质为合同，属格式条款，利用格式条款免除自身责任、加重消费者责任属无效情形，强调不得拒绝合理退费。最终依法罚款，责令退款并修改协议，列明退费情形。</w:t>
      </w:r>
    </w:p>
    <w:p>
      <w:pPr>
        <w:pStyle w:val="BodyText"/>
        <w:spacing w:line="508" w:lineRule="auto" w:before="77"/>
        <w:ind w:left="101" w:right="377"/>
      </w:pPr>
      <w:r>
        <w:rPr/>
        <w:t>二、嘉力美健身中心案：两起投诉指向该中心收据加盖</w:t>
      </w:r>
      <w:r>
        <w:rPr>
          <w:spacing w:val="-2"/>
          <w:w w:val="35"/>
        </w:rPr>
        <w:t>“</w:t>
      </w:r>
      <w:r>
        <w:rPr/>
        <w:t>此卡售🎧不退不换不转</w:t>
      </w:r>
      <w:r>
        <w:rPr>
          <w:w w:val="35"/>
        </w:rPr>
        <w:t>”</w:t>
      </w:r>
      <w:r>
        <w:rPr>
          <w:spacing w:val="-3"/>
        </w:rPr>
        <w:t>提示章。我队现</w:t>
      </w:r>
      <w:r>
        <w:rPr/>
        <w:t>场检查约谈负责人，指🎧无论是否盖章获利，都单方面封死退费可能，属违法行为。最终没收销毁提示章，给予警告罚款，要求退还应退费用。</w:t>
      </w:r>
    </w:p>
    <w:p>
      <w:pPr>
        <w:pStyle w:val="BodyText"/>
        <w:spacing w:line="508" w:lineRule="auto" w:before="80"/>
        <w:ind w:left="101" w:right="359"/>
      </w:pPr>
      <w:r>
        <w:rPr/>
        <w:t>三、能易充公司案：多位居民反映能易充</w:t>
      </w:r>
      <w:r>
        <w:rPr>
          <w:w w:val="127"/>
        </w:rPr>
        <w:t>A</w:t>
      </w:r>
      <w:r>
        <w:rPr>
          <w:spacing w:val="-1"/>
          <w:w w:val="114"/>
        </w:rPr>
        <w:t>pp</w:t>
      </w:r>
      <w:r>
        <w:rPr>
          <w:spacing w:val="-1"/>
        </w:rPr>
        <w:t>多收取充电保障服务费。我队了解情况后实地体验</w:t>
      </w:r>
      <w:r>
        <w:rPr/>
        <w:t>发现该费用默认勾选且取消选项难以发现，易被搭售。现场调查时负责人表示已整改并承诺退费。鉴于其主动整改、态度诚恳且配合调查，不予行政处罚，予以严肃批评、要求限期退款并优化</w:t>
      </w:r>
      <w:r>
        <w:rPr>
          <w:w w:val="127"/>
        </w:rPr>
        <w:t>A</w:t>
      </w:r>
      <w:r>
        <w:rPr>
          <w:spacing w:val="-1"/>
          <w:w w:val="114"/>
        </w:rPr>
        <w:t>pp</w:t>
      </w:r>
      <w:r>
        <w:rPr/>
        <w:t>界面。</w:t>
      </w:r>
    </w:p>
    <w:p>
      <w:pPr>
        <w:spacing w:after="0" w:line="508" w:lineRule="auto"/>
        <w:sectPr>
          <w:pgSz w:w="11910" w:h="16840"/>
          <w:pgMar w:header="0" w:footer="1202" w:top="1200" w:bottom="1400" w:left="880" w:right="540"/>
        </w:sectPr>
      </w:pPr>
    </w:p>
    <w:p>
      <w:pPr>
        <w:pStyle w:val="BodyText"/>
        <w:spacing w:before="7"/>
        <w:rPr>
          <w:sz w:val="15"/>
        </w:rPr>
      </w:pPr>
      <w:r>
        <w:rPr/>
        <mc:AlternateContent>
          <mc:Choice Requires="wps">
            <w:drawing>
              <wp:anchor distT="0" distB="0" distL="0" distR="0" allowOverlap="1" layoutInCell="1" locked="0" behindDoc="0" simplePos="0" relativeHeight="15732224">
                <wp:simplePos x="0" y="0"/>
                <wp:positionH relativeFrom="page">
                  <wp:posOffset>623316</wp:posOffset>
                </wp:positionH>
                <wp:positionV relativeFrom="page">
                  <wp:posOffset>760730</wp:posOffset>
                </wp:positionV>
                <wp:extent cx="6590030" cy="849503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590030" cy="8495030"/>
                          <a:chExt cx="6590030" cy="8495030"/>
                        </a:xfrm>
                      </wpg:grpSpPr>
                      <pic:pic>
                        <pic:nvPicPr>
                          <pic:cNvPr id="13" name="Image 13"/>
                          <pic:cNvPicPr/>
                        </pic:nvPicPr>
                        <pic:blipFill>
                          <a:blip r:embed="rId8" cstate="print"/>
                          <a:stretch>
                            <a:fillRect/>
                          </a:stretch>
                        </pic:blipFill>
                        <pic:spPr>
                          <a:xfrm>
                            <a:off x="62484" y="0"/>
                            <a:ext cx="6456680" cy="295909"/>
                          </a:xfrm>
                          <a:prstGeom prst="rect">
                            <a:avLst/>
                          </a:prstGeom>
                        </pic:spPr>
                      </pic:pic>
                      <pic:pic>
                        <pic:nvPicPr>
                          <pic:cNvPr id="14" name="Image 14"/>
                          <pic:cNvPicPr/>
                        </pic:nvPicPr>
                        <pic:blipFill>
                          <a:blip r:embed="rId9" cstate="print"/>
                          <a:stretch>
                            <a:fillRect/>
                          </a:stretch>
                        </pic:blipFill>
                        <pic:spPr>
                          <a:xfrm>
                            <a:off x="0" y="214629"/>
                            <a:ext cx="6589776" cy="8279892"/>
                          </a:xfrm>
                          <a:prstGeom prst="rect">
                            <a:avLst/>
                          </a:prstGeom>
                        </pic:spPr>
                      </pic:pic>
                    </wpg:wgp>
                  </a:graphicData>
                </a:graphic>
              </wp:anchor>
            </w:drawing>
          </mc:Choice>
          <mc:Fallback>
            <w:pict>
              <v:group style="position:absolute;margin-left:49.080002pt;margin-top:59.900002pt;width:518.9pt;height:668.9pt;mso-position-horizontal-relative:page;mso-position-vertical-relative:page;z-index:15732224" id="docshapegroup7" coordorigin="982,1198" coordsize="10378,13378">
                <v:shape style="position:absolute;left:1080;top:1198;width:10168;height:466" type="#_x0000_t75" id="docshape8" stroked="false">
                  <v:imagedata r:id="rId8" o:title=""/>
                </v:shape>
                <v:shape style="position:absolute;left:981;top:1536;width:10378;height:13040" type="#_x0000_t75" id="docshape9" stroked="false">
                  <v:imagedata r:id="rId9" o:title=""/>
                </v:shape>
                <w10:wrap type="none"/>
              </v:group>
            </w:pict>
          </mc:Fallback>
        </mc:AlternateContent>
      </w:r>
    </w:p>
    <w:p>
      <w:pPr>
        <w:spacing w:after="0"/>
        <w:rPr>
          <w:sz w:val="15"/>
        </w:rPr>
        <w:sectPr>
          <w:pgSz w:w="11910" w:h="16840"/>
          <w:pgMar w:header="0" w:footer="1202" w:top="1200" w:bottom="1400" w:left="880" w:right="540"/>
        </w:sectPr>
      </w:pPr>
    </w:p>
    <w:p>
      <w:pPr>
        <w:pStyle w:val="BodyText"/>
        <w:spacing w:before="1"/>
        <w:rPr>
          <w:sz w:val="21"/>
        </w:rPr>
      </w:pPr>
    </w:p>
    <w:p>
      <w:pPr>
        <w:pStyle w:val="BodyText"/>
        <w:spacing w:before="55"/>
        <w:ind w:left="101"/>
      </w:pPr>
      <w:r>
        <w:rPr/>
        <w:drawing>
          <wp:anchor distT="0" distB="0" distL="0" distR="0" allowOverlap="1" layoutInCell="1" locked="0" behindDoc="1" simplePos="0" relativeHeight="487487488">
            <wp:simplePos x="0" y="0"/>
            <wp:positionH relativeFrom="page">
              <wp:posOffset>685800</wp:posOffset>
            </wp:positionH>
            <wp:positionV relativeFrom="paragraph">
              <wp:posOffset>-172720</wp:posOffset>
            </wp:positionV>
            <wp:extent cx="6456680" cy="295909"/>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6456680" cy="295909"/>
                    </a:xfrm>
                    <a:prstGeom prst="rect">
                      <a:avLst/>
                    </a:prstGeom>
                  </pic:spPr>
                </pic:pic>
              </a:graphicData>
            </a:graphic>
          </wp:anchor>
        </w:drawing>
      </w:r>
      <w:r>
        <w:rPr>
          <w:spacing w:val="-1"/>
        </w:rPr>
        <w:t>一、全文整体段间逻辑</w:t>
      </w:r>
    </w:p>
    <w:p>
      <w:pPr>
        <w:pStyle w:val="BodyText"/>
        <w:spacing w:before="4"/>
        <w:rPr>
          <w:sz w:val="33"/>
        </w:rPr>
      </w:pPr>
    </w:p>
    <w:p>
      <w:pPr>
        <w:pStyle w:val="BodyText"/>
        <w:spacing w:line="508" w:lineRule="auto"/>
        <w:ind w:left="101" w:right="541"/>
      </w:pPr>
      <w:r>
        <w:rPr/>
        <w:t>材料整体为时间顺承</w:t>
      </w:r>
      <w:r>
        <w:rPr>
          <w:spacing w:val="-2"/>
          <w:w w:val="133"/>
        </w:rPr>
        <w:t>+</w:t>
      </w:r>
      <w:r>
        <w:rPr/>
        <w:t>并列对照的双层逻辑，围绕</w:t>
      </w:r>
      <w:r>
        <w:rPr>
          <w:w w:val="35"/>
        </w:rPr>
        <w:t>“</w:t>
      </w:r>
      <w:r>
        <w:rPr>
          <w:spacing w:val="-1"/>
        </w:rPr>
        <w:t>市场监管部门整治消费领域不公平条款、维</w:t>
      </w:r>
      <w:r>
        <w:rPr/>
        <w:t>护消费者权益</w:t>
      </w:r>
      <w:r>
        <w:rPr>
          <w:spacing w:val="-2"/>
          <w:w w:val="35"/>
        </w:rPr>
        <w:t>”</w:t>
      </w:r>
      <w:r>
        <w:rPr/>
        <w:t>核心主题展开：</w:t>
      </w:r>
    </w:p>
    <w:p>
      <w:pPr>
        <w:pStyle w:val="ListParagraph"/>
        <w:numPr>
          <w:ilvl w:val="0"/>
          <w:numId w:val="2"/>
        </w:numPr>
        <w:tabs>
          <w:tab w:pos="342" w:val="left" w:leader="none"/>
        </w:tabs>
        <w:spacing w:line="508" w:lineRule="auto" w:before="81" w:after="0"/>
        <w:ind w:left="101" w:right="473" w:firstLine="0"/>
        <w:jc w:val="left"/>
        <w:rPr>
          <w:sz w:val="24"/>
        </w:rPr>
      </w:pPr>
      <w:r>
        <w:rPr>
          <w:sz w:val="24"/>
        </w:rPr>
        <w:t>时间主线：以</w:t>
      </w:r>
      <w:r>
        <w:rPr>
          <w:w w:val="35"/>
          <w:sz w:val="24"/>
        </w:rPr>
        <w:t>“</w:t>
      </w:r>
      <w:r>
        <w:rPr>
          <w:w w:val="105"/>
          <w:sz w:val="24"/>
        </w:rPr>
        <w:t>8</w:t>
      </w:r>
      <w:r>
        <w:rPr>
          <w:sz w:val="24"/>
        </w:rPr>
        <w:t>月初→</w:t>
      </w:r>
      <w:r>
        <w:rPr>
          <w:w w:val="105"/>
          <w:sz w:val="24"/>
        </w:rPr>
        <w:t>8</w:t>
      </w:r>
      <w:r>
        <w:rPr>
          <w:sz w:val="24"/>
        </w:rPr>
        <w:t>月中旬→</w:t>
      </w:r>
      <w:r>
        <w:rPr>
          <w:spacing w:val="-2"/>
          <w:w w:val="105"/>
          <w:sz w:val="24"/>
        </w:rPr>
        <w:t>8</w:t>
      </w:r>
      <w:r>
        <w:rPr>
          <w:sz w:val="24"/>
        </w:rPr>
        <w:t>月下旬</w:t>
      </w:r>
      <w:r>
        <w:rPr>
          <w:w w:val="35"/>
          <w:sz w:val="24"/>
        </w:rPr>
        <w:t>”</w:t>
      </w:r>
      <w:r>
        <w:rPr>
          <w:spacing w:val="-1"/>
          <w:sz w:val="24"/>
        </w:rPr>
        <w:t>的时间顺序串联三起案件，完整呈现月度执法工作</w:t>
      </w:r>
      <w:r>
        <w:rPr>
          <w:sz w:val="24"/>
        </w:rPr>
        <w:t>脉络，天然契合题干</w:t>
      </w:r>
      <w:r>
        <w:rPr>
          <w:spacing w:val="-2"/>
          <w:w w:val="35"/>
          <w:sz w:val="24"/>
        </w:rPr>
        <w:t>“</w:t>
      </w:r>
      <w:r>
        <w:rPr>
          <w:sz w:val="24"/>
        </w:rPr>
        <w:t>月度工作总结会汇报</w:t>
      </w:r>
      <w:r>
        <w:rPr>
          <w:w w:val="35"/>
          <w:sz w:val="24"/>
        </w:rPr>
        <w:t>”</w:t>
      </w:r>
      <w:r>
        <w:rPr>
          <w:sz w:val="24"/>
        </w:rPr>
        <w:t>的场景要求。</w:t>
      </w:r>
    </w:p>
    <w:p>
      <w:pPr>
        <w:pStyle w:val="ListParagraph"/>
        <w:numPr>
          <w:ilvl w:val="0"/>
          <w:numId w:val="2"/>
        </w:numPr>
        <w:tabs>
          <w:tab w:pos="342" w:val="left" w:leader="none"/>
        </w:tabs>
        <w:spacing w:line="506" w:lineRule="auto" w:before="81" w:after="0"/>
        <w:ind w:left="101" w:right="545" w:firstLine="0"/>
        <w:jc w:val="left"/>
        <w:rPr>
          <w:sz w:val="24"/>
        </w:rPr>
      </w:pPr>
      <w:r>
        <w:rPr>
          <w:spacing w:val="-2"/>
          <w:sz w:val="24"/>
        </w:rPr>
        <w:t>并列对照：三起案件同属侵害消费者权益类违法，但违法形式、商家态度、处置尺度逐层递进，形成差异化对照：</w:t>
      </w:r>
    </w:p>
    <w:p>
      <w:pPr>
        <w:pStyle w:val="ListParagraph"/>
        <w:numPr>
          <w:ilvl w:val="1"/>
          <w:numId w:val="2"/>
        </w:numPr>
        <w:tabs>
          <w:tab w:pos="249" w:val="left" w:leader="none"/>
        </w:tabs>
        <w:spacing w:line="240" w:lineRule="auto" w:before="87" w:after="0"/>
        <w:ind w:left="249" w:right="0" w:hanging="148"/>
        <w:jc w:val="left"/>
        <w:rPr>
          <w:sz w:val="24"/>
        </w:rPr>
      </w:pPr>
      <w:r>
        <w:rPr>
          <w:sz w:val="24"/>
        </w:rPr>
        <w:t>案例1</w:t>
      </w:r>
      <w:r>
        <w:rPr>
          <w:spacing w:val="-1"/>
          <w:sz w:val="24"/>
        </w:rPr>
        <w:t>：显性书面合同霸王条款，商家初期抗辩强硬，予以罚款+责令整改；</w:t>
      </w:r>
    </w:p>
    <w:p>
      <w:pPr>
        <w:pStyle w:val="BodyText"/>
        <w:spacing w:before="1"/>
        <w:rPr>
          <w:sz w:val="33"/>
        </w:rPr>
      </w:pPr>
    </w:p>
    <w:p>
      <w:pPr>
        <w:pStyle w:val="ListParagraph"/>
        <w:numPr>
          <w:ilvl w:val="1"/>
          <w:numId w:val="2"/>
        </w:numPr>
        <w:tabs>
          <w:tab w:pos="249" w:val="left" w:leader="none"/>
        </w:tabs>
        <w:spacing w:line="240" w:lineRule="auto" w:before="1" w:after="0"/>
        <w:ind w:left="249" w:right="0" w:hanging="148"/>
        <w:jc w:val="left"/>
        <w:rPr>
          <w:sz w:val="24"/>
        </w:rPr>
      </w:pPr>
      <w:r>
        <w:rPr>
          <w:sz w:val="24"/>
        </w:rPr>
        <w:t>案例2</w:t>
      </w:r>
      <w:r>
        <w:rPr>
          <w:spacing w:val="-1"/>
          <w:sz w:val="24"/>
        </w:rPr>
        <w:t>：选择性适用的收据盖章条款，违法形式更隐蔽，予以没收物品+警告罚款；</w:t>
      </w:r>
    </w:p>
    <w:p>
      <w:pPr>
        <w:pStyle w:val="BodyText"/>
        <w:spacing w:before="3"/>
        <w:rPr>
          <w:sz w:val="33"/>
        </w:rPr>
      </w:pPr>
    </w:p>
    <w:p>
      <w:pPr>
        <w:pStyle w:val="ListParagraph"/>
        <w:numPr>
          <w:ilvl w:val="1"/>
          <w:numId w:val="2"/>
        </w:numPr>
        <w:tabs>
          <w:tab w:pos="249" w:val="left" w:leader="none"/>
        </w:tabs>
        <w:spacing w:line="240" w:lineRule="auto" w:before="1" w:after="0"/>
        <w:ind w:left="249" w:right="0" w:hanging="148"/>
        <w:jc w:val="left"/>
        <w:rPr>
          <w:sz w:val="24"/>
        </w:rPr>
      </w:pPr>
      <w:r>
        <w:rPr>
          <w:sz w:val="24"/>
        </w:rPr>
        <w:t>案例3</w:t>
      </w:r>
      <w:r>
        <w:rPr>
          <w:spacing w:val="-1"/>
          <w:sz w:val="24"/>
        </w:rPr>
        <w:t>：线上隐性默认搭售条款，商家主动整改，适用容错机制不予处罚。</w:t>
      </w:r>
    </w:p>
    <w:p>
      <w:pPr>
        <w:pStyle w:val="BodyText"/>
        <w:spacing w:before="4"/>
        <w:rPr>
          <w:sz w:val="33"/>
        </w:rPr>
      </w:pPr>
    </w:p>
    <w:p>
      <w:pPr>
        <w:pStyle w:val="BodyText"/>
        <w:spacing w:line="573" w:lineRule="auto"/>
        <w:ind w:left="101" w:right="546"/>
      </w:pPr>
      <w:r>
        <w:rPr>
          <w:spacing w:val="-2"/>
        </w:rPr>
        <w:t>三者从线下到线上、从直白到隐蔽、从重罚到轻处，完整展现了不同场景下的执法裁量标准。二、单个案例内部的段间逻辑</w:t>
      </w:r>
    </w:p>
    <w:p>
      <w:pPr>
        <w:pStyle w:val="BodyText"/>
        <w:spacing w:line="508" w:lineRule="auto"/>
        <w:ind w:left="101" w:right="377"/>
      </w:pPr>
      <w:r>
        <w:rPr/>
        <w:t>每个案例均遵循</w:t>
      </w:r>
      <w:r>
        <w:rPr>
          <w:spacing w:val="-2"/>
          <w:w w:val="35"/>
        </w:rPr>
        <w:t>“</w:t>
      </w:r>
      <w:r>
        <w:rPr/>
        <w:t>投诉引入→商家抗辩→执法释法→处置结果</w:t>
      </w:r>
      <w:r>
        <w:rPr>
          <w:w w:val="35"/>
        </w:rPr>
        <w:t>”</w:t>
      </w:r>
      <w:r>
        <w:rPr>
          <w:spacing w:val="-2"/>
        </w:rPr>
        <w:t>的承接式递进逻辑，构成完整执法</w:t>
      </w:r>
      <w:r>
        <w:rPr/>
        <w:t>闭环：</w:t>
      </w:r>
    </w:p>
    <w:p>
      <w:pPr>
        <w:pStyle w:val="ListParagraph"/>
        <w:numPr>
          <w:ilvl w:val="0"/>
          <w:numId w:val="3"/>
        </w:numPr>
        <w:tabs>
          <w:tab w:pos="342" w:val="left" w:leader="none"/>
        </w:tabs>
        <w:spacing w:line="240" w:lineRule="auto" w:before="80" w:after="0"/>
        <w:ind w:left="342" w:right="0" w:hanging="241"/>
        <w:jc w:val="left"/>
        <w:rPr>
          <w:sz w:val="24"/>
        </w:rPr>
      </w:pPr>
      <w:r>
        <w:rPr>
          <w:sz w:val="24"/>
        </w:rPr>
        <w:t>婧心瑜伽馆案（第1-4段</w:t>
      </w:r>
      <w:r>
        <w:rPr>
          <w:spacing w:val="-10"/>
          <w:sz w:val="24"/>
        </w:rPr>
        <w:t>）</w:t>
      </w:r>
    </w:p>
    <w:p>
      <w:pPr>
        <w:pStyle w:val="BodyText"/>
        <w:spacing w:before="4"/>
        <w:rPr>
          <w:sz w:val="33"/>
        </w:rPr>
      </w:pPr>
    </w:p>
    <w:p>
      <w:pPr>
        <w:pStyle w:val="ListParagraph"/>
        <w:numPr>
          <w:ilvl w:val="1"/>
          <w:numId w:val="3"/>
        </w:numPr>
        <w:tabs>
          <w:tab w:pos="249" w:val="left" w:leader="none"/>
        </w:tabs>
        <w:spacing w:line="508" w:lineRule="auto" w:before="0" w:after="0"/>
        <w:ind w:left="101" w:right="383" w:firstLine="0"/>
        <w:jc w:val="left"/>
        <w:rPr>
          <w:sz w:val="24"/>
        </w:rPr>
      </w:pPr>
      <w:r>
        <w:rPr>
          <w:spacing w:val="-2"/>
          <w:sz w:val="24"/>
        </w:rPr>
        <w:t>1→2段：矛盾承接，先交代消费者投诉的违规条款与退费困境，再引🎧商家的两点抗辩，呈现双方争议焦点。</w:t>
      </w:r>
    </w:p>
    <w:p>
      <w:pPr>
        <w:pStyle w:val="ListParagraph"/>
        <w:numPr>
          <w:ilvl w:val="1"/>
          <w:numId w:val="3"/>
        </w:numPr>
        <w:tabs>
          <w:tab w:pos="249" w:val="left" w:leader="none"/>
        </w:tabs>
        <w:spacing w:line="508" w:lineRule="auto" w:before="78" w:after="0"/>
        <w:ind w:left="101" w:right="522" w:firstLine="0"/>
        <w:jc w:val="left"/>
        <w:rPr>
          <w:sz w:val="24"/>
        </w:rPr>
      </w:pPr>
      <w:r>
        <w:rPr>
          <w:w w:val="105"/>
          <w:sz w:val="24"/>
        </w:rPr>
        <w:t>2</w:t>
      </w:r>
      <w:r>
        <w:rPr>
          <w:sz w:val="24"/>
        </w:rPr>
        <w:t>→</w:t>
      </w:r>
      <w:r>
        <w:rPr>
          <w:w w:val="105"/>
          <w:sz w:val="24"/>
        </w:rPr>
        <w:t>3</w:t>
      </w:r>
      <w:r>
        <w:rPr>
          <w:sz w:val="24"/>
        </w:rPr>
        <w:t>段：释法反驳，针对商家</w:t>
      </w:r>
      <w:r>
        <w:rPr>
          <w:spacing w:val="-2"/>
          <w:w w:val="35"/>
          <w:sz w:val="24"/>
        </w:rPr>
        <w:t>“</w:t>
      </w:r>
      <w:r>
        <w:rPr>
          <w:sz w:val="24"/>
        </w:rPr>
        <w:t>协议书不是合同</w:t>
      </w:r>
      <w:r>
        <w:rPr>
          <w:w w:val="35"/>
          <w:sz w:val="24"/>
        </w:rPr>
        <w:t>”“</w:t>
      </w:r>
      <w:r>
        <w:rPr>
          <w:sz w:val="24"/>
        </w:rPr>
        <w:t>签字即免责</w:t>
      </w:r>
      <w:r>
        <w:rPr>
          <w:spacing w:val="-2"/>
          <w:w w:val="35"/>
          <w:sz w:val="24"/>
        </w:rPr>
        <w:t>”</w:t>
      </w:r>
      <w:r>
        <w:rPr>
          <w:spacing w:val="-1"/>
          <w:sz w:val="24"/>
        </w:rPr>
        <w:t>的辩解，从法律层面逐一驳斥，</w:t>
      </w:r>
      <w:r>
        <w:rPr>
          <w:sz w:val="24"/>
        </w:rPr>
        <w:t>定性条款无效。</w:t>
      </w:r>
    </w:p>
    <w:p>
      <w:pPr>
        <w:pStyle w:val="ListParagraph"/>
        <w:numPr>
          <w:ilvl w:val="1"/>
          <w:numId w:val="3"/>
        </w:numPr>
        <w:tabs>
          <w:tab w:pos="249" w:val="left" w:leader="none"/>
        </w:tabs>
        <w:spacing w:line="240" w:lineRule="auto" w:before="81" w:after="0"/>
        <w:ind w:left="249" w:right="0" w:hanging="148"/>
        <w:jc w:val="left"/>
        <w:rPr>
          <w:sz w:val="24"/>
        </w:rPr>
      </w:pPr>
      <w:r>
        <w:rPr>
          <w:sz w:val="24"/>
        </w:rPr>
        <w:t>3→4段：因果承接，基于违法事实认定，得🎧</w:t>
      </w:r>
      <w:r>
        <w:rPr>
          <w:spacing w:val="-1"/>
          <w:sz w:val="24"/>
        </w:rPr>
        <w:t>行政处罚、责令退款整改的最终结果。</w:t>
      </w:r>
    </w:p>
    <w:p>
      <w:pPr>
        <w:spacing w:after="0" w:line="240" w:lineRule="auto"/>
        <w:jc w:val="left"/>
        <w:rPr>
          <w:sz w:val="24"/>
        </w:rPr>
        <w:sectPr>
          <w:pgSz w:w="11910" w:h="16840"/>
          <w:pgMar w:header="0" w:footer="1202" w:top="1200" w:bottom="1400" w:left="880" w:right="540"/>
        </w:sectPr>
      </w:pPr>
    </w:p>
    <w:p>
      <w:pPr>
        <w:pStyle w:val="BodyText"/>
        <w:spacing w:before="1"/>
        <w:rPr>
          <w:sz w:val="21"/>
        </w:rPr>
      </w:pPr>
    </w:p>
    <w:p>
      <w:pPr>
        <w:pStyle w:val="ListParagraph"/>
        <w:numPr>
          <w:ilvl w:val="0"/>
          <w:numId w:val="3"/>
        </w:numPr>
        <w:tabs>
          <w:tab w:pos="342" w:val="left" w:leader="none"/>
        </w:tabs>
        <w:spacing w:line="240" w:lineRule="auto" w:before="55" w:after="0"/>
        <w:ind w:left="342" w:right="0" w:hanging="241"/>
        <w:jc w:val="left"/>
        <w:rPr>
          <w:sz w:val="24"/>
        </w:rPr>
      </w:pPr>
      <w:r>
        <w:rPr/>
        <w:drawing>
          <wp:anchor distT="0" distB="0" distL="0" distR="0" allowOverlap="1" layoutInCell="1" locked="0" behindDoc="1" simplePos="0" relativeHeight="487488000">
            <wp:simplePos x="0" y="0"/>
            <wp:positionH relativeFrom="page">
              <wp:posOffset>685800</wp:posOffset>
            </wp:positionH>
            <wp:positionV relativeFrom="paragraph">
              <wp:posOffset>-172720</wp:posOffset>
            </wp:positionV>
            <wp:extent cx="6456680" cy="295909"/>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6456680" cy="295909"/>
                    </a:xfrm>
                    <a:prstGeom prst="rect">
                      <a:avLst/>
                    </a:prstGeom>
                  </pic:spPr>
                </pic:pic>
              </a:graphicData>
            </a:graphic>
          </wp:anchor>
        </w:drawing>
      </w:r>
      <w:r>
        <w:rPr>
          <w:sz w:val="24"/>
        </w:rPr>
        <w:t>嘉力美健身中心案（第5-8段</w:t>
      </w:r>
      <w:r>
        <w:rPr>
          <w:spacing w:val="-10"/>
          <w:sz w:val="24"/>
        </w:rPr>
        <w:t>）</w:t>
      </w:r>
    </w:p>
    <w:p>
      <w:pPr>
        <w:pStyle w:val="BodyText"/>
        <w:spacing w:before="4"/>
        <w:rPr>
          <w:sz w:val="33"/>
        </w:rPr>
      </w:pPr>
    </w:p>
    <w:p>
      <w:pPr>
        <w:pStyle w:val="ListParagraph"/>
        <w:numPr>
          <w:ilvl w:val="1"/>
          <w:numId w:val="3"/>
        </w:numPr>
        <w:tabs>
          <w:tab w:pos="249" w:val="left" w:leader="none"/>
        </w:tabs>
        <w:spacing w:line="240" w:lineRule="auto" w:before="0" w:after="0"/>
        <w:ind w:left="249" w:right="0" w:hanging="148"/>
        <w:jc w:val="left"/>
        <w:rPr>
          <w:sz w:val="24"/>
        </w:rPr>
      </w:pPr>
      <w:r>
        <w:rPr>
          <w:w w:val="95"/>
          <w:sz w:val="24"/>
        </w:rPr>
        <w:t>5→6段：事实承接，先说明投诉事由，再呈现商家</w:t>
      </w:r>
      <w:r>
        <w:rPr>
          <w:w w:val="65"/>
          <w:sz w:val="24"/>
        </w:rPr>
        <w:t>“</w:t>
      </w:r>
      <w:r>
        <w:rPr>
          <w:w w:val="95"/>
          <w:sz w:val="24"/>
        </w:rPr>
        <w:t>非全覆盖盖章</w:t>
      </w:r>
      <w:r>
        <w:rPr>
          <w:w w:val="65"/>
          <w:sz w:val="24"/>
        </w:rPr>
        <w:t>”“</w:t>
      </w:r>
      <w:r>
        <w:rPr>
          <w:w w:val="95"/>
          <w:sz w:val="24"/>
        </w:rPr>
        <w:t>未额外获利</w:t>
      </w:r>
      <w:r>
        <w:rPr>
          <w:w w:val="65"/>
          <w:sz w:val="24"/>
        </w:rPr>
        <w:t>”</w:t>
      </w:r>
      <w:r>
        <w:rPr>
          <w:spacing w:val="-2"/>
          <w:w w:val="95"/>
          <w:sz w:val="24"/>
        </w:rPr>
        <w:t>的抗辩理由。</w:t>
      </w:r>
    </w:p>
    <w:p>
      <w:pPr>
        <w:pStyle w:val="BodyText"/>
        <w:spacing w:before="4"/>
        <w:rPr>
          <w:sz w:val="33"/>
        </w:rPr>
      </w:pPr>
    </w:p>
    <w:p>
      <w:pPr>
        <w:pStyle w:val="ListParagraph"/>
        <w:numPr>
          <w:ilvl w:val="1"/>
          <w:numId w:val="3"/>
        </w:numPr>
        <w:tabs>
          <w:tab w:pos="249" w:val="left" w:leader="none"/>
        </w:tabs>
        <w:spacing w:line="508" w:lineRule="auto" w:before="0" w:after="0"/>
        <w:ind w:left="101" w:right="212" w:firstLine="0"/>
        <w:jc w:val="left"/>
        <w:rPr>
          <w:sz w:val="24"/>
        </w:rPr>
      </w:pPr>
      <w:r>
        <w:rPr>
          <w:spacing w:val="-8"/>
          <w:sz w:val="24"/>
        </w:rPr>
        <w:t>6→7段：释法反驳，对应商家两个抗辩点，分别指🎧“盖章范围、是否获利均不影响违法定性”，</w:t>
      </w:r>
      <w:r>
        <w:rPr>
          <w:spacing w:val="-2"/>
          <w:w w:val="105"/>
          <w:sz w:val="24"/>
        </w:rPr>
        <w:t>明确行为本质。</w:t>
      </w:r>
    </w:p>
    <w:p>
      <w:pPr>
        <w:pStyle w:val="ListParagraph"/>
        <w:numPr>
          <w:ilvl w:val="1"/>
          <w:numId w:val="3"/>
        </w:numPr>
        <w:tabs>
          <w:tab w:pos="249" w:val="left" w:leader="none"/>
        </w:tabs>
        <w:spacing w:line="240" w:lineRule="auto" w:before="81" w:after="0"/>
        <w:ind w:left="249" w:right="0" w:hanging="148"/>
        <w:jc w:val="left"/>
        <w:rPr>
          <w:sz w:val="24"/>
        </w:rPr>
      </w:pPr>
      <w:r>
        <w:rPr>
          <w:sz w:val="24"/>
        </w:rPr>
        <w:t>7→8段：因果承接，依据违法情节作🎧</w:t>
      </w:r>
      <w:r>
        <w:rPr>
          <w:spacing w:val="-1"/>
          <w:sz w:val="24"/>
        </w:rPr>
        <w:t>没收印章、警告罚款、责令退费的处置决定。</w:t>
      </w:r>
    </w:p>
    <w:p>
      <w:pPr>
        <w:pStyle w:val="BodyText"/>
        <w:spacing w:before="4"/>
        <w:rPr>
          <w:sz w:val="33"/>
        </w:rPr>
      </w:pPr>
    </w:p>
    <w:p>
      <w:pPr>
        <w:pStyle w:val="ListParagraph"/>
        <w:numPr>
          <w:ilvl w:val="0"/>
          <w:numId w:val="3"/>
        </w:numPr>
        <w:tabs>
          <w:tab w:pos="342" w:val="left" w:leader="none"/>
        </w:tabs>
        <w:spacing w:line="240" w:lineRule="auto" w:before="0" w:after="0"/>
        <w:ind w:left="342" w:right="0" w:hanging="241"/>
        <w:jc w:val="left"/>
        <w:rPr>
          <w:sz w:val="24"/>
        </w:rPr>
      </w:pPr>
      <w:r>
        <w:rPr>
          <w:sz w:val="24"/>
        </w:rPr>
        <w:t>能易充公司案（第9-12段</w:t>
      </w:r>
      <w:r>
        <w:rPr>
          <w:spacing w:val="-10"/>
          <w:sz w:val="24"/>
        </w:rPr>
        <w:t>）</w:t>
      </w:r>
    </w:p>
    <w:p>
      <w:pPr>
        <w:pStyle w:val="BodyText"/>
        <w:spacing w:before="1"/>
        <w:rPr>
          <w:sz w:val="33"/>
        </w:rPr>
      </w:pPr>
    </w:p>
    <w:p>
      <w:pPr>
        <w:pStyle w:val="ListParagraph"/>
        <w:numPr>
          <w:ilvl w:val="1"/>
          <w:numId w:val="3"/>
        </w:numPr>
        <w:tabs>
          <w:tab w:pos="249" w:val="left" w:leader="none"/>
        </w:tabs>
        <w:spacing w:line="508" w:lineRule="auto" w:before="1" w:after="0"/>
        <w:ind w:left="101" w:right="497" w:firstLine="0"/>
        <w:jc w:val="left"/>
        <w:rPr>
          <w:sz w:val="24"/>
        </w:rPr>
      </w:pPr>
      <w:r>
        <w:rPr>
          <w:spacing w:val="-2"/>
          <w:sz w:val="24"/>
        </w:rPr>
        <w:t>9→10段：核实承接，先交代居民投诉的扣费异常现象，再讲执法人员实地体验、固定搭售事实的核查过程。</w:t>
      </w:r>
    </w:p>
    <w:p>
      <w:pPr>
        <w:pStyle w:val="ListParagraph"/>
        <w:numPr>
          <w:ilvl w:val="1"/>
          <w:numId w:val="3"/>
        </w:numPr>
        <w:tabs>
          <w:tab w:pos="249" w:val="left" w:leader="none"/>
        </w:tabs>
        <w:spacing w:line="508" w:lineRule="auto" w:before="81" w:after="0"/>
        <w:ind w:left="101" w:right="440" w:firstLine="0"/>
        <w:jc w:val="left"/>
        <w:rPr>
          <w:sz w:val="24"/>
        </w:rPr>
      </w:pPr>
      <w:r>
        <w:rPr>
          <w:w w:val="105"/>
          <w:sz w:val="24"/>
        </w:rPr>
        <w:t>10</w:t>
      </w:r>
      <w:r>
        <w:rPr>
          <w:sz w:val="24"/>
        </w:rPr>
        <w:t>→</w:t>
      </w:r>
      <w:r>
        <w:rPr>
          <w:w w:val="105"/>
          <w:sz w:val="24"/>
        </w:rPr>
        <w:t>1</w:t>
      </w:r>
      <w:r>
        <w:rPr>
          <w:spacing w:val="-2"/>
          <w:w w:val="105"/>
          <w:sz w:val="24"/>
        </w:rPr>
        <w:t>1</w:t>
      </w:r>
      <w:r>
        <w:rPr>
          <w:sz w:val="24"/>
        </w:rPr>
        <w:t>段：应对承接，违法事实核实后，商家作🎧</w:t>
      </w:r>
      <w:r>
        <w:rPr>
          <w:w w:val="35"/>
          <w:sz w:val="24"/>
        </w:rPr>
        <w:t>“</w:t>
      </w:r>
      <w:r>
        <w:rPr>
          <w:sz w:val="24"/>
        </w:rPr>
        <w:t>可手动取消</w:t>
      </w:r>
      <w:r>
        <w:rPr>
          <w:spacing w:val="-2"/>
          <w:w w:val="35"/>
          <w:sz w:val="24"/>
        </w:rPr>
        <w:t>”</w:t>
      </w:r>
      <w:r>
        <w:rPr>
          <w:sz w:val="24"/>
        </w:rPr>
        <w:t>的辩解，同时主动提🎧</w:t>
      </w:r>
      <w:r>
        <w:rPr>
          <w:spacing w:val="-5"/>
          <w:sz w:val="24"/>
        </w:rPr>
        <w:t>整改与</w:t>
      </w:r>
      <w:r>
        <w:rPr>
          <w:sz w:val="24"/>
        </w:rPr>
        <w:t>退费方案。</w:t>
      </w:r>
    </w:p>
    <w:p>
      <w:pPr>
        <w:pStyle w:val="ListParagraph"/>
        <w:numPr>
          <w:ilvl w:val="1"/>
          <w:numId w:val="3"/>
        </w:numPr>
        <w:tabs>
          <w:tab w:pos="249" w:val="left" w:leader="none"/>
        </w:tabs>
        <w:spacing w:line="508" w:lineRule="auto" w:before="81" w:after="0"/>
        <w:ind w:left="101" w:right="371" w:firstLine="0"/>
        <w:jc w:val="left"/>
        <w:rPr>
          <w:sz w:val="24"/>
        </w:rPr>
      </w:pPr>
      <w:r>
        <w:rPr>
          <w:spacing w:val="-2"/>
          <w:sz w:val="24"/>
        </w:rPr>
        <w:t>11→12段：裁量承接，基于商家主动整改、配合调查的情节，作🎧不予行政处罚、限期整改退款的从轻处置。</w:t>
      </w:r>
    </w:p>
    <w:p>
      <w:pPr>
        <w:pStyle w:val="BodyText"/>
        <w:spacing w:line="573" w:lineRule="auto" w:before="81"/>
        <w:ind w:left="101" w:right="7026"/>
      </w:pPr>
      <w:r>
        <w:rPr>
          <w:spacing w:val="-2"/>
        </w:rPr>
        <w:t>三、单个自然段内部的句间逻辑选取核心段落拆解：</w:t>
      </w:r>
    </w:p>
    <w:p>
      <w:pPr>
        <w:pStyle w:val="ListParagraph"/>
        <w:numPr>
          <w:ilvl w:val="0"/>
          <w:numId w:val="4"/>
        </w:numPr>
        <w:tabs>
          <w:tab w:pos="342" w:val="left" w:leader="none"/>
        </w:tabs>
        <w:spacing w:line="306" w:lineRule="exact" w:before="0" w:after="0"/>
        <w:ind w:left="342" w:right="0" w:hanging="241"/>
        <w:jc w:val="left"/>
        <w:rPr>
          <w:sz w:val="24"/>
        </w:rPr>
      </w:pPr>
      <w:r>
        <w:rPr>
          <w:sz w:val="24"/>
        </w:rPr>
        <w:t>投诉类段落（如第1段、第5段、第9段</w:t>
      </w:r>
      <w:r>
        <w:rPr>
          <w:spacing w:val="-10"/>
          <w:sz w:val="24"/>
        </w:rPr>
        <w:t>）</w:t>
      </w:r>
    </w:p>
    <w:p>
      <w:pPr>
        <w:pStyle w:val="BodyText"/>
        <w:spacing w:before="3"/>
        <w:rPr>
          <w:sz w:val="33"/>
        </w:rPr>
      </w:pPr>
    </w:p>
    <w:p>
      <w:pPr>
        <w:pStyle w:val="BodyText"/>
        <w:spacing w:line="508" w:lineRule="auto" w:before="1"/>
        <w:ind w:left="101" w:right="377"/>
      </w:pPr>
      <w:r>
        <w:rPr/>
        <w:t>均遵循</w:t>
      </w:r>
      <w:r>
        <w:rPr>
          <w:spacing w:val="-2"/>
          <w:w w:val="35"/>
        </w:rPr>
        <w:t>“</w:t>
      </w:r>
      <w:r>
        <w:rPr/>
        <w:t>总述投诉→具体说明</w:t>
      </w:r>
      <w:r>
        <w:rPr>
          <w:w w:val="35"/>
        </w:rPr>
        <w:t>”</w:t>
      </w:r>
      <w:r>
        <w:rPr>
          <w:spacing w:val="-1"/>
        </w:rPr>
        <w:t>的总分逻辑：首句点明投诉主体、指向对象与核心问题，后续补充</w:t>
      </w:r>
      <w:r>
        <w:rPr/>
        <w:t>具体违法细节与消费者遭遇，从概括到具象，清晰呈现案件缘起。</w:t>
      </w:r>
    </w:p>
    <w:p>
      <w:pPr>
        <w:pStyle w:val="ListParagraph"/>
        <w:numPr>
          <w:ilvl w:val="0"/>
          <w:numId w:val="4"/>
        </w:numPr>
        <w:tabs>
          <w:tab w:pos="342" w:val="left" w:leader="none"/>
        </w:tabs>
        <w:spacing w:line="240" w:lineRule="auto" w:before="78" w:after="0"/>
        <w:ind w:left="342" w:right="0" w:hanging="241"/>
        <w:jc w:val="left"/>
        <w:rPr>
          <w:sz w:val="24"/>
        </w:rPr>
      </w:pPr>
      <w:r>
        <w:rPr>
          <w:sz w:val="24"/>
        </w:rPr>
        <w:t>商家抗辩段落（如第2段、第6段、第11段</w:t>
      </w:r>
      <w:r>
        <w:rPr>
          <w:spacing w:val="-10"/>
          <w:sz w:val="24"/>
        </w:rPr>
        <w:t>）</w:t>
      </w:r>
    </w:p>
    <w:p>
      <w:pPr>
        <w:pStyle w:val="BodyText"/>
        <w:spacing w:line="650" w:lineRule="atLeast" w:before="85"/>
        <w:ind w:left="101" w:right="462"/>
      </w:pPr>
      <w:r>
        <w:rPr/>
        <w:t>均为并列逻辑：商家同时提🎧多条理由为自身行为辩解，各理由独立存在，共同支撑</w:t>
      </w:r>
      <w:r>
        <w:rPr>
          <w:spacing w:val="-2"/>
          <w:w w:val="35"/>
        </w:rPr>
        <w:t>“</w:t>
      </w:r>
      <w:r>
        <w:rPr>
          <w:spacing w:val="-5"/>
        </w:rPr>
        <w:t>自身不违</w:t>
      </w:r>
      <w:r>
        <w:rPr/>
        <w:t>法</w:t>
      </w:r>
      <w:r>
        <w:rPr>
          <w:spacing w:val="-2"/>
          <w:w w:val="35"/>
        </w:rPr>
        <w:t>”</w:t>
      </w:r>
      <w:r>
        <w:rPr/>
        <w:t>的核心主张。</w:t>
      </w:r>
    </w:p>
    <w:p>
      <w:pPr>
        <w:spacing w:after="0" w:line="650" w:lineRule="atLeast"/>
        <w:sectPr>
          <w:pgSz w:w="11910" w:h="16840"/>
          <w:pgMar w:header="0" w:footer="1202" w:top="1200" w:bottom="1400" w:left="880" w:right="540"/>
        </w:sectPr>
      </w:pPr>
    </w:p>
    <w:p>
      <w:pPr>
        <w:pStyle w:val="BodyText"/>
        <w:spacing w:before="1"/>
        <w:rPr>
          <w:sz w:val="21"/>
        </w:rPr>
      </w:pPr>
    </w:p>
    <w:p>
      <w:pPr>
        <w:pStyle w:val="ListParagraph"/>
        <w:numPr>
          <w:ilvl w:val="0"/>
          <w:numId w:val="4"/>
        </w:numPr>
        <w:tabs>
          <w:tab w:pos="342" w:val="left" w:leader="none"/>
        </w:tabs>
        <w:spacing w:line="240" w:lineRule="auto" w:before="55" w:after="0"/>
        <w:ind w:left="342" w:right="0" w:hanging="241"/>
        <w:jc w:val="left"/>
        <w:rPr>
          <w:sz w:val="24"/>
        </w:rPr>
      </w:pPr>
      <w:r>
        <w:rPr/>
        <w:drawing>
          <wp:anchor distT="0" distB="0" distL="0" distR="0" allowOverlap="1" layoutInCell="1" locked="0" behindDoc="1" simplePos="0" relativeHeight="487488512">
            <wp:simplePos x="0" y="0"/>
            <wp:positionH relativeFrom="page">
              <wp:posOffset>685800</wp:posOffset>
            </wp:positionH>
            <wp:positionV relativeFrom="paragraph">
              <wp:posOffset>-172720</wp:posOffset>
            </wp:positionV>
            <wp:extent cx="6456680" cy="29590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6456680" cy="295909"/>
                    </a:xfrm>
                    <a:prstGeom prst="rect">
                      <a:avLst/>
                    </a:prstGeom>
                  </pic:spPr>
                </pic:pic>
              </a:graphicData>
            </a:graphic>
          </wp:anchor>
        </w:drawing>
      </w:r>
      <w:r>
        <w:rPr>
          <w:sz w:val="24"/>
        </w:rPr>
        <w:t>执法释法段落（如第3段、第7段</w:t>
      </w:r>
      <w:r>
        <w:rPr>
          <w:spacing w:val="-10"/>
          <w:sz w:val="24"/>
        </w:rPr>
        <w:t>）</w:t>
      </w:r>
    </w:p>
    <w:p>
      <w:pPr>
        <w:pStyle w:val="BodyText"/>
        <w:spacing w:before="4"/>
        <w:rPr>
          <w:sz w:val="33"/>
        </w:rPr>
      </w:pPr>
    </w:p>
    <w:p>
      <w:pPr>
        <w:pStyle w:val="BodyText"/>
        <w:spacing w:line="508" w:lineRule="auto"/>
        <w:ind w:left="101" w:right="377"/>
      </w:pPr>
      <w:r>
        <w:rPr/>
        <w:t>采用</w:t>
      </w:r>
      <w:r>
        <w:rPr>
          <w:spacing w:val="-2"/>
          <w:w w:val="35"/>
        </w:rPr>
        <w:t>“</w:t>
      </w:r>
      <w:r>
        <w:rPr/>
        <w:t>先破后立</w:t>
      </w:r>
      <w:r>
        <w:rPr>
          <w:w w:val="35"/>
        </w:rPr>
        <w:t>”</w:t>
      </w:r>
      <w:r>
        <w:rPr>
          <w:spacing w:val="-1"/>
        </w:rPr>
        <w:t>的递进逻辑：先针对性驳斥商家的错误认知，再释明法律规定与违法本质，最后</w:t>
      </w:r>
      <w:r>
        <w:rPr/>
        <w:t>明确执法立场，层层推导、说理闭环。</w:t>
      </w:r>
    </w:p>
    <w:p>
      <w:pPr>
        <w:pStyle w:val="ListParagraph"/>
        <w:numPr>
          <w:ilvl w:val="0"/>
          <w:numId w:val="4"/>
        </w:numPr>
        <w:tabs>
          <w:tab w:pos="342" w:val="left" w:leader="none"/>
        </w:tabs>
        <w:spacing w:line="240" w:lineRule="auto" w:before="81" w:after="0"/>
        <w:ind w:left="342" w:right="0" w:hanging="241"/>
        <w:jc w:val="left"/>
        <w:rPr>
          <w:sz w:val="24"/>
        </w:rPr>
      </w:pPr>
      <w:r>
        <w:rPr>
          <w:sz w:val="24"/>
        </w:rPr>
        <w:t>处置结果段落（如第4段、第8段、第12段</w:t>
      </w:r>
      <w:r>
        <w:rPr>
          <w:spacing w:val="-10"/>
          <w:sz w:val="24"/>
        </w:rPr>
        <w:t>）</w:t>
      </w:r>
    </w:p>
    <w:p>
      <w:pPr>
        <w:pStyle w:val="BodyText"/>
        <w:spacing w:before="4"/>
        <w:rPr>
          <w:sz w:val="33"/>
        </w:rPr>
      </w:pPr>
    </w:p>
    <w:p>
      <w:pPr>
        <w:pStyle w:val="BodyText"/>
        <w:spacing w:line="508" w:lineRule="auto"/>
        <w:ind w:left="101" w:right="377"/>
      </w:pPr>
      <w:r>
        <w:rPr/>
        <w:t>均为</w:t>
      </w:r>
      <w:r>
        <w:rPr>
          <w:spacing w:val="-2"/>
          <w:w w:val="35"/>
        </w:rPr>
        <w:t>“</w:t>
      </w:r>
      <w:r>
        <w:rPr/>
        <w:t>依据→结论</w:t>
      </w:r>
      <w:r>
        <w:rPr>
          <w:w w:val="35"/>
        </w:rPr>
        <w:t>”</w:t>
      </w:r>
      <w:r>
        <w:rPr/>
        <w:t>的因果逻辑：先说明裁量的事实依据（如违法情节、整改态度），</w:t>
      </w:r>
      <w:r>
        <w:rPr>
          <w:spacing w:val="-4"/>
        </w:rPr>
        <w:t>再明确具体</w:t>
      </w:r>
      <w:r>
        <w:rPr/>
        <w:t>处置措施，体现过罚相当的执法原则。</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29"/>
        </w:rPr>
      </w:pPr>
    </w:p>
    <w:p>
      <w:pPr>
        <w:spacing w:line="540" w:lineRule="auto" w:before="0"/>
        <w:ind w:left="101" w:right="3104" w:firstLine="0"/>
        <w:jc w:val="left"/>
        <w:rPr>
          <w:sz w:val="28"/>
        </w:rPr>
      </w:pPr>
      <w:r>
        <w:rPr>
          <w:spacing w:val="-2"/>
          <w:sz w:val="28"/>
        </w:rPr>
        <w:t>我们都在一路过关斩将中，逐渐发现自己比想像的要坚强，人生就像在过独木桥一样，万般苦难没有别人替你承受，</w:t>
      </w:r>
    </w:p>
    <w:p>
      <w:pPr>
        <w:spacing w:line="487" w:lineRule="auto" w:before="6"/>
        <w:ind w:left="101" w:right="584" w:firstLine="0"/>
        <w:jc w:val="left"/>
        <w:rPr>
          <w:sz w:val="28"/>
        </w:rPr>
      </w:pPr>
      <w:r>
        <w:rPr>
          <w:spacing w:val="-2"/>
          <w:sz w:val="28"/>
        </w:rPr>
        <w:t>因为每个人都有自己的任务和路要走，即便下面是万丈深渊，你也要抬头挺胸不</w:t>
      </w:r>
      <w:r>
        <w:rPr>
          <w:spacing w:val="-4"/>
          <w:sz w:val="28"/>
        </w:rPr>
        <w:t>畏艰险，</w:t>
      </w:r>
    </w:p>
    <w:p>
      <w:pPr>
        <w:spacing w:line="542" w:lineRule="auto" w:before="79"/>
        <w:ind w:left="101" w:right="3666" w:firstLine="0"/>
        <w:jc w:val="left"/>
        <w:rPr>
          <w:sz w:val="28"/>
        </w:rPr>
      </w:pPr>
      <w:r>
        <w:rPr>
          <w:spacing w:val="-2"/>
          <w:sz w:val="28"/>
        </w:rPr>
        <w:t>因为当你回头看时，你会发现你已经挺过那么多的难，要相信另一面的终点就是你心中的向往</w:t>
      </w:r>
    </w:p>
    <w:sectPr>
      <w:pgSz w:w="11910" w:h="16840"/>
      <w:pgMar w:header="0" w:footer="1202" w:top="1200" w:bottom="1400" w:left="880" w:right="5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roman"/>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83392">
              <wp:simplePos x="0" y="0"/>
              <wp:positionH relativeFrom="page">
                <wp:posOffset>3742944</wp:posOffset>
              </wp:positionH>
              <wp:positionV relativeFrom="page">
                <wp:posOffset>9790462</wp:posOffset>
              </wp:positionV>
              <wp:extent cx="15303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3035" cy="153670"/>
                      </a:xfrm>
                      <a:prstGeom prst="rect">
                        <a:avLst/>
                      </a:prstGeom>
                    </wps:spPr>
                    <wps:txbx>
                      <w:txbxContent>
                        <w:p>
                          <w:pPr>
                            <w:spacing w:before="14"/>
                            <w:ind w:left="60" w:right="0" w:firstLine="0"/>
                            <w:jc w:val="left"/>
                            <w:rPr>
                              <w:rFonts w:ascii="Arial"/>
                              <w:sz w:val="18"/>
                            </w:rPr>
                          </w:pPr>
                          <w:r>
                            <w:rPr>
                              <w:rFonts w:ascii="Arial"/>
                              <w:sz w:val="18"/>
                            </w:rPr>
                            <w:fldChar w:fldCharType="begin"/>
                          </w:r>
                          <w:r>
                            <w:rPr>
                              <w:rFonts w:ascii="Arial"/>
                              <w:sz w:val="18"/>
                            </w:rPr>
                            <w:instrText> PAGE </w:instrText>
                          </w:r>
                          <w:r>
                            <w:rPr>
                              <w:rFonts w:ascii="Arial"/>
                              <w:sz w:val="18"/>
                            </w:rPr>
                            <w:fldChar w:fldCharType="separate"/>
                          </w:r>
                          <w:r>
                            <w:rPr>
                              <w:rFonts w:ascii="Arial"/>
                              <w:sz w:val="18"/>
                            </w:rPr>
                            <w:t>2</w:t>
                          </w:r>
                          <w:r>
                            <w:rPr>
                              <w:rFonts w:ascii="Arial"/>
                              <w:sz w:val="18"/>
                            </w:rPr>
                            <w:fldChar w:fldCharType="end"/>
                          </w:r>
                        </w:p>
                      </w:txbxContent>
                    </wps:txbx>
                    <wps:bodyPr wrap="square" lIns="0" tIns="0" rIns="0" bIns="0" rtlCol="0">
                      <a:noAutofit/>
                    </wps:bodyPr>
                  </wps:wsp>
                </a:graphicData>
              </a:graphic>
            </wp:anchor>
          </w:drawing>
        </mc:Choice>
        <mc:Fallback>
          <w:pict>
            <v:shape style="position:absolute;margin-left:294.720001pt;margin-top:770.902527pt;width:12.05pt;height:12.1pt;mso-position-horizontal-relative:page;mso-position-vertical-relative:page;z-index:-15833088" type="#_x0000_t202" id="docshape3" filled="false" stroked="false">
              <v:textbox inset="0,0,0,0">
                <w:txbxContent>
                  <w:p>
                    <w:pPr>
                      <w:spacing w:before="14"/>
                      <w:ind w:left="60" w:right="0" w:firstLine="0"/>
                      <w:jc w:val="left"/>
                      <w:rPr>
                        <w:rFonts w:ascii="Arial"/>
                        <w:sz w:val="18"/>
                      </w:rPr>
                    </w:pPr>
                    <w:r>
                      <w:rPr>
                        <w:rFonts w:ascii="Arial"/>
                        <w:sz w:val="18"/>
                      </w:rPr>
                      <w:fldChar w:fldCharType="begin"/>
                    </w:r>
                    <w:r>
                      <w:rPr>
                        <w:rFonts w:ascii="Arial"/>
                        <w:sz w:val="18"/>
                      </w:rPr>
                      <w:instrText> PAGE </w:instrText>
                    </w:r>
                    <w:r>
                      <w:rPr>
                        <w:rFonts w:ascii="Arial"/>
                        <w:sz w:val="18"/>
                      </w:rPr>
                      <w:fldChar w:fldCharType="separate"/>
                    </w:r>
                    <w:r>
                      <w:rPr>
                        <w:rFonts w:ascii="Arial"/>
                        <w:sz w:val="18"/>
                      </w:rPr>
                      <w:t>2</w:t>
                    </w:r>
                    <w:r>
                      <w:rPr>
                        <w:rFonts w:ascii="Arial"/>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44" w:hanging="243"/>
        <w:jc w:val="left"/>
      </w:pPr>
      <w:rPr>
        <w:rFonts w:hint="default" w:ascii="SimSun" w:hAnsi="SimSun" w:eastAsia="SimSun" w:cs="SimSun"/>
        <w:b w:val="0"/>
        <w:bCs w:val="0"/>
        <w:i w:val="0"/>
        <w:iCs w:val="0"/>
        <w:spacing w:val="0"/>
        <w:w w:val="43"/>
        <w:sz w:val="24"/>
        <w:szCs w:val="24"/>
        <w:lang w:val="en-US" w:eastAsia="zh-CN" w:bidi="ar-SA"/>
      </w:rPr>
    </w:lvl>
    <w:lvl w:ilvl="1">
      <w:start w:val="0"/>
      <w:numFmt w:val="bullet"/>
      <w:lvlText w:val="•"/>
      <w:lvlJc w:val="left"/>
      <w:pPr>
        <w:ind w:left="1355" w:hanging="243"/>
      </w:pPr>
      <w:rPr>
        <w:rFonts w:hint="default"/>
        <w:lang w:val="en-US" w:eastAsia="zh-CN" w:bidi="ar-SA"/>
      </w:rPr>
    </w:lvl>
    <w:lvl w:ilvl="2">
      <w:start w:val="0"/>
      <w:numFmt w:val="bullet"/>
      <w:lvlText w:val="•"/>
      <w:lvlJc w:val="left"/>
      <w:pPr>
        <w:ind w:left="2370" w:hanging="243"/>
      </w:pPr>
      <w:rPr>
        <w:rFonts w:hint="default"/>
        <w:lang w:val="en-US" w:eastAsia="zh-CN" w:bidi="ar-SA"/>
      </w:rPr>
    </w:lvl>
    <w:lvl w:ilvl="3">
      <w:start w:val="0"/>
      <w:numFmt w:val="bullet"/>
      <w:lvlText w:val="•"/>
      <w:lvlJc w:val="left"/>
      <w:pPr>
        <w:ind w:left="3385" w:hanging="243"/>
      </w:pPr>
      <w:rPr>
        <w:rFonts w:hint="default"/>
        <w:lang w:val="en-US" w:eastAsia="zh-CN" w:bidi="ar-SA"/>
      </w:rPr>
    </w:lvl>
    <w:lvl w:ilvl="4">
      <w:start w:val="0"/>
      <w:numFmt w:val="bullet"/>
      <w:lvlText w:val="•"/>
      <w:lvlJc w:val="left"/>
      <w:pPr>
        <w:ind w:left="4400" w:hanging="243"/>
      </w:pPr>
      <w:rPr>
        <w:rFonts w:hint="default"/>
        <w:lang w:val="en-US" w:eastAsia="zh-CN" w:bidi="ar-SA"/>
      </w:rPr>
    </w:lvl>
    <w:lvl w:ilvl="5">
      <w:start w:val="0"/>
      <w:numFmt w:val="bullet"/>
      <w:lvlText w:val="•"/>
      <w:lvlJc w:val="left"/>
      <w:pPr>
        <w:ind w:left="5415" w:hanging="243"/>
      </w:pPr>
      <w:rPr>
        <w:rFonts w:hint="default"/>
        <w:lang w:val="en-US" w:eastAsia="zh-CN" w:bidi="ar-SA"/>
      </w:rPr>
    </w:lvl>
    <w:lvl w:ilvl="6">
      <w:start w:val="0"/>
      <w:numFmt w:val="bullet"/>
      <w:lvlText w:val="•"/>
      <w:lvlJc w:val="left"/>
      <w:pPr>
        <w:ind w:left="6430" w:hanging="243"/>
      </w:pPr>
      <w:rPr>
        <w:rFonts w:hint="default"/>
        <w:lang w:val="en-US" w:eastAsia="zh-CN" w:bidi="ar-SA"/>
      </w:rPr>
    </w:lvl>
    <w:lvl w:ilvl="7">
      <w:start w:val="0"/>
      <w:numFmt w:val="bullet"/>
      <w:lvlText w:val="•"/>
      <w:lvlJc w:val="left"/>
      <w:pPr>
        <w:ind w:left="7445" w:hanging="243"/>
      </w:pPr>
      <w:rPr>
        <w:rFonts w:hint="default"/>
        <w:lang w:val="en-US" w:eastAsia="zh-CN" w:bidi="ar-SA"/>
      </w:rPr>
    </w:lvl>
    <w:lvl w:ilvl="8">
      <w:start w:val="0"/>
      <w:numFmt w:val="bullet"/>
      <w:lvlText w:val="•"/>
      <w:lvlJc w:val="left"/>
      <w:pPr>
        <w:ind w:left="8460" w:hanging="243"/>
      </w:pPr>
      <w:rPr>
        <w:rFonts w:hint="default"/>
        <w:lang w:val="en-US" w:eastAsia="zh-CN" w:bidi="ar-SA"/>
      </w:rPr>
    </w:lvl>
  </w:abstractNum>
  <w:abstractNum w:abstractNumId="2">
    <w:multiLevelType w:val="hybridMultilevel"/>
    <w:lvl w:ilvl="0">
      <w:start w:val="1"/>
      <w:numFmt w:val="decimal"/>
      <w:lvlText w:val="%1."/>
      <w:lvlJc w:val="left"/>
      <w:pPr>
        <w:ind w:left="344" w:hanging="243"/>
        <w:jc w:val="left"/>
      </w:pPr>
      <w:rPr>
        <w:rFonts w:hint="default" w:ascii="SimSun" w:hAnsi="SimSun" w:eastAsia="SimSun" w:cs="SimSun"/>
        <w:b w:val="0"/>
        <w:bCs w:val="0"/>
        <w:i w:val="0"/>
        <w:iCs w:val="0"/>
        <w:spacing w:val="0"/>
        <w:w w:val="43"/>
        <w:sz w:val="24"/>
        <w:szCs w:val="24"/>
        <w:lang w:val="en-US" w:eastAsia="zh-CN" w:bidi="ar-SA"/>
      </w:rPr>
    </w:lvl>
    <w:lvl w:ilvl="1">
      <w:start w:val="0"/>
      <w:numFmt w:val="bullet"/>
      <w:lvlText w:val="◦"/>
      <w:lvlJc w:val="left"/>
      <w:pPr>
        <w:ind w:left="101" w:hanging="149"/>
      </w:pPr>
      <w:rPr>
        <w:rFonts w:hint="default" w:ascii="Arial" w:hAnsi="Arial" w:eastAsia="Arial" w:cs="Arial"/>
        <w:b w:val="0"/>
        <w:bCs w:val="0"/>
        <w:i w:val="0"/>
        <w:iCs w:val="0"/>
        <w:spacing w:val="0"/>
        <w:w w:val="100"/>
        <w:sz w:val="24"/>
        <w:szCs w:val="24"/>
        <w:lang w:val="en-US" w:eastAsia="zh-CN" w:bidi="ar-SA"/>
      </w:rPr>
    </w:lvl>
    <w:lvl w:ilvl="2">
      <w:start w:val="0"/>
      <w:numFmt w:val="bullet"/>
      <w:lvlText w:val="•"/>
      <w:lvlJc w:val="left"/>
      <w:pPr>
        <w:ind w:left="1467" w:hanging="149"/>
      </w:pPr>
      <w:rPr>
        <w:rFonts w:hint="default"/>
        <w:lang w:val="en-US" w:eastAsia="zh-CN" w:bidi="ar-SA"/>
      </w:rPr>
    </w:lvl>
    <w:lvl w:ilvl="3">
      <w:start w:val="0"/>
      <w:numFmt w:val="bullet"/>
      <w:lvlText w:val="•"/>
      <w:lvlJc w:val="left"/>
      <w:pPr>
        <w:ind w:left="2595" w:hanging="149"/>
      </w:pPr>
      <w:rPr>
        <w:rFonts w:hint="default"/>
        <w:lang w:val="en-US" w:eastAsia="zh-CN" w:bidi="ar-SA"/>
      </w:rPr>
    </w:lvl>
    <w:lvl w:ilvl="4">
      <w:start w:val="0"/>
      <w:numFmt w:val="bullet"/>
      <w:lvlText w:val="•"/>
      <w:lvlJc w:val="left"/>
      <w:pPr>
        <w:ind w:left="3723" w:hanging="149"/>
      </w:pPr>
      <w:rPr>
        <w:rFonts w:hint="default"/>
        <w:lang w:val="en-US" w:eastAsia="zh-CN" w:bidi="ar-SA"/>
      </w:rPr>
    </w:lvl>
    <w:lvl w:ilvl="5">
      <w:start w:val="0"/>
      <w:numFmt w:val="bullet"/>
      <w:lvlText w:val="•"/>
      <w:lvlJc w:val="left"/>
      <w:pPr>
        <w:ind w:left="4851" w:hanging="149"/>
      </w:pPr>
      <w:rPr>
        <w:rFonts w:hint="default"/>
        <w:lang w:val="en-US" w:eastAsia="zh-CN" w:bidi="ar-SA"/>
      </w:rPr>
    </w:lvl>
    <w:lvl w:ilvl="6">
      <w:start w:val="0"/>
      <w:numFmt w:val="bullet"/>
      <w:lvlText w:val="•"/>
      <w:lvlJc w:val="left"/>
      <w:pPr>
        <w:ind w:left="5978" w:hanging="149"/>
      </w:pPr>
      <w:rPr>
        <w:rFonts w:hint="default"/>
        <w:lang w:val="en-US" w:eastAsia="zh-CN" w:bidi="ar-SA"/>
      </w:rPr>
    </w:lvl>
    <w:lvl w:ilvl="7">
      <w:start w:val="0"/>
      <w:numFmt w:val="bullet"/>
      <w:lvlText w:val="•"/>
      <w:lvlJc w:val="left"/>
      <w:pPr>
        <w:ind w:left="7106" w:hanging="149"/>
      </w:pPr>
      <w:rPr>
        <w:rFonts w:hint="default"/>
        <w:lang w:val="en-US" w:eastAsia="zh-CN" w:bidi="ar-SA"/>
      </w:rPr>
    </w:lvl>
    <w:lvl w:ilvl="8">
      <w:start w:val="0"/>
      <w:numFmt w:val="bullet"/>
      <w:lvlText w:val="•"/>
      <w:lvlJc w:val="left"/>
      <w:pPr>
        <w:ind w:left="8234" w:hanging="149"/>
      </w:pPr>
      <w:rPr>
        <w:rFonts w:hint="default"/>
        <w:lang w:val="en-US" w:eastAsia="zh-CN" w:bidi="ar-SA"/>
      </w:rPr>
    </w:lvl>
  </w:abstractNum>
  <w:abstractNum w:abstractNumId="1">
    <w:multiLevelType w:val="hybridMultilevel"/>
    <w:lvl w:ilvl="0">
      <w:start w:val="1"/>
      <w:numFmt w:val="decimal"/>
      <w:lvlText w:val="%1."/>
      <w:lvlJc w:val="left"/>
      <w:pPr>
        <w:ind w:left="101" w:hanging="243"/>
        <w:jc w:val="left"/>
      </w:pPr>
      <w:rPr>
        <w:rFonts w:hint="default" w:ascii="SimSun" w:hAnsi="SimSun" w:eastAsia="SimSun" w:cs="SimSun"/>
        <w:b w:val="0"/>
        <w:bCs w:val="0"/>
        <w:i w:val="0"/>
        <w:iCs w:val="0"/>
        <w:spacing w:val="0"/>
        <w:w w:val="43"/>
        <w:sz w:val="24"/>
        <w:szCs w:val="24"/>
        <w:lang w:val="en-US" w:eastAsia="zh-CN" w:bidi="ar-SA"/>
      </w:rPr>
    </w:lvl>
    <w:lvl w:ilvl="1">
      <w:start w:val="0"/>
      <w:numFmt w:val="bullet"/>
      <w:lvlText w:val="◦"/>
      <w:lvlJc w:val="left"/>
      <w:pPr>
        <w:ind w:left="250" w:hanging="149"/>
      </w:pPr>
      <w:rPr>
        <w:rFonts w:hint="default" w:ascii="Arial" w:hAnsi="Arial" w:eastAsia="Arial" w:cs="Arial"/>
        <w:b w:val="0"/>
        <w:bCs w:val="0"/>
        <w:i w:val="0"/>
        <w:iCs w:val="0"/>
        <w:spacing w:val="0"/>
        <w:w w:val="100"/>
        <w:sz w:val="24"/>
        <w:szCs w:val="24"/>
        <w:lang w:val="en-US" w:eastAsia="zh-CN" w:bidi="ar-SA"/>
      </w:rPr>
    </w:lvl>
    <w:lvl w:ilvl="2">
      <w:start w:val="0"/>
      <w:numFmt w:val="bullet"/>
      <w:lvlText w:val="•"/>
      <w:lvlJc w:val="left"/>
      <w:pPr>
        <w:ind w:left="1396" w:hanging="149"/>
      </w:pPr>
      <w:rPr>
        <w:rFonts w:hint="default"/>
        <w:lang w:val="en-US" w:eastAsia="zh-CN" w:bidi="ar-SA"/>
      </w:rPr>
    </w:lvl>
    <w:lvl w:ilvl="3">
      <w:start w:val="0"/>
      <w:numFmt w:val="bullet"/>
      <w:lvlText w:val="•"/>
      <w:lvlJc w:val="left"/>
      <w:pPr>
        <w:ind w:left="2533" w:hanging="149"/>
      </w:pPr>
      <w:rPr>
        <w:rFonts w:hint="default"/>
        <w:lang w:val="en-US" w:eastAsia="zh-CN" w:bidi="ar-SA"/>
      </w:rPr>
    </w:lvl>
    <w:lvl w:ilvl="4">
      <w:start w:val="0"/>
      <w:numFmt w:val="bullet"/>
      <w:lvlText w:val="•"/>
      <w:lvlJc w:val="left"/>
      <w:pPr>
        <w:ind w:left="3670" w:hanging="149"/>
      </w:pPr>
      <w:rPr>
        <w:rFonts w:hint="default"/>
        <w:lang w:val="en-US" w:eastAsia="zh-CN" w:bidi="ar-SA"/>
      </w:rPr>
    </w:lvl>
    <w:lvl w:ilvl="5">
      <w:start w:val="0"/>
      <w:numFmt w:val="bullet"/>
      <w:lvlText w:val="•"/>
      <w:lvlJc w:val="left"/>
      <w:pPr>
        <w:ind w:left="4806" w:hanging="149"/>
      </w:pPr>
      <w:rPr>
        <w:rFonts w:hint="default"/>
        <w:lang w:val="en-US" w:eastAsia="zh-CN" w:bidi="ar-SA"/>
      </w:rPr>
    </w:lvl>
    <w:lvl w:ilvl="6">
      <w:start w:val="0"/>
      <w:numFmt w:val="bullet"/>
      <w:lvlText w:val="•"/>
      <w:lvlJc w:val="left"/>
      <w:pPr>
        <w:ind w:left="5943" w:hanging="149"/>
      </w:pPr>
      <w:rPr>
        <w:rFonts w:hint="default"/>
        <w:lang w:val="en-US" w:eastAsia="zh-CN" w:bidi="ar-SA"/>
      </w:rPr>
    </w:lvl>
    <w:lvl w:ilvl="7">
      <w:start w:val="0"/>
      <w:numFmt w:val="bullet"/>
      <w:lvlText w:val="•"/>
      <w:lvlJc w:val="left"/>
      <w:pPr>
        <w:ind w:left="7080" w:hanging="149"/>
      </w:pPr>
      <w:rPr>
        <w:rFonts w:hint="default"/>
        <w:lang w:val="en-US" w:eastAsia="zh-CN" w:bidi="ar-SA"/>
      </w:rPr>
    </w:lvl>
    <w:lvl w:ilvl="8">
      <w:start w:val="0"/>
      <w:numFmt w:val="bullet"/>
      <w:lvlText w:val="•"/>
      <w:lvlJc w:val="left"/>
      <w:pPr>
        <w:ind w:left="8216" w:hanging="149"/>
      </w:pPr>
      <w:rPr>
        <w:rFonts w:hint="default"/>
        <w:lang w:val="en-US" w:eastAsia="zh-CN" w:bidi="ar-SA"/>
      </w:rPr>
    </w:lvl>
  </w:abstractNum>
  <w:abstractNum w:abstractNumId="0">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7" w:hanging="613"/>
      </w:pPr>
      <w:rPr>
        <w:rFonts w:hint="default"/>
        <w:lang w:val="en-US" w:eastAsia="zh-CN" w:bidi="ar-SA"/>
      </w:rPr>
    </w:lvl>
    <w:lvl w:ilvl="2">
      <w:start w:val="0"/>
      <w:numFmt w:val="bullet"/>
      <w:lvlText w:val="•"/>
      <w:lvlJc w:val="left"/>
      <w:pPr>
        <w:ind w:left="2674" w:hanging="613"/>
      </w:pPr>
      <w:rPr>
        <w:rFonts w:hint="default"/>
        <w:lang w:val="en-US" w:eastAsia="zh-CN" w:bidi="ar-SA"/>
      </w:rPr>
    </w:lvl>
    <w:lvl w:ilvl="3">
      <w:start w:val="0"/>
      <w:numFmt w:val="bullet"/>
      <w:lvlText w:val="•"/>
      <w:lvlJc w:val="left"/>
      <w:pPr>
        <w:ind w:left="3651" w:hanging="613"/>
      </w:pPr>
      <w:rPr>
        <w:rFonts w:hint="default"/>
        <w:lang w:val="en-US" w:eastAsia="zh-CN" w:bidi="ar-SA"/>
      </w:rPr>
    </w:lvl>
    <w:lvl w:ilvl="4">
      <w:start w:val="0"/>
      <w:numFmt w:val="bullet"/>
      <w:lvlText w:val="•"/>
      <w:lvlJc w:val="left"/>
      <w:pPr>
        <w:ind w:left="4628" w:hanging="613"/>
      </w:pPr>
      <w:rPr>
        <w:rFonts w:hint="default"/>
        <w:lang w:val="en-US" w:eastAsia="zh-CN" w:bidi="ar-SA"/>
      </w:rPr>
    </w:lvl>
    <w:lvl w:ilvl="5">
      <w:start w:val="0"/>
      <w:numFmt w:val="bullet"/>
      <w:lvlText w:val="•"/>
      <w:lvlJc w:val="left"/>
      <w:pPr>
        <w:ind w:left="5605" w:hanging="613"/>
      </w:pPr>
      <w:rPr>
        <w:rFonts w:hint="default"/>
        <w:lang w:val="en-US" w:eastAsia="zh-CN" w:bidi="ar-SA"/>
      </w:rPr>
    </w:lvl>
    <w:lvl w:ilvl="6">
      <w:start w:val="0"/>
      <w:numFmt w:val="bullet"/>
      <w:lvlText w:val="•"/>
      <w:lvlJc w:val="left"/>
      <w:pPr>
        <w:ind w:left="6582" w:hanging="613"/>
      </w:pPr>
      <w:rPr>
        <w:rFonts w:hint="default"/>
        <w:lang w:val="en-US" w:eastAsia="zh-CN" w:bidi="ar-SA"/>
      </w:rPr>
    </w:lvl>
    <w:lvl w:ilvl="7">
      <w:start w:val="0"/>
      <w:numFmt w:val="bullet"/>
      <w:lvlText w:val="•"/>
      <w:lvlJc w:val="left"/>
      <w:pPr>
        <w:ind w:left="7559" w:hanging="613"/>
      </w:pPr>
      <w:rPr>
        <w:rFonts w:hint="default"/>
        <w:lang w:val="en-US" w:eastAsia="zh-CN" w:bidi="ar-SA"/>
      </w:rPr>
    </w:lvl>
    <w:lvl w:ilvl="8">
      <w:start w:val="0"/>
      <w:numFmt w:val="bullet"/>
      <w:lvlText w:val="•"/>
      <w:lvlJc w:val="left"/>
      <w:pPr>
        <w:ind w:left="8536" w:hanging="613"/>
      </w:pPr>
      <w:rPr>
        <w:rFonts w:hint="default"/>
        <w:lang w:val="en-US" w:eastAsia="zh-CN"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Title" w:type="paragraph">
    <w:name w:val="Title"/>
    <w:basedOn w:val="Normal"/>
    <w:uiPriority w:val="1"/>
    <w:qFormat/>
    <w:pPr>
      <w:spacing w:before="147"/>
      <w:ind w:left="598"/>
    </w:pPr>
    <w:rPr>
      <w:rFonts w:ascii="SimSun" w:hAnsi="SimSun" w:eastAsia="SimSun" w:cs="SimSun"/>
      <w:sz w:val="68"/>
      <w:szCs w:val="68"/>
      <w:u w:val="single" w:color="000000"/>
      <w:lang w:val="en-US" w:eastAsia="zh-CN" w:bidi="ar-SA"/>
    </w:rPr>
  </w:style>
  <w:style w:styleId="ListParagraph" w:type="paragraph">
    <w:name w:val="List Paragraph"/>
    <w:basedOn w:val="Normal"/>
    <w:uiPriority w:val="1"/>
    <w:qFormat/>
    <w:pPr>
      <w:spacing w:before="81"/>
      <w:ind w:left="101"/>
    </w:pPr>
    <w:rPr>
      <w:rFonts w:ascii="SimSun" w:hAnsi="SimSun" w:eastAsia="SimSun" w:cs="SimSu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概括题之概括影响</dc:creator>
  <dc:description/>
  <dc:subject>概括题之概括影响</dc:subject>
  <dc:title>申论领跑营2023版方法精讲班</dc:title>
  <dcterms:created xsi:type="dcterms:W3CDTF">2026-06-24T09:40:08Z</dcterms:created>
  <dcterms:modified xsi:type="dcterms:W3CDTF">2026-06-24T09:40:08Z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2026-06-13T00:00:00Z</vt:filetime>
  </property>
  <property fmtid="{D5CDD505-2E9C-101B-9397-08002B2CF9AE}" pid="3" name="Creator">
    <vt:lpwstr>WPS 文字</vt:lpwstr>
  </property>
  <property fmtid="{D5CDD505-2E9C-101B-9397-08002B2CF9AE}" pid="4" name="LastSaved">
    <vt:filetime>2026-06-24T00:00:00Z</vt:filetime>
  </property>
  <property fmtid="{D5CDD505-2E9C-101B-9397-08002B2CF9AE}" pid="5" name="SourceModified">
    <vt:lpwstr>D:20260613194539+08'00'</vt:lpwstr>
  </property>
</Properties>
</file>