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sz w:val="20"/>
          <w:szCs w:val="20"/>
        </w:rPr>
        <w:t xml:space="preserve">Pflichtenheft „Capstone-Projekt (CAP)“ – Prof. Dr. Markus Cremer – WS 26/27</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trHeight w:val="80" w:hRule="exact"/>
        </w:trPr>
        <w:tc>
          <w:tcPr>
            <w:tcW w:type="dxa" w:w="3023"/>
            <w:tcBorders>
              <w:top w:val="none" w:color="FFFFFF" w:sz="0"/>
              <w:left w:val="none" w:color="FFFFFF" w:sz="0"/>
              <w:bottom w:val="none" w:color="FFFFFF" w:sz="0"/>
              <w:right w:val="none" w:color="FFFFFF" w:sz="0"/>
            </w:tcBorders>
            <w:shd w:fill="C42127" w:color="auto" w:val="clear"/>
          </w:tcPr>
          <w:p>
            <w:pPr>
              <w:spacing w:after="0" w:line="60" w:lineRule="exact"/>
            </w:pPr>
            <w:r>
              <w:rPr>
                <w:sz w:val="4"/>
                <w:szCs w:val="4"/>
              </w:rPr>
              <w:t xml:space="preserve"/>
            </w:r>
          </w:p>
        </w:tc>
        <w:tc>
          <w:tcPr>
            <w:tcW w:type="dxa" w:w="3023"/>
            <w:tcBorders>
              <w:top w:val="none" w:color="FFFFFF" w:sz="0"/>
              <w:left w:val="none" w:color="FFFFFF" w:sz="0"/>
              <w:bottom w:val="none" w:color="FFFFFF" w:sz="0"/>
              <w:right w:val="none" w:color="FFFFFF" w:sz="0"/>
            </w:tcBorders>
            <w:shd w:fill="E8601C" w:color="auto" w:val="clear"/>
          </w:tcPr>
          <w:p>
            <w:pPr>
              <w:spacing w:after="0" w:line="60" w:lineRule="exact"/>
            </w:pPr>
            <w:r>
              <w:rPr>
                <w:sz w:val="4"/>
                <w:szCs w:val="4"/>
              </w:rPr>
              <w:t xml:space="preserve"/>
            </w:r>
          </w:p>
        </w:tc>
        <w:tc>
          <w:tcPr>
            <w:tcW w:type="dxa" w:w="3023"/>
            <w:tcBorders>
              <w:top w:val="none" w:color="FFFFFF" w:sz="0"/>
              <w:left w:val="none" w:color="FFFFFF" w:sz="0"/>
              <w:bottom w:val="none" w:color="FFFFFF" w:sz="0"/>
              <w:right w:val="none" w:color="FFFFFF" w:sz="0"/>
            </w:tcBorders>
            <w:shd w:fill="B6267E" w:color="auto" w:val="clear"/>
          </w:tcPr>
          <w:p>
            <w:pPr>
              <w:spacing w:after="0" w:line="60" w:lineRule="exact"/>
            </w:pPr>
            <w:r>
              <w:rPr>
                <w:sz w:val="4"/>
                <w:szCs w:val="4"/>
              </w:rPr>
              <w:t xml:space="preserve"/>
            </w:r>
          </w:p>
        </w:tc>
      </w:tr>
    </w:tbl>
    <w:p>
      <w:pPr>
        <w:spacing w:after="1400"/>
      </w:pPr>
    </w:p>
    <w:p>
      <w:pPr>
        <w:spacing w:after="120"/>
      </w:pPr>
      <w:r>
        <w:rPr>
          <w:sz w:val="64"/>
          <w:szCs w:val="64"/>
        </w:rPr>
        <w:t xml:space="preserve">Pflichtenheft</w:t>
      </w:r>
    </w:p>
    <w:p>
      <w:pPr>
        <w:spacing w:after="600"/>
      </w:pPr>
      <w:r>
        <w:rPr>
          <w:color w:val="595959"/>
          <w:sz w:val="28"/>
          <w:szCs w:val="28"/>
        </w:rPr>
        <w:t xml:space="preserve">[Miniaturisierter Beschleunigungs-Datenlogger für Tiere]</w:t>
      </w:r>
    </w:p>
    <w:p>
      <w:pPr>
        <w:spacing w:after="120"/>
      </w:pPr>
      <w:r>
        <w:rPr>
          <w:color w:val="595959"/>
          <w:sz w:val="24"/>
          <w:szCs w:val="24"/>
        </w:rPr>
        <w:t xml:space="preserve">Version 0.1 (Entwurf)</w:t>
      </w:r>
    </w:p>
    <w:p>
      <w:pPr>
        <w:spacing w:after="1600"/>
      </w:pPr>
      <w:r>
        <w:rPr>
          <w:color w:val="595959"/>
          <w:sz w:val="24"/>
          <w:szCs w:val="24"/>
        </w:rPr>
        <w:t xml:space="preserve">[17.10.2026]</w:t>
      </w:r>
    </w:p>
    <w:p>
      <w:pPr>
        <w:spacing w:after="600"/>
      </w:pPr>
      <w:r>
        <w:rPr>
          <w:b/>
          <w:bCs/>
          <w:sz w:val="21"/>
          <w:szCs w:val="21"/>
        </w:rPr>
        <w:t xml:space="preserve">Erstellt von </w:t>
      </w:r>
      <w:r>
        <w:rPr>
          <w:b/>
          <w:bCs/>
          <w:sz w:val="21"/>
          <w:szCs w:val="21"/>
        </w:rPr>
        <w:t xml:space="preserve">[Laurenz Untiedt, Name 2, Name 3, Name 4, Name 5]</w:t>
      </w:r>
    </w:p>
    <w:p>
      <w:pPr>
        <w:spacing w:after="0" w:line="552" w:lineRule="exact"/>
      </w:pPr>
      <w:r>
        <w:rPr>
          <w:rFonts w:ascii="Aptos" w:cs="Aptos" w:eastAsia="Aptos" w:hAnsi="Aptos"/>
          <w:b/>
          <w:bCs/>
          <w:color w:val="C42127"/>
          <w:sz w:val="48"/>
          <w:szCs w:val="48"/>
        </w:rPr>
        <w:t xml:space="preserve">Technology</w:t>
      </w:r>
    </w:p>
    <w:p>
      <w:pPr>
        <w:spacing w:after="0" w:line="552" w:lineRule="exact"/>
      </w:pPr>
      <w:r>
        <w:rPr>
          <w:rFonts w:ascii="Aptos" w:cs="Aptos" w:eastAsia="Aptos" w:hAnsi="Aptos"/>
          <w:b/>
          <w:bCs/>
          <w:color w:val="E8601C"/>
          <w:sz w:val="48"/>
          <w:szCs w:val="48"/>
        </w:rPr>
        <w:t xml:space="preserve">Arts </w:t>
      </w:r>
      <w:r>
        <w:rPr>
          <w:rFonts w:ascii="Aptos" w:cs="Aptos" w:eastAsia="Aptos" w:hAnsi="Aptos"/>
          <w:b/>
          <w:bCs/>
          <w:color w:val="B6267E"/>
          <w:sz w:val="48"/>
          <w:szCs w:val="48"/>
        </w:rPr>
        <w:t xml:space="preserve">Sciences</w:t>
      </w:r>
    </w:p>
    <w:p>
      <w:pPr>
        <w:spacing w:after="0" w:line="621" w:lineRule="exact"/>
      </w:pPr>
      <w:r>
        <w:rPr>
          <w:rFonts w:ascii="Aptos" w:cs="Aptos" w:eastAsia="Aptos" w:hAnsi="Aptos"/>
          <w:b/>
          <w:bCs/>
          <w:color w:val="262626"/>
          <w:sz w:val="54"/>
          <w:szCs w:val="54"/>
        </w:rPr>
        <w:t xml:space="preserve">TH Köln</w:t>
      </w:r>
    </w:p>
    <w:p>
      <w:pPr>
        <w:spacing w:after="1500"/>
      </w:pP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trHeight w:val="80" w:hRule="exact"/>
        </w:trPr>
        <w:tc>
          <w:tcPr>
            <w:tcW w:type="dxa" w:w="3023"/>
            <w:tcBorders>
              <w:top w:val="none" w:color="FFFFFF" w:sz="0"/>
              <w:left w:val="none" w:color="FFFFFF" w:sz="0"/>
              <w:bottom w:val="none" w:color="FFFFFF" w:sz="0"/>
              <w:right w:val="none" w:color="FFFFFF" w:sz="0"/>
            </w:tcBorders>
            <w:shd w:fill="C42127" w:color="auto" w:val="clear"/>
          </w:tcPr>
          <w:p>
            <w:pPr>
              <w:spacing w:after="0" w:line="60" w:lineRule="exact"/>
            </w:pPr>
            <w:r>
              <w:rPr>
                <w:sz w:val="4"/>
                <w:szCs w:val="4"/>
              </w:rPr>
              <w:t xml:space="preserve"/>
            </w:r>
          </w:p>
        </w:tc>
        <w:tc>
          <w:tcPr>
            <w:tcW w:type="dxa" w:w="3023"/>
            <w:tcBorders>
              <w:top w:val="none" w:color="FFFFFF" w:sz="0"/>
              <w:left w:val="none" w:color="FFFFFF" w:sz="0"/>
              <w:bottom w:val="none" w:color="FFFFFF" w:sz="0"/>
              <w:right w:val="none" w:color="FFFFFF" w:sz="0"/>
            </w:tcBorders>
            <w:shd w:fill="E8601C" w:color="auto" w:val="clear"/>
          </w:tcPr>
          <w:p>
            <w:pPr>
              <w:spacing w:after="0" w:line="60" w:lineRule="exact"/>
            </w:pPr>
            <w:r>
              <w:rPr>
                <w:sz w:val="4"/>
                <w:szCs w:val="4"/>
              </w:rPr>
              <w:t xml:space="preserve"/>
            </w:r>
          </w:p>
        </w:tc>
        <w:tc>
          <w:tcPr>
            <w:tcW w:type="dxa" w:w="3023"/>
            <w:tcBorders>
              <w:top w:val="none" w:color="FFFFFF" w:sz="0"/>
              <w:left w:val="none" w:color="FFFFFF" w:sz="0"/>
              <w:bottom w:val="none" w:color="FFFFFF" w:sz="0"/>
              <w:right w:val="none" w:color="FFFFFF" w:sz="0"/>
            </w:tcBorders>
            <w:shd w:fill="B6267E" w:color="auto" w:val="clear"/>
          </w:tcPr>
          <w:p>
            <w:pPr>
              <w:spacing w:after="0" w:line="60" w:lineRule="exact"/>
            </w:pPr>
            <w:r>
              <w:rPr>
                <w:sz w:val="4"/>
                <w:szCs w:val="4"/>
              </w:rPr>
              <w:t xml:space="preserve"/>
            </w:r>
          </w:p>
        </w:tc>
      </w:tr>
    </w:tbl>
    <w:p>
      <w:r>
        <w:br w:type="page"/>
      </w:r>
    </w:p>
    <w:p>
      <w:pPr>
        <w:pStyle w:val="Heading1"/>
      </w:pPr>
      <w:r>
        <w:t xml:space="preserve">A Änderungsprotokoll</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870"/>
        <w:gridCol w:w="1500"/>
        <w:gridCol w:w="1700"/>
      </w:tblGrid>
      <w:tr>
        <w:trPr>
          <w:cantSplit/>
          <w:tblHeader/>
        </w:trPr>
        <w:tc>
          <w:tcPr>
            <w:tcW w:type="dxa" w:w="1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Version</w:t>
            </w:r>
          </w:p>
        </w:tc>
        <w:tc>
          <w:tcPr>
            <w:tcW w:type="dxa" w:w="48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Änderungen</w:t>
            </w:r>
          </w:p>
        </w:tc>
        <w:tc>
          <w:tcPr>
            <w:tcW w:type="dxa" w:w="15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Datum</w:t>
            </w:r>
          </w:p>
        </w:tc>
        <w:tc>
          <w:tcPr>
            <w:tcW w:type="dxa" w:w="17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Geändert von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0.1</w:t>
            </w:r>
          </w:p>
        </w:tc>
        <w:tc>
          <w:tcPr>
            <w:tcW w:type="dxa" w:w="48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Vorläufiges Pflichtenheft auf Basis des Lastenhefts 0.1; Mikrocontroller nRF54L15 festgelegt, übrige Bauteile als Kandidaten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17.10.2026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LU</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48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r>
    </w:tbl>
    <w:p>
      <w:pPr>
        <w:spacing w:after="200"/>
      </w:pPr>
    </w:p>
    <w:p>
      <w:pPr>
        <w:pStyle w:val="Heading1"/>
      </w:pPr>
      <w:r>
        <w:t xml:space="preserve">B Inhalt</w:t>
      </w:r>
    </w:p>
    <w:p>
      <w:pPr>
        <w:spacing w:after="120" w:before="200"/>
      </w:pPr>
      <w:r>
        <w:rPr>
          <w:b/>
          <w:bCs/>
          <w:color w:val="1F4E6B"/>
          <w:sz w:val="26"/>
          <w:szCs w:val="26"/>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 Glossar</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70"/>
      </w:tblGrid>
      <w:tr>
        <w:trPr>
          <w:cantSplit/>
          <w:tblHeader/>
        </w:trPr>
        <w:tc>
          <w:tcPr>
            <w:tcW w:type="dxa" w:w="23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Begriff</w:t>
            </w:r>
          </w:p>
        </w:tc>
        <w:tc>
          <w:tcPr>
            <w:tcW w:type="dxa" w:w="67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Erläuterung</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ODBA / VeDBA</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Overall / Vectorial Dynamic Body Acceleration: Aktivitätsmaße aus der um die Schwerkraft bereinigten Beschleunigung.</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Gangperiodizität</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Wiederkehrendes Beschleunigungsmuster beim Gehen/Laufen, z. B. per Autokorrelation ausgewertet.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IMU</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Inertial Measurement Unit: Sensor mit Beschleunigungs- (und ggf. Drehraten-)messung.</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ODR</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Output Data Rate: Abtastrate des Sensors.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FIFO / Watermark</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Zwischenspeicher im Sensor; bei Erreichen eines Füllstands (Watermark) wird ein Interrupt ausgelöst.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BLE</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Bluetooth Low Energy.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NOR- / NAND-Flash</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Nichtflüchtige Speicher; NAND bietet mehr Kapazität, erfordert aber Bad-Block-Management.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Brown-out</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Einbruch der Versorgungsspannung unter die Mindestbetriebsspannung.</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DK</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Development Kit: Entwicklungsboard des Herstellers.</w:t>
            </w:r>
          </w:p>
        </w:tc>
      </w:tr>
    </w:tbl>
    <w:p>
      <w:pPr>
        <w:pStyle w:val="Heading1"/>
      </w:pPr>
      <w:r>
        <w:t xml:space="preserve">1 Grundlage</w:t>
      </w:r>
    </w:p>
    <w:p>
      <w:pPr>
        <w:spacing w:after="120" w:line="276"/>
      </w:pPr>
      <w:r>
        <w:t xml:space="preserve">Entwickelt wird ein Prototyp eines miniaturisierten, batteriebetriebenen Datenloggers, der die dreiachsige Beschleunigung von Tieren aufzeichnet und die Rohdaten per Bluetooth Low Energy bereitstellt.</w:t>
      </w:r>
    </w:p>
    <w:p>
      <w:pPr>
        <w:spacing w:after="120" w:line="276"/>
      </w:pPr>
      <w:r>
        <w:rPr>
          <w:b/>
          <w:bCs/>
        </w:rPr>
        <w:t xml:space="preserve">Datenbasis:</w:t>
      </w:r>
    </w:p>
    <w:p>
      <w:pPr>
        <w:pStyle w:val="ListParagraph"/>
        <w:numPr>
          <w:ilvl w:val="0"/>
          <w:numId w:val="2"/>
        </w:numPr>
        <w:spacing w:after="60" w:line="264"/>
      </w:pPr>
      <w:r>
        <w:t xml:space="preserve">Lastenheft „Miniaturisierter Beschleunigungs-Datenlogger für Tiere“, Version 0.1, Stand 17.10.2026</w:t>
      </w:r>
    </w:p>
    <w:p>
      <w:pPr>
        <w:pStyle w:val="ListParagraph"/>
        <w:numPr>
          <w:ilvl w:val="0"/>
          <w:numId w:val="2"/>
        </w:numPr>
        <w:spacing w:after="60" w:line="264"/>
      </w:pPr>
      <w:r>
        <w:t xml:space="preserve">Themenbeschreibung „Miniaturised Battery-Powered Acceleration Data Logger for Animal-Borne Field Measurements“, ERTS Lab, Stand Oktober 2026</w:t>
      </w:r>
    </w:p>
    <w:p>
      <w:pPr>
        <w:pStyle w:val="ListParagraph"/>
        <w:numPr>
          <w:ilvl w:val="0"/>
          <w:numId w:val="2"/>
        </w:numPr>
        <w:spacing w:after="60" w:line="264"/>
      </w:pPr>
      <w:r>
        <w:t xml:space="preserve">Absprachen mit Prof. Dr. Markus Cremer (E-Mail vom [Datum], Gespräch zur Wahl des Mikrocontrollers)</w:t>
      </w:r>
    </w:p>
    <w:p>
      <w:pPr>
        <w:pStyle w:val="ListParagraph"/>
        <w:numPr>
          <w:ilvl w:val="0"/>
          <w:numId w:val="2"/>
        </w:numPr>
        <w:spacing w:after="60" w:line="264"/>
      </w:pPr>
      <w:r>
        <w:t xml:space="preserve">Modulhandbuch BaET2020, Modul CAP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2E6E8E" w:sz="6"/>
              <w:left w:val="single" w:color="2E6E8E" w:sz="24"/>
              <w:bottom w:val="single" w:color="2E6E8E" w:sz="6"/>
              <w:right w:val="single" w:color="2E6E8E" w:sz="6"/>
            </w:tcBorders>
            <w:shd w:fill="EEF4F8" w:color="auto" w:val="clear"/>
            <w:tcMar>
              <w:top w:type="dxa" w:w="80"/>
              <w:left w:type="dxa" w:w="140"/>
              <w:bottom w:type="dxa" w:w="80"/>
              <w:right w:type="dxa" w:w="140"/>
            </w:tcMar>
          </w:tcPr>
          <w:p>
            <w:pPr>
              <w:spacing w:after="0" w:line="252"/>
            </w:pPr>
            <w:r>
              <w:rPr>
                <w:b/>
                <w:bCs/>
                <w:sz w:val="19"/>
                <w:szCs w:val="19"/>
              </w:rPr>
              <w:t xml:space="preserve">Stand: </w:t>
            </w:r>
            <w:r>
              <w:rPr>
                <w:sz w:val="19"/>
                <w:szCs w:val="19"/>
              </w:rPr>
              <w:t xml:space="preserve">Version 0.1 ist vorläufig. Zielwerte und Bauteile werden bis Meilenstein M1 hergeleitet bzw. ausgewählt und in Version 1.0 eingetragen.</w:t>
            </w:r>
          </w:p>
        </w:tc>
      </w:tr>
    </w:tbl>
    <w:p>
      <w:pPr>
        <w:pStyle w:val="Heading1"/>
      </w:pPr>
      <w:r>
        <w:t xml:space="preserve">2 Einführung</w:t>
      </w:r>
    </w:p>
    <w:p>
      <w:pPr>
        <w:pStyle w:val="Heading2"/>
      </w:pPr>
      <w:r>
        <w:t xml:space="preserve">2.1 Anforderungen</w:t>
      </w:r>
    </w:p>
    <w:p>
      <w:pPr>
        <w:spacing w:after="120" w:line="276"/>
      </w:pPr>
      <w:r>
        <w:t xml:space="preserve">Es gelten die Anforderungen F1–F11 und NF1–NF6 des Lastenhefts. Die dort offen gelassenen Zielwerte werden in AP0 wie folgt hergeleitet: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5170"/>
        <w:gridCol w:w="1200"/>
      </w:tblGrid>
      <w:tr>
        <w:trPr>
          <w:cantSplit/>
          <w:tblHeader/>
        </w:trPr>
        <w:tc>
          <w:tcPr>
            <w:tcW w:type="dxa" w:w="27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Zielwert</w:t>
            </w:r>
          </w:p>
        </w:tc>
        <w:tc>
          <w:tcPr>
            <w:tcW w:type="dxa" w:w="51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Hergeleitet aus</w:t>
            </w:r>
          </w:p>
        </w:tc>
        <w:tc>
          <w:tcPr>
            <w:tcW w:type="dxa" w:w="12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AP</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Abtastrate, Auflösung, Messbereich</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Anforderungen von ODBA/VeDBA und Gangperiodizität, Bewegungsprofil der Tierart, Referenzaufnahmen</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AP0, AP2</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Aufzeichnungsdauer</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Bedarf der geplanten Analysen (O3), Speicher- und Energiebudget (Abschnitt 3.2.2)</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AP0, AP1, AP3</w:t>
            </w:r>
          </w:p>
        </w:tc>
      </w:tr>
      <w:tr>
        <w:trPr>
          <w:cantSplit/>
        </w:trPr>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Masse und Abmessungen</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Tierart und Körpermasse (O1), Befestigung (O2), Größe von Zelle und Platine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AP0, AP5</w:t>
            </w:r>
          </w:p>
        </w:tc>
      </w:tr>
    </w:tbl>
    <w:p>
      <w:pPr>
        <w:pStyle w:val="Heading2"/>
      </w:pPr>
      <w:r>
        <w:t xml:space="preserve">2.2 Entwicklungsumgebung</w:t>
      </w:r>
    </w:p>
    <w:p>
      <w:pPr>
        <w:pStyle w:val="ListParagraph"/>
        <w:numPr>
          <w:ilvl w:val="0"/>
          <w:numId w:val="2"/>
        </w:numPr>
        <w:spacing w:after="60" w:line="264"/>
      </w:pPr>
      <w:r>
        <w:rPr>
          <w:b/>
          <w:bCs/>
        </w:rPr>
        <w:t xml:space="preserve">Hardware:</w:t>
      </w:r>
      <w:r>
        <w:t xml:space="preserve"> KiCad, ein gemeinsames Projekt mit einem Schaltplanblatt je Funktionsblock</w:t>
      </w:r>
    </w:p>
    <w:p>
      <w:pPr>
        <w:pStyle w:val="ListParagraph"/>
        <w:numPr>
          <w:ilvl w:val="0"/>
          <w:numId w:val="2"/>
        </w:numPr>
        <w:spacing w:after="60" w:line="264"/>
      </w:pPr>
      <w:r>
        <w:rPr>
          <w:b/>
          <w:bCs/>
        </w:rPr>
        <w:t xml:space="preserve">Firmware:</w:t>
      </w:r>
      <w:r>
        <w:t xml:space="preserve"> C mit nRF Connect SDK (Zephyr RTOS) in Visual Studio Code</w:t>
      </w:r>
    </w:p>
    <w:p>
      <w:pPr>
        <w:pStyle w:val="ListParagraph"/>
        <w:numPr>
          <w:ilvl w:val="0"/>
          <w:numId w:val="2"/>
        </w:numPr>
        <w:spacing w:after="60" w:line="264"/>
      </w:pPr>
      <w:r>
        <w:rPr>
          <w:b/>
          <w:bCs/>
        </w:rPr>
        <w:t xml:space="preserve">Proof of Concept:</w:t>
      </w:r>
      <w:r>
        <w:t xml:space="preserve"> nRF54L15 DK mit Breakout-Boards für Sensor und Speicher, damit die Firmware vor Eintreffen der Leiterplatte entsteht</w:t>
      </w:r>
    </w:p>
    <w:p>
      <w:pPr>
        <w:pStyle w:val="ListParagraph"/>
        <w:numPr>
          <w:ilvl w:val="0"/>
          <w:numId w:val="2"/>
        </w:numPr>
        <w:spacing w:after="60" w:line="264"/>
      </w:pPr>
      <w:r>
        <w:rPr>
          <w:b/>
          <w:bCs/>
        </w:rPr>
        <w:t xml:space="preserve">Weitere Werkzeuge:</w:t>
      </w:r>
      <w:r>
        <w:t xml:space="preserve"> Python (Auslesen, Auswertung), CAD und 3D-Druck (Gehäuse), Strommesstechnik des Labors, Git auf der GitLab-Instanz der Hochschule</w:t>
      </w:r>
    </w:p>
    <w:p>
      <w:pPr>
        <w:pStyle w:val="Heading2"/>
      </w:pPr>
      <w:r>
        <w:t xml:space="preserve">2.3 Funktionsbeschreibung</w:t>
      </w:r>
    </w:p>
    <w:p>
      <w:pPr>
        <w:spacing w:after="120" w:line="276"/>
      </w:pPr>
      <w:r>
        <w:t xml:space="preserve">Nach dem Start misst der Sensor mit der gewählten Abtastrate und puffert die Werte in seinem FIFO. Der Mikrocontroller wird nur geweckt, um den FIFO blockweise auszulesen und die Daten gesammelt in den Flash zu schreiben; BLE ist während der Aufnahme aus. Nach der Aufnahme wird das Gerät geweckt und die Daten werden per BLE an ein PC-Werkzeug übertragen, geprüft und exportiert.</w:t>
      </w:r>
    </w:p>
    <w:p>
      <w:pPr>
        <w:pStyle w:val="Heading2"/>
      </w:pPr>
      <w:r>
        <w:t xml:space="preserve">2.4 Lieferumfang</w:t>
      </w:r>
    </w:p>
    <w:p>
      <w:pPr>
        <w:spacing w:after="120" w:line="276"/>
      </w:pPr>
      <w:r>
        <w:t xml:space="preserve">Gemäß Lastenheft, Abschnitt 7. Quellen und Dokumente liegen im Git-Repository, Dokumente zusätzlich als PDF; die Hardware wird im ERTS Lab übergeben.</w:t>
      </w:r>
    </w:p>
    <w:p>
      <w:pPr>
        <w:pStyle w:val="Heading2"/>
      </w:pPr>
      <w:r>
        <w:t xml:space="preserve">2.5 Test</w:t>
      </w:r>
    </w:p>
    <w:p>
      <w:pPr>
        <w:spacing w:after="120" w:line="276"/>
      </w:pPr>
      <w:r>
        <w:t xml:space="preserve">Firmware-Funktionen werden zunächst auf dem DK getestet, danach schrittweise am Prototyp im ERTS Lab; die Praxisaufnahme erfolgt im Zoo oder ersatzweise an einem Testobjekt.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170"/>
        <w:gridCol w:w="2000"/>
      </w:tblGrid>
      <w:tr>
        <w:trPr>
          <w:cantSplit/>
          <w:tblHeader/>
        </w:trPr>
        <w:tc>
          <w:tcPr>
            <w:tcW w:type="dxa" w:w="19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Testgruppe</w:t>
            </w:r>
          </w:p>
        </w:tc>
        <w:tc>
          <w:tcPr>
            <w:tcW w:type="dxa" w:w="51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Inhalt</w:t>
            </w:r>
          </w:p>
        </w:tc>
        <w:tc>
          <w:tcPr>
            <w:tcW w:type="dxa" w:w="2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Anforderungen</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Inbetriebnahme</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Sichtprüfung, Smoke-Test am strombegrenzten Netzteil, Programmierung über SWD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Funktion</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Sensor und FIFO-Interrupt, Speicher-Schreib-/Lesetest, BLE-Download mit Vollständigkeitsprüfung</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F1–F4, F6, F7, F10</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Dauertest</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Aufnahme über die Zieldauer; Daten lückenlos, Abtastung gleichmäßig, Zeitbezug korrekt; Datenerhalt nach Spannungsunterbrechung</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F5, F8, NF4</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Charakterisierung</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Strom je Betriebszustand über Messshunt, Laufzeit an der Zelle, Spannungseinbruch bei BLE; Abgleich mit dem Energiebudget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NF3</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Validierung</w:t>
            </w:r>
          </w:p>
        </w:tc>
        <w:tc>
          <w:tcPr>
            <w:tcW w:type="dxa" w:w="51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Signalqualität gegenüber Referenzaufnahmen, Masse und Mechanik, Praxisaufnahme mit Videoabgleich</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F3, F9, NF1, NF2, NF5</w:t>
            </w:r>
          </w:p>
        </w:tc>
      </w:tr>
    </w:tbl>
    <w:p>
      <w:pPr>
        <w:pStyle w:val="Heading2"/>
      </w:pPr>
      <w:r>
        <w:t xml:space="preserve">2.6 Abnahme</w:t>
      </w:r>
    </w:p>
    <w:p>
      <w:pPr>
        <w:spacing w:after="120" w:line="276"/>
      </w:pPr>
      <w:r>
        <w:t xml:space="preserve">Die Abnahme erfolgt mit dem Auftraggeber auf Basis dieser Spezifikation, der Testprotokolle und der Abnahmekriterien des Lastenhefts.</w:t>
      </w:r>
    </w:p>
    <w:p>
      <w:pPr>
        <w:pStyle w:val="Heading1"/>
      </w:pPr>
      <w:r>
        <w:t xml:space="preserve">3 Implementierung</w:t>
      </w:r>
    </w:p>
    <w:p>
      <w:pPr>
        <w:pStyle w:val="Heading2"/>
      </w:pPr>
      <w:r>
        <w:t xml:space="preserve">3.1 Mechanisch</w:t>
      </w:r>
    </w:p>
    <w:p>
      <w:pPr>
        <w:spacing w:after="120" w:line="276"/>
      </w:pPr>
      <w:r>
        <w:t xml:space="preserve">Eine kompakte Leiterplatte mit Zellenhalter sitzt in einem 3D-gedruckten Gehäuse mit Befestigung für Halsband oder Geschirr; alternativ wird eine Schutzlackierung bewertet. Der Antennenbereich bleibt frei von Metall, die Achsrichtungen werden außen markiert. Maße und Masse folgen aus Abschnitt 2.1.</w:t>
      </w:r>
    </w:p>
    <w:p>
      <w:pPr>
        <w:pStyle w:val="Heading2"/>
      </w:pPr>
      <w:r>
        <w:t xml:space="preserve">3.2 Elektrisch</w:t>
      </w:r>
    </w:p>
    <w:p>
      <w:pPr>
        <w:keepNext/>
        <w:spacing w:after="60" w:before="120"/>
        <w:jc w:val="center"/>
      </w:pPr>
      <w:r>
        <w:drawing>
          <wp:inline distT="0" distB="0" distL="0" distR="0">
            <wp:extent cx="4000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895725"/>
                    </a:xfrm>
                    <a:prstGeom prst="rect">
                      <a:avLst/>
                    </a:prstGeom>
                  </pic:spPr>
                </pic:pic>
              </a:graphicData>
            </a:graphic>
          </wp:inline>
        </w:drawing>
      </w:r>
    </w:p>
    <w:p>
      <w:pPr>
        <w:spacing w:after="200"/>
        <w:jc w:val="center"/>
      </w:pPr>
      <w:r>
        <w:rPr>
          <w:i/>
          <w:iCs/>
          <w:color w:val="595959"/>
          <w:sz w:val="18"/>
          <w:szCs w:val="18"/>
        </w:rPr>
        <w:t xml:space="preserve">Abbildung 1: Hardware-Blockdiagramm mit Zuordnung zu den Arbeitspaketen</w:t>
      </w:r>
    </w:p>
    <w:p>
      <w:pPr>
        <w:spacing w:after="120" w:line="276"/>
      </w:pPr>
      <w:r>
        <w:t xml:space="preserve">Die Komponenten werden direkt aus der Zelle versorgt, sofern alle Bauteile bis zur Entladeschlussspannung spezifiziert sind; das ist ein Auswahlkriterium für den Speicher. Pufferkapazität gegen Spannungseinbrüche, ein Messshunt und eine SWD-Schnittstelle sind fest vorgesehen.</w:t>
      </w:r>
    </w:p>
    <w:p>
      <w:pPr>
        <w:pStyle w:val="Heading3"/>
      </w:pPr>
      <w:r>
        <w:t xml:space="preserve">3.2.1 Bauteilauswahl</w:t>
      </w:r>
    </w:p>
    <w:p>
      <w:pPr>
        <w:spacing w:after="120" w:line="276"/>
      </w:pPr>
      <w:r>
        <w:t xml:space="preserve">Festlegung bis M1 anhand der genannten Kriterien: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70"/>
        <w:gridCol w:w="3500"/>
        <w:gridCol w:w="700"/>
      </w:tblGrid>
      <w:tr>
        <w:trPr>
          <w:cantSplit/>
          <w:tblHeader/>
        </w:trPr>
        <w:tc>
          <w:tcPr>
            <w:tcW w:type="dxa" w:w="19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Block</w:t>
            </w:r>
          </w:p>
        </w:tc>
        <w:tc>
          <w:tcPr>
            <w:tcW w:type="dxa" w:w="29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Kandidaten</w:t>
            </w:r>
          </w:p>
        </w:tc>
        <w:tc>
          <w:tcPr>
            <w:tcW w:type="dxa" w:w="35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Kriterien</w:t>
            </w:r>
          </w:p>
        </w:tc>
        <w:tc>
          <w:tcPr>
            <w:tcW w:type="dxa" w:w="7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AP</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Mikrocontroller</w:t>
            </w:r>
          </w:p>
        </w:tc>
        <w:tc>
          <w:tcPr>
            <w:tcW w:type="dxa" w:w="29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nRF54L15</w:t>
            </w:r>
            <w:r>
              <w:rPr>
                <w:sz w:val="19"/>
                <w:szCs w:val="19"/>
              </w:rPr>
              <w:t xml:space="preserve"> (festgelegt)</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Abstimmung mit dem Labor</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AP2</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Antenne</w:t>
            </w:r>
          </w:p>
        </w:tc>
        <w:tc>
          <w:tcPr>
            <w:tcW w:type="dxa" w:w="29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pStyle w:val="ListParagraph"/>
              <w:numPr>
                <w:ilvl w:val="0"/>
                <w:numId w:val="3"/>
              </w:numPr>
              <w:spacing w:after="30" w:before="30" w:line="252"/>
            </w:pPr>
            <w:r>
              <w:rPr>
                <w:sz w:val="19"/>
                <w:szCs w:val="19"/>
              </w:rPr>
              <w:t xml:space="preserve">Funkmodul mit integrierter Antenne</w:t>
            </w:r>
          </w:p>
          <w:p>
            <w:pPr>
              <w:pStyle w:val="ListParagraph"/>
              <w:numPr>
                <w:ilvl w:val="0"/>
                <w:numId w:val="3"/>
              </w:numPr>
              <w:spacing w:after="30" w:before="30" w:line="252"/>
            </w:pPr>
            <w:r>
              <w:rPr>
                <w:sz w:val="19"/>
                <w:szCs w:val="19"/>
              </w:rPr>
              <w:t xml:space="preserve">SoC mit Chip-Antenne und Anpassnetzwerk</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Fläche, HF-Risiko, Zulassungsfrage (O5)</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AP2 / AP4</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Beschleunigungs­sensor</w:t>
            </w:r>
          </w:p>
        </w:tc>
        <w:tc>
          <w:tcPr>
            <w:tcW w:type="dxa" w:w="29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pStyle w:val="ListParagraph"/>
              <w:numPr>
                <w:ilvl w:val="0"/>
                <w:numId w:val="3"/>
              </w:numPr>
              <w:spacing w:after="30" w:before="30" w:line="252"/>
            </w:pPr>
            <w:r>
              <w:rPr>
                <w:sz w:val="19"/>
                <w:szCs w:val="19"/>
              </w:rPr>
              <w:t xml:space="preserve">LSM6DSV16X (Referenz)</w:t>
            </w:r>
          </w:p>
          <w:p>
            <w:pPr>
              <w:pStyle w:val="ListParagraph"/>
              <w:numPr>
                <w:ilvl w:val="0"/>
                <w:numId w:val="3"/>
              </w:numPr>
              <w:spacing w:after="30" w:before="30" w:line="252"/>
            </w:pPr>
            <w:r>
              <w:rPr>
                <w:sz w:val="19"/>
                <w:szCs w:val="19"/>
              </w:rPr>
              <w:t xml:space="preserve">reine Beschleunigungssensoren mit FIFO</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Strom bei der gewählten ODR, FIFO, Rauschen, Gehäusegröße</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AP2</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Speicher</w:t>
            </w:r>
          </w:p>
        </w:tc>
        <w:tc>
          <w:tcPr>
            <w:tcW w:type="dxa" w:w="29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pStyle w:val="ListParagraph"/>
              <w:numPr>
                <w:ilvl w:val="0"/>
                <w:numId w:val="3"/>
              </w:numPr>
              <w:spacing w:after="30" w:before="30" w:line="252"/>
            </w:pPr>
            <w:r>
              <w:rPr>
                <w:sz w:val="19"/>
                <w:szCs w:val="19"/>
              </w:rPr>
              <w:t xml:space="preserve">SPI-NOR</w:t>
            </w:r>
          </w:p>
          <w:p>
            <w:pPr>
              <w:pStyle w:val="ListParagraph"/>
              <w:numPr>
                <w:ilvl w:val="0"/>
                <w:numId w:val="3"/>
              </w:numPr>
              <w:spacing w:after="30" w:before="30" w:line="252"/>
            </w:pPr>
            <w:r>
              <w:rPr>
                <w:sz w:val="19"/>
                <w:szCs w:val="19"/>
              </w:rPr>
              <w:t xml:space="preserve">SPI-NAND</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Kapazität (Tabelle 2), Versorgungsspannung, Schreibenergie, Firmware-Aufwand</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AP3</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Energie­speicher</w:t>
            </w:r>
          </w:p>
        </w:tc>
        <w:tc>
          <w:tcPr>
            <w:tcW w:type="dxa" w:w="29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pStyle w:val="ListParagraph"/>
              <w:numPr>
                <w:ilvl w:val="0"/>
                <w:numId w:val="3"/>
              </w:numPr>
              <w:spacing w:after="30" w:before="30" w:line="252"/>
            </w:pPr>
            <w:r>
              <w:rPr>
                <w:sz w:val="19"/>
                <w:szCs w:val="19"/>
              </w:rPr>
              <w:t xml:space="preserve">CR2032 / CR2450</w:t>
            </w:r>
          </w:p>
          <w:p>
            <w:pPr>
              <w:pStyle w:val="ListParagraph"/>
              <w:numPr>
                <w:ilvl w:val="0"/>
                <w:numId w:val="3"/>
              </w:numPr>
              <w:spacing w:after="30" w:before="30" w:line="252"/>
            </w:pPr>
            <w:r>
              <w:rPr>
                <w:sz w:val="19"/>
                <w:szCs w:val="19"/>
              </w:rPr>
              <w:t xml:space="preserve">LiPo-Akku mit Laderegler</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Kapazität (Tabelle 1), Masse, Pulsbelastbarkeit, Wiederverwendbarkeit</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AP1</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Pufferung</w:t>
            </w:r>
          </w:p>
        </w:tc>
        <w:tc>
          <w:tcPr>
            <w:tcW w:type="dxa" w:w="29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Kondensatoren, dimensioniert aus gemessenem Pulsstrom</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Spannungseinbruch bei BLE, Leckstrom</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AP1</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Weck­mechanismus</w:t>
            </w:r>
          </w:p>
        </w:tc>
        <w:tc>
          <w:tcPr>
            <w:tcW w:type="dxa" w:w="29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pStyle w:val="ListParagraph"/>
              <w:numPr>
                <w:ilvl w:val="0"/>
                <w:numId w:val="3"/>
              </w:numPr>
              <w:spacing w:after="30" w:before="30" w:line="252"/>
            </w:pPr>
            <w:r>
              <w:rPr>
                <w:sz w:val="19"/>
                <w:szCs w:val="19"/>
              </w:rPr>
              <w:t xml:space="preserve">Reed-Kontakt (Magnet)</w:t>
            </w:r>
          </w:p>
          <w:p>
            <w:pPr>
              <w:pStyle w:val="ListParagraph"/>
              <w:numPr>
                <w:ilvl w:val="0"/>
                <w:numId w:val="3"/>
              </w:numPr>
              <w:spacing w:after="30" w:before="30" w:line="252"/>
            </w:pPr>
            <w:r>
              <w:rPr>
                <w:sz w:val="19"/>
                <w:szCs w:val="19"/>
              </w:rPr>
              <w:t xml:space="preserve">Bewegungsmuster über Sensor-Interrupt</w:t>
            </w:r>
          </w:p>
        </w:tc>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Bedienung ohne Öffnen, Bauteilaufwand</w:t>
            </w:r>
          </w:p>
        </w:tc>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AP2 / AP5</w:t>
            </w:r>
          </w:p>
        </w:tc>
      </w:tr>
    </w:tbl>
    <w:p>
      <w:pPr>
        <w:pStyle w:val="Heading3"/>
      </w:pPr>
      <w:r>
        <w:t xml:space="preserve">3.2.2 Energie- und Speicherbudget</w:t>
      </w:r>
    </w:p>
    <w:p>
      <w:pPr>
        <w:spacing w:after="120" w:line="276"/>
      </w:pPr>
      <w:r>
        <w:t xml:space="preserve">Die folgenden Tabellen sind reine Rechnung auf Basis der Themenbeschreibung und zeigen den zentralen Zielkonflikt. Sie legen noch keine Werte fest.</w:t>
      </w:r>
    </w:p>
    <w:p>
      <w:pPr>
        <w:keepNext/>
        <w:spacing w:after="120" w:line="276"/>
      </w:pPr>
      <w:r>
        <w:rPr>
          <w:i/>
          <w:iCs/>
          <w:color w:val="595959"/>
          <w:sz w:val="18"/>
          <w:szCs w:val="18"/>
        </w:rPr>
        <w:t xml:space="preserve">Tabelle 1: Zulässiger mittlerer Strom je Zelle und Laufzeit (Nennkapazität, ohne Abschläge)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0"/>
        <w:gridCol w:w="2000"/>
        <w:gridCol w:w="2000"/>
        <w:gridCol w:w="2000"/>
      </w:tblGrid>
      <w:tr>
        <w:trPr>
          <w:cantSplit/>
          <w:tblHeader/>
        </w:trPr>
        <w:tc>
          <w:tcPr>
            <w:tcW w:type="dxa" w:w="30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Zelle (Nennkapazität)</w:t>
            </w:r>
          </w:p>
        </w:tc>
        <w:tc>
          <w:tcPr>
            <w:tcW w:type="dxa" w:w="2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24 h</w:t>
            </w:r>
          </w:p>
        </w:tc>
        <w:tc>
          <w:tcPr>
            <w:tcW w:type="dxa" w:w="2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7 Tage</w:t>
            </w:r>
          </w:p>
        </w:tc>
        <w:tc>
          <w:tcPr>
            <w:tcW w:type="dxa" w:w="2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30 Tage</w:t>
            </w:r>
          </w:p>
        </w:tc>
      </w:tr>
      <w:tr>
        <w:trPr>
          <w:cantSplit/>
        </w:trPr>
        <w:tc>
          <w:tcPr>
            <w:tcW w:type="dxa" w:w="3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CR2032 (ca. 225 mAh)</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9,4 mA</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1,34 mA</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0,31 mA</w:t>
            </w:r>
          </w:p>
        </w:tc>
      </w:tr>
      <w:tr>
        <w:trPr>
          <w:cantSplit/>
        </w:trPr>
        <w:tc>
          <w:tcPr>
            <w:tcW w:type="dxa" w:w="3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CR2450 (ca. 620 mAh)</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25,8 mA</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3,69 mA</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0,86 mA</w:t>
            </w:r>
          </w:p>
        </w:tc>
      </w:tr>
    </w:tbl>
    <w:p>
      <w:pPr>
        <w:spacing w:after="80"/>
      </w:pPr>
    </w:p>
    <w:p>
      <w:pPr>
        <w:keepNext/>
        <w:spacing w:after="120" w:line="276"/>
      </w:pPr>
      <w:r>
        <w:rPr>
          <w:i/>
          <w:iCs/>
          <w:color w:val="595959"/>
          <w:sz w:val="18"/>
          <w:szCs w:val="18"/>
        </w:rPr>
        <w:t xml:space="preserve">Tabelle 2: Aufzeichnungsdauer ohne Kompression (3 Achsen × 16 Bit)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0"/>
        <w:gridCol w:w="2000"/>
        <w:gridCol w:w="2000"/>
        <w:gridCol w:w="2000"/>
      </w:tblGrid>
      <w:tr>
        <w:trPr>
          <w:cantSplit/>
          <w:tblHeader/>
        </w:trPr>
        <w:tc>
          <w:tcPr>
            <w:tcW w:type="dxa" w:w="30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Speicher</w:t>
            </w:r>
          </w:p>
        </w:tc>
        <w:tc>
          <w:tcPr>
            <w:tcW w:type="dxa" w:w="2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25 Hz (150 B/s)</w:t>
            </w:r>
          </w:p>
        </w:tc>
        <w:tc>
          <w:tcPr>
            <w:tcW w:type="dxa" w:w="2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50 Hz (300 B/s)</w:t>
            </w:r>
          </w:p>
        </w:tc>
        <w:tc>
          <w:tcPr>
            <w:tcW w:type="dxa" w:w="2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100 Hz (600 B/s)</w:t>
            </w:r>
          </w:p>
        </w:tc>
      </w:tr>
      <w:tr>
        <w:trPr>
          <w:cantSplit/>
        </w:trPr>
        <w:tc>
          <w:tcPr>
            <w:tcW w:type="dxa" w:w="3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8 MiB SPI-NOR</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15,5 h</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7,8 h</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3,9 h</w:t>
            </w:r>
          </w:p>
        </w:tc>
      </w:tr>
      <w:tr>
        <w:trPr>
          <w:cantSplit/>
        </w:trPr>
        <w:tc>
          <w:tcPr>
            <w:tcW w:type="dxa" w:w="3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32 MiB SPI-NOR</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2,6 Tage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31,1 h</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15,5 h</w:t>
            </w:r>
          </w:p>
        </w:tc>
      </w:tr>
      <w:tr>
        <w:trPr>
          <w:cantSplit/>
        </w:trPr>
        <w:tc>
          <w:tcPr>
            <w:tcW w:type="dxa" w:w="3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128 MiB SPI-NAND</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10,4 Tage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5,2 Tage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2,6 Tage</w:t>
            </w:r>
          </w:p>
        </w:tc>
      </w:tr>
    </w:tbl>
    <w:p>
      <w:pPr>
        <w:spacing w:after="80"/>
      </w:pPr>
    </w:p>
    <w:p>
      <w:pPr>
        <w:spacing w:after="120" w:line="276"/>
      </w:pPr>
      <w:r>
        <w:t xml:space="preserve">Ein kleiner NOR-Flash reicht bei 50 Hz für weniger als einen Tag; mehrtägige Aufnahmen erfordern NAND-Flash, eine geringere Abtastrate oder eine Datenreduktion. Diese Abwägung wird in AP1 und AP3 gemeinsam mit den Zielwerten aus Abschnitt 2.1 entschieden.</w:t>
      </w:r>
    </w:p>
    <w:p>
      <w:pPr>
        <w:pStyle w:val="Heading2"/>
      </w:pPr>
      <w:r>
        <w:t xml:space="preserve">3.3 Firmware</w:t>
      </w:r>
    </w:p>
    <w:p>
      <w:pPr>
        <w:spacing w:after="120" w:line="276"/>
      </w:pPr>
      <w:r>
        <w:t xml:space="preserve">Die Firmware ist in Schichten aufgebaut: Plattform (Zephyr, Hardware-Abstraktion), Treiber (Sensor, Flash, Batteriemessung), Dienste (Datenablage, BLE, Power-Management) und ein Zustandsautomat als Anwendung.</w:t>
      </w:r>
    </w:p>
    <w:p>
      <w:pPr>
        <w:keepNext/>
        <w:spacing w:after="60" w:before="120"/>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595959"/>
          <w:sz w:val="18"/>
          <w:szCs w:val="18"/>
        </w:rPr>
        <w:t xml:space="preserve">Abbildung 2: Betriebszustände</w:t>
      </w:r>
    </w:p>
    <w:p>
      <w:pPr>
        <w:pStyle w:val="ListParagraph"/>
        <w:numPr>
          <w:ilvl w:val="0"/>
          <w:numId w:val="2"/>
        </w:numPr>
        <w:spacing w:after="60" w:line="264"/>
      </w:pPr>
      <w:r>
        <w:rPr>
          <w:b/>
          <w:bCs/>
        </w:rPr>
        <w:t xml:space="preserve">Datenpfad:</w:t>
      </w:r>
      <w:r>
        <w:t xml:space="preserve"> Sensor-FIFO → Interrupt bei Watermark → Burst-Auslesen in einen RAM-Puffer → blockweises Schreiben in den Flash; dazwischen schlafen Mikrocontroller und Flash.</w:t>
      </w:r>
    </w:p>
    <w:p>
      <w:pPr>
        <w:pStyle w:val="ListParagraph"/>
        <w:numPr>
          <w:ilvl w:val="0"/>
          <w:numId w:val="2"/>
        </w:numPr>
        <w:spacing w:after="60" w:line="264"/>
      </w:pPr>
      <w:r>
        <w:rPr>
          <w:b/>
          <w:bCs/>
        </w:rPr>
        <w:t xml:space="preserve">Zeitbezug:</w:t>
      </w:r>
      <w:r>
        <w:t xml:space="preserve"> Startzeit vom BLE-Client, RTC-Zeitstempel je Datenblock; Sync-Marker über eine definierte Bewegung zu Beginn.</w:t>
      </w:r>
    </w:p>
    <w:p>
      <w:pPr>
        <w:pStyle w:val="ListParagraph"/>
        <w:numPr>
          <w:ilvl w:val="0"/>
          <w:numId w:val="2"/>
        </w:numPr>
        <w:spacing w:after="60" w:line="264"/>
      </w:pPr>
      <w:r>
        <w:rPr>
          <w:b/>
          <w:bCs/>
        </w:rPr>
        <w:t xml:space="preserve">Energiesparen:</w:t>
      </w:r>
      <w:r>
        <w:t xml:space="preserve"> BLE während der Aufnahme aus, Flash im Power-Down, Weckung nur durch Interrupts.</w:t>
      </w:r>
    </w:p>
    <w:p>
      <w:pPr>
        <w:pStyle w:val="Heading2"/>
      </w:pPr>
      <w:r>
        <w:t xml:space="preserve">3.4 Schnittstellen</w:t>
      </w:r>
    </w:p>
    <w:p>
      <w:pPr>
        <w:pStyle w:val="ListParagraph"/>
        <w:numPr>
          <w:ilvl w:val="0"/>
          <w:numId w:val="2"/>
        </w:numPr>
        <w:spacing w:after="60" w:line="264"/>
      </w:pPr>
      <w:r>
        <w:t xml:space="preserve">Sensor: SPI oder I²C mit Interrupt-Leitung</w:t>
      </w:r>
    </w:p>
    <w:p>
      <w:pPr>
        <w:pStyle w:val="ListParagraph"/>
        <w:numPr>
          <w:ilvl w:val="0"/>
          <w:numId w:val="2"/>
        </w:numPr>
        <w:spacing w:after="60" w:line="264"/>
      </w:pPr>
      <w:r>
        <w:t xml:space="preserve">Speicher: SPI</w:t>
      </w:r>
    </w:p>
    <w:p>
      <w:pPr>
        <w:pStyle w:val="ListParagraph"/>
        <w:numPr>
          <w:ilvl w:val="0"/>
          <w:numId w:val="2"/>
        </w:numPr>
        <w:spacing w:after="60" w:line="264"/>
      </w:pPr>
      <w:r>
        <w:t xml:space="preserve">Debug: SWD; Messung: Shunt mit Testpunkten</w:t>
      </w:r>
    </w:p>
    <w:p>
      <w:pPr>
        <w:pStyle w:val="ListParagraph"/>
        <w:numPr>
          <w:ilvl w:val="0"/>
          <w:numId w:val="2"/>
        </w:numPr>
        <w:spacing w:after="60" w:line="264"/>
      </w:pPr>
      <w:r>
        <w:t xml:space="preserve">Extern: BLE-Service mit Status, Steuerung und Daten-Download; Details in AP3</w:t>
      </w:r>
    </w:p>
    <w:p>
      <w:pPr>
        <w:pStyle w:val="Heading2"/>
      </w:pPr>
      <w:r>
        <w:t xml:space="preserve">3.5 Benutzeroberfläche</w:t>
      </w:r>
    </w:p>
    <w:p>
      <w:pPr>
        <w:spacing w:after="120" w:line="276"/>
      </w:pPr>
      <w:r>
        <w:t xml:space="preserve">Am Gerät gibt es nur die Weckquelle und ggf. eine Status-LED. Bedient wird über ein PC-Werkzeug (Status, Start, Download, Export). Eine kurze Bedienanleitung für Labor und Tierpflege wird erstellt.</w:t>
      </w:r>
    </w:p>
    <w:p>
      <w:pPr>
        <w:pStyle w:val="Heading2"/>
      </w:pPr>
      <w:r>
        <w:t xml:space="preserve">3.6 Datenspeicherung</w:t>
      </w:r>
    </w:p>
    <w:p>
      <w:pPr>
        <w:spacing w:after="120" w:line="276"/>
      </w:pPr>
      <w:r>
        <w:t xml:space="preserve">Die Daten werden blockweise mit Zeitstempel und Prüfsumme abgelegt, damit ein Spannungsausfall höchstens den aktuellen Puffer betrifft (NF4). Ob ein einfaches Log oder ein Dateisystem verwendet wird, welches Exportformat entsteht und ob sich Kompression lohnt (F11), wird in AP3 entschieden.</w:t>
      </w:r>
    </w:p>
    <w:p>
      <w:pPr>
        <w:pStyle w:val="Heading2"/>
      </w:pPr>
      <w:r>
        <w:t xml:space="preserve">3.7 Funktionale Abläufe</w:t>
      </w:r>
    </w:p>
    <w:p>
      <w:pPr>
        <w:pStyle w:val="ListParagraph"/>
        <w:numPr>
          <w:ilvl w:val="0"/>
          <w:numId w:val="4"/>
        </w:numPr>
        <w:spacing w:after="60" w:line="264"/>
      </w:pPr>
      <w:r>
        <w:t xml:space="preserve">Gerät wecken, Status prüfen, Uhrzeit übernehmen</w:t>
      </w:r>
    </w:p>
    <w:p>
      <w:pPr>
        <w:pStyle w:val="ListParagraph"/>
        <w:numPr>
          <w:ilvl w:val="0"/>
          <w:numId w:val="4"/>
        </w:numPr>
        <w:spacing w:after="60" w:line="264"/>
      </w:pPr>
      <w:r>
        <w:t xml:space="preserve">Anlegen, Aufnahme starten, Sync-Marker vor der Kamera setzen</w:t>
      </w:r>
    </w:p>
    <w:p>
      <w:pPr>
        <w:pStyle w:val="ListParagraph"/>
        <w:numPr>
          <w:ilvl w:val="0"/>
          <w:numId w:val="4"/>
        </w:numPr>
        <w:spacing w:after="60" w:line="264"/>
      </w:pPr>
      <w:r>
        <w:t xml:space="preserve">Aufzeichnung bis zum geplanten Ende, vollem Speicher oder Unterspannung</w:t>
      </w:r>
    </w:p>
    <w:p>
      <w:pPr>
        <w:pStyle w:val="ListParagraph"/>
        <w:numPr>
          <w:ilvl w:val="0"/>
          <w:numId w:val="4"/>
        </w:numPr>
        <w:spacing w:after="60" w:line="264"/>
      </w:pPr>
      <w:r>
        <w:t xml:space="preserve">Abnehmen, auslesen, exportieren, Speicher löschen</w:t>
      </w:r>
    </w:p>
    <w:p>
      <w:pPr>
        <w:pStyle w:val="Heading2"/>
      </w:pPr>
      <w:r>
        <w:t xml:space="preserve">3.8 Risiken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070"/>
      </w:tblGrid>
      <w:tr>
        <w:trPr>
          <w:cantSplit/>
          <w:tblHeader/>
        </w:trPr>
        <w:tc>
          <w:tcPr>
            <w:tcW w:type="dxa" w:w="4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Risiko</w:t>
            </w:r>
          </w:p>
        </w:tc>
        <w:tc>
          <w:tcPr>
            <w:tcW w:type="dxa" w:w="50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Gegenmaßnahme</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Lieferzeit der Leiterplatte</w:t>
            </w:r>
          </w:p>
        </w:tc>
        <w:tc>
          <w:tcPr>
            <w:tcW w:type="dxa" w:w="5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Layout-Freigabe früh (M2), Firmware parallel auf dem DK</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Spannungseinbruch der Knopfzelle bei BLE</w:t>
            </w:r>
          </w:p>
        </w:tc>
        <w:tc>
          <w:tcPr>
            <w:tcW w:type="dxa" w:w="5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Pufferung nach Messung dimensionieren, BLE nur im Auslesemodus</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Speicher reicht nicht für die Zieldauer</w:t>
            </w:r>
          </w:p>
        </w:tc>
        <w:tc>
          <w:tcPr>
            <w:tcW w:type="dxa" w:w="5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Budget bis M1, ggf. NAND, geringere ODR oder Kompression</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Kein Zugang zum Zoo im Projektzeitraum</w:t>
            </w:r>
          </w:p>
        </w:tc>
        <w:tc>
          <w:tcPr>
            <w:tcW w:type="dxa" w:w="5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Ersatz-Praxistest an einem Testobjekt</w:t>
            </w:r>
          </w:p>
        </w:tc>
      </w:tr>
    </w:tbl>
    <w:p>
      <w:pPr>
        <w:pStyle w:val="Heading1"/>
      </w:pPr>
      <w:r>
        <w:t xml:space="preserve">4 Arbeitspakete und Meilensteine</w:t>
      </w:r>
    </w:p>
    <w:p>
      <w:pPr>
        <w:pStyle w:val="Heading2"/>
      </w:pPr>
      <w:r>
        <w:t xml:space="preserve">4.1 Arbeitspakete</w:t>
      </w:r>
    </w:p>
    <w:p>
      <w:pPr>
        <w:spacing w:after="120" w:line="276"/>
      </w:pPr>
      <w:r>
        <w:t xml:space="preserve">Jede Person verantwortet einen Funktionsblock von der Bauteilauswahl über das eigene Schaltplanblatt bis zur zugehörigen Firmware bzw. Validierung. AP4 führt die Schaltplanblätter zusammen und prüft sie.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4570"/>
        <w:gridCol w:w="1700"/>
      </w:tblGrid>
      <w:tr>
        <w:trPr>
          <w:cantSplit/>
          <w:tblHeader/>
        </w:trPr>
        <w:tc>
          <w:tcPr>
            <w:tcW w:type="dxa" w:w="65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AP</w:t>
            </w:r>
          </w:p>
        </w:tc>
        <w:tc>
          <w:tcPr>
            <w:tcW w:type="dxa" w:w="215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Arbeitspaket</w:t>
            </w:r>
          </w:p>
        </w:tc>
        <w:tc>
          <w:tcPr>
            <w:tcW w:type="dxa" w:w="45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Inhalt / Ergebnis</w:t>
            </w:r>
          </w:p>
        </w:tc>
        <w:tc>
          <w:tcPr>
            <w:tcW w:type="dxa" w:w="17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Verantwortlich</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AP0</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Anforderungen und Organisation</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Offene Punkte klären, Zielwerte herleiten (Abschnitt 2.1), Repository, Zeitplan, Stakeholder-Interview</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alle</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AP1</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Energieversorgung</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Zellauswahl, Pufferung, Energiebudget, Schaltplanblatt inkl. Messshunt, Power-Management-Firmware, Strom- und Laufzeitmessung</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[Name 1]</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AP2</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Sensor und Mikrocontroller</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Sensor-, Antennen- und Weckauswahl, Schaltplanblatt Digitalteil, Firmware-Basis (Sensortreiber, FIFO, Zeitstempel, Zustandsautomat)</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[Name 2]</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AP3</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Speicher und Datenübertragung</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Speicherauswahl, Datenformat, Schaltplanblatt Speicher, Firmware für Datenablage und BLE-Download, PC-Auslesewerkzeug</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[Name 3]</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AP4</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Leiterplatte</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Zusammenführung und Review der Schaltplanblätter, Layout, Fertigungsdaten, Bestückung, Inbetriebnahme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Laurenz Untiedt</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AP5</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Gehäuse und Validierung</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Gehäuse und Befestigung, mechanische Tests, Signalqualität, Praxisaufnahme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[Name 5]</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AP6</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Abschluss</w:t>
            </w:r>
          </w:p>
        </w:tc>
        <w:tc>
          <w:tcPr>
            <w:tcW w:type="dxa" w:w="45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Projektbericht, Poster/Handout oder Extended Abstract, Präsentation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alle</w:t>
            </w:r>
          </w:p>
        </w:tc>
      </w:tr>
    </w:tbl>
    <w:p>
      <w:pPr>
        <w:pStyle w:val="Heading2"/>
        <w:keepNext/>
      </w:pPr>
      <w:r>
        <w:t xml:space="preserve">4.2 Zeitplan</w:t>
      </w:r>
    </w:p>
    <w:p>
      <w:pPr>
        <w:keepNext/>
        <w:spacing w:after="120" w:line="276"/>
      </w:pPr>
      <w:r>
        <w:t xml:space="preserve">Angenommen sind 11 Projektwochen; die Wochen werden an die Termine des Wintersemesters angepasst. Meilensteine siehe Lastenheft, Abschnitt 8.</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6"/>
        <w:gridCol w:w="624"/>
        <w:gridCol w:w="624"/>
        <w:gridCol w:w="624"/>
        <w:gridCol w:w="624"/>
        <w:gridCol w:w="624"/>
        <w:gridCol w:w="624"/>
        <w:gridCol w:w="624"/>
        <w:gridCol w:w="624"/>
        <w:gridCol w:w="624"/>
        <w:gridCol w:w="624"/>
        <w:gridCol w:w="624"/>
      </w:tblGrid>
      <w:tr>
        <w:trPr>
          <w:cantSplit/>
          <w:tblHeader/>
        </w:trPr>
        <w:tc>
          <w:tcPr>
            <w:tcW w:type="dxa" w:w="2206"/>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Arbeitspaket</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W1</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W2</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W3</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W4</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W5</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W6</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W7</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W8</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W9</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W10</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W11</w:t>
            </w:r>
          </w:p>
        </w:tc>
      </w:tr>
      <w:tr>
        <w:trPr>
          <w:cantSplit/>
        </w:trPr>
        <w:tc>
          <w:tcPr>
            <w:tcW w:type="dxa" w:w="22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AP0 Anforderungen</w:t>
            </w: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r>
      <w:tr>
        <w:trPr>
          <w:cantSplit/>
        </w:trPr>
        <w:tc>
          <w:tcPr>
            <w:tcW w:type="dxa" w:w="22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AP1 Energie</w:t>
            </w:r>
          </w:p>
        </w:tc>
        <w:tc>
          <w:tcPr>
            <w:tcW w:type="dxa" w:w="624"/>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r>
      <w:tr>
        <w:trPr>
          <w:cantSplit/>
        </w:trPr>
        <w:tc>
          <w:tcPr>
            <w:tcW w:type="dxa" w:w="22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AP2 Sensor / MCU</w:t>
            </w:r>
          </w:p>
        </w:tc>
        <w:tc>
          <w:tcPr>
            <w:tcW w:type="dxa" w:w="624"/>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r>
      <w:tr>
        <w:trPr>
          <w:cantSplit/>
        </w:trPr>
        <w:tc>
          <w:tcPr>
            <w:tcW w:type="dxa" w:w="22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AP3 Speicher / BLE</w:t>
            </w:r>
          </w:p>
        </w:tc>
        <w:tc>
          <w:tcPr>
            <w:tcW w:type="dxa" w:w="624"/>
            <w:tcBorders>
              <w:top w:val="single" w:color="A6A6A6" w:sz="4"/>
              <w:left w:val="single" w:color="A6A6A6" w:sz="4"/>
              <w:bottom w:val="single" w:color="A6A6A6" w:sz="4"/>
              <w:right w:val="single" w:color="A6A6A6" w:sz="4"/>
            </w:tcBorders>
            <w:shd w:fill="E8DAEF"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8DAEF"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8DAEF"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8DAEF"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8DAEF"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8DAEF"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8DAEF"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8DAEF"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r>
      <w:tr>
        <w:trPr>
          <w:cantSplit/>
        </w:trPr>
        <w:tc>
          <w:tcPr>
            <w:tcW w:type="dxa" w:w="22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AP4 Leiterplatte</w:t>
            </w: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D6EAF8"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D6EAF8"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D6EAF8"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D6EAF8"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D6EAF8"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r>
      <w:tr>
        <w:trPr>
          <w:cantSplit/>
        </w:trPr>
        <w:tc>
          <w:tcPr>
            <w:tcW w:type="dxa" w:w="22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AP5 Gehäuse / Validierung</w:t>
            </w: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3EFE3"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3EFE3"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3EFE3"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3EFE3"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3EFE3"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3EFE3"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3EFE3"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3EFE3"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r>
      <w:tr>
        <w:trPr>
          <w:cantSplit/>
        </w:trPr>
        <w:tc>
          <w:tcPr>
            <w:tcW w:type="dxa" w:w="22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AP6 Abschluss</w:t>
            </w: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5E7E9"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5E7E9" w:color="auto" w:val="clear"/>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shd w:fill="E5E7E9" w:color="auto" w:val="clear"/>
            <w:tcMar>
              <w:top w:type="dxa" w:w="50"/>
              <w:left w:type="dxa" w:w="90"/>
              <w:bottom w:type="dxa" w:w="50"/>
              <w:right w:type="dxa" w:w="90"/>
            </w:tcMar>
            <w:vAlign w:val="top"/>
          </w:tcPr>
          <w:p>
            <w:pPr>
              <w:spacing w:after="30" w:before="30" w:line="252"/>
            </w:pPr>
          </w:p>
        </w:tc>
      </w:tr>
      <w:tr>
        <w:trPr>
          <w:cantSplit/>
        </w:trPr>
        <w:tc>
          <w:tcPr>
            <w:tcW w:type="dxa" w:w="2206"/>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Meilensteine</w:t>
            </w: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jc w:val="center"/>
            </w:pPr>
            <w:r>
              <w:rPr>
                <w:b/>
                <w:bCs/>
                <w:sz w:val="19"/>
                <w:szCs w:val="19"/>
              </w:rPr>
              <w:t xml:space="preserve">M1</w:t>
            </w: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jc w:val="center"/>
            </w:pPr>
            <w:r>
              <w:rPr>
                <w:b/>
                <w:bCs/>
                <w:sz w:val="19"/>
                <w:szCs w:val="19"/>
              </w:rPr>
              <w:t xml:space="preserve">M2</w:t>
            </w: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jc w:val="center"/>
            </w:pPr>
            <w:r>
              <w:rPr>
                <w:b/>
                <w:bCs/>
                <w:sz w:val="19"/>
                <w:szCs w:val="19"/>
              </w:rPr>
              <w:t xml:space="preserve">M3</w:t>
            </w: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jc w:val="center"/>
            </w:pPr>
            <w:r>
              <w:rPr>
                <w:b/>
                <w:bCs/>
                <w:sz w:val="19"/>
                <w:szCs w:val="19"/>
              </w:rPr>
              <w:t xml:space="preserve">M4</w:t>
            </w: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624"/>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jc w:val="center"/>
            </w:pPr>
            <w:r>
              <w:rPr>
                <w:b/>
                <w:bCs/>
                <w:sz w:val="19"/>
                <w:szCs w:val="19"/>
              </w:rPr>
              <w:t xml:space="preserve">M5</w:t>
            </w:r>
          </w:p>
        </w:tc>
      </w:tr>
    </w:tbl>
    <w:p>
      <w:pPr>
        <w:pStyle w:val="Heading1"/>
      </w:pPr>
      <w:r>
        <w:t xml:space="preserve">5 Abnahmeerklärung</w:t>
      </w:r>
    </w:p>
    <w:p>
      <w:pPr>
        <w:spacing w:after="120" w:line="276"/>
      </w:pPr>
      <w:r>
        <w:t xml:space="preserve">Diese Spezifikation ist Bestandteil der Vereinbarung zwischen dem ERTS Lab und dem CAP-Projektteam. Änderungen sind nur schriftlich und mit erhöhter Versionsnummer gültig.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870"/>
        <w:gridCol w:w="1500"/>
        <w:gridCol w:w="1900"/>
      </w:tblGrid>
      <w:tr>
        <w:trPr>
          <w:cantSplit/>
          <w:tblHeader/>
        </w:trPr>
        <w:tc>
          <w:tcPr>
            <w:tcW w:type="dxa" w:w="18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Rolle</w:t>
            </w:r>
          </w:p>
        </w:tc>
        <w:tc>
          <w:tcPr>
            <w:tcW w:type="dxa" w:w="38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Name</w:t>
            </w:r>
          </w:p>
        </w:tc>
        <w:tc>
          <w:tcPr>
            <w:tcW w:type="dxa" w:w="15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Datum</w:t>
            </w:r>
          </w:p>
        </w:tc>
        <w:tc>
          <w:tcPr>
            <w:tcW w:type="dxa" w:w="19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Unterschrift</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Auftraggeber</w:t>
            </w:r>
          </w:p>
        </w:tc>
        <w:tc>
          <w:tcPr>
            <w:tcW w:type="dxa" w:w="38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Prof. Dr. Markus Cremer, ERTS Lab</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Auftragnehmer</w:t>
            </w:r>
          </w:p>
        </w:tc>
        <w:tc>
          <w:tcPr>
            <w:tcW w:type="dxa" w:w="38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CAP-Projektteam</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r>
    </w:tbl>
    <w:sectPr>
      <w:headerReference w:type="default" r:id="rId7"/>
      <w:headerReference w:type="first" r:id="rId8"/>
      <w:footerReference w:type="default" r:id="rId9"/>
      <w:footerReference w:type="first" r:id="rId10"/>
      <w:pgSz w:w="11906" w:h="16838" w:orient="portrait"/>
      <w:pgMar w:top="1700" w:right="1418" w:bottom="1300" w:left="1418"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right"/>
    </w:pPr>
    <w:r>
      <w:rPr>
        <w:sz w:val="18"/>
        <w:szCs w:val="18"/>
      </w:rPr>
      <w:t xml:space="preserve">Seite </w:t>
    </w:r>
    <w:r>
      <w:rPr>
        <w:b/>
        <w:bCs/>
        <w:sz w:val="18"/>
        <w:szCs w:val="18"/>
      </w:rPr>
      <w:fldChar w:fldCharType="begin"/>
      <w:instrText xml:space="preserve">PAGE</w:instrText>
      <w:fldChar w:fldCharType="separate"/>
      <w:fldChar w:fldCharType="end"/>
    </w:r>
    <w:r>
      <w:rPr>
        <w:sz w:val="18"/>
        <w:szCs w:val="18"/>
      </w:rPr>
      <w:t xml:space="preserve"> von </w:t>
    </w:r>
    <w:r>
      <w:rPr>
        <w:b/>
        <w:bCs/>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6200"/>
      <w:gridCol w:w="2870"/>
    </w:tblGrid>
    <w:tr>
      <w:tc>
        <w:tcPr>
          <w:tcW w:type="dxa" w:w="6200"/>
          <w:tcBorders>
            <w:top w:val="none" w:color="FFFFFF" w:sz="0"/>
            <w:left w:val="none" w:color="FFFFFF" w:sz="0"/>
            <w:bottom w:val="none" w:color="FFFFFF" w:sz="0"/>
            <w:right w:val="none" w:color="FFFFFF" w:sz="0"/>
          </w:tcBorders>
        </w:tcPr>
        <w:p>
          <w:pPr>
            <w:spacing w:after="40"/>
          </w:pPr>
          <w:r>
            <w:rPr>
              <w:rFonts w:ascii="Arial" w:cs="Arial" w:eastAsia="Arial" w:hAnsi="Arial"/>
              <w:b/>
              <w:bCs/>
              <w:i w:val="false"/>
              <w:iCs w:val="false"/>
              <w:sz w:val="21"/>
              <w:szCs w:val="21"/>
            </w:rPr>
            <w:t xml:space="preserve">CAP – Wintersemester 26/27 – Pflichtenheft</w:t>
          </w:r>
        </w:p>
        <w:p>
          <w:pPr>
            <w:spacing w:after="40"/>
          </w:pPr>
          <w:r>
            <w:rPr>
              <w:rFonts w:ascii="Arial" w:cs="Arial" w:eastAsia="Arial" w:hAnsi="Arial"/>
              <w:b w:val="false"/>
              <w:bCs w:val="false"/>
              <w:i/>
              <w:iCs/>
              <w:sz w:val="20"/>
              <w:szCs w:val="20"/>
            </w:rPr>
            <w:t xml:space="preserve">Team: [Gruppenname]</w:t>
          </w:r>
        </w:p>
        <w:p>
          <w:pPr>
            <w:spacing w:after="40"/>
          </w:pPr>
          <w:r>
            <w:rPr>
              <w:rFonts w:ascii="Arial" w:cs="Arial" w:eastAsia="Arial" w:hAnsi="Arial"/>
              <w:b w:val="false"/>
              <w:bCs w:val="false"/>
              <w:i/>
              <w:iCs/>
              <w:sz w:val="20"/>
              <w:szCs w:val="20"/>
            </w:rPr>
            <w:t xml:space="preserve">Projekttitel: Miniaturisierter Beschleunigungs-Datenlogger für Tiere</w:t>
          </w:r>
        </w:p>
      </w:tc>
      <w:tc>
        <w:tcPr>
          <w:tcW w:type="dxa" w:w="2870"/>
          <w:tcBorders>
            <w:top w:val="none" w:color="FFFFFF" w:sz="0"/>
            <w:left w:val="none" w:color="FFFFFF" w:sz="0"/>
            <w:bottom w:val="none" w:color="FFFFFF" w:sz="0"/>
            <w:right w:val="none" w:color="FFFFFF" w:sz="0"/>
          </w:tcBorders>
        </w:tcPr>
        <w:p>
          <w:pPr>
            <w:spacing w:after="0" w:line="299" w:lineRule="exact"/>
          </w:pPr>
          <w:r>
            <w:rPr>
              <w:rFonts w:ascii="Aptos" w:cs="Aptos" w:eastAsia="Aptos" w:hAnsi="Aptos"/>
              <w:b/>
              <w:bCs/>
              <w:color w:val="C42127"/>
              <w:sz w:val="26"/>
              <w:szCs w:val="26"/>
            </w:rPr>
            <w:t xml:space="preserve">Technology</w:t>
          </w:r>
        </w:p>
        <w:p>
          <w:pPr>
            <w:spacing w:after="0" w:line="299" w:lineRule="exact"/>
          </w:pPr>
          <w:r>
            <w:rPr>
              <w:rFonts w:ascii="Aptos" w:cs="Aptos" w:eastAsia="Aptos" w:hAnsi="Aptos"/>
              <w:b/>
              <w:bCs/>
              <w:color w:val="E8601C"/>
              <w:sz w:val="26"/>
              <w:szCs w:val="26"/>
            </w:rPr>
            <w:t xml:space="preserve">Arts </w:t>
          </w:r>
          <w:r>
            <w:rPr>
              <w:rFonts w:ascii="Aptos" w:cs="Aptos" w:eastAsia="Aptos" w:hAnsi="Aptos"/>
              <w:b/>
              <w:bCs/>
              <w:color w:val="B6267E"/>
              <w:sz w:val="26"/>
              <w:szCs w:val="26"/>
            </w:rPr>
            <w:t xml:space="preserve">Sciences</w:t>
          </w:r>
        </w:p>
        <w:p>
          <w:pPr>
            <w:spacing w:after="0" w:line="368" w:lineRule="exact"/>
          </w:pPr>
          <w:r>
            <w:rPr>
              <w:rFonts w:ascii="Aptos" w:cs="Aptos" w:eastAsia="Aptos" w:hAnsi="Aptos"/>
              <w:b/>
              <w:bCs/>
              <w:color w:val="262626"/>
              <w:sz w:val="32"/>
              <w:szCs w:val="32"/>
            </w:rPr>
            <w:t xml:space="preserve">TH Köln</w:t>
          </w:r>
        </w:p>
      </w:tc>
    </w:tr>
  </w:tbl>
  <w:p>
    <w:pPr>
      <w:pBdr>
        <w:bottom w:val="single" w:color="000000" w:sz="6" w:space="1"/>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40" w:hanging="2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ptos" w:cs="Aptos" w:eastAsia="Aptos" w:hAnsi="Aptos"/>
      <w:color w:val="1F4E6B"/>
      <w:sz w:val="34"/>
      <w:szCs w:val="34"/>
    </w:rPr>
  </w:style>
  <w:style w:type="paragraph" w:styleId="Heading2">
    <w:name w:val="Heading 2"/>
    <w:basedOn w:val="Normal"/>
    <w:next w:val="Normal"/>
    <w:qFormat/>
    <w:pPr>
      <w:keepNext/>
      <w:spacing w:after="120" w:before="240"/>
      <w:outlineLvl w:val="1"/>
    </w:pPr>
    <w:rPr>
      <w:rFonts w:ascii="Aptos" w:cs="Aptos" w:eastAsia="Aptos" w:hAnsi="Aptos"/>
      <w:color w:val="1F4E6B"/>
      <w:sz w:val="27"/>
      <w:szCs w:val="27"/>
    </w:rPr>
  </w:style>
  <w:style w:type="paragraph" w:styleId="Heading3">
    <w:name w:val="Heading 3"/>
    <w:basedOn w:val="Normal"/>
    <w:next w:val="Normal"/>
    <w:qFormat/>
    <w:pPr>
      <w:keepNext/>
      <w:spacing w:after="100" w:before="200"/>
      <w:outlineLvl w:val="2"/>
    </w:pPr>
    <w:rPr>
      <w:rFonts w:ascii="Aptos" w:cs="Aptos" w:eastAsia="Aptos" w:hAnsi="Aptos"/>
      <w:color w:val="1F4E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a82dd56040d8d25f5d8fd0935f82e77079691e6.png"/><Relationship Id="rId12" Type="http://schemas.openxmlformats.org/officeDocument/2006/relationships/image" Target="media/c865a21847bcf508478c2d862f53f5202f691b9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2026-10-16T22:57:54.332Z</dcterms:created>
  <dcterms:modified xsi:type="dcterms:W3CDTF">2026-10-16T22:57:54.333Z</dcterms:modified>
</cp:coreProperties>
</file>

<file path=docProps/custom.xml><?xml version="1.0" encoding="utf-8"?>
<Properties xmlns="http://schemas.openxmlformats.org/officeDocument/2006/custom-properties" xmlns:vt="http://schemas.openxmlformats.org/officeDocument/2006/docPropsVTypes"/>
</file>