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Notes June 2023 - restarting the project (reengaging with the project)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purpose of this document is to help organize this next ‘stab’ at the project.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Making the dataset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Indicators: 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want to include wealth brakets for comparison across region and wealth ((done))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Year: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Yearly for 15 years: 2005-2020 (?) WHY that time period {{do the results greatly change?}}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Missingness: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indicators have the most/worst level of missingness?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Right now the data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Final Product: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Final2005.2022.csv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Dataset: SurgSet = has data from the countries that reported both the SAOP and surgical providers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Imputations: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Using MICE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Maxit vs 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Death from poor quality of care vs non-utilization in LMIC: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https://www.thelancet.com/action/showPdf?pii=S0140-6736%2818%2931668-4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 care no longer the binding constraint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thelancet.com/action/showPdf?pii=S0140-6736%2818%2931668-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