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ageBreakBefore w:val="0"/>
        <w:wordWrap/>
        <w:spacing w:before="160" w:after="0"/>
        <w:ind w:left="0" w:right="0"/>
        <w:jc w:val="left"/>
        <w:textAlignment w:val="auto"/>
        <w:rPr>
          <w:sz w:val="48"/>
        </w:rPr>
      </w:pPr>
      <w:r>
        <w:rPr>
          <w:rFonts w:ascii="宋体" w:hAnsi="宋体" w:eastAsia="宋体" w:cs="宋体"/>
          <w:b/>
          <w:i w:val="0"/>
          <w:spacing w:val="0"/>
          <w:sz w:val="48"/>
        </w:rPr>
        <w:t>小米与华为2024年财务报告对比分析</w:t>
      </w:r>
    </w:p>
    <w:p>
      <w:pPr>
        <w:pageBreakBefore w:val="0"/>
        <w:wordWrap/>
        <w:spacing w:before="160" w:after="0"/>
        <w:ind w:left="0" w:right="0"/>
        <w:jc w:val="left"/>
        <w:textAlignment w:val="auto"/>
        <w:rPr>
          <w:sz w:val="36"/>
        </w:rPr>
      </w:pPr>
      <w:r>
        <w:rPr>
          <w:rFonts w:ascii="宋体" w:hAnsi="宋体" w:eastAsia="宋体" w:cs="宋体"/>
          <w:b/>
          <w:i w:val="0"/>
          <w:spacing w:val="0"/>
          <w:sz w:val="36"/>
        </w:rPr>
        <w:t>概述</w:t>
      </w:r>
    </w:p>
    <w:p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本报告汇总了小米集团和华为技术有限公司在2024财年的核心财务指标，包括营业收入、净利润等关键数据，为投资者和行业分析师提供对比参考。</w:t>
      </w:r>
    </w:p>
    <w:p>
      <w:pPr>
        <w:pageBreakBefore w:val="0"/>
        <w:wordWrap/>
        <w:spacing w:before="160" w:after="0"/>
        <w:ind w:left="0" w:right="0"/>
        <w:jc w:val="left"/>
        <w:textAlignment w:val="auto"/>
        <w:rPr>
          <w:sz w:val="36"/>
        </w:rPr>
      </w:pPr>
      <w:r>
        <w:rPr>
          <w:rFonts w:ascii="宋体" w:hAnsi="宋体" w:eastAsia="宋体" w:cs="宋体"/>
          <w:b/>
          <w:i w:val="0"/>
          <w:spacing w:val="0"/>
          <w:sz w:val="36"/>
        </w:rPr>
        <w:t>小米集团2024年财务表现</w:t>
      </w:r>
    </w:p>
    <w:p>
      <w:pPr>
        <w:pageBreakBefore w:val="0"/>
        <w:wordWrap/>
        <w:spacing w:before="160" w:after="0"/>
        <w:ind w:left="0" w:right="0"/>
        <w:jc w:val="left"/>
        <w:textAlignment w:val="auto"/>
        <w:rPr>
          <w:rFonts w:hint="eastAsia" w:eastAsia="宋体"/>
          <w:sz w:val="24"/>
          <w:lang w:eastAsia="zh-CN"/>
        </w:rPr>
      </w:pPr>
      <w:r>
        <w:rPr>
          <w:rFonts w:hint="eastAsia" w:ascii="宋体" w:hAnsi="宋体" w:eastAsia="宋体" w:cs="宋体"/>
          <w:b/>
          <w:i w:val="0"/>
          <w:spacing w:val="0"/>
          <w:sz w:val="28"/>
          <w:lang w:val="en-US" w:eastAsia="zh-CN"/>
        </w:rPr>
        <w:t>小米集团</w:t>
      </w:r>
      <w:r>
        <w:rPr>
          <w:rFonts w:ascii="宋体" w:hAnsi="宋体" w:eastAsia="宋体" w:cs="宋体"/>
          <w:b/>
          <w:i w:val="0"/>
          <w:spacing w:val="0"/>
          <w:sz w:val="28"/>
        </w:rPr>
        <w:t>核心财务指标</w:t>
      </w:r>
      <w:r>
        <w:rPr>
          <w:rFonts w:hint="eastAsia" w:ascii="宋体" w:hAnsi="宋体" w:eastAsia="宋体" w:cs="宋体"/>
          <w:b/>
          <w:i w:val="0"/>
          <w:spacing w:val="0"/>
          <w:sz w:val="28"/>
          <w:lang w:val="en-US" w:eastAsia="zh-CN"/>
        </w:rPr>
        <w:t>为如下，</w:t>
      </w:r>
      <w:r>
        <w:rPr>
          <w:rFonts w:ascii="宋体" w:hAnsi="宋体" w:eastAsia="宋体" w:cs="宋体"/>
          <w:b/>
          <w:i w:val="0"/>
          <w:spacing w:val="0"/>
          <w:sz w:val="24"/>
        </w:rPr>
        <w:t>营业收入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：2,710亿元人民币</w:t>
      </w:r>
      <w:r>
        <w:rPr>
          <w:rFonts w:hint="eastAsia" w:ascii="宋体" w:hAnsi="宋体" w:eastAsia="宋体" w:cs="宋体"/>
          <w:b w:val="0"/>
          <w:i w:val="0"/>
          <w:spacing w:val="0"/>
          <w:sz w:val="24"/>
          <w:lang w:eastAsia="zh-CN"/>
        </w:rPr>
        <w:t>；</w:t>
      </w:r>
      <w:r>
        <w:rPr>
          <w:rFonts w:ascii="宋体" w:hAnsi="宋体" w:eastAsia="宋体" w:cs="宋体"/>
          <w:b/>
          <w:i w:val="0"/>
          <w:spacing w:val="0"/>
          <w:sz w:val="24"/>
        </w:rPr>
        <w:t>净利润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：143亿元人民币</w:t>
      </w:r>
      <w:r>
        <w:rPr>
          <w:rFonts w:hint="eastAsia" w:ascii="宋体" w:hAnsi="宋体" w:eastAsia="宋体" w:cs="宋体"/>
          <w:b w:val="0"/>
          <w:i w:val="0"/>
          <w:spacing w:val="0"/>
          <w:sz w:val="24"/>
          <w:lang w:eastAsia="zh-CN"/>
        </w:rPr>
        <w:t>；</w:t>
      </w:r>
      <w:r>
        <w:rPr>
          <w:rFonts w:ascii="宋体" w:hAnsi="宋体" w:eastAsia="宋体" w:cs="宋体"/>
          <w:b/>
          <w:i w:val="0"/>
          <w:spacing w:val="0"/>
          <w:sz w:val="24"/>
        </w:rPr>
        <w:t>毛利率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：22.3%</w:t>
      </w:r>
      <w:r>
        <w:rPr>
          <w:rFonts w:hint="eastAsia" w:ascii="宋体" w:hAnsi="宋体" w:eastAsia="宋体" w:cs="宋体"/>
          <w:b w:val="0"/>
          <w:i w:val="0"/>
          <w:spacing w:val="0"/>
          <w:sz w:val="24"/>
          <w:lang w:eastAsia="zh-CN"/>
        </w:rPr>
        <w:t>；</w:t>
      </w:r>
      <w:r>
        <w:rPr>
          <w:rFonts w:ascii="宋体" w:hAnsi="宋体" w:eastAsia="宋体" w:cs="宋体"/>
          <w:b/>
          <w:i w:val="0"/>
          <w:spacing w:val="0"/>
          <w:sz w:val="24"/>
        </w:rPr>
        <w:t>研发投入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：191亿元人民币</w:t>
      </w:r>
      <w:r>
        <w:rPr>
          <w:rFonts w:hint="eastAsia" w:ascii="宋体" w:hAnsi="宋体" w:eastAsia="宋体" w:cs="宋体"/>
          <w:b w:val="0"/>
          <w:i w:val="0"/>
          <w:spacing w:val="0"/>
          <w:sz w:val="24"/>
          <w:lang w:eastAsia="zh-CN"/>
        </w:rPr>
        <w:t>；</w:t>
      </w:r>
    </w:p>
    <w:p>
      <w:pPr>
        <w:pageBreakBefore w:val="0"/>
        <w:wordWrap/>
        <w:spacing w:before="160" w:after="0"/>
        <w:ind w:left="0" w:right="0"/>
        <w:jc w:val="left"/>
        <w:textAlignment w:val="auto"/>
        <w:rPr>
          <w:sz w:val="28"/>
        </w:rPr>
      </w:pPr>
      <w:r>
        <w:rPr>
          <w:rFonts w:ascii="宋体" w:hAnsi="宋体" w:eastAsia="宋体" w:cs="宋体"/>
          <w:b/>
          <w:i w:val="0"/>
          <w:spacing w:val="0"/>
          <w:sz w:val="28"/>
        </w:rPr>
        <w:t>业务亮点</w:t>
      </w:r>
    </w:p>
    <w:p>
      <w:pPr>
        <w:pageBreakBefore w:val="0"/>
        <w:numPr>
          <w:ilvl w:val="0"/>
          <w:numId w:val="1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智能手机业务收入占比58%</w:t>
      </w:r>
    </w:p>
    <w:p>
      <w:pPr>
        <w:pageBreakBefore w:val="0"/>
        <w:numPr>
          <w:ilvl w:val="0"/>
          <w:numId w:val="1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IoT与生活消费品业务同比增长15%</w:t>
      </w:r>
    </w:p>
    <w:p>
      <w:pPr>
        <w:pageBreakBefore w:val="0"/>
        <w:numPr>
          <w:ilvl w:val="0"/>
          <w:numId w:val="1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互联网服务业务毛利率达72%</w:t>
      </w:r>
    </w:p>
    <w:p>
      <w:pPr>
        <w:pageBreakBefore w:val="0"/>
        <w:wordWrap/>
        <w:spacing w:before="160" w:after="0"/>
        <w:ind w:left="0" w:right="0"/>
        <w:jc w:val="left"/>
        <w:textAlignment w:val="auto"/>
        <w:rPr>
          <w:sz w:val="36"/>
        </w:rPr>
      </w:pPr>
      <w:r>
        <w:rPr>
          <w:rFonts w:ascii="宋体" w:hAnsi="宋体" w:eastAsia="宋体" w:cs="宋体"/>
          <w:b/>
          <w:i w:val="0"/>
          <w:spacing w:val="0"/>
          <w:sz w:val="36"/>
        </w:rPr>
        <w:t>华为技术有限公司2024年财务表现</w:t>
      </w:r>
    </w:p>
    <w:p>
      <w:pPr>
        <w:pageBreakBefore w:val="0"/>
        <w:wordWrap/>
        <w:spacing w:before="160" w:after="0"/>
        <w:ind w:left="0" w:right="0"/>
        <w:jc w:val="left"/>
        <w:textAlignment w:val="auto"/>
        <w:rPr>
          <w:rFonts w:hint="eastAsia" w:eastAsia="宋体"/>
          <w:sz w:val="24"/>
          <w:lang w:eastAsia="zh-CN"/>
        </w:rPr>
      </w:pPr>
      <w:r>
        <w:rPr>
          <w:rFonts w:hint="eastAsia" w:ascii="宋体" w:hAnsi="宋体" w:eastAsia="宋体" w:cs="宋体"/>
          <w:b/>
          <w:i w:val="0"/>
          <w:spacing w:val="0"/>
          <w:sz w:val="28"/>
          <w:lang w:val="en-US" w:eastAsia="zh-CN"/>
        </w:rPr>
        <w:t>华为</w:t>
      </w:r>
      <w:r>
        <w:rPr>
          <w:rFonts w:ascii="宋体" w:hAnsi="宋体" w:eastAsia="宋体" w:cs="宋体"/>
          <w:b/>
          <w:i w:val="0"/>
          <w:spacing w:val="0"/>
          <w:sz w:val="28"/>
        </w:rPr>
        <w:t>核心财务指标</w:t>
      </w:r>
      <w:r>
        <w:rPr>
          <w:rFonts w:hint="eastAsia" w:ascii="宋体" w:hAnsi="宋体" w:eastAsia="宋体" w:cs="宋体"/>
          <w:b/>
          <w:i w:val="0"/>
          <w:spacing w:val="0"/>
          <w:sz w:val="28"/>
          <w:lang w:val="en-US" w:eastAsia="zh-CN"/>
        </w:rPr>
        <w:t>如下，</w:t>
      </w:r>
      <w:r>
        <w:rPr>
          <w:rFonts w:ascii="宋体" w:hAnsi="宋体" w:eastAsia="宋体" w:cs="宋体"/>
          <w:b/>
          <w:i w:val="0"/>
          <w:spacing w:val="0"/>
          <w:sz w:val="24"/>
        </w:rPr>
        <w:t>营业收入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：7,042亿元人民币</w:t>
      </w:r>
      <w:r>
        <w:rPr>
          <w:rFonts w:hint="eastAsia" w:ascii="宋体" w:hAnsi="宋体" w:eastAsia="宋体" w:cs="宋体"/>
          <w:b w:val="0"/>
          <w:i w:val="0"/>
          <w:spacing w:val="0"/>
          <w:sz w:val="24"/>
          <w:lang w:eastAsia="zh-CN"/>
        </w:rPr>
        <w:t>；</w:t>
      </w:r>
      <w:r>
        <w:rPr>
          <w:rFonts w:ascii="宋体" w:hAnsi="宋体" w:eastAsia="宋体" w:cs="宋体"/>
          <w:b/>
          <w:i w:val="0"/>
          <w:spacing w:val="0"/>
          <w:sz w:val="24"/>
        </w:rPr>
        <w:t>净利润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：870亿元人民币</w:t>
      </w:r>
      <w:r>
        <w:rPr>
          <w:rFonts w:hint="eastAsia" w:ascii="宋体" w:hAnsi="宋体" w:eastAsia="宋体" w:cs="宋体"/>
          <w:b w:val="0"/>
          <w:i w:val="0"/>
          <w:spacing w:val="0"/>
          <w:sz w:val="24"/>
          <w:lang w:eastAsia="zh-CN"/>
        </w:rPr>
        <w:t>；</w:t>
      </w:r>
      <w:r>
        <w:rPr>
          <w:rFonts w:ascii="宋体" w:hAnsi="宋体" w:eastAsia="宋体" w:cs="宋体"/>
          <w:b/>
          <w:i w:val="0"/>
          <w:spacing w:val="0"/>
          <w:sz w:val="24"/>
        </w:rPr>
        <w:t>净利润率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：12.4%</w:t>
      </w:r>
      <w:r>
        <w:rPr>
          <w:rFonts w:hint="eastAsia" w:ascii="宋体" w:hAnsi="宋体" w:eastAsia="宋体" w:cs="宋体"/>
          <w:b w:val="0"/>
          <w:i w:val="0"/>
          <w:spacing w:val="0"/>
          <w:sz w:val="24"/>
          <w:lang w:eastAsia="zh-CN"/>
        </w:rPr>
        <w:t>；</w:t>
      </w:r>
      <w:r>
        <w:rPr>
          <w:rFonts w:ascii="宋体" w:hAnsi="宋体" w:eastAsia="宋体" w:cs="宋体"/>
          <w:b/>
          <w:i w:val="0"/>
          <w:spacing w:val="0"/>
          <w:sz w:val="24"/>
        </w:rPr>
        <w:t>研发投入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：1,647亿元人民币</w:t>
      </w:r>
      <w:r>
        <w:rPr>
          <w:rFonts w:hint="eastAsia" w:ascii="宋体" w:hAnsi="宋体" w:eastAsia="宋体" w:cs="宋体"/>
          <w:b w:val="0"/>
          <w:i w:val="0"/>
          <w:spacing w:val="0"/>
          <w:sz w:val="24"/>
          <w:lang w:eastAsia="zh-CN"/>
        </w:rPr>
        <w:t>；</w:t>
      </w:r>
    </w:p>
    <w:p>
      <w:pPr>
        <w:pageBreakBefore w:val="0"/>
        <w:wordWrap/>
        <w:spacing w:before="160" w:after="0"/>
        <w:ind w:left="0" w:right="0"/>
        <w:jc w:val="left"/>
        <w:textAlignment w:val="auto"/>
        <w:rPr>
          <w:sz w:val="28"/>
        </w:rPr>
      </w:pPr>
      <w:r>
        <w:rPr>
          <w:rFonts w:ascii="宋体" w:hAnsi="宋体" w:eastAsia="宋体" w:cs="宋体"/>
          <w:b/>
          <w:i w:val="0"/>
          <w:spacing w:val="0"/>
          <w:sz w:val="28"/>
        </w:rPr>
        <w:t>业务亮点</w:t>
      </w:r>
      <w:bookmarkStart w:id="0" w:name="_GoBack"/>
      <w:bookmarkEnd w:id="0"/>
    </w:p>
    <w:p>
      <w:pPr>
        <w:pageBreakBefore w:val="0"/>
        <w:numPr>
          <w:ilvl w:val="0"/>
          <w:numId w:val="2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运营商业务收入占比41%</w:t>
      </w:r>
    </w:p>
    <w:p>
      <w:pPr>
        <w:pageBreakBefore w:val="0"/>
        <w:numPr>
          <w:ilvl w:val="0"/>
          <w:numId w:val="2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企业业务同比增长23%</w:t>
      </w:r>
    </w:p>
    <w:p>
      <w:pPr>
        <w:pageBreakBefore w:val="0"/>
        <w:numPr>
          <w:ilvl w:val="0"/>
          <w:numId w:val="2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消费者业务逐步恢复增长</w:t>
      </w:r>
    </w:p>
    <w:p>
      <w:pPr>
        <w:pageBreakBefore w:val="0"/>
        <w:wordWrap/>
        <w:spacing w:before="160" w:after="0"/>
        <w:ind w:left="0" w:right="0"/>
        <w:jc w:val="left"/>
        <w:textAlignment w:val="auto"/>
        <w:rPr>
          <w:sz w:val="36"/>
        </w:rPr>
      </w:pPr>
      <w:r>
        <w:rPr>
          <w:rFonts w:ascii="宋体" w:hAnsi="宋体" w:eastAsia="宋体" w:cs="宋体"/>
          <w:b/>
          <w:i w:val="0"/>
          <w:spacing w:val="0"/>
          <w:sz w:val="36"/>
        </w:rPr>
        <w:t>结论</w:t>
      </w:r>
    </w:p>
    <w:p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2024年，华为在营收规模、净利润和研发投入方面均显著领先于小米。华为凭借其在通信设备、企业服务和消费电子领域的多元化布局，展现出更强的盈利能力和技术实力。小米则在消费电子产品领域保持了稳定的增长态势，特别是在IoT生态建设方面表现突出。</w:t>
      </w:r>
    </w:p>
    <w:p>
      <w:pPr>
        <w:pageBreakBefore w:val="0"/>
        <w:wordWrap/>
        <w:spacing w:before="160" w:after="0"/>
        <w:ind w:left="0" w:right="0"/>
        <w:jc w:val="left"/>
        <w:textAlignment w:val="auto"/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两家公司在2024年都展现了中国科技企业的强劲发展势头，为全球消费者提供了高质量的产品和服务。</w:t>
      </w:r>
    </w:p>
    <w:sectPr>
      <w:headerReference r:id="rId3" w:type="default"/>
      <w:footerReference r:id="rId4" w:type="default"/>
      <w:pgSz w:w="11900" w:h="15840"/>
      <w:pgMar w:top="1440" w:right="1800" w:bottom="1440" w:left="1800" w:header="720" w:footer="72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9FAA1F4"/>
    <w:multiLevelType w:val="multilevel"/>
    <w:tmpl w:val="99FAA1F4"/>
    <w:lvl w:ilvl="0" w:tentative="0">
      <w:start w:val="1"/>
      <w:numFmt w:val="bullet"/>
      <w:lvlText w:val="•"/>
      <w:lvlJc w:val="left"/>
      <w:pPr>
        <w:ind w:left="440" w:hanging="440"/>
      </w:pPr>
      <w:rPr>
        <w:rFonts w:hint="default" w:ascii="Arial Unicode MS" w:hAnsi="Arial Unicode MS"/>
      </w:rPr>
    </w:lvl>
    <w:lvl w:ilvl="1" w:tentative="0">
      <w:start w:val="1"/>
      <w:numFmt w:val="bullet"/>
      <w:lvlText w:val="◦"/>
      <w:lvlJc w:val="left"/>
      <w:pPr>
        <w:ind w:left="880" w:hanging="440"/>
      </w:pPr>
      <w:rPr>
        <w:rFonts w:hint="default" w:ascii="Arial Unicode MS" w:hAnsi="Arial Unicode MS"/>
      </w:rPr>
    </w:lvl>
    <w:lvl w:ilvl="2" w:tentative="0">
      <w:start w:val="1"/>
      <w:numFmt w:val="bullet"/>
      <w:lvlText w:val="▪"/>
      <w:lvlJc w:val="left"/>
      <w:pPr>
        <w:ind w:left="1320" w:hanging="440"/>
      </w:pPr>
      <w:rPr>
        <w:rFonts w:hint="default" w:ascii="Arial Unicode MS" w:hAnsi="Arial Unicode MS"/>
      </w:rPr>
    </w:lvl>
    <w:lvl w:ilvl="3" w:tentative="0">
      <w:start w:val="1"/>
      <w:numFmt w:val="bullet"/>
      <w:lvlText w:val="•"/>
      <w:lvlJc w:val="left"/>
      <w:pPr>
        <w:ind w:left="1760" w:hanging="440"/>
      </w:pPr>
      <w:rPr>
        <w:rFonts w:hint="default" w:ascii="Arial Unicode MS" w:hAnsi="Arial Unicode MS"/>
      </w:rPr>
    </w:lvl>
    <w:lvl w:ilvl="4" w:tentative="0">
      <w:start w:val="1"/>
      <w:numFmt w:val="bullet"/>
      <w:lvlText w:val="◦"/>
      <w:lvlJc w:val="left"/>
      <w:pPr>
        <w:ind w:left="2200" w:hanging="440"/>
      </w:pPr>
      <w:rPr>
        <w:rFonts w:hint="default" w:ascii="Arial Unicode MS" w:hAnsi="Arial Unicode MS"/>
      </w:rPr>
    </w:lvl>
    <w:lvl w:ilvl="5" w:tentative="0">
      <w:start w:val="1"/>
      <w:numFmt w:val="bullet"/>
      <w:lvlText w:val="▪"/>
      <w:lvlJc w:val="left"/>
      <w:pPr>
        <w:ind w:left="2640" w:hanging="440"/>
      </w:pPr>
      <w:rPr>
        <w:rFonts w:hint="default" w:ascii="Arial Unicode MS" w:hAnsi="Arial Unicode MS"/>
      </w:rPr>
    </w:lvl>
    <w:lvl w:ilvl="6" w:tentative="0">
      <w:start w:val="1"/>
      <w:numFmt w:val="bullet"/>
      <w:lvlText w:val="•"/>
      <w:lvlJc w:val="left"/>
      <w:pPr>
        <w:ind w:left="3080" w:hanging="440"/>
      </w:pPr>
      <w:rPr>
        <w:rFonts w:hint="default" w:ascii="Arial Unicode MS" w:hAnsi="Arial Unicode MS"/>
      </w:rPr>
    </w:lvl>
    <w:lvl w:ilvl="7" w:tentative="0">
      <w:start w:val="1"/>
      <w:numFmt w:val="bullet"/>
      <w:lvlText w:val="◦"/>
      <w:lvlJc w:val="left"/>
      <w:pPr>
        <w:ind w:left="3520" w:hanging="440"/>
      </w:pPr>
      <w:rPr>
        <w:rFonts w:hint="default" w:ascii="Arial Unicode MS" w:hAnsi="Arial Unicode MS"/>
      </w:rPr>
    </w:lvl>
    <w:lvl w:ilvl="8" w:tentative="0">
      <w:start w:val="1"/>
      <w:numFmt w:val="bullet"/>
      <w:lvlText w:val="▪"/>
      <w:lvlJc w:val="left"/>
      <w:pPr>
        <w:ind w:left="3960" w:hanging="440"/>
      </w:pPr>
      <w:rPr>
        <w:rFonts w:hint="default" w:ascii="Arial Unicode MS" w:hAnsi="Arial Unicode MS"/>
      </w:rPr>
    </w:lvl>
  </w:abstractNum>
  <w:abstractNum w:abstractNumId="1">
    <w:nsid w:val="BAFEF050"/>
    <w:multiLevelType w:val="multilevel"/>
    <w:tmpl w:val="BAFEF050"/>
    <w:lvl w:ilvl="0" w:tentative="0">
      <w:start w:val="1"/>
      <w:numFmt w:val="bullet"/>
      <w:lvlText w:val="•"/>
      <w:lvlJc w:val="left"/>
      <w:pPr>
        <w:ind w:left="440" w:hanging="440"/>
      </w:pPr>
      <w:rPr>
        <w:rFonts w:hint="default" w:ascii="Arial Unicode MS" w:hAnsi="Arial Unicode MS"/>
      </w:rPr>
    </w:lvl>
    <w:lvl w:ilvl="1" w:tentative="0">
      <w:start w:val="1"/>
      <w:numFmt w:val="bullet"/>
      <w:lvlText w:val="◦"/>
      <w:lvlJc w:val="left"/>
      <w:pPr>
        <w:ind w:left="880" w:hanging="440"/>
      </w:pPr>
      <w:rPr>
        <w:rFonts w:hint="default" w:ascii="Arial Unicode MS" w:hAnsi="Arial Unicode MS"/>
      </w:rPr>
    </w:lvl>
    <w:lvl w:ilvl="2" w:tentative="0">
      <w:start w:val="1"/>
      <w:numFmt w:val="bullet"/>
      <w:lvlText w:val="▪"/>
      <w:lvlJc w:val="left"/>
      <w:pPr>
        <w:ind w:left="1320" w:hanging="440"/>
      </w:pPr>
      <w:rPr>
        <w:rFonts w:hint="default" w:ascii="Arial Unicode MS" w:hAnsi="Arial Unicode MS"/>
      </w:rPr>
    </w:lvl>
    <w:lvl w:ilvl="3" w:tentative="0">
      <w:start w:val="1"/>
      <w:numFmt w:val="bullet"/>
      <w:lvlText w:val="•"/>
      <w:lvlJc w:val="left"/>
      <w:pPr>
        <w:ind w:left="1760" w:hanging="440"/>
      </w:pPr>
      <w:rPr>
        <w:rFonts w:hint="default" w:ascii="Arial Unicode MS" w:hAnsi="Arial Unicode MS"/>
      </w:rPr>
    </w:lvl>
    <w:lvl w:ilvl="4" w:tentative="0">
      <w:start w:val="1"/>
      <w:numFmt w:val="bullet"/>
      <w:lvlText w:val="◦"/>
      <w:lvlJc w:val="left"/>
      <w:pPr>
        <w:ind w:left="2200" w:hanging="440"/>
      </w:pPr>
      <w:rPr>
        <w:rFonts w:hint="default" w:ascii="Arial Unicode MS" w:hAnsi="Arial Unicode MS"/>
      </w:rPr>
    </w:lvl>
    <w:lvl w:ilvl="5" w:tentative="0">
      <w:start w:val="1"/>
      <w:numFmt w:val="bullet"/>
      <w:lvlText w:val="▪"/>
      <w:lvlJc w:val="left"/>
      <w:pPr>
        <w:ind w:left="2640" w:hanging="440"/>
      </w:pPr>
      <w:rPr>
        <w:rFonts w:hint="default" w:ascii="Arial Unicode MS" w:hAnsi="Arial Unicode MS"/>
      </w:rPr>
    </w:lvl>
    <w:lvl w:ilvl="6" w:tentative="0">
      <w:start w:val="1"/>
      <w:numFmt w:val="bullet"/>
      <w:lvlText w:val="•"/>
      <w:lvlJc w:val="left"/>
      <w:pPr>
        <w:ind w:left="3080" w:hanging="440"/>
      </w:pPr>
      <w:rPr>
        <w:rFonts w:hint="default" w:ascii="Arial Unicode MS" w:hAnsi="Arial Unicode MS"/>
      </w:rPr>
    </w:lvl>
    <w:lvl w:ilvl="7" w:tentative="0">
      <w:start w:val="1"/>
      <w:numFmt w:val="bullet"/>
      <w:lvlText w:val="◦"/>
      <w:lvlJc w:val="left"/>
      <w:pPr>
        <w:ind w:left="3520" w:hanging="440"/>
      </w:pPr>
      <w:rPr>
        <w:rFonts w:hint="default" w:ascii="Arial Unicode MS" w:hAnsi="Arial Unicode MS"/>
      </w:rPr>
    </w:lvl>
    <w:lvl w:ilvl="8" w:tentative="0">
      <w:start w:val="1"/>
      <w:numFmt w:val="bullet"/>
      <w:lvlText w:val="▪"/>
      <w:lvlJc w:val="left"/>
      <w:pPr>
        <w:ind w:left="3960" w:hanging="440"/>
      </w:pPr>
      <w:rPr>
        <w:rFonts w:hint="default" w:ascii="Arial Unicode MS" w:hAnsi="Arial Unicode MS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2"/>
  <w:doNotDisplayPageBoundaries w:val="1"/>
  <w:documentProtection w:enforcement="0"/>
  <w:compat>
    <w:ulTrailSpace/>
    <w:useFELayout/>
    <w:compatSetting w:name="compatibilityMode" w:uri="http://schemas.microsoft.com/office/word" w:val="15"/>
  </w:compat>
  <w:rsids>
    <w:rsidRoot w:val="00000000"/>
    <w:rsid w:val="63D982D7"/>
    <w:rsid w:val="65FF9C08"/>
    <w:rsid w:val="E9F5787B"/>
    <w:rsid w:val="FFFD8D1A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sz w:val="21"/>
      <w:szCs w:val="22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otalTime>1</TotalTime>
  <ScaleCrop>false</ScaleCrop>
  <LinksUpToDate>false</LinksUpToDate>
  <Application>WPS Office_6.5.2.8766_F1E327BC-269C-435d-A152-05C5408002CA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2026-04-27T18:02:00Z</dcterms:created>
  <dc:creator>Apache POI</dc:creator>
  <cp:lastModifiedBy>五个圈</cp:lastModifiedBy>
  <dcterms:modified xsi:type="dcterms:W3CDTF">2026-04-27T10:48:50Z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ContentPropagator":"001191440101MA9Y9T4H7A00000","Label":"1","ReservedCode1":"SX5+pl5wVjc0EPsf5E/tZWINqxgy1JSmiZfovkwZU44=","ProduceID":"doc_sgs:3c77d11c-3f04-4a50-9f3c-c45a12d760fd","ReservedCode2":"SX5+pl5wVjc0EPsf5E/tZWINqxgy1JSmiZfovkwZU44=","PropagateID":"doc_sgs:3c77d11c-3f04-4a50-9f3c-c45a12d760fd","ContentProducer":"001191440101MA9Y9T4H7A00000"}</vt:lpwstr>
  </property>
  <property fmtid="{D5CDD505-2E9C-101B-9397-08002B2CF9AE}" pid="3" name="KSOProductBuildVer">
    <vt:lpwstr>2052-6.5.2.8766</vt:lpwstr>
  </property>
  <property fmtid="{D5CDD505-2E9C-101B-9397-08002B2CF9AE}" pid="4" name="ICV">
    <vt:lpwstr>97A2635BBCE84BD6D9CDEE69CC53593E_42</vt:lpwstr>
  </property>
</Properties>
</file>