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75B1E" w:sz="16" w:space="8"/>
        </w:pBdr>
        <w:spacing w:after="0" w:before="2600"/>
      </w:pPr>
    </w:p>
    <w:p>
      <w:pPr>
        <w:spacing w:after="0" w:before="240"/>
        <w:jc w:val="left"/>
      </w:pPr>
      <w:r>
        <w:rPr>
          <w:b/>
          <w:bCs/>
          <w:color w:val="132933"/>
          <w:sz w:val="52"/>
          <w:szCs w:val="52"/>
        </w:rPr>
        <w:t xml:space="preserve">RAG Evaluations-Benchmark</w:t>
      </w:r>
    </w:p>
    <w:p>
      <w:pPr>
        <w:spacing w:after="0" w:before="120"/>
      </w:pPr>
      <w:r>
        <w:rPr>
          <w:b/>
          <w:bCs/>
          <w:color w:val="C75B1E"/>
          <w:sz w:val="32"/>
          <w:szCs w:val="32"/>
        </w:rPr>
        <w:t xml:space="preserve">Anwenderhandbuch</w:t>
      </w:r>
    </w:p>
    <w:p>
      <w:pPr>
        <w:spacing w:before="700"/>
      </w:pPr>
      <w:r>
        <w:rPr>
          <w:sz w:val="24"/>
          <w:szCs w:val="24"/>
        </w:rPr>
        <w:t xml:space="preserve">BHT Consulting Projekt  |  Gruppe 2</w:t>
      </w:r>
    </w:p>
    <w:p>
      <w:r>
        <w:rPr>
          <w:sz w:val="24"/>
          <w:szCs w:val="24"/>
        </w:rPr>
        <w:t xml:space="preserve">Version 1.0  |  Juni 2026</w:t>
      </w:r>
    </w:p>
    <w:p>
      <w:r>
        <w:rPr>
          <w:sz w:val="24"/>
          <w:szCs w:val="24"/>
        </w:rPr>
        <w:t xml:space="preserve">Ansprechpartner: Lucas Bruhn</w:t>
      </w:r>
    </w:p>
    <w:p>
      <w:r>
        <w:br w:type="page"/>
      </w:r>
    </w:p>
    <w:p>
      <w:pPr>
        <w:spacing w:after="160"/>
      </w:pPr>
      <w:r>
        <w:rPr>
          <w:b/>
          <w:bCs/>
          <w:color w:val="132933"/>
          <w:sz w:val="30"/>
          <w:szCs w:val="30"/>
        </w:rPr>
        <w:t xml:space="preserve">Inhaltsverzeichnis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Einleitung</w:t>
      </w:r>
    </w:p>
    <w:p>
      <w:pPr>
        <w:spacing w:after="120"/>
      </w:pPr>
      <w:r>
        <w:t xml:space="preserve">Das RAG Evaluations-Benchmark ist ein Werkzeug, mit dem sich die Qualität des RAG Betreuer-Matching Systems objektiv und reproduzierbar messen lässt. Statt einzelne Antworten von Hand zu prüfen, beantwortet das Benchmark automatisch hunderte Testfragen und berechnet daraus aussagekräftige Kennzahlen.</w:t>
      </w:r>
    </w:p>
    <w:p>
      <w:pPr>
        <w:spacing w:after="120"/>
      </w:pPr>
      <w:r>
        <w:t xml:space="preserve">Es ist das dritte Artefakt des Consulting-Projekts (neben dem RAG-System selbst und der Datenbasis) und nutzt exakt dieselben Bausteine wie der produktive Chat – damit misst es genau das System, das die Studierenden später verwenden.</w:t>
      </w:r>
    </w:p>
    <w:p>
      <w:pPr>
        <w:pStyle w:val="Heading2"/>
      </w:pPr>
      <w:r>
        <w:t xml:space="preserve">1.1 Funktionsüberblick</w:t>
      </w:r>
    </w:p>
    <w:p>
      <w:pPr>
        <w:pStyle w:val="ListParagraph"/>
        <w:numPr>
          <w:ilvl w:val="0"/>
          <w:numId w:val="2"/>
        </w:numPr>
        <w:spacing w:after="40"/>
      </w:pPr>
      <w:r>
        <w:t xml:space="preserve">Automatische Testfragen: Die Fragen werden vollautomatisch aus den Lehrenden-Profilen erzeugt – kein Datensatz muss von Hand erstellt werden.</w:t>
      </w:r>
    </w:p>
    <w:p>
      <w:pPr>
        <w:pStyle w:val="ListParagraph"/>
        <w:numPr>
          <w:ilvl w:val="0"/>
          <w:numId w:val="2"/>
        </w:numPr>
        <w:spacing w:after="40"/>
      </w:pPr>
      <w:r>
        <w:t xml:space="preserve">Drei Prüf-Ebenen: Treffergenauigkeit (findet das System die richtige Person?), Antwortqualität (ist die Antwort korrekt und belegt?) und Robustheit (lehnt das System unpassende Anfragen ab?).</w:t>
      </w:r>
    </w:p>
    <w:p>
      <w:pPr>
        <w:pStyle w:val="ListParagraph"/>
        <w:numPr>
          <w:ilvl w:val="0"/>
          <w:numId w:val="2"/>
        </w:numPr>
        <w:spacing w:after="40"/>
      </w:pPr>
      <w:r>
        <w:t xml:space="preserve">Modellvergleich (Shootout): mehrere Sprachmodelle unter identischen Bedingungen gegeneinander testen.</w:t>
      </w:r>
    </w:p>
    <w:p>
      <w:pPr>
        <w:pStyle w:val="ListParagraph"/>
        <w:numPr>
          <w:ilvl w:val="0"/>
          <w:numId w:val="2"/>
        </w:numPr>
        <w:spacing w:after="40"/>
      </w:pPr>
      <w:r>
        <w:t xml:space="preserve">Retrieval-Vergleich: verschiedene Suchverfahren (rein semantisch vs. hybrid) gegenüberstellen.</w:t>
      </w:r>
    </w:p>
    <w:p>
      <w:pPr>
        <w:pStyle w:val="ListParagraph"/>
        <w:numPr>
          <w:ilvl w:val="0"/>
          <w:numId w:val="2"/>
        </w:numPr>
        <w:spacing w:after="40"/>
      </w:pPr>
      <w:r>
        <w:t xml:space="preserve">Fertige Reports: jedes Ergebnis wird als Excel-Tabelle, als Kurzbericht (Markdown) und als Rohdaten (JSON) gespeichert.</w:t>
      </w:r>
    </w:p>
    <w:p>
      <w:pPr>
        <w:pStyle w:val="ListParagraph"/>
        <w:numPr>
          <w:ilvl w:val="0"/>
          <w:numId w:val="2"/>
        </w:numPr>
        <w:spacing w:after="40"/>
      </w:pPr>
      <w:r>
        <w:t xml:space="preserve">Fortsetzbar: lange Läufe können nach einem Abbruch genau dort weiterlaufen, wo sie aufgehört haben.</w:t>
      </w:r>
    </w:p>
    <w:p>
      <w:pPr>
        <w:pStyle w:val="Heading2"/>
      </w:pPr>
      <w:r>
        <w:t xml:space="preserve">1.2 Voraussetzungen</w:t>
      </w:r>
    </w:p>
    <w:p>
      <w:pPr>
        <w:pStyle w:val="ListParagraph"/>
        <w:numPr>
          <w:ilvl w:val="0"/>
          <w:numId w:val="2"/>
        </w:numPr>
        <w:spacing w:after="40"/>
      </w:pPr>
      <w:r>
        <w:t xml:space="preserve">Das RAG-System ist bereits eingerichtet (siehe Anwenderhandbuch des RAG-Systems): Python-Umgebung (.venv) und Ollama sind installiert.</w:t>
      </w:r>
    </w:p>
    <w:p>
      <w:pPr>
        <w:pStyle w:val="ListParagraph"/>
        <w:numPr>
          <w:ilvl w:val="0"/>
          <w:numId w:val="2"/>
        </w:numPr>
        <w:spacing w:after="40"/>
      </w:pPr>
      <w:r>
        <w:t xml:space="preserve">Mindestens eine Wissensbasis ist indexiert – für das Betreuer-Matching die Collection mit den Lehrenden-Profilen.</w:t>
      </w:r>
    </w:p>
    <w:p>
      <w:pPr>
        <w:pStyle w:val="ListParagraph"/>
        <w:numPr>
          <w:ilvl w:val="0"/>
          <w:numId w:val="2"/>
        </w:numPr>
        <w:spacing w:after="40"/>
      </w:pPr>
      <w:r>
        <w:t xml:space="preserve">Das gewünschte Sprachmodell ist in Ollama geladen (z. B. qwen2.5:14b).</w:t>
      </w:r>
    </w:p>
    <w:p>
      <w:pPr>
        <w:pStyle w:val="ListParagraph"/>
        <w:numPr>
          <w:ilvl w:val="0"/>
          <w:numId w:val="2"/>
        </w:numPr>
        <w:spacing w:after="40"/>
      </w:pPr>
      <w:r>
        <w:t xml:space="preserve">Empfohlene Hardware: eine Grafikkarte (GPU) beschleunigt die Auswertung deutlich; das Projekt wurde auf einer NVIDIA RTX 5070 Ti (16 GB) entwickelt.</w:t>
      </w:r>
    </w:p>
    <w:p>
      <w:pPr>
        <w:pStyle w:val="Heading1"/>
      </w:pPr>
      <w:r>
        <w:t xml:space="preserve">2. Grundkonzept: Die drei Prüf-Ebenen</w:t>
      </w:r>
    </w:p>
    <w:p>
      <w:pPr>
        <w:spacing w:after="120"/>
      </w:pPr>
      <w:r>
        <w:t xml:space="preserve">Das Benchmark betrachtet die Qualität aus drei Blickwinkeln. Jede Ebene beantwortet eine eigene Frage:</w:t>
      </w:r>
    </w:p>
    <w:p>
      <w:pPr>
        <w:pStyle w:val="Heading3"/>
      </w:pPr>
      <w:r>
        <w:t xml:space="preserve">Ebene A – Treffergenauigkeit (Matching)</w:t>
      </w:r>
    </w:p>
    <w:p>
      <w:pPr>
        <w:spacing w:after="120"/>
      </w:pPr>
      <w:r>
        <w:t xml:space="preserve">Findet das System überhaupt die passende betreuende Person? Aus dem Forschungsgebiet einer Person wird eine Frage gebaut – die korrekte Antwort ist dann per Konstruktion genau diese Person. So entsteht eine objektive „Musterlösung“. Gemessen wird, ob die richtige Person unter den Top-1, Top-3 bzw. Top-5 Treffern auftaucht. Diese Ebene braucht kein Sprachmodell und ist daher sehr schnell.</w:t>
      </w:r>
    </w:p>
    <w:p>
      <w:pPr>
        <w:pStyle w:val="Heading3"/>
      </w:pPr>
      <w:r>
        <w:t xml:space="preserve">Ebene B – Antwortqualität (RAGAS)</w:t>
      </w:r>
    </w:p>
    <w:p>
      <w:pPr>
        <w:spacing w:after="120"/>
      </w:pPr>
      <w:r>
        <w:t xml:space="preserve">Ist die formulierte Antwort gut? Hier bewertet ein Sprachmodell als „Gutachter“ (LLM-as-a-Judge) jede Antwort nach drei Kriterien: Quelltreue (steht alles wirklich im Kontext?), Antwortrelevanz (passt die Antwort zur Frage?) und Kontextabdeckung (enthält der gefundene Kontext die nötige Information?). Diese Ebene ist die langsamste, weil pro Frage mehrere Modell-Aufrufe nötig sind.</w:t>
      </w:r>
    </w:p>
    <w:p>
      <w:pPr>
        <w:pStyle w:val="Heading3"/>
      </w:pPr>
      <w:r>
        <w:t xml:space="preserve">Ebene C – Robustheit</w:t>
      </w:r>
    </w:p>
    <w:p>
      <w:pPr>
        <w:spacing w:after="120"/>
      </w:pPr>
      <w:r>
        <w:t xml:space="preserve">Verhält sich das System auch bei Unsinn vernünftig? Bewusst unpassende Anfragen (Wetter, Rezepte, Witze, leere Eingaben) prüfen, ob das System höflich ablehnt, statt eine sinnlose Empfehlung zu erfinden. Ein Gutachter-Modell entscheidet je Fall, ob korrekt abgelehnt wurde.</w:t>
      </w:r>
    </w:p>
    <w:p>
      <w:pPr>
        <w:spacing w:after="140" w:before="80"/>
      </w:pPr>
      <w:r>
        <w:rPr>
          <w:i/>
          <w:iCs/>
          <w:color w:val="888888"/>
        </w:rPr>
        <w:t xml:space="preserve">[ BILD EINFÜGEN ]  Schematische Darstellung der drei Prüf-Ebenen A, B, C</w:t>
      </w:r>
    </w:p>
    <w:p>
      <w:pPr>
        <w:pStyle w:val="Heading1"/>
      </w:pPr>
      <w:r>
        <w:t xml:space="preserve">3. Einen Benchmark-Lauf starten</w:t>
      </w:r>
    </w:p>
    <w:p>
      <w:pPr>
        <w:pStyle w:val="Heading2"/>
      </w:pPr>
      <w:r>
        <w:t xml:space="preserve">3.1 Vorbereitung</w:t>
      </w:r>
    </w:p>
    <w:p>
      <w:pPr>
        <w:pStyle w:val="ListParagraph"/>
        <w:numPr>
          <w:ilvl w:val="0"/>
          <w:numId w:val="3"/>
        </w:numPr>
        <w:spacing w:after="40"/>
      </w:pPr>
      <w:r>
        <w:t xml:space="preserve">Ein Terminal (PowerShell unter Windows) im Projektordner öffnen.</w:t>
      </w:r>
    </w:p>
    <w:p>
      <w:pPr>
        <w:pStyle w:val="ListParagraph"/>
        <w:numPr>
          <w:ilvl w:val="0"/>
          <w:numId w:val="3"/>
        </w:numPr>
        <w:spacing w:after="40"/>
      </w:pPr>
      <w:r>
        <w:t xml:space="preserve">Sicherstellen, dass Ollama läuft und das Modell geladen ist (z. B. ollama list).</w:t>
      </w:r>
    </w:p>
    <w:p>
      <w:pPr>
        <w:pStyle w:val="ListParagraph"/>
        <w:numPr>
          <w:ilvl w:val="0"/>
          <w:numId w:val="3"/>
        </w:numPr>
        <w:spacing w:after="40"/>
      </w:pPr>
      <w:r>
        <w:t xml:space="preserve">Die Umgebungsvariablen für eine fehlerfreie Ausgabe setzen (siehe unten).</w:t>
      </w:r>
    </w:p>
    <w:p>
      <w:pPr>
        <w:spacing w:after="120"/>
      </w:pPr>
      <w:r>
        <w:t xml:space="preserve">Die folgenden Befehle gelten für Windows (PowerShell), ausgeführt im Projektordner:</w:t>
      </w:r>
    </w:p>
    <w:p>
      <w:pPr>
        <w:shd w:fill="F2F2F2" w:val="clear"/>
        <w:spacing w:after="0" w:before="60"/>
      </w:pPr>
      <w:r>
        <w:rPr>
          <w:rFonts w:ascii="Consolas" w:cs="Consolas" w:eastAsia="Consolas" w:hAnsi="Consolas"/>
          <w:sz w:val="18"/>
          <w:szCs w:val="18"/>
        </w:rPr>
        <w:t xml:space="preserve">cd C:\dev\rag-betreuer-matching</w:t>
      </w:r>
    </w:p>
    <w:p>
      <w:pPr>
        <w:shd w:fill="F2F2F2" w:val="clear"/>
        <w:spacing w:after="0" w:before="0"/>
      </w:pPr>
      <w:r>
        <w:rPr>
          <w:rFonts w:ascii="Consolas" w:cs="Consolas" w:eastAsia="Consolas" w:hAnsi="Consolas"/>
          <w:sz w:val="18"/>
          <w:szCs w:val="18"/>
        </w:rPr>
        <w:t xml:space="preserve">$env:PYTHONIOENCODING="utf-8"</w:t>
      </w:r>
    </w:p>
    <w:p>
      <w:pPr>
        <w:shd w:fill="F2F2F2" w:val="clear"/>
        <w:spacing w:after="140" w:before="0"/>
      </w:pPr>
      <w:r>
        <w:rPr>
          <w:rFonts w:ascii="Consolas" w:cs="Consolas" w:eastAsia="Consolas" w:hAnsi="Consolas"/>
          <w:sz w:val="18"/>
          <w:szCs w:val="18"/>
        </w:rPr>
        <w:t xml:space="preserve">$env:PYTHONPATH="C:\dev\rag-betreuer-matching"</w:t>
      </w:r>
    </w:p>
    <w:p>
      <w:pPr>
        <w:shd w:fill="FBF1E6" w:val="clear"/>
        <w:spacing w:after="120"/>
      </w:pPr>
      <w:r>
        <w:rPr>
          <w:b/>
          <w:bCs/>
        </w:rPr>
        <w:t xml:space="preserve">Hinweis: </w:t>
      </w:r>
      <w:r>
        <w:t xml:space="preserve">Die Variable PYTHONUTF8 darf NICHT gesetzt werden – sonst kann die Konfigurationsdatei nicht gelesen werden. PYTHONIOENCODING genügt.</w:t>
      </w:r>
    </w:p>
    <w:p>
      <w:pPr>
        <w:pStyle w:val="Heading2"/>
      </w:pPr>
      <w:r>
        <w:t xml:space="preserve">3.2 Der Befehl</w:t>
      </w:r>
    </w:p>
    <w:p>
      <w:pPr>
        <w:spacing w:after="120"/>
      </w:pPr>
      <w:r>
        <w:t xml:space="preserve">Ein vollständiger Lauf mit dem empfohlenen Modell und hybridem Retrieval sieht so aus:</w:t>
      </w:r>
    </w:p>
    <w:p>
      <w:pPr>
        <w:shd w:fill="F2F2F2" w:val="clear"/>
        <w:spacing w:after="0" w:before="60"/>
      </w:pPr>
      <w:r>
        <w:rPr>
          <w:rFonts w:ascii="Consolas" w:cs="Consolas" w:eastAsia="Consolas" w:hAnsi="Consolas"/>
          <w:sz w:val="18"/>
          <w:szCs w:val="18"/>
        </w:rPr>
        <w:t xml:space="preserve">.\.venv\Scripts\python.exe -m benchmark.run `</w:t>
      </w:r>
    </w:p>
    <w:p>
      <w:pPr>
        <w:shd w:fill="F2F2F2" w:val="clear"/>
        <w:spacing w:after="0" w:before="0"/>
      </w:pPr>
      <w:r>
        <w:rPr>
          <w:rFonts w:ascii="Consolas" w:cs="Consolas" w:eastAsia="Consolas" w:hAnsi="Consolas"/>
          <w:sz w:val="18"/>
          <w:szCs w:val="18"/>
        </w:rPr>
        <w:t xml:space="preserve">  --collection lehrende --model qwen2.5:14b --judge-model qwen2.5:14b `</w:t>
      </w:r>
    </w:p>
    <w:p>
      <w:pPr>
        <w:shd w:fill="F2F2F2" w:val="clear"/>
        <w:spacing w:after="0" w:before="0"/>
      </w:pPr>
      <w:r>
        <w:rPr>
          <w:rFonts w:ascii="Consolas" w:cs="Consolas" w:eastAsia="Consolas" w:hAnsi="Consolas"/>
          <w:sz w:val="18"/>
          <w:szCs w:val="18"/>
        </w:rPr>
        <w:t xml:space="preserve">  --retrieval hybrid --prompt-variant v2 `</w:t>
      </w:r>
    </w:p>
    <w:p>
      <w:pPr>
        <w:shd w:fill="F2F2F2" w:val="clear"/>
        <w:spacing w:after="0" w:before="0"/>
      </w:pPr>
      <w:r>
        <w:rPr>
          <w:rFonts w:ascii="Consolas" w:cs="Consolas" w:eastAsia="Consolas" w:hAnsi="Consolas"/>
          <w:sz w:val="18"/>
          <w:szCs w:val="18"/>
        </w:rPr>
        <w:t xml:space="preserve">  --n-matching 689 --n-ragas 300 `</w:t>
      </w:r>
    </w:p>
    <w:p>
      <w:pPr>
        <w:shd w:fill="F2F2F2" w:val="clear"/>
        <w:spacing w:after="140" w:before="0"/>
      </w:pPr>
      <w:r>
        <w:rPr>
          <w:rFonts w:ascii="Consolas" w:cs="Consolas" w:eastAsia="Consolas" w:hAnsi="Consolas"/>
          <w:sz w:val="18"/>
          <w:szCs w:val="18"/>
        </w:rPr>
        <w:t xml:space="preserve">  --out benchmark/results/mein_lauf --resume</w:t>
      </w:r>
    </w:p>
    <w:p>
      <w:pPr>
        <w:spacing w:after="120"/>
      </w:pPr>
      <w:r>
        <w:t xml:space="preserve">Während des Laufs zeigt das Terminal den Fortschritt je Frage an (z. B. Top3=✓ oder ein RAGAS-Wert). Am Ende werden die Report-Dateien geschrieben.</w:t>
      </w:r>
    </w:p>
    <w:p>
      <w:pPr>
        <w:spacing w:after="140" w:before="80"/>
      </w:pPr>
      <w:r>
        <w:rPr>
          <w:i/>
          <w:iCs/>
          <w:color w:val="888888"/>
        </w:rPr>
        <w:t xml:space="preserve">[ BILD EINFÜGEN ]  Terminal-Ausgabe während eines laufenden Benchmarks (Fortschritt je Frage)</w:t>
      </w:r>
    </w:p>
    <w:p>
      <w:pPr>
        <w:pStyle w:val="Heading2"/>
      </w:pPr>
      <w:r>
        <w:t xml:space="preserve">3.3 Die wichtigsten Optionen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126"/>
        <w:gridCol w:w="1500"/>
      </w:tblGrid>
      <w:tr>
        <w:tc>
          <w:tcPr>
            <w:tcW w:type="dxa" w:w="2400"/>
            <w:tcBorders>
              <w:top w:val="single" w:color="CCCCCC" w:sz="1"/>
              <w:left w:val="single" w:color="CCCCCC" w:sz="1"/>
              <w:bottom w:val="single" w:color="CCCCCC" w:sz="1"/>
              <w:right w:val="single" w:color="CCCCCC" w:sz="1"/>
            </w:tcBorders>
            <w:shd w:fill="132933" w:val="clear"/>
            <w:tcMar>
              <w:top w:type="dxa" w:w="60"/>
              <w:left w:type="dxa" w:w="110"/>
              <w:bottom w:type="dxa" w:w="60"/>
              <w:right w:type="dxa" w:w="110"/>
            </w:tcMar>
          </w:tcPr>
          <w:p>
            <w:r>
              <w:rPr>
                <w:b/>
                <w:bCs/>
                <w:color w:val="FFFFFF"/>
                <w:sz w:val="20"/>
                <w:szCs w:val="20"/>
              </w:rPr>
              <w:t xml:space="preserve">Option</w:t>
            </w:r>
          </w:p>
        </w:tc>
        <w:tc>
          <w:tcPr>
            <w:tcW w:type="dxa" w:w="5126"/>
            <w:tcBorders>
              <w:top w:val="single" w:color="CCCCCC" w:sz="1"/>
              <w:left w:val="single" w:color="CCCCCC" w:sz="1"/>
              <w:bottom w:val="single" w:color="CCCCCC" w:sz="1"/>
              <w:right w:val="single" w:color="CCCCCC" w:sz="1"/>
            </w:tcBorders>
            <w:shd w:fill="132933" w:val="clear"/>
            <w:tcMar>
              <w:top w:type="dxa" w:w="60"/>
              <w:left w:type="dxa" w:w="110"/>
              <w:bottom w:type="dxa" w:w="60"/>
              <w:right w:type="dxa" w:w="110"/>
            </w:tcMar>
          </w:tcPr>
          <w:p>
            <w:r>
              <w:rPr>
                <w:b/>
                <w:bCs/>
                <w:color w:val="FFFFFF"/>
                <w:sz w:val="20"/>
                <w:szCs w:val="20"/>
              </w:rPr>
              <w:t xml:space="preserve">Bedeutung</w:t>
            </w:r>
          </w:p>
        </w:tc>
        <w:tc>
          <w:tcPr>
            <w:tcW w:type="dxa" w:w="1500"/>
            <w:tcBorders>
              <w:top w:val="single" w:color="CCCCCC" w:sz="1"/>
              <w:left w:val="single" w:color="CCCCCC" w:sz="1"/>
              <w:bottom w:val="single" w:color="CCCCCC" w:sz="1"/>
              <w:right w:val="single" w:color="CCCCCC" w:sz="1"/>
            </w:tcBorders>
            <w:shd w:fill="132933" w:val="clear"/>
            <w:tcMar>
              <w:top w:type="dxa" w:w="60"/>
              <w:left w:type="dxa" w:w="110"/>
              <w:bottom w:type="dxa" w:w="60"/>
              <w:right w:type="dxa" w:w="110"/>
            </w:tcMar>
          </w:tcPr>
          <w:p>
            <w:r>
              <w:rPr>
                <w:b/>
                <w:bCs/>
                <w:color w:val="FFFFFF"/>
                <w:sz w:val="20"/>
                <w:szCs w:val="20"/>
              </w:rPr>
              <w:t xml:space="preserve">Standard</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--collection</w:t>
            </w:r>
          </w:p>
        </w:tc>
        <w:tc>
          <w:tcPr>
            <w:tcW w:type="dxa" w:w="51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Wissensbasis mit den Profilen (Anzeigename)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lehrende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--model</w:t>
            </w:r>
          </w:p>
        </w:tc>
        <w:tc>
          <w:tcPr>
            <w:tcW w:type="dxa" w:w="51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Sprachmodell für die Antworten (Ollama)</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aus .env</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--judge-model</w:t>
            </w:r>
          </w:p>
        </w:tc>
        <w:tc>
          <w:tcPr>
            <w:tcW w:type="dxa" w:w="51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Gutachter-Modell für RAGAS (Ebene B)</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wie --model</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--retrieval</w:t>
            </w:r>
          </w:p>
        </w:tc>
        <w:tc>
          <w:tcPr>
            <w:tcW w:type="dxa" w:w="51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Suchverfahren: dense (semantisch) oder hybrid (BM25 + semantisch)</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dense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--prompt-variant</w:t>
            </w:r>
          </w:p>
        </w:tc>
        <w:tc>
          <w:tcPr>
            <w:tcW w:type="dxa" w:w="51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Systemanweisung: current oder v2 (mit Ablehn-Regel)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current</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--n-matching</w:t>
            </w:r>
          </w:p>
        </w:tc>
        <w:tc>
          <w:tcPr>
            <w:tcW w:type="dxa" w:w="51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Anzahl Testfragen für Ebene A</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300</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--n-ragas</w:t>
            </w:r>
          </w:p>
        </w:tc>
        <w:tc>
          <w:tcPr>
            <w:tcW w:type="dxa" w:w="51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davon mit voller RAGAS-Bewertung (Ebene B)</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--out</w:t>
            </w:r>
          </w:p>
        </w:tc>
        <w:tc>
          <w:tcPr>
            <w:tcW w:type="dxa" w:w="51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Zielordner für die Reports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benchmark/results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--resume</w:t>
            </w:r>
          </w:p>
        </w:tc>
        <w:tc>
          <w:tcPr>
            <w:tcW w:type="dxa" w:w="51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abgebrochenen Lauf fortsetzen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w:t>
            </w:r>
          </w:p>
        </w:tc>
      </w:tr>
    </w:tbl>
    <w:p>
      <w:pPr>
        <w:pStyle w:val="Heading2"/>
      </w:pPr>
      <w:r>
        <w:t xml:space="preserve">3.4 Laufzeit, Abbruch und Fortsetzen</w:t>
      </w:r>
    </w:p>
    <w:p>
      <w:pPr>
        <w:spacing w:after="120"/>
      </w:pPr>
      <w:r>
        <w:t xml:space="preserve">Die Ebenen A und C sind in wenigen Minuten fertig. Ebene B (RAGAS) ist der zeitintensive Teil: pro Frage rund 30 Sekunden. 300 RAGAS-Fragen dauern damit grob 2,5 bis 3 Stunden. Lange Läufe daher am besten über Nacht starten.</w:t>
      </w:r>
    </w:p>
    <w:p>
      <w:pPr>
        <w:spacing w:after="120"/>
      </w:pPr>
      <w:r>
        <w:t xml:space="preserve">Bricht ein Lauf ab (z. B. durch einen Neustart), genügt es, denselben Befehl mit --resume erneut auszuführen – bereits bewertete Fragen werden übersprungen.</w:t>
      </w:r>
    </w:p>
    <w:p>
      <w:pPr>
        <w:shd w:fill="FBF1E6" w:val="clear"/>
        <w:spacing w:after="120"/>
      </w:pPr>
      <w:r>
        <w:rPr>
          <w:b/>
          <w:bCs/>
        </w:rPr>
        <w:t xml:space="preserve">Hinweis: </w:t>
      </w:r>
      <w:r>
        <w:t xml:space="preserve">Damit der Rechner während eines langen Laufs nicht in den Energiesparmodus geht, in den Windows-Energieoptionen den Standbymodus auf „Nie“ stellen.</w:t>
      </w:r>
    </w:p>
    <w:p>
      <w:pPr>
        <w:pStyle w:val="Heading1"/>
      </w:pPr>
      <w:r>
        <w:t xml:space="preserve">4. Die Ergebnisse verstehen</w:t>
      </w:r>
    </w:p>
    <w:p>
      <w:pPr>
        <w:spacing w:after="120"/>
      </w:pPr>
      <w:r>
        <w:t xml:space="preserve">Nach jedem Lauf liegen im gewählten Zielordner drei Dateien (mit Datum/Uhrzeit im Namen):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32933" w:val="clear"/>
            <w:tcMar>
              <w:top w:type="dxa" w:w="60"/>
              <w:left w:type="dxa" w:w="110"/>
              <w:bottom w:type="dxa" w:w="60"/>
              <w:right w:type="dxa" w:w="110"/>
            </w:tcMar>
          </w:tcPr>
          <w:p>
            <w:r>
              <w:rPr>
                <w:b/>
                <w:bCs/>
                <w:color w:val="FFFFFF"/>
                <w:sz w:val="20"/>
                <w:szCs w:val="20"/>
              </w:rPr>
              <w:t xml:space="preserve">Datei</w:t>
            </w:r>
          </w:p>
        </w:tc>
        <w:tc>
          <w:tcPr>
            <w:tcW w:type="dxa" w:w="6426"/>
            <w:tcBorders>
              <w:top w:val="single" w:color="CCCCCC" w:sz="1"/>
              <w:left w:val="single" w:color="CCCCCC" w:sz="1"/>
              <w:bottom w:val="single" w:color="CCCCCC" w:sz="1"/>
              <w:right w:val="single" w:color="CCCCCC" w:sz="1"/>
            </w:tcBorders>
            <w:shd w:fill="132933" w:val="clear"/>
            <w:tcMar>
              <w:top w:type="dxa" w:w="60"/>
              <w:left w:type="dxa" w:w="110"/>
              <w:bottom w:type="dxa" w:w="60"/>
              <w:right w:type="dxa" w:w="110"/>
            </w:tcMar>
          </w:tcPr>
          <w:p>
            <w:r>
              <w:rPr>
                <w:b/>
                <w:bCs/>
                <w:color w:val="FFFFFF"/>
                <w:sz w:val="20"/>
                <w:szCs w:val="20"/>
              </w:rPr>
              <w:t xml:space="preserve">Inhalt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eval_report_…​.xlsx</w:t>
            </w:r>
          </w:p>
        </w:tc>
        <w:tc>
          <w:tcPr>
            <w:tcW w:type="dxa" w:w="64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Excel-Report mit KPI-Abgleich, Werten je Frage und Diagrammen – der Hauptbericht.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eval_summary_…​.md</w:t>
            </w:r>
          </w:p>
        </w:tc>
        <w:tc>
          <w:tcPr>
            <w:tcW w:type="dxa" w:w="64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Kurzzusammenfassung als Text (gut zum Hineinkopieren in Berichte).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eval_raw_…​.json</w:t>
            </w:r>
          </w:p>
        </w:tc>
        <w:tc>
          <w:tcPr>
            <w:tcW w:type="dxa" w:w="64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alle Rohdaten für eigene Auswertungen.</w:t>
            </w:r>
          </w:p>
        </w:tc>
      </w:tr>
    </w:tbl>
    <w:p>
      <w:pPr>
        <w:pStyle w:val="Heading2"/>
      </w:pPr>
      <w:r>
        <w:t xml:space="preserve">4.1 Die Kennzahlen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426"/>
        <w:gridCol w:w="1600"/>
      </w:tblGrid>
      <w:tr>
        <w:tc>
          <w:tcPr>
            <w:tcW w:type="dxa" w:w="3000"/>
            <w:tcBorders>
              <w:top w:val="single" w:color="CCCCCC" w:sz="1"/>
              <w:left w:val="single" w:color="CCCCCC" w:sz="1"/>
              <w:bottom w:val="single" w:color="CCCCCC" w:sz="1"/>
              <w:right w:val="single" w:color="CCCCCC" w:sz="1"/>
            </w:tcBorders>
            <w:shd w:fill="132933" w:val="clear"/>
            <w:tcMar>
              <w:top w:type="dxa" w:w="60"/>
              <w:left w:type="dxa" w:w="110"/>
              <w:bottom w:type="dxa" w:w="60"/>
              <w:right w:type="dxa" w:w="110"/>
            </w:tcMar>
          </w:tcPr>
          <w:p>
            <w:r>
              <w:rPr>
                <w:b/>
                <w:bCs/>
                <w:color w:val="FFFFFF"/>
                <w:sz w:val="20"/>
                <w:szCs w:val="20"/>
              </w:rPr>
              <w:t xml:space="preserve">Kennzahl</w:t>
            </w:r>
          </w:p>
        </w:tc>
        <w:tc>
          <w:tcPr>
            <w:tcW w:type="dxa" w:w="4426"/>
            <w:tcBorders>
              <w:top w:val="single" w:color="CCCCCC" w:sz="1"/>
              <w:left w:val="single" w:color="CCCCCC" w:sz="1"/>
              <w:bottom w:val="single" w:color="CCCCCC" w:sz="1"/>
              <w:right w:val="single" w:color="CCCCCC" w:sz="1"/>
            </w:tcBorders>
            <w:shd w:fill="132933" w:val="clear"/>
            <w:tcMar>
              <w:top w:type="dxa" w:w="60"/>
              <w:left w:type="dxa" w:w="110"/>
              <w:bottom w:type="dxa" w:w="60"/>
              <w:right w:type="dxa" w:w="110"/>
            </w:tcMar>
          </w:tcPr>
          <w:p>
            <w:r>
              <w:rPr>
                <w:b/>
                <w:bCs/>
                <w:color w:val="FFFFFF"/>
                <w:sz w:val="20"/>
                <w:szCs w:val="20"/>
              </w:rPr>
              <w:t xml:space="preserve">Bedeutung (je höher, desto besser)</w:t>
            </w:r>
          </w:p>
        </w:tc>
        <w:tc>
          <w:tcPr>
            <w:tcW w:type="dxa" w:w="1600"/>
            <w:tcBorders>
              <w:top w:val="single" w:color="CCCCCC" w:sz="1"/>
              <w:left w:val="single" w:color="CCCCCC" w:sz="1"/>
              <w:bottom w:val="single" w:color="CCCCCC" w:sz="1"/>
              <w:right w:val="single" w:color="CCCCCC" w:sz="1"/>
            </w:tcBorders>
            <w:shd w:fill="132933" w:val="clear"/>
            <w:tcMar>
              <w:top w:type="dxa" w:w="60"/>
              <w:left w:type="dxa" w:w="110"/>
              <w:bottom w:type="dxa" w:w="60"/>
              <w:right w:type="dxa" w:w="110"/>
            </w:tcMar>
          </w:tcPr>
          <w:p>
            <w:r>
              <w:rPr>
                <w:b/>
                <w:bCs/>
                <w:color w:val="FFFFFF"/>
                <w:sz w:val="20"/>
                <w:szCs w:val="20"/>
              </w:rPr>
              <w:t xml:space="preserve">Zielwert</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Top-3-Trefferquote</w:t>
            </w:r>
          </w:p>
        </w:tc>
        <w:tc>
          <w:tcPr>
            <w:tcW w:type="dxa" w:w="44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Anteil der Fragen, bei denen die richtige Person unter den ersten 3 Treffern ist</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 70 %</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Faithfulness</w:t>
            </w:r>
          </w:p>
        </w:tc>
        <w:tc>
          <w:tcPr>
            <w:tcW w:type="dxa" w:w="44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Quelltreue – wie gut die Antwort durch den Kontext belegt ist</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 0,85</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Answer Relevancy</w:t>
            </w:r>
          </w:p>
        </w:tc>
        <w:tc>
          <w:tcPr>
            <w:tcW w:type="dxa" w:w="44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wie gut die Antwort die Frage trifft</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 0,80</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Context Recall</w:t>
            </w:r>
          </w:p>
        </w:tc>
        <w:tc>
          <w:tcPr>
            <w:tcW w:type="dxa" w:w="44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ob der gefundene Kontext die nötige Information enthält</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 0,75</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Korrekte Ablehnung</w:t>
            </w:r>
          </w:p>
        </w:tc>
        <w:tc>
          <w:tcPr>
            <w:tcW w:type="dxa" w:w="44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Anteil unpassender Anfragen, die richtig abgelehnt wurden</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möglichst hoch</w:t>
            </w:r>
          </w:p>
        </w:tc>
      </w:tr>
    </w:tbl>
    <w:p>
      <w:pPr>
        <w:spacing w:after="120"/>
      </w:pPr>
      <w:r>
        <w:t xml:space="preserve">Im Excel-Report zeigt eine Ampel (grün/rot) je Kennzahl, ob der Zielwert erreicht wurde. Zusätzlich werden Top-1, Top-5 und der MRR (mittlerer Kehrwert des Rangs – misst, wie weit vorne die richtige Person steht) ausgewiesen.</w:t>
      </w:r>
    </w:p>
    <w:p>
      <w:pPr>
        <w:spacing w:after="140" w:before="80"/>
      </w:pPr>
      <w:r>
        <w:rPr>
          <w:i/>
          <w:iCs/>
          <w:color w:val="888888"/>
        </w:rPr>
        <w:t xml:space="preserve">[ BILD EINFÜGEN ]  Excel-Report, Blatt „Zusammenfassung“ mit KPI-Ampel</w:t>
      </w:r>
    </w:p>
    <w:p>
      <w:pPr>
        <w:pStyle w:val="Heading1"/>
      </w:pPr>
      <w:r>
        <w:t xml:space="preserve">5. Weitere Werkzeuge</w:t>
      </w:r>
    </w:p>
    <w:p>
      <w:pPr>
        <w:pStyle w:val="Heading2"/>
      </w:pPr>
      <w:r>
        <w:t xml:space="preserve">5.1 Modellvergleich (Shootout)</w:t>
      </w:r>
    </w:p>
    <w:p>
      <w:pPr>
        <w:spacing w:after="120"/>
      </w:pPr>
      <w:r>
        <w:t xml:space="preserve">Lässt mehrere Sprachmodelle dieselben Fragen beantworten – bewertet vom selben Gutachter – und erzeugt eine Vergleichstabelle. So lässt sich objektiv das beste Modell bestimmen.</w:t>
      </w:r>
    </w:p>
    <w:p>
      <w:pPr>
        <w:shd w:fill="F2F2F2" w:val="clear"/>
        <w:spacing w:after="0" w:before="60"/>
      </w:pPr>
      <w:r>
        <w:rPr>
          <w:rFonts w:ascii="Consolas" w:cs="Consolas" w:eastAsia="Consolas" w:hAnsi="Consolas"/>
          <w:sz w:val="18"/>
          <w:szCs w:val="18"/>
        </w:rPr>
        <w:t xml:space="preserve">.\.venv\Scripts\python.exe -m benchmark.shootout `</w:t>
      </w:r>
    </w:p>
    <w:p>
      <w:pPr>
        <w:shd w:fill="F2F2F2" w:val="clear"/>
        <w:spacing w:after="0" w:before="0"/>
      </w:pPr>
      <w:r>
        <w:rPr>
          <w:rFonts w:ascii="Consolas" w:cs="Consolas" w:eastAsia="Consolas" w:hAnsi="Consolas"/>
          <w:sz w:val="18"/>
          <w:szCs w:val="18"/>
        </w:rPr>
        <w:t xml:space="preserve">  --models qwen2.5:14b,llama3.1:8b,gemma2:9b,mistral-nemo `</w:t>
      </w:r>
    </w:p>
    <w:p>
      <w:pPr>
        <w:shd w:fill="F2F2F2" w:val="clear"/>
        <w:spacing w:after="140" w:before="0"/>
      </w:pPr>
      <w:r>
        <w:rPr>
          <w:rFonts w:ascii="Consolas" w:cs="Consolas" w:eastAsia="Consolas" w:hAnsi="Consolas"/>
          <w:sz w:val="18"/>
          <w:szCs w:val="18"/>
        </w:rPr>
        <w:t xml:space="preserve">  --judge qwen2.5:14b --n-matching 200 --n-ragas 60 --prompt-variant v2</w:t>
      </w:r>
    </w:p>
    <w:p>
      <w:pPr>
        <w:spacing w:after="120"/>
      </w:pPr>
      <w:r>
        <w:t xml:space="preserve">Ergebnis: benchmark/results/shootout/shootout_vergleich.md</w:t>
      </w:r>
    </w:p>
    <w:p>
      <w:pPr>
        <w:pStyle w:val="Heading2"/>
      </w:pPr>
      <w:r>
        <w:t xml:space="preserve">5.2 Embedding-Vergleich</w:t>
      </w:r>
    </w:p>
    <w:p>
      <w:pPr>
        <w:spacing w:after="120"/>
      </w:pPr>
      <w:r>
        <w:t xml:space="preserve">Vergleicht verschiedene Embedding-Modelle (die „Suchtechnik“ hinter der semantischen Suche) auf der Treffergenauigkeit – schnell, ohne Sprachmodell:</w:t>
      </w:r>
    </w:p>
    <w:p>
      <w:pPr>
        <w:shd w:fill="F2F2F2" w:val="clear"/>
        <w:spacing w:after="140" w:before="60"/>
      </w:pPr>
      <w:r>
        <w:rPr>
          <w:rFonts w:ascii="Consolas" w:cs="Consolas" w:eastAsia="Consolas" w:hAnsi="Consolas"/>
          <w:sz w:val="18"/>
          <w:szCs w:val="18"/>
        </w:rPr>
        <w:t xml:space="preserve">.\.venv\Scripts\python.exe -m benchmark.embedding_ab 689</w:t>
      </w:r>
    </w:p>
    <w:p>
      <w:pPr>
        <w:pStyle w:val="Heading2"/>
      </w:pPr>
      <w:r>
        <w:t xml:space="preserve">5.3 Hybrid-Vergleich</w:t>
      </w:r>
    </w:p>
    <w:p>
      <w:pPr>
        <w:spacing w:after="120"/>
      </w:pPr>
      <w:r>
        <w:t xml:space="preserve">Stellt rein semantische Suche, reine Stichwortsuche (BM25) und die Kombination („hybrid“) gegenüber:</w:t>
      </w:r>
    </w:p>
    <w:p>
      <w:pPr>
        <w:shd w:fill="F2F2F2" w:val="clear"/>
        <w:spacing w:after="140" w:before="60"/>
      </w:pPr>
      <w:r>
        <w:rPr>
          <w:rFonts w:ascii="Consolas" w:cs="Consolas" w:eastAsia="Consolas" w:hAnsi="Consolas"/>
          <w:sz w:val="18"/>
          <w:szCs w:val="18"/>
        </w:rPr>
        <w:t xml:space="preserve">.\.venv\Scripts\python.exe -m benchmark.hybrid_ab 689</w:t>
      </w:r>
    </w:p>
    <w:p>
      <w:pPr>
        <w:pStyle w:val="Heading1"/>
      </w:pPr>
      <w:r>
        <w:t xml:space="preserve">6. Daten indexieren</w:t>
      </w:r>
    </w:p>
    <w:p>
      <w:pPr>
        <w:spacing w:after="120"/>
      </w:pPr>
      <w:r>
        <w:t xml:space="preserve">Damit das Benchmark testen kann, müssen die Lehrenden-Profile als Wissensbasis vorliegen. Falls die Collection leer ist, lassen sie sich aus der Datenbasis-Datei neu einlesen:</w:t>
      </w:r>
    </w:p>
    <w:p>
      <w:pPr>
        <w:shd w:fill="F2F2F2" w:val="clear"/>
        <w:spacing w:after="0" w:before="60"/>
      </w:pPr>
      <w:r>
        <w:rPr>
          <w:rFonts w:ascii="Consolas" w:cs="Consolas" w:eastAsia="Consolas" w:hAnsi="Consolas"/>
          <w:sz w:val="18"/>
          <w:szCs w:val="18"/>
        </w:rPr>
        <w:t xml:space="preserve">.\.venv\Scripts\python.exe scripts\ingest_lehrende.py `</w:t>
      </w:r>
    </w:p>
    <w:p>
      <w:pPr>
        <w:shd w:fill="F2F2F2" w:val="clear"/>
        <w:spacing w:after="140" w:before="0"/>
      </w:pPr>
      <w:r>
        <w:rPr>
          <w:rFonts w:ascii="Consolas" w:cs="Consolas" w:eastAsia="Consolas" w:hAnsi="Consolas"/>
          <w:sz w:val="18"/>
          <w:szCs w:val="18"/>
        </w:rPr>
        <w:t xml:space="preserve">  "Pfad\zur\Datenbasis.xlsx" lehrende g02</w:t>
      </w:r>
    </w:p>
    <w:p>
      <w:pPr>
        <w:spacing w:after="120"/>
      </w:pPr>
      <w:r>
        <w:t xml:space="preserve">Weitere Dokumente (z. B. Modulhandbücher als PDF oder Abschlussarbeiten als Excel) lassen sich generisch einlesen:</w:t>
      </w:r>
    </w:p>
    <w:p>
      <w:pPr>
        <w:shd w:fill="F2F2F2" w:val="clear"/>
        <w:spacing w:after="0" w:before="60"/>
      </w:pPr>
      <w:r>
        <w:rPr>
          <w:rFonts w:ascii="Consolas" w:cs="Consolas" w:eastAsia="Consolas" w:hAnsi="Consolas"/>
          <w:sz w:val="18"/>
          <w:szCs w:val="18"/>
        </w:rPr>
        <w:t xml:space="preserve">.\.venv\Scripts\python.exe scripts\ingest_documents.py `</w:t>
      </w:r>
    </w:p>
    <w:p>
      <w:pPr>
        <w:shd w:fill="F2F2F2" w:val="clear"/>
        <w:spacing w:after="140" w:before="0"/>
      </w:pPr>
      <w:r>
        <w:rPr>
          <w:rFonts w:ascii="Consolas" w:cs="Consolas" w:eastAsia="Consolas" w:hAnsi="Consolas"/>
          <w:sz w:val="18"/>
          <w:szCs w:val="18"/>
        </w:rPr>
        <w:t xml:space="preserve">  data\datenbasis\modulhandbuecher modulhandbuecher g02</w:t>
      </w:r>
    </w:p>
    <w:p>
      <w:pPr>
        <w:pStyle w:val="Heading1"/>
      </w:pPr>
      <w:r>
        <w:t xml:space="preserve">7. Problembehandlung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132933" w:val="clear"/>
            <w:tcMar>
              <w:top w:type="dxa" w:w="60"/>
              <w:left w:type="dxa" w:w="110"/>
              <w:bottom w:type="dxa" w:w="60"/>
              <w:right w:type="dxa" w:w="110"/>
            </w:tcMar>
          </w:tcPr>
          <w:p>
            <w:r>
              <w:rPr>
                <w:b/>
                <w:bCs/>
                <w:color w:val="FFFFFF"/>
                <w:sz w:val="20"/>
                <w:szCs w:val="20"/>
              </w:rPr>
              <w:t xml:space="preserve">Meldung / Problem</w:t>
            </w:r>
          </w:p>
        </w:tc>
        <w:tc>
          <w:tcPr>
            <w:tcW w:type="dxa" w:w="5626"/>
            <w:tcBorders>
              <w:top w:val="single" w:color="CCCCCC" w:sz="1"/>
              <w:left w:val="single" w:color="CCCCCC" w:sz="1"/>
              <w:bottom w:val="single" w:color="CCCCCC" w:sz="1"/>
              <w:right w:val="single" w:color="CCCCCC" w:sz="1"/>
            </w:tcBorders>
            <w:shd w:fill="132933" w:val="clear"/>
            <w:tcMar>
              <w:top w:type="dxa" w:w="60"/>
              <w:left w:type="dxa" w:w="110"/>
              <w:bottom w:type="dxa" w:w="60"/>
              <w:right w:type="dxa" w:w="110"/>
            </w:tcMar>
          </w:tcPr>
          <w:p>
            <w:r>
              <w:rPr>
                <w:b/>
                <w:bCs/>
                <w:color w:val="FFFFFF"/>
                <w:sz w:val="20"/>
                <w:szCs w:val="20"/>
              </w:rPr>
              <w:t xml:space="preserve">Lösung</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„Keine Profile gefunden“</w:t>
            </w:r>
          </w:p>
        </w:tc>
        <w:tc>
          <w:tcPr>
            <w:tcW w:type="dxa" w:w="56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Die Collection ist leer oder falsch benannt – Profile neu indexieren (Kapitel 6).</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Fehler beim Lesen der Einstellungen / UnicodeDecodeError</w:t>
            </w:r>
          </w:p>
        </w:tc>
        <w:tc>
          <w:tcPr>
            <w:tcW w:type="dxa" w:w="56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PYTHONUTF8 ist gesetzt – entfernen; nur PYTHONIOENCODING=utf-8 verwenden.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„model not found“ / Modellfehler</w:t>
            </w:r>
          </w:p>
        </w:tc>
        <w:tc>
          <w:tcPr>
            <w:tcW w:type="dxa" w:w="56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Modell in Ollama laden: ollama pull &lt;modellname&gt;.</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Sonderzeichen (✓) brechen die Ausgabe ab</w:t>
            </w:r>
          </w:p>
        </w:tc>
        <w:tc>
          <w:tcPr>
            <w:tcW w:type="dxa" w:w="56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PYTHONIOENCODING=utf-8 setzen (Kapitel 3.1).</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RAGAS-Werte fehlen (NaN)</w:t>
            </w:r>
          </w:p>
        </w:tc>
        <w:tc>
          <w:tcPr>
            <w:tcW w:type="dxa" w:w="56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Der lokale Gutachter konnte einzelne Ausgaben nicht auswerten – normal in geringer Zahl; im Report ausgewiesen.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Lauf zu langsam</w:t>
            </w:r>
          </w:p>
        </w:tc>
        <w:tc>
          <w:tcPr>
            <w:tcW w:type="dxa" w:w="56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20"/>
                <w:szCs w:val="20"/>
              </w:rPr>
              <w:t xml:space="preserve">weniger RAGAS-Fragen (--n-ragas) wählen oder über Nacht laufen lassen; GPU nutzen.</w:t>
            </w:r>
          </w:p>
        </w:tc>
      </w:tr>
    </w:tbl>
    <w:p>
      <w:pPr>
        <w:pStyle w:val="Heading1"/>
      </w:pPr>
      <w:r>
        <w:t xml:space="preserve">8. Glossar</w:t>
      </w:r>
    </w:p>
    <w:p>
      <w:pPr>
        <w:spacing w:after="120"/>
      </w:pPr>
      <w:r>
        <w:rPr>
          <w:b/>
          <w:bCs/>
        </w:rPr>
        <w:t xml:space="preserve">RAG: </w:t>
      </w:r>
      <w:r>
        <w:t xml:space="preserve">Retrieval-Augmented Generation – das Sprachmodell antwortet auf Basis vorher gesuchter Dokumente, nicht aus dem Gedächtnis.</w:t>
      </w:r>
    </w:p>
    <w:p>
      <w:pPr>
        <w:spacing w:after="120"/>
      </w:pPr>
      <w:r>
        <w:rPr>
          <w:b/>
          <w:bCs/>
        </w:rPr>
        <w:t xml:space="preserve">Embedding: </w:t>
      </w:r>
      <w:r>
        <w:t xml:space="preserve">eine Zahlendarstellung von Text, mit der sich inhaltlich ähnliche Texte rechnerisch vergleichen lassen (semantische Suche).</w:t>
      </w:r>
    </w:p>
    <w:p>
      <w:pPr>
        <w:spacing w:after="120"/>
      </w:pPr>
      <w:r>
        <w:rPr>
          <w:b/>
          <w:bCs/>
        </w:rPr>
        <w:t xml:space="preserve">Chunk: </w:t>
      </w:r>
      <w:r>
        <w:t xml:space="preserve">ein Textabschnitt, in den Dokumente vor der Indexierung zerlegt werden.</w:t>
      </w:r>
    </w:p>
    <w:p>
      <w:pPr>
        <w:spacing w:after="120"/>
      </w:pPr>
      <w:r>
        <w:rPr>
          <w:b/>
          <w:bCs/>
        </w:rPr>
        <w:t xml:space="preserve">Retrieval: </w:t>
      </w:r>
      <w:r>
        <w:t xml:space="preserve">das Auffinden der passendsten Chunks zu einer Frage.</w:t>
      </w:r>
    </w:p>
    <w:p>
      <w:pPr>
        <w:spacing w:after="120"/>
      </w:pPr>
      <w:r>
        <w:rPr>
          <w:b/>
          <w:bCs/>
        </w:rPr>
        <w:t xml:space="preserve">BM25: </w:t>
      </w:r>
      <w:r>
        <w:t xml:space="preserve">klassisches Stichwort-Suchverfahren – findet exakte Begriffe zuverlässig.</w:t>
      </w:r>
    </w:p>
    <w:p>
      <w:pPr>
        <w:spacing w:after="120"/>
      </w:pPr>
      <w:r>
        <w:rPr>
          <w:b/>
          <w:bCs/>
        </w:rPr>
        <w:t xml:space="preserve">Hybrid-Retrieval: </w:t>
      </w:r>
      <w:r>
        <w:t xml:space="preserve">Kombination aus semantischer Suche und BM25.</w:t>
      </w:r>
    </w:p>
    <w:p>
      <w:pPr>
        <w:spacing w:after="120"/>
      </w:pPr>
      <w:r>
        <w:rPr>
          <w:b/>
          <w:bCs/>
        </w:rPr>
        <w:t xml:space="preserve">RAGAS: </w:t>
      </w:r>
      <w:r>
        <w:t xml:space="preserve">ein Verfahren, das die Antwortqualität mit Hilfe eines Sprachmodells als Gutachter bewertet.</w:t>
      </w:r>
    </w:p>
    <w:p>
      <w:pPr>
        <w:spacing w:after="120"/>
      </w:pPr>
      <w:r>
        <w:rPr>
          <w:b/>
          <w:bCs/>
        </w:rPr>
        <w:t xml:space="preserve">LLM-as-a-Judge: </w:t>
      </w:r>
      <w:r>
        <w:t xml:space="preserve">ein Sprachmodell bewertet die Ausgaben eines anderen (oder desselben) Modells.</w:t>
      </w:r>
    </w:p>
    <w:p>
      <w:pPr>
        <w:spacing w:after="120"/>
      </w:pPr>
      <w:r>
        <w:rPr>
          <w:b/>
          <w:bCs/>
        </w:rPr>
        <w:t xml:space="preserve">Ground Truth: </w:t>
      </w:r>
      <w:r>
        <w:t xml:space="preserve">die als korrekt festgelegte Musterlösung, gegen die gemessen wird.</w:t>
      </w:r>
    </w:p>
    <w:p>
      <w:pPr>
        <w:spacing w:after="120"/>
      </w:pPr>
      <w:r>
        <w:rPr>
          <w:b/>
          <w:bCs/>
        </w:rPr>
        <w:t xml:space="preserve">Top-k: </w:t>
      </w:r>
      <w:r>
        <w:t xml:space="preserve">ob das richtige Ergebnis unter den ersten k Treffern liegt (z. B. Top-3).</w:t>
      </w:r>
    </w:p>
    <w:p>
      <w:pPr>
        <w:spacing w:after="120"/>
      </w:pPr>
      <w:r>
        <w:rPr>
          <w:b/>
          <w:bCs/>
        </w:rPr>
        <w:t xml:space="preserve">MRR: </w:t>
      </w:r>
      <w:r>
        <w:t xml:space="preserve">Mean Reciprocal Rank – Maß dafür, wie weit vorne das richtige Ergebnis im Schnitt steht.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Seite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decimal"/>
      <w:lvlText w:val="%1."/>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decimal"/>
      <w:lvlText w:val="%1."/>
      <w:lvlJc w:val="left"/>
      <w:pPr>
        <w:ind w:left="460" w:hanging="260"/>
      </w:pPr>
    </w:lvl>
  </w:abstractNum>
  <w:abstractNum w:abstractNumId="23" w15:restartNumberingAfterBreak="0">
    <w:multiLevelType w:val="hybridMultilevel"/>
    <w:lvl w:ilvl="0" w15:tentative="1">
      <w:start w:val="1"/>
      <w:numFmt w:val="decimal"/>
      <w:lvlText w:val="%1."/>
      <w:lvlJc w:val="left"/>
      <w:pPr>
        <w:ind w:left="460" w:hanging="260"/>
      </w:pPr>
    </w:lvl>
  </w:abstractNum>
  <w:abstractNum w:abstractNumId="24" w15:restartNumberingAfterBreak="0">
    <w:multiLevelType w:val="hybridMultilevel"/>
    <w:lvl w:ilvl="0" w15:tentative="1">
      <w:start w:val="1"/>
      <w:numFmt w:val="decimal"/>
      <w:lvlText w:val="%1."/>
      <w:lvlJc w:val="left"/>
      <w:pPr>
        <w:ind w:left="460" w:hanging="260"/>
      </w:pPr>
    </w:lvl>
  </w:abstractNum>
  <w:abstractNum w:abstractNumId="25" w15:restartNumberingAfterBreak="0">
    <w:multiLevelType w:val="hybridMultilevel"/>
    <w:lvl w:ilvl="0" w15:tentative="1">
      <w:start w:val="1"/>
      <w:numFmt w:val="decimal"/>
      <w:lvlText w:val="%1."/>
      <w:lvlJc w:val="left"/>
      <w:pPr>
        <w:ind w:left="460" w:hanging="260"/>
      </w:pPr>
    </w:lvl>
  </w:abstractNum>
  <w:abstractNum w:abstractNumId="26" w15:restartNumberingAfterBreak="0">
    <w:multiLevelType w:val="hybridMultilevel"/>
    <w:lvl w:ilvl="0" w15:tentative="1">
      <w:start w:val="1"/>
      <w:numFmt w:val="decimal"/>
      <w:lvlText w:val="%1."/>
      <w:lvlJc w:val="left"/>
      <w:pPr>
        <w:ind w:left="460" w:hanging="260"/>
      </w:pPr>
    </w:lvl>
  </w:abstractNum>
  <w:abstractNum w:abstractNumId="27" w15:restartNumberingAfterBreak="0">
    <w:multiLevelType w:val="hybridMultilevel"/>
    <w:lvl w:ilvl="0" w15:tentative="1">
      <w:start w:val="1"/>
      <w:numFmt w:val="decimal"/>
      <w:lvlText w:val="%1."/>
      <w:lvlJc w:val="left"/>
      <w:pPr>
        <w:ind w:left="460" w:hanging="260"/>
      </w:pPr>
    </w:lvl>
  </w:abstractNum>
  <w:abstractNum w:abstractNumId="28" w15:restartNumberingAfterBreak="0">
    <w:multiLevelType w:val="hybridMultilevel"/>
    <w:lvl w:ilvl="0" w15:tentative="1">
      <w:start w:val="1"/>
      <w:numFmt w:val="decimal"/>
      <w:lvlText w:val="%1."/>
      <w:lvlJc w:val="left"/>
      <w:pPr>
        <w:ind w:left="460" w:hanging="260"/>
      </w:pPr>
    </w:lvl>
  </w:abstractNum>
  <w:abstractNum w:abstractNumId="29" w15:restartNumberingAfterBreak="0">
    <w:multiLevelType w:val="hybridMultilevel"/>
    <w:lvl w:ilvl="0" w15:tentative="1">
      <w:start w:val="1"/>
      <w:numFmt w:val="decimal"/>
      <w:lvlText w:val="%1."/>
      <w:lvlJc w:val="left"/>
      <w:pPr>
        <w:ind w:left="460" w:hanging="260"/>
      </w:pPr>
    </w:lvl>
  </w:abstractNum>
  <w:abstractNum w:abstractNumId="30" w15:restartNumberingAfterBreak="0">
    <w:multiLevelType w:val="hybridMultilevel"/>
    <w:lvl w:ilvl="0" w15:tentative="1">
      <w:start w:val="1"/>
      <w:numFmt w:val="decimal"/>
      <w:lvlText w:val="%1."/>
      <w:lvlJc w:val="left"/>
      <w:pPr>
        <w:ind w:left="460" w:hanging="260"/>
      </w:pPr>
    </w:lvl>
  </w:abstractNum>
  <w:abstractNum w:abstractNumId="31" w15:restartNumberingAfterBreak="0">
    <w:multiLevelType w:val="hybridMultilevel"/>
    <w:lvl w:ilvl="0" w15:tentative="1">
      <w:start w:val="1"/>
      <w:numFmt w:val="decimal"/>
      <w:lvlText w:val="%1."/>
      <w:lvlJc w:val="left"/>
      <w:pPr>
        <w:ind w:left="460" w:hanging="260"/>
      </w:pPr>
    </w:lvl>
  </w:abstractNum>
  <w:abstractNum w:abstractNumId="32" w15:restartNumberingAfterBreak="0">
    <w:multiLevelType w:val="hybridMultilevel"/>
    <w:lvl w:ilvl="0" w15:tentative="1">
      <w:start w:val="1"/>
      <w:numFmt w:val="decimal"/>
      <w:lvlText w:val="%1."/>
      <w:lvlJc w:val="left"/>
      <w:pPr>
        <w:ind w:left="460" w:hanging="260"/>
      </w:pPr>
    </w:lvl>
  </w:abstractNum>
  <w:abstractNum w:abstractNumId="33" w15:restartNumberingAfterBreak="0">
    <w:multiLevelType w:val="hybridMultilevel"/>
    <w:lvl w:ilvl="0" w15:tentative="1">
      <w:start w:val="1"/>
      <w:numFmt w:val="decimal"/>
      <w:lvlText w:val="%1."/>
      <w:lvlJc w:val="left"/>
      <w:pPr>
        <w:ind w:left="460" w:hanging="260"/>
      </w:pPr>
    </w:lvl>
  </w:abstractNum>
  <w:abstractNum w:abstractNumId="34" w15:restartNumberingAfterBreak="0">
    <w:multiLevelType w:val="hybridMultilevel"/>
    <w:lvl w:ilvl="0" w15:tentative="1">
      <w:start w:val="1"/>
      <w:numFmt w:val="decimal"/>
      <w:lvlText w:val="%1."/>
      <w:lvlJc w:val="left"/>
      <w:pPr>
        <w:ind w:left="460" w:hanging="260"/>
      </w:pPr>
    </w:lvl>
  </w:abstractNum>
  <w:abstractNum w:abstractNumId="35" w15:restartNumberingAfterBreak="0">
    <w:multiLevelType w:val="hybridMultilevel"/>
    <w:lvl w:ilvl="0" w15:tentative="1">
      <w:start w:val="1"/>
      <w:numFmt w:val="decimal"/>
      <w:lvlText w:val="%1."/>
      <w:lvlJc w:val="left"/>
      <w:pPr>
        <w:ind w:left="460" w:hanging="260"/>
      </w:pPr>
    </w:lvl>
  </w:abstractNum>
  <w:abstractNum w:abstractNumId="36" w15:restartNumberingAfterBreak="0">
    <w:multiLevelType w:val="hybridMultilevel"/>
    <w:lvl w:ilvl="0" w15:tentative="1">
      <w:start w:val="1"/>
      <w:numFmt w:val="decimal"/>
      <w:lvlText w:val="%1."/>
      <w:lvlJc w:val="left"/>
      <w:pPr>
        <w:ind w:left="460" w:hanging="260"/>
      </w:pPr>
    </w:lvl>
  </w:abstractNum>
  <w:abstractNum w:abstractNumId="37" w15:restartNumberingAfterBreak="0">
    <w:multiLevelType w:val="hybridMultilevel"/>
    <w:lvl w:ilvl="0" w15:tentative="1">
      <w:start w:val="1"/>
      <w:numFmt w:val="decimal"/>
      <w:lvlText w:val="%1."/>
      <w:lvlJc w:val="left"/>
      <w:pPr>
        <w:ind w:left="460" w:hanging="260"/>
      </w:pPr>
    </w:lvl>
  </w:abstractNum>
  <w:abstractNum w:abstractNumId="38" w15:restartNumberingAfterBreak="0">
    <w:multiLevelType w:val="hybridMultilevel"/>
    <w:lvl w:ilvl="0" w15:tentative="1">
      <w:start w:val="1"/>
      <w:numFmt w:val="decimal"/>
      <w:lvlText w:val="%1."/>
      <w:lvlJc w:val="left"/>
      <w:pPr>
        <w:ind w:left="460" w:hanging="260"/>
      </w:pPr>
    </w:lvl>
  </w:abstractNum>
  <w:abstractNum w:abstractNumId="39" w15:restartNumberingAfterBreak="0">
    <w:multiLevelType w:val="hybridMultilevel"/>
    <w:lvl w:ilvl="0" w15:tentative="1">
      <w:start w:val="1"/>
      <w:numFmt w:val="decimal"/>
      <w:lvlText w:val="%1."/>
      <w:lvlJc w:val="left"/>
      <w:pPr>
        <w:ind w:left="460" w:hanging="260"/>
      </w:pPr>
    </w:lvl>
  </w:abstractNum>
  <w:abstractNum w:abstractNumId="40" w15:restartNumberingAfterBreak="0">
    <w:multiLevelType w:val="hybridMultilevel"/>
    <w:lvl w:ilvl="0" w15:tentative="1">
      <w:start w:val="1"/>
      <w:numFmt w:val="decimal"/>
      <w:lvlText w:val="%1."/>
      <w:lvlJc w:val="left"/>
      <w:pPr>
        <w:ind w:left="460" w:hanging="260"/>
      </w:pPr>
    </w:lvl>
  </w:abstractNum>
  <w:abstractNum w:abstractNumId="41" w15:restartNumberingAfterBreak="0">
    <w:multiLevelType w:val="hybridMultilevel"/>
    <w:lvl w:ilvl="0" w15:tentative="1">
      <w:start w:val="1"/>
      <w:numFmt w:val="decimal"/>
      <w:lvlText w:val="%1."/>
      <w:lvlJc w:val="left"/>
      <w:pPr>
        <w:ind w:left="460" w:hanging="260"/>
      </w:pPr>
    </w:lvl>
  </w:abstractNum>
  <w:abstractNum w:abstractNumId="42" w15:restartNumberingAfterBreak="0">
    <w:multiLevelType w:val="hybridMultilevel"/>
    <w:lvl w:ilvl="0" w15:tentative="1">
      <w:start w:val="1"/>
      <w:numFmt w:val="decimal"/>
      <w:lvlText w:val="%1."/>
      <w:lvlJc w:val="left"/>
      <w:pPr>
        <w:ind w:left="460" w:hanging="260"/>
      </w:pPr>
    </w:lvl>
  </w:abstractNum>
  <w:abstractNum w:abstractNumId="43" w15:restartNumberingAfterBreak="0">
    <w:multiLevelType w:val="hybridMultilevel"/>
    <w:lvl w:ilvl="0" w15:tentative="1">
      <w:start w:val="1"/>
      <w:numFmt w:val="decimal"/>
      <w:lvlText w:val="%1."/>
      <w:lvlJc w:val="left"/>
      <w:pPr>
        <w:ind w:left="460" w:hanging="260"/>
      </w:pPr>
    </w:lvl>
  </w:abstractNum>
  <w:abstractNum w:abstractNumId="44" w15:restartNumberingAfterBreak="0">
    <w:multiLevelType w:val="hybridMultilevel"/>
    <w:lvl w:ilvl="0" w15:tentative="1">
      <w:start w:val="1"/>
      <w:numFmt w:val="decimal"/>
      <w:lvlText w:val="%1."/>
      <w:lvlJc w:val="left"/>
      <w:pPr>
        <w:ind w:left="460" w:hanging="260"/>
      </w:pPr>
    </w:lvl>
  </w:abstractNum>
  <w:abstractNum w:abstractNumId="45" w15:restartNumberingAfterBreak="0">
    <w:multiLevelType w:val="hybridMultilevel"/>
    <w:lvl w:ilvl="0" w15:tentative="1">
      <w:start w:val="1"/>
      <w:numFmt w:val="decimal"/>
      <w:lvlText w:val="%1."/>
      <w:lvlJc w:val="left"/>
      <w:pPr>
        <w:ind w:left="460" w:hanging="260"/>
      </w:pPr>
    </w:lvl>
  </w:abstractNum>
  <w:abstractNum w:abstractNumId="46" w15:restartNumberingAfterBreak="0">
    <w:multiLevelType w:val="hybridMultilevel"/>
    <w:lvl w:ilvl="0" w15:tentative="1">
      <w:start w:val="1"/>
      <w:numFmt w:val="decimal"/>
      <w:lvlText w:val="%1."/>
      <w:lvlJc w:val="left"/>
      <w:pPr>
        <w:ind w:left="460" w:hanging="260"/>
      </w:pPr>
    </w:lvl>
  </w:abstractNum>
  <w:abstractNum w:abstractNumId="47" w15:restartNumberingAfterBreak="0">
    <w:multiLevelType w:val="hybridMultilevel"/>
    <w:lvl w:ilvl="0" w15:tentative="1">
      <w:start w:val="1"/>
      <w:numFmt w:val="decimal"/>
      <w:lvlText w:val="%1."/>
      <w:lvlJc w:val="left"/>
      <w:pPr>
        <w:ind w:left="460" w:hanging="260"/>
      </w:pPr>
    </w:lvl>
  </w:abstractNum>
  <w:abstractNum w:abstractNumId="48" w15:restartNumberingAfterBreak="0">
    <w:multiLevelType w:val="hybridMultilevel"/>
    <w:lvl w:ilvl="0" w15:tentative="1">
      <w:start w:val="1"/>
      <w:numFmt w:val="decimal"/>
      <w:lvlText w:val="%1."/>
      <w:lvlJc w:val="left"/>
      <w:pPr>
        <w:ind w:left="460" w:hanging="260"/>
      </w:pPr>
    </w:lvl>
  </w:abstractNum>
  <w:abstractNum w:abstractNumId="49" w15:restartNumberingAfterBreak="0">
    <w:multiLevelType w:val="hybridMultilevel"/>
    <w:lvl w:ilvl="0" w15:tentative="1">
      <w:start w:val="1"/>
      <w:numFmt w:val="decimal"/>
      <w:lvlText w:val="%1."/>
      <w:lvlJc w:val="left"/>
      <w:pPr>
        <w:ind w:left="460" w:hanging="260"/>
      </w:pPr>
    </w:lvl>
  </w:abstractNum>
  <w:abstractNum w:abstractNumId="50" w15:restartNumberingAfterBreak="0">
    <w:multiLevelType w:val="hybridMultilevel"/>
    <w:lvl w:ilvl="0" w15:tentative="1">
      <w:start w:val="1"/>
      <w:numFmt w:val="decimal"/>
      <w:lvlText w:val="%1."/>
      <w:lvlJc w:val="left"/>
      <w:pPr>
        <w:ind w:left="460" w:hanging="260"/>
      </w:pPr>
    </w:lvl>
  </w:abstractNum>
  <w:abstractNum w:abstractNumId="51" w15:restartNumberingAfterBreak="0">
    <w:multiLevelType w:val="hybridMultilevel"/>
    <w:lvl w:ilvl="0" w15:tentative="1">
      <w:start w:val="1"/>
      <w:numFmt w:val="decimal"/>
      <w:lvlText w:val="%1."/>
      <w:lvlJc w:val="left"/>
      <w:pPr>
        <w:ind w:left="460" w:hanging="260"/>
      </w:pPr>
    </w:lvl>
  </w:abstractNum>
  <w:abstractNum w:abstractNumId="52" w15:restartNumberingAfterBreak="0">
    <w:multiLevelType w:val="hybridMultilevel"/>
    <w:lvl w:ilvl="0" w15:tentative="1">
      <w:start w:val="1"/>
      <w:numFmt w:val="decimal"/>
      <w:lvlText w:val="%1."/>
      <w:lvlJc w:val="left"/>
      <w:pPr>
        <w:ind w:left="460" w:hanging="260"/>
      </w:pPr>
    </w:lvl>
  </w:abstractNum>
  <w:abstractNum w:abstractNumId="53" w15:restartNumberingAfterBreak="0">
    <w:multiLevelType w:val="hybridMultilevel"/>
    <w:lvl w:ilvl="0" w15:tentative="1">
      <w:start w:val="1"/>
      <w:numFmt w:val="decimal"/>
      <w:lvlText w:val="%1."/>
      <w:lvlJc w:val="left"/>
      <w:pPr>
        <w:ind w:left="460" w:hanging="260"/>
      </w:pPr>
    </w:lvl>
  </w:abstractNum>
  <w:abstractNum w:abstractNumId="54" w15:restartNumberingAfterBreak="0">
    <w:multiLevelType w:val="hybridMultilevel"/>
    <w:lvl w:ilvl="0" w15:tentative="1">
      <w:start w:val="1"/>
      <w:numFmt w:val="decimal"/>
      <w:lvlText w:val="%1."/>
      <w:lvlJc w:val="left"/>
      <w:pPr>
        <w:ind w:left="460" w:hanging="260"/>
      </w:pPr>
    </w:lvl>
  </w:abstractNum>
  <w:abstractNum w:abstractNumId="55" w15:restartNumberingAfterBreak="0">
    <w:multiLevelType w:val="hybridMultilevel"/>
    <w:lvl w:ilvl="0" w15:tentative="1">
      <w:start w:val="1"/>
      <w:numFmt w:val="decimal"/>
      <w:lvlText w:val="%1."/>
      <w:lvlJc w:val="left"/>
      <w:pPr>
        <w:ind w:left="460" w:hanging="260"/>
      </w:pPr>
    </w:lvl>
  </w:abstractNum>
  <w:abstractNum w:abstractNumId="56" w15:restartNumberingAfterBreak="0">
    <w:multiLevelType w:val="hybridMultilevel"/>
    <w:lvl w:ilvl="0" w15:tentative="1">
      <w:start w:val="1"/>
      <w:numFmt w:val="decimal"/>
      <w:lvlText w:val="%1."/>
      <w:lvlJc w:val="left"/>
      <w:pPr>
        <w:ind w:left="460" w:hanging="260"/>
      </w:pPr>
    </w:lvl>
  </w:abstractNum>
  <w:abstractNum w:abstractNumId="57" w15:restartNumberingAfterBreak="0">
    <w:multiLevelType w:val="hybridMultilevel"/>
    <w:lvl w:ilvl="0" w15:tentative="1">
      <w:start w:val="1"/>
      <w:numFmt w:val="decimal"/>
      <w:lvlText w:val="%1."/>
      <w:lvlJc w:val="left"/>
      <w:pPr>
        <w:ind w:left="460" w:hanging="260"/>
      </w:pPr>
    </w:lvl>
  </w:abstractNum>
  <w:abstractNum w:abstractNumId="58" w15:restartNumberingAfterBreak="0">
    <w:multiLevelType w:val="hybridMultilevel"/>
    <w:lvl w:ilvl="0" w15:tentative="1">
      <w:start w:val="1"/>
      <w:numFmt w:val="decimal"/>
      <w:lvlText w:val="%1."/>
      <w:lvlJc w:val="left"/>
      <w:pPr>
        <w:ind w:left="460" w:hanging="260"/>
      </w:pPr>
    </w:lvl>
  </w:abstractNum>
  <w:abstractNum w:abstractNumId="59" w15:restartNumberingAfterBreak="0">
    <w:multiLevelType w:val="hybridMultilevel"/>
    <w:lvl w:ilvl="0" w15:tentative="1">
      <w:start w:val="1"/>
      <w:numFmt w:val="decimal"/>
      <w:lvlText w:val="%1."/>
      <w:lvlJc w:val="left"/>
      <w:pPr>
        <w:ind w:left="460" w:hanging="260"/>
      </w:pPr>
    </w:lvl>
  </w:abstractNum>
  <w:abstractNum w:abstractNumId="60" w15:restartNumberingAfterBreak="0">
    <w:multiLevelType w:val="hybridMultilevel"/>
    <w:lvl w:ilvl="0" w15:tentative="1">
      <w:start w:val="1"/>
      <w:numFmt w:val="decimal"/>
      <w:lvlText w:val="%1."/>
      <w:lvlJc w:val="left"/>
      <w:pPr>
        <w:ind w:left="460" w:hanging="260"/>
      </w:pPr>
    </w:lvl>
  </w:abstractNum>
  <w:abstractNum w:abstractNumId="61" w15:restartNumberingAfterBreak="0">
    <w:multiLevelType w:val="hybridMultilevel"/>
    <w:lvl w:ilvl="0" w15:tentative="1">
      <w:start w:val="1"/>
      <w:numFmt w:val="decimal"/>
      <w:lvlText w:val="%1."/>
      <w:lvlJc w:val="left"/>
      <w:pPr>
        <w:ind w:left="460" w:hanging="260"/>
      </w:pPr>
    </w:lvl>
  </w:abstractNum>
  <w:abstractNum w:abstractNumId="6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32933"/>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32933"/>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2026-06-20T10:21:58.512Z</dcterms:created>
  <dcterms:modified xsi:type="dcterms:W3CDTF">2026-06-20T10:21:58.513Z</dcterms:modified>
</cp:coreProperties>
</file>

<file path=docProps/custom.xml><?xml version="1.0" encoding="utf-8"?>
<Properties xmlns="http://schemas.openxmlformats.org/officeDocument/2006/custom-properties" xmlns:vt="http://schemas.openxmlformats.org/officeDocument/2006/docPropsVTypes"/>
</file>