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line="276" w:lineRule="auto"/>
        <w:jc w:val="center"/>
      </w:pPr>
      <w:r>
        <w:rPr>
          <w:b/>
          <w:color w:val="2F5D50"/>
          <w:sz w:val="44"/>
        </w:rPr>
        <w:t>Diagnóstico territorial de Ibeas de Juarros</w:t>
      </w:r>
    </w:p>
    <w:p>
      <w:pPr>
        <w:spacing w:before="0" w:after="280" w:line="276" w:lineRule="auto"/>
        <w:jc w:val="center"/>
      </w:pPr>
      <w:r>
        <w:rPr>
          <w:b w:val="0"/>
          <w:color w:val="5C6770"/>
          <w:sz w:val="22"/>
        </w:rPr>
        <w:t>Lectura técnica del territorio estructurada por los 10 Objetivos Estratégicos de la Agenda Urbana Española</w:t>
      </w:r>
    </w:p>
    <w:tbl>
      <w:tblPr>
        <w:tblW w:type="auto" w:w="0"/>
        <w:jc w:val="center"/>
        <w:tblLook w:firstColumn="1" w:firstRow="1" w:lastColumn="0" w:lastRow="0" w:noHBand="0" w:noVBand="1" w:val="04A0"/>
        <w:tblBorders>
          <w:top w:val="single" w:sz="8" w:space="0" w:color="B7C9C0"/>
          <w:left w:val="single" w:sz="8" w:space="0" w:color="B7C9C0"/>
          <w:bottom w:val="single" w:sz="8" w:space="0" w:color="B7C9C0"/>
          <w:right w:val="single" w:sz="8" w:space="0" w:color="B7C9C0"/>
          <w:insideH w:val="single" w:sz="8" w:space="0" w:color="B7C9C0"/>
          <w:insideV w:val="single" w:sz="8" w:space="0" w:color="B7C9C0"/>
        </w:tblBorders>
      </w:tblPr>
      <w:tblGrid>
        <w:gridCol w:w="9972"/>
      </w:tblGrid>
      <w:tr>
        <w:tc>
          <w:tcPr>
            <w:tcW w:type="dxa" w:w="9972"/>
            <w:shd w:fill="EEF5F1"/>
            <w:tcMar>
              <w:top w:w="120" w:type="dxa"/>
              <w:start w:w="120" w:type="dxa"/>
              <w:bottom w:w="120" w:type="dxa"/>
              <w:end w:w="120" w:type="dxa"/>
            </w:tcMar>
          </w:tcPr>
          <w:p>
            <w:pPr>
              <w:spacing w:after="0"/>
            </w:pPr>
            <w:r>
              <w:rPr>
                <w:color w:val="2E4A41"/>
                <w:sz w:val="21"/>
              </w:rPr>
              <w:t>Documento elaborado a partir de datos, indicadores y registros oficiales identificados en la documentación de base. La matriz de trabajo se utiliza únicamente como herramienta de integración, ordenación y lectura analítica.</w:t>
            </w:r>
          </w:p>
        </w:tc>
      </w:tr>
    </w:tbl>
    <w:p/>
    <w:p>
      <w:pPr>
        <w:spacing w:after="160"/>
      </w:pPr>
      <w:r>
        <w:rPr>
          <w:b/>
          <w:color w:val="2F5D50"/>
          <w:sz w:val="30"/>
        </w:rPr>
        <w:t>1. Introducción</w:t>
      </w:r>
    </w:p>
    <w:p>
      <w:pPr>
        <w:spacing w:before="0" w:after="160" w:line="276" w:lineRule="auto"/>
      </w:pPr>
      <w:r>
        <w:rPr>
          <w:b w:val="0"/>
        </w:rPr>
        <w:t>El diagnóstico territorial de Ibeas de Juarros se apoya en una base amplia de información estadística y administrativa de procedencia oficial. El material integrado permite leer el municipio desde una doble escala: por un lado, a través de series y registros directos sobre población, vivienda, ocupación de suelo, tipología edificatoria, estructura productiva y paro; por otro, mediante indicadores comparativos que sitúan a Ibeas frente a referencias externas y ayudan a identificar singularidades, tensiones y ventajas relativas.</w:t>
      </w:r>
    </w:p>
    <w:p>
      <w:pPr>
        <w:spacing w:before="0" w:after="160" w:line="276" w:lineRule="auto"/>
      </w:pPr>
      <w:r>
        <w:rPr>
          <w:b w:val="0"/>
        </w:rPr>
        <w:t>La imagen que resulta de esta lectura es nítida. Ibeas de Juarros no responde al patrón simple de pequeño municipio rural en declive continuado, sino al de un territorio que sufrió una contracción histórica intensa durante la segunda mitad del siglo XX y que, ya en el siglo XXI, ha experimentado una recuperación demográfica y residencial significativa. Esa mejora, sin embargo, convive con retos muy claros: baja densidad, expansión potencial elevada, dependencia del vehículo privado, necesidad de reforzar cohesión e integración social, y conveniencia de alinear el crecimiento con una lógica más contenida, equilibrada y territorialmente inteligente.</w:t>
      </w:r>
    </w:p>
    <w:p>
      <w:pPr>
        <w:spacing w:before="0" w:after="160" w:line="276" w:lineRule="auto"/>
      </w:pPr>
      <w:r>
        <w:rPr>
          <w:b w:val="0"/>
        </w:rPr>
        <w:t>El documento se organiza conforme a los 10 Objetivos Estratégicos de la Agenda Urbana Española. En cada objetivo se combina una lectura narrativa compacta con un recuadro de hallazgos clave y una identificación expresa de las fuentes oficiales conocidas que sostienen el análisis. Cuando la documentación de partida no permite atribuir con total precisión la fuente primaria de algunos indicadores comparativos, esta cautela se hace constar de forma explícita.</w:t>
      </w:r>
    </w:p>
    <w:p>
      <w:r>
        <w:br w:type="page"/>
      </w:r>
    </w:p>
    <w:p>
      <w:pPr>
        <w:spacing w:after="160"/>
      </w:pPr>
      <w:r>
        <w:rPr>
          <w:b/>
          <w:color w:val="2F5D50"/>
          <w:sz w:val="26"/>
        </w:rPr>
        <w:t>Fuentes oficiales identificadas</w:t>
      </w:r>
    </w:p>
    <w:tbl>
      <w:tblPr>
        <w:tblW w:type="auto" w:w="0"/>
        <w:jc w:val="center"/>
        <w:tblLook w:firstColumn="1" w:firstRow="1" w:lastColumn="0" w:lastRow="0" w:noHBand="0" w:noVBand="1" w:val="04A0"/>
        <w:tblBorders>
          <w:top w:val="single" w:sz="6" w:space="0" w:color="C7D1CC"/>
          <w:left w:val="single" w:sz="6" w:space="0" w:color="C7D1CC"/>
          <w:bottom w:val="single" w:sz="6" w:space="0" w:color="C7D1CC"/>
          <w:right w:val="single" w:sz="6" w:space="0" w:color="C7D1CC"/>
          <w:insideH w:val="single" w:sz="6" w:space="0" w:color="C7D1CC"/>
          <w:insideV w:val="single" w:sz="6" w:space="0" w:color="C7D1CC"/>
        </w:tblBorders>
      </w:tblPr>
      <w:tblGrid>
        <w:gridCol w:w="4986"/>
        <w:gridCol w:w="4986"/>
      </w:tblGrid>
      <w:tr>
        <w:tc>
          <w:tcPr>
            <w:tcW w:type="dxa" w:w="4986"/>
            <w:shd w:fill="E6EFEA"/>
            <w:tcMar>
              <w:top w:w="100" w:type="dxa"/>
              <w:start w:w="110" w:type="dxa"/>
              <w:bottom w:w="100" w:type="dxa"/>
              <w:end w:w="110" w:type="dxa"/>
            </w:tcMar>
            <w:vAlign w:val="center"/>
          </w:tcPr>
          <w:p>
            <w:r>
              <w:rPr>
                <w:b/>
                <w:sz w:val="20"/>
              </w:rPr>
              <w:t>Fuentes oficiales identificadas</w:t>
            </w:r>
          </w:p>
        </w:tc>
        <w:tc>
          <w:tcPr>
            <w:tcW w:type="dxa" w:w="4986"/>
            <w:shd w:fill="E6EFEA"/>
            <w:tcMar>
              <w:top w:w="100" w:type="dxa"/>
              <w:start w:w="110" w:type="dxa"/>
              <w:bottom w:w="100" w:type="dxa"/>
              <w:end w:w="110" w:type="dxa"/>
            </w:tcMar>
            <w:vAlign w:val="center"/>
          </w:tcPr>
          <w:p>
            <w:r>
              <w:rPr>
                <w:b/>
                <w:sz w:val="20"/>
              </w:rPr>
              <w:t>Cobertura principal</w:t>
            </w:r>
          </w:p>
        </w:tc>
      </w:tr>
      <w:tr>
        <w:tc>
          <w:tcPr>
            <w:tcW w:type="dxa" w:w="4986"/>
            <w:tcMar>
              <w:top w:w="90" w:type="dxa"/>
              <w:start w:w="110" w:type="dxa"/>
              <w:bottom w:w="90" w:type="dxa"/>
              <w:end w:w="110" w:type="dxa"/>
            </w:tcMar>
            <w:vAlign w:val="center"/>
          </w:tcPr>
          <w:p>
            <w:pPr>
              <w:spacing w:after="0"/>
            </w:pPr>
            <w:r>
              <w:rPr>
                <w:sz w:val="19"/>
              </w:rPr>
              <w:t>INE / Atlas Digital de las Áreas Urbanas</w:t>
            </w:r>
          </w:p>
        </w:tc>
        <w:tc>
          <w:tcPr>
            <w:tcW w:type="dxa" w:w="4986"/>
            <w:tcMar>
              <w:top w:w="90" w:type="dxa"/>
              <w:start w:w="110" w:type="dxa"/>
              <w:bottom w:w="90" w:type="dxa"/>
              <w:end w:w="110" w:type="dxa"/>
            </w:tcMar>
            <w:vAlign w:val="center"/>
          </w:tcPr>
          <w:p>
            <w:pPr>
              <w:spacing w:after="0"/>
            </w:pPr>
            <w:r>
              <w:rPr>
                <w:sz w:val="19"/>
              </w:rPr>
              <w:t>Población padronal y censal, estructura demográfica, lugar de nacimiento, población extranjera, crecimiento vegetativo, hogares y parte de vivienda.</w:t>
            </w:r>
          </w:p>
        </w:tc>
      </w:tr>
      <w:tr>
        <w:tc>
          <w:tcPr>
            <w:tcW w:type="dxa" w:w="4986"/>
            <w:tcMar>
              <w:top w:w="90" w:type="dxa"/>
              <w:start w:w="110" w:type="dxa"/>
              <w:bottom w:w="90" w:type="dxa"/>
              <w:end w:w="110" w:type="dxa"/>
            </w:tcMar>
            <w:vAlign w:val="center"/>
          </w:tcPr>
          <w:p>
            <w:pPr>
              <w:spacing w:after="0"/>
            </w:pPr>
            <w:r>
              <w:rPr>
                <w:sz w:val="19"/>
              </w:rPr>
              <w:t>Dirección General del Catastro / Atlas Digital</w:t>
            </w:r>
          </w:p>
        </w:tc>
        <w:tc>
          <w:tcPr>
            <w:tcW w:type="dxa" w:w="4986"/>
            <w:tcMar>
              <w:top w:w="90" w:type="dxa"/>
              <w:start w:w="110" w:type="dxa"/>
              <w:bottom w:w="90" w:type="dxa"/>
              <w:end w:w="110" w:type="dxa"/>
            </w:tcMar>
            <w:vAlign w:val="center"/>
          </w:tcPr>
          <w:p>
            <w:pPr>
              <w:spacing w:after="0"/>
            </w:pPr>
            <w:r>
              <w:rPr>
                <w:sz w:val="19"/>
              </w:rPr>
              <w:t>Uso y antigüedad del parque edificado, estructura del parque inmobiliario.</w:t>
            </w:r>
          </w:p>
        </w:tc>
      </w:tr>
      <w:tr>
        <w:tc>
          <w:tcPr>
            <w:tcW w:type="dxa" w:w="4986"/>
            <w:tcMar>
              <w:top w:w="90" w:type="dxa"/>
              <w:start w:w="110" w:type="dxa"/>
              <w:bottom w:w="90" w:type="dxa"/>
              <w:end w:w="110" w:type="dxa"/>
            </w:tcMar>
            <w:vAlign w:val="center"/>
          </w:tcPr>
          <w:p>
            <w:pPr>
              <w:spacing w:after="0"/>
            </w:pPr>
            <w:r>
              <w:rPr>
                <w:sz w:val="19"/>
              </w:rPr>
              <w:t>SIOSE 2014 y Corine Land Cover 2016 / Atlas Digital</w:t>
            </w:r>
          </w:p>
        </w:tc>
        <w:tc>
          <w:tcPr>
            <w:tcW w:type="dxa" w:w="4986"/>
            <w:tcMar>
              <w:top w:w="90" w:type="dxa"/>
              <w:start w:w="110" w:type="dxa"/>
              <w:bottom w:w="90" w:type="dxa"/>
              <w:end w:w="110" w:type="dxa"/>
            </w:tcMar>
            <w:vAlign w:val="center"/>
          </w:tcPr>
          <w:p>
            <w:pPr>
              <w:spacing w:after="0"/>
            </w:pPr>
            <w:r>
              <w:rPr>
                <w:sz w:val="19"/>
              </w:rPr>
              <w:t>Coberturas del suelo, clases artificiales, forma urbana y estructura territorial.</w:t>
            </w:r>
          </w:p>
        </w:tc>
      </w:tr>
      <w:tr>
        <w:tc>
          <w:tcPr>
            <w:tcW w:type="dxa" w:w="4986"/>
            <w:tcMar>
              <w:top w:w="90" w:type="dxa"/>
              <w:start w:w="110" w:type="dxa"/>
              <w:bottom w:w="90" w:type="dxa"/>
              <w:end w:w="110" w:type="dxa"/>
            </w:tcMar>
            <w:vAlign w:val="center"/>
          </w:tcPr>
          <w:p>
            <w:pPr>
              <w:spacing w:after="0"/>
            </w:pPr>
            <w:r>
              <w:rPr>
                <w:sz w:val="19"/>
              </w:rPr>
              <w:t>TGSS / Atlas Digital</w:t>
            </w:r>
          </w:p>
        </w:tc>
        <w:tc>
          <w:tcPr>
            <w:tcW w:type="dxa" w:w="4986"/>
            <w:tcMar>
              <w:top w:w="90" w:type="dxa"/>
              <w:start w:w="110" w:type="dxa"/>
              <w:bottom w:w="90" w:type="dxa"/>
              <w:end w:w="110" w:type="dxa"/>
            </w:tcMar>
            <w:vAlign w:val="center"/>
          </w:tcPr>
          <w:p>
            <w:pPr>
              <w:spacing w:after="0"/>
            </w:pPr>
            <w:r>
              <w:rPr>
                <w:sz w:val="19"/>
              </w:rPr>
              <w:t>Trabajadores, establecimientos y estructura sectorial.</w:t>
            </w:r>
          </w:p>
        </w:tc>
      </w:tr>
      <w:tr>
        <w:tc>
          <w:tcPr>
            <w:tcW w:type="dxa" w:w="4986"/>
            <w:tcMar>
              <w:top w:w="90" w:type="dxa"/>
              <w:start w:w="110" w:type="dxa"/>
              <w:bottom w:w="90" w:type="dxa"/>
              <w:end w:w="110" w:type="dxa"/>
            </w:tcMar>
            <w:vAlign w:val="center"/>
          </w:tcPr>
          <w:p>
            <w:pPr>
              <w:spacing w:after="0"/>
            </w:pPr>
            <w:r>
              <w:rPr>
                <w:sz w:val="19"/>
              </w:rPr>
              <w:t>SEPE / Atlas Digital</w:t>
            </w:r>
          </w:p>
        </w:tc>
        <w:tc>
          <w:tcPr>
            <w:tcW w:type="dxa" w:w="4986"/>
            <w:tcMar>
              <w:top w:w="90" w:type="dxa"/>
              <w:start w:w="110" w:type="dxa"/>
              <w:bottom w:w="90" w:type="dxa"/>
              <w:end w:w="110" w:type="dxa"/>
            </w:tcMar>
            <w:vAlign w:val="center"/>
          </w:tcPr>
          <w:p>
            <w:pPr>
              <w:spacing w:after="0"/>
            </w:pPr>
            <w:r>
              <w:rPr>
                <w:sz w:val="19"/>
              </w:rPr>
              <w:t>Paro por sexo, edad y rama de actividad.</w:t>
            </w:r>
          </w:p>
        </w:tc>
      </w:tr>
    </w:tbl>
    <w:p>
      <w:r>
        <w:br w:type="page"/>
      </w:r>
    </w:p>
    <w:p>
      <w:pPr>
        <w:spacing w:after="160"/>
      </w:pPr>
      <w:r>
        <w:rPr>
          <w:b/>
          <w:color w:val="2F5D50"/>
          <w:sz w:val="30"/>
        </w:rPr>
        <w:t>OE 1. Ordenar el territorio y hacer un uso racional del suelo</w:t>
      </w:r>
    </w:p>
    <w:p>
      <w:pPr>
        <w:spacing w:before="0" w:after="140" w:line="276" w:lineRule="auto"/>
      </w:pPr>
      <w:r>
        <w:rPr>
          <w:b w:val="0"/>
        </w:rPr>
        <w:t>El término municipal de Ibeas presenta una base territorial muy claramente dominada por el suelo no urbanizable. Los indicadores comparativos sitúan el suelo no urbanizable en el 98,36% del término, con un peso muy alto de las superficies forestales y de cultivos, lo que confirma una estructura territorial de fuerte impronta rural y paisajística.</w:t>
      </w:r>
    </w:p>
    <w:p>
      <w:pPr>
        <w:spacing w:before="0" w:after="140" w:line="276" w:lineRule="auto"/>
      </w:pPr>
      <w:r>
        <w:rPr>
          <w:b w:val="0"/>
        </w:rPr>
        <w:t>En el interior del espacio artificializado, la forma urbana aparece relativamente poco compacta. La densidad urbana y la densidad de vivienda sobre suelo urbano se sitúan por debajo de las medianas de referencia, mientras que la compacidad urbana también es moderada. Esta combinación sugiere un modelo de ocupación poco intenso, con crecimiento espacial relativamente amplio respecto al volumen de población.</w:t>
      </w:r>
    </w:p>
    <w:p>
      <w:pPr>
        <w:spacing w:before="0" w:after="140" w:line="276" w:lineRule="auto"/>
      </w:pPr>
      <w:r>
        <w:rPr>
          <w:b w:val="0"/>
        </w:rPr>
        <w:t>A ello se suma una cuestión central para la ordenación futura: la existencia de una proporción importante de suelo urbanizable delimitado y de áreas en desarrollo. La información disponible no obliga a leer este hecho como problema automático, pero sí como una llamada a revisar con criterio el encaje entre planeamiento, realidad demográfica, capacidad de prestación de servicios y preservación de la identidad territorial.</w:t>
      </w:r>
    </w:p>
    <w:tbl>
      <w:tblPr>
        <w:tblW w:type="auto" w:w="0"/>
        <w:jc w:val="center"/>
        <w:tblLook w:firstColumn="1" w:firstRow="1" w:lastColumn="0" w:lastRow="0" w:noHBand="0" w:noVBand="1" w:val="04A0"/>
        <w:tblBorders>
          <w:top w:val="single" w:sz="8" w:space="0" w:color="BFCFCA"/>
          <w:left w:val="single" w:sz="8" w:space="0" w:color="BFCFCA"/>
          <w:bottom w:val="single" w:sz="8" w:space="0" w:color="BFCFCA"/>
          <w:right w:val="single" w:sz="8" w:space="0" w:color="BFCFCA"/>
          <w:insideH w:val="single" w:sz="8" w:space="0" w:color="BFCFCA"/>
          <w:insideV w:val="single" w:sz="8" w:space="0" w:color="BFCFCA"/>
        </w:tblBorders>
      </w:tblPr>
      <w:tblGrid>
        <w:gridCol w:w="9972"/>
      </w:tblGrid>
      <w:tr>
        <w:tc>
          <w:tcPr>
            <w:tcW w:type="dxa" w:w="9972"/>
            <w:shd w:fill="F3F7F5"/>
            <w:tcMar>
              <w:top w:w="110" w:type="dxa"/>
              <w:start w:w="120" w:type="dxa"/>
              <w:bottom w:w="110" w:type="dxa"/>
              <w:end w:w="120" w:type="dxa"/>
            </w:tcMar>
          </w:tcPr>
          <w:p>
            <w:pPr>
              <w:spacing w:after="80"/>
            </w:pPr>
            <w:r>
              <w:rPr>
                <w:b/>
                <w:color w:val="2E4A41"/>
                <w:sz w:val="21"/>
              </w:rPr>
              <w:t>Conclusiones destacadas</w:t>
            </w:r>
          </w:p>
          <w:p>
            <w:pPr>
              <w:spacing w:after="40"/>
              <w:ind w:left="200"/>
            </w:pPr>
            <w:r>
              <w:rPr>
                <w:sz w:val="20"/>
              </w:rPr>
              <w:t>• 98,36% del término municipal corresponde a suelo no urbanizable.</w:t>
            </w:r>
          </w:p>
          <w:p>
            <w:pPr>
              <w:spacing w:after="40"/>
              <w:ind w:left="200"/>
            </w:pPr>
            <w:r>
              <w:rPr>
                <w:sz w:val="20"/>
              </w:rPr>
              <w:t>• 64,40% del municipio se asocia a superficie forestal y dehesas, y 31,55% a cultivos.</w:t>
            </w:r>
          </w:p>
          <w:p>
            <w:pPr>
              <w:spacing w:after="40"/>
              <w:ind w:left="200"/>
            </w:pPr>
            <w:r>
              <w:rPr>
                <w:sz w:val="20"/>
              </w:rPr>
              <w:t>• La densidad urbana es de 7,87 hab/ha, por debajo de la mediana comparativa.</w:t>
            </w:r>
          </w:p>
          <w:p>
            <w:pPr>
              <w:spacing w:after="40"/>
              <w:ind w:left="200"/>
            </w:pPr>
            <w:r>
              <w:rPr>
                <w:sz w:val="20"/>
              </w:rPr>
              <w:t>• El suelo urbanizable delimitado representa el 27,63% del suelo urbano, muy por encima de la mediana de referencia.</w:t>
            </w:r>
          </w:p>
        </w:tc>
      </w:tr>
    </w:tbl>
    <w:tbl>
      <w:tblPr>
        <w:tblW w:type="auto" w:w="0"/>
        <w:jc w:val="center"/>
        <w:tblLook w:firstColumn="1" w:firstRow="1" w:lastColumn="0" w:lastRow="0" w:noHBand="0" w:noVBand="1" w:val="04A0"/>
        <w:tblBorders>
          <w:top w:val="single" w:sz="6" w:space="0" w:color="D8DDE3"/>
          <w:left w:val="single" w:sz="6" w:space="0" w:color="D8DDE3"/>
          <w:bottom w:val="single" w:sz="6" w:space="0" w:color="D8DDE3"/>
          <w:right w:val="single" w:sz="6" w:space="0" w:color="D8DDE3"/>
          <w:insideH w:val="single" w:sz="6" w:space="0" w:color="D8DDE3"/>
          <w:insideV w:val="single" w:sz="6" w:space="0" w:color="D8DDE3"/>
        </w:tblBorders>
      </w:tblPr>
      <w:tblGrid>
        <w:gridCol w:w="9972"/>
      </w:tblGrid>
      <w:tr>
        <w:tc>
          <w:tcPr>
            <w:tcW w:type="dxa" w:w="9972"/>
            <w:shd w:fill="FAFBFC"/>
            <w:tcMar>
              <w:top w:w="90" w:type="dxa"/>
              <w:start w:w="110" w:type="dxa"/>
              <w:bottom w:w="90" w:type="dxa"/>
              <w:end w:w="110" w:type="dxa"/>
            </w:tcMar>
          </w:tcPr>
          <w:p>
            <w:pPr>
              <w:spacing w:after="80"/>
            </w:pPr>
            <w:r>
              <w:rPr>
                <w:b/>
                <w:color w:val="44515A"/>
                <w:sz w:val="20"/>
              </w:rPr>
              <w:t>Fuentes oficiales identificadas para este objetivo</w:t>
            </w:r>
          </w:p>
          <w:p>
            <w:pPr>
              <w:spacing w:after="20"/>
              <w:ind w:left="200"/>
            </w:pPr>
            <w:r>
              <w:rPr>
                <w:color w:val="44515A"/>
                <w:sz w:val="19"/>
              </w:rPr>
              <w:t>• Atlas Digital de las Áreas Urbanas - SIOSE 2014.</w:t>
            </w:r>
          </w:p>
          <w:p>
            <w:pPr>
              <w:spacing w:after="20"/>
              <w:ind w:left="200"/>
            </w:pPr>
            <w:r>
              <w:rPr>
                <w:color w:val="44515A"/>
                <w:sz w:val="19"/>
              </w:rPr>
              <w:t>• Atlas Digital de las Áreas Urbanas - IGN / Corine Land Cover 2016.</w:t>
            </w:r>
          </w:p>
          <w:p>
            <w:pPr>
              <w:spacing w:after="20"/>
              <w:ind w:left="200"/>
            </w:pPr>
            <w:r>
              <w:rPr>
                <w:color w:val="44515A"/>
                <w:sz w:val="19"/>
              </w:rPr>
              <w:t>• Indicadores comparativos integrados en la base analítica, con la debida cautela metodológica.</w:t>
            </w:r>
          </w:p>
        </w:tc>
      </w:tr>
    </w:tbl>
    <w:p>
      <w:r>
        <w:br w:type="page"/>
      </w:r>
    </w:p>
    <w:p>
      <w:pPr>
        <w:spacing w:after="160"/>
      </w:pPr>
      <w:r>
        <w:rPr>
          <w:b/>
          <w:color w:val="2F5D50"/>
          <w:sz w:val="30"/>
        </w:rPr>
        <w:t>OE 2. Evitar la dispersión urbana y revitalizar el territorio</w:t>
      </w:r>
    </w:p>
    <w:p>
      <w:pPr>
        <w:spacing w:before="0" w:after="140" w:line="276" w:lineRule="auto"/>
      </w:pPr>
      <w:r>
        <w:rPr>
          <w:b w:val="0"/>
        </w:rPr>
        <w:t>La trayectoria demográfica de Ibeas refleja una secuencia compleja. El municipio pasa de 1.960 habitantes en 1960 a 839 en 1991, lo que evidencia un proceso severo de pérdida poblacional en la segunda mitad del siglo XX. Sin embargo, a partir de los años noventa y, sobre todo, desde comienzos del siglo XXI, se produce una recuperación sostenida hasta alcanzar 1.459 habitantes en 2024.</w:t>
      </w:r>
    </w:p>
    <w:p>
      <w:pPr>
        <w:spacing w:before="0" w:after="140" w:line="276" w:lineRule="auto"/>
      </w:pPr>
      <w:r>
        <w:rPr>
          <w:b w:val="0"/>
        </w:rPr>
        <w:t>La revitalización reciente se acompaña de un crecimiento residencial intenso. Las viviendas familiares principales pasan de 160 en 1970 a 534 en 2011. Al mismo tiempo, el parque edificado combina una base previa a 1950 muy relevante con un volumen también elevado de edificaciones posteriores a 2000, lo que revela una doble condición del municipio: sustrato histórico y expansión reciente.</w:t>
      </w:r>
    </w:p>
    <w:p>
      <w:pPr>
        <w:spacing w:before="0" w:after="140" w:line="276" w:lineRule="auto"/>
      </w:pPr>
      <w:r>
        <w:rPr>
          <w:b w:val="0"/>
        </w:rPr>
        <w:t>La cuestión territorial clave no es, por tanto, si Ibeas se ha revitalizado o no -porque claramente lo ha hecho-, sino bajo qué patrón espacial y con qué sostenibilidad futura. La presencia de tejido urbano discontinuo, baja densidad relativa y gran capacidad de desarrollo prevista obliga a plantear la revitalización en términos de consolidación y calidad, no de expansión indiferenciada.</w:t>
      </w:r>
    </w:p>
    <w:tbl>
      <w:tblPr>
        <w:tblW w:type="auto" w:w="0"/>
        <w:jc w:val="center"/>
        <w:tblLook w:firstColumn="1" w:firstRow="1" w:lastColumn="0" w:lastRow="0" w:noHBand="0" w:noVBand="1" w:val="04A0"/>
        <w:tblBorders>
          <w:top w:val="single" w:sz="8" w:space="0" w:color="BFCFCA"/>
          <w:left w:val="single" w:sz="8" w:space="0" w:color="BFCFCA"/>
          <w:bottom w:val="single" w:sz="8" w:space="0" w:color="BFCFCA"/>
          <w:right w:val="single" w:sz="8" w:space="0" w:color="BFCFCA"/>
          <w:insideH w:val="single" w:sz="8" w:space="0" w:color="BFCFCA"/>
          <w:insideV w:val="single" w:sz="8" w:space="0" w:color="BFCFCA"/>
        </w:tblBorders>
      </w:tblPr>
      <w:tblGrid>
        <w:gridCol w:w="9972"/>
      </w:tblGrid>
      <w:tr>
        <w:tc>
          <w:tcPr>
            <w:tcW w:type="dxa" w:w="9972"/>
            <w:shd w:fill="F3F7F5"/>
            <w:tcMar>
              <w:top w:w="110" w:type="dxa"/>
              <w:start w:w="120" w:type="dxa"/>
              <w:bottom w:w="110" w:type="dxa"/>
              <w:end w:w="120" w:type="dxa"/>
            </w:tcMar>
          </w:tcPr>
          <w:p>
            <w:pPr>
              <w:spacing w:after="80"/>
            </w:pPr>
            <w:r>
              <w:rPr>
                <w:b/>
                <w:color w:val="2E4A41"/>
                <w:sz w:val="21"/>
              </w:rPr>
              <w:t>Conclusiones destacadas</w:t>
            </w:r>
          </w:p>
          <w:p>
            <w:pPr>
              <w:spacing w:after="40"/>
              <w:ind w:left="200"/>
            </w:pPr>
            <w:r>
              <w:rPr>
                <w:sz w:val="20"/>
              </w:rPr>
              <w:t>• La población censal cae de 1.960 hab. en 1960 a 839 en 1991, y luego se recupera hasta 1.437 en 2021.</w:t>
            </w:r>
          </w:p>
          <w:p>
            <w:pPr>
              <w:spacing w:after="40"/>
              <w:ind w:left="200"/>
            </w:pPr>
            <w:r>
              <w:rPr>
                <w:sz w:val="20"/>
              </w:rPr>
              <w:t>• La población padronal pasa de 998 hab. en 2001 a 1.459 en 2024.</w:t>
            </w:r>
          </w:p>
          <w:p>
            <w:pPr>
              <w:spacing w:after="40"/>
              <w:ind w:left="200"/>
            </w:pPr>
            <w:r>
              <w:rPr>
                <w:sz w:val="20"/>
              </w:rPr>
              <w:t>• Las viviendas familiares principales crecen de 160 en 1970 a 534 en 2011.</w:t>
            </w:r>
          </w:p>
          <w:p>
            <w:pPr>
              <w:spacing w:after="40"/>
              <w:ind w:left="200"/>
            </w:pPr>
            <w:r>
              <w:rPr>
                <w:sz w:val="20"/>
              </w:rPr>
              <w:t>• Hay 805 edificaciones anteriores a 1950 y 511 posteriores a 2000: el municipio combina base tradicional y crecimiento reciente.</w:t>
            </w:r>
          </w:p>
        </w:tc>
      </w:tr>
    </w:tbl>
    <w:tbl>
      <w:tblPr>
        <w:tblW w:type="auto" w:w="0"/>
        <w:jc w:val="center"/>
        <w:tblLook w:firstColumn="1" w:firstRow="1" w:lastColumn="0" w:lastRow="0" w:noHBand="0" w:noVBand="1" w:val="04A0"/>
        <w:tblBorders>
          <w:top w:val="single" w:sz="6" w:space="0" w:color="D8DDE3"/>
          <w:left w:val="single" w:sz="6" w:space="0" w:color="D8DDE3"/>
          <w:bottom w:val="single" w:sz="6" w:space="0" w:color="D8DDE3"/>
          <w:right w:val="single" w:sz="6" w:space="0" w:color="D8DDE3"/>
          <w:insideH w:val="single" w:sz="6" w:space="0" w:color="D8DDE3"/>
          <w:insideV w:val="single" w:sz="6" w:space="0" w:color="D8DDE3"/>
        </w:tblBorders>
      </w:tblPr>
      <w:tblGrid>
        <w:gridCol w:w="9972"/>
      </w:tblGrid>
      <w:tr>
        <w:tc>
          <w:tcPr>
            <w:tcW w:type="dxa" w:w="9972"/>
            <w:shd w:fill="FAFBFC"/>
            <w:tcMar>
              <w:top w:w="90" w:type="dxa"/>
              <w:start w:w="110" w:type="dxa"/>
              <w:bottom w:w="90" w:type="dxa"/>
              <w:end w:w="110" w:type="dxa"/>
            </w:tcMar>
          </w:tcPr>
          <w:p>
            <w:pPr>
              <w:spacing w:after="80"/>
            </w:pPr>
            <w:r>
              <w:rPr>
                <w:b/>
                <w:color w:val="44515A"/>
                <w:sz w:val="20"/>
              </w:rPr>
              <w:t>Fuentes oficiales identificadas para este objetivo</w:t>
            </w:r>
          </w:p>
          <w:p>
            <w:pPr>
              <w:spacing w:after="20"/>
              <w:ind w:left="200"/>
            </w:pPr>
            <w:r>
              <w:rPr>
                <w:color w:val="44515A"/>
                <w:sz w:val="19"/>
              </w:rPr>
              <w:t>• INE / Atlas Digital de las Áreas Urbanas - población padronal y estructura demográfica.</w:t>
            </w:r>
          </w:p>
          <w:p>
            <w:pPr>
              <w:spacing w:after="20"/>
              <w:ind w:left="200"/>
            </w:pPr>
            <w:r>
              <w:rPr>
                <w:color w:val="44515A"/>
                <w:sz w:val="19"/>
              </w:rPr>
              <w:t>• INE 2023 y 2024 - sex ratio y crecimiento vegetativo.</w:t>
            </w:r>
          </w:p>
          <w:p>
            <w:pPr>
              <w:spacing w:after="20"/>
              <w:ind w:left="200"/>
            </w:pPr>
            <w:r>
              <w:rPr>
                <w:color w:val="44515A"/>
                <w:sz w:val="19"/>
              </w:rPr>
              <w:t>• Dirección General del Catastro 2024 / Atlas Digital - antigüedad del parque edificado.</w:t>
            </w:r>
          </w:p>
          <w:p>
            <w:pPr>
              <w:spacing w:after="20"/>
              <w:ind w:left="200"/>
            </w:pPr>
            <w:r>
              <w:rPr>
                <w:color w:val="44515A"/>
                <w:sz w:val="19"/>
              </w:rPr>
              <w:t>• SIOSE 2014 / Atlas Digital - clases urbanas y forma de ocupación.</w:t>
            </w:r>
          </w:p>
        </w:tc>
      </w:tr>
    </w:tbl>
    <w:p>
      <w:r>
        <w:br w:type="page"/>
      </w:r>
    </w:p>
    <w:p>
      <w:pPr>
        <w:spacing w:after="160"/>
      </w:pPr>
      <w:r>
        <w:rPr>
          <w:b/>
          <w:color w:val="2F5D50"/>
          <w:sz w:val="30"/>
        </w:rPr>
        <w:t>OE 3. Prevenir y reducir los impactos del cambio climático</w:t>
      </w:r>
    </w:p>
    <w:p>
      <w:pPr>
        <w:spacing w:before="0" w:after="140" w:line="276" w:lineRule="auto"/>
      </w:pPr>
      <w:r>
        <w:rPr>
          <w:b w:val="0"/>
        </w:rPr>
        <w:t>La base de partida no incorpora un bloque climático exhaustivo, pero sí permite una lectura territorial útil para adaptación y resiliencia. El gran peso del suelo no urbanizable, las superficies forestales y la presencia agraria ofrecen una estructura de territorio abierto que, bien gestionada, puede reforzar funciones de regulación ambiental, infiltración, continuidad ecológica y mitigación de impactos.</w:t>
      </w:r>
    </w:p>
    <w:p>
      <w:pPr>
        <w:spacing w:before="0" w:after="140" w:line="276" w:lineRule="auto"/>
      </w:pPr>
      <w:r>
        <w:rPr>
          <w:b w:val="0"/>
        </w:rPr>
        <w:t>En paralelo, la baja densidad, la dispersión relativa y la elevada presencia de suelo en desarrollo introducen un factor de vulnerabilidad si el crecimiento futuro se traduce en mayor artificialización, más movilidad obligada y mayor fragmentación espacial. En este contexto, la principal política climática para Ibeas no es solo sectorial; es, sobre todo, una política de modelo territorial.</w:t>
      </w:r>
    </w:p>
    <w:p>
      <w:pPr>
        <w:spacing w:before="0" w:after="140" w:line="276" w:lineRule="auto"/>
      </w:pPr>
      <w:r>
        <w:rPr>
          <w:b w:val="0"/>
        </w:rPr>
        <w:t>Prevenir impactos climáticos en Ibeas significa priorizar un patrón de desarrollo que conserve el valor ambiental del término, reduzca nuevas presiones sobre el suelo y mejore el comportamiento del espacio urbano ya existente.</w:t>
      </w:r>
    </w:p>
    <w:tbl>
      <w:tblPr>
        <w:tblW w:type="auto" w:w="0"/>
        <w:jc w:val="center"/>
        <w:tblLook w:firstColumn="1" w:firstRow="1" w:lastColumn="0" w:lastRow="0" w:noHBand="0" w:noVBand="1" w:val="04A0"/>
        <w:tblBorders>
          <w:top w:val="single" w:sz="8" w:space="0" w:color="BFCFCA"/>
          <w:left w:val="single" w:sz="8" w:space="0" w:color="BFCFCA"/>
          <w:bottom w:val="single" w:sz="8" w:space="0" w:color="BFCFCA"/>
          <w:right w:val="single" w:sz="8" w:space="0" w:color="BFCFCA"/>
          <w:insideH w:val="single" w:sz="8" w:space="0" w:color="BFCFCA"/>
          <w:insideV w:val="single" w:sz="8" w:space="0" w:color="BFCFCA"/>
        </w:tblBorders>
      </w:tblPr>
      <w:tblGrid>
        <w:gridCol w:w="9972"/>
      </w:tblGrid>
      <w:tr>
        <w:tc>
          <w:tcPr>
            <w:tcW w:type="dxa" w:w="9972"/>
            <w:shd w:fill="F3F7F5"/>
            <w:tcMar>
              <w:top w:w="110" w:type="dxa"/>
              <w:start w:w="120" w:type="dxa"/>
              <w:bottom w:w="110" w:type="dxa"/>
              <w:end w:w="120" w:type="dxa"/>
            </w:tcMar>
          </w:tcPr>
          <w:p>
            <w:pPr>
              <w:spacing w:after="80"/>
            </w:pPr>
            <w:r>
              <w:rPr>
                <w:b/>
                <w:color w:val="2E4A41"/>
                <w:sz w:val="21"/>
              </w:rPr>
              <w:t>Conclusiones destacadas</w:t>
            </w:r>
          </w:p>
          <w:p>
            <w:pPr>
              <w:spacing w:after="40"/>
              <w:ind w:left="200"/>
            </w:pPr>
            <w:r>
              <w:rPr>
                <w:sz w:val="20"/>
              </w:rPr>
              <w:t>• 64,40% del término se asocia a zona forestal y dehesa y 31,55% a cultivos.</w:t>
            </w:r>
          </w:p>
          <w:p>
            <w:pPr>
              <w:spacing w:after="40"/>
              <w:ind w:left="200"/>
            </w:pPr>
            <w:r>
              <w:rPr>
                <w:sz w:val="20"/>
              </w:rPr>
              <w:t>• La cobertura artificial municipal es muy reducida en comparación con el conjunto del término.</w:t>
            </w:r>
          </w:p>
          <w:p>
            <w:pPr>
              <w:spacing w:after="40"/>
              <w:ind w:left="200"/>
            </w:pPr>
            <w:r>
              <w:rPr>
                <w:sz w:val="20"/>
              </w:rPr>
              <w:t>• La clave climática local pasa más por ordenar el modelo territorial que por aumentar suelo transformado.</w:t>
            </w:r>
          </w:p>
        </w:tc>
      </w:tr>
    </w:tbl>
    <w:tbl>
      <w:tblPr>
        <w:tblW w:type="auto" w:w="0"/>
        <w:jc w:val="center"/>
        <w:tblLook w:firstColumn="1" w:firstRow="1" w:lastColumn="0" w:lastRow="0" w:noHBand="0" w:noVBand="1" w:val="04A0"/>
        <w:tblBorders>
          <w:top w:val="single" w:sz="6" w:space="0" w:color="D8DDE3"/>
          <w:left w:val="single" w:sz="6" w:space="0" w:color="D8DDE3"/>
          <w:bottom w:val="single" w:sz="6" w:space="0" w:color="D8DDE3"/>
          <w:right w:val="single" w:sz="6" w:space="0" w:color="D8DDE3"/>
          <w:insideH w:val="single" w:sz="6" w:space="0" w:color="D8DDE3"/>
          <w:insideV w:val="single" w:sz="6" w:space="0" w:color="D8DDE3"/>
        </w:tblBorders>
      </w:tblPr>
      <w:tblGrid>
        <w:gridCol w:w="9972"/>
      </w:tblGrid>
      <w:tr>
        <w:tc>
          <w:tcPr>
            <w:tcW w:type="dxa" w:w="9972"/>
            <w:shd w:fill="FAFBFC"/>
            <w:tcMar>
              <w:top w:w="90" w:type="dxa"/>
              <w:start w:w="110" w:type="dxa"/>
              <w:bottom w:w="90" w:type="dxa"/>
              <w:end w:w="110" w:type="dxa"/>
            </w:tcMar>
          </w:tcPr>
          <w:p>
            <w:pPr>
              <w:spacing w:after="80"/>
            </w:pPr>
            <w:r>
              <w:rPr>
                <w:b/>
                <w:color w:val="44515A"/>
                <w:sz w:val="20"/>
              </w:rPr>
              <w:t>Fuentes oficiales identificadas para este objetivo</w:t>
            </w:r>
          </w:p>
          <w:p>
            <w:pPr>
              <w:spacing w:after="20"/>
              <w:ind w:left="200"/>
            </w:pPr>
            <w:r>
              <w:rPr>
                <w:color w:val="44515A"/>
                <w:sz w:val="19"/>
              </w:rPr>
              <w:t>• Atlas Digital de las Áreas Urbanas - SIOSE 2014.</w:t>
            </w:r>
          </w:p>
          <w:p>
            <w:pPr>
              <w:spacing w:after="20"/>
              <w:ind w:left="200"/>
            </w:pPr>
            <w:r>
              <w:rPr>
                <w:color w:val="44515A"/>
                <w:sz w:val="19"/>
              </w:rPr>
              <w:t>• Atlas Digital de las Áreas Urbanas - IGN / Corine Land Cover 2016.</w:t>
            </w:r>
          </w:p>
          <w:p>
            <w:pPr>
              <w:spacing w:after="20"/>
              <w:ind w:left="200"/>
            </w:pPr>
            <w:r>
              <w:rPr>
                <w:color w:val="44515A"/>
                <w:sz w:val="19"/>
              </w:rPr>
              <w:t>• Indicadores comparativos integrados en la base analítica.</w:t>
            </w:r>
          </w:p>
        </w:tc>
      </w:tr>
    </w:tbl>
    <w:p>
      <w:r>
        <w:br w:type="page"/>
      </w:r>
    </w:p>
    <w:p>
      <w:pPr>
        <w:spacing w:after="160"/>
      </w:pPr>
      <w:r>
        <w:rPr>
          <w:b/>
          <w:color w:val="2F5D50"/>
          <w:sz w:val="30"/>
        </w:rPr>
        <w:t>OE 4. Hacer una gestión sostenible de los recursos y favorecer la economía circular</w:t>
      </w:r>
    </w:p>
    <w:p>
      <w:pPr>
        <w:spacing w:before="0" w:after="140" w:line="276" w:lineRule="auto"/>
      </w:pPr>
      <w:r>
        <w:rPr>
          <w:b w:val="0"/>
        </w:rPr>
        <w:t>Aunque este objetivo dispone de menor densidad estadística específica, los datos sí permiten identificar una cuestión estructural: el parque edificado de Ibeas es heterogéneo y acumula un volumen importante de inmuebles anteriores a 1980. Esto abre un campo de intervención claro en eficiencia, rehabilitación, actualización funcional y mejor aprovechamiento del patrimonio edificado existente.</w:t>
      </w:r>
    </w:p>
    <w:p>
      <w:pPr>
        <w:spacing w:before="0" w:after="140" w:line="276" w:lineRule="auto"/>
      </w:pPr>
      <w:r>
        <w:rPr>
          <w:b w:val="0"/>
        </w:rPr>
        <w:t>La gestión sostenible de recursos debe formularse aquí desde la mejora del stock construido más que desde la expansión. En municipios con estas características, una estrategia de circularidad razonable pasa por reutilizar, rehabilitar y adaptar, evitando que el crecimiento residencial, dotacional o de nuevas infraestructuras se siga apoyando de forma preferente en nuevo consumo de suelo y en nueva producción de materiales.</w:t>
      </w:r>
    </w:p>
    <w:p>
      <w:pPr>
        <w:spacing w:before="0" w:after="140" w:line="276" w:lineRule="auto"/>
      </w:pPr>
      <w:r>
        <w:rPr>
          <w:b w:val="0"/>
        </w:rPr>
        <w:t>La ausencia de datos específicos de residuos, agua o energía obliga a prudencia, pero no vacía el diagnóstico: la composición y antigüedad del tejido construido ya señalan dónde puede concentrarse buena parte del esfuerzo de mejora.</w:t>
      </w:r>
    </w:p>
    <w:tbl>
      <w:tblPr>
        <w:tblW w:type="auto" w:w="0"/>
        <w:jc w:val="center"/>
        <w:tblLook w:firstColumn="1" w:firstRow="1" w:lastColumn="0" w:lastRow="0" w:noHBand="0" w:noVBand="1" w:val="04A0"/>
        <w:tblBorders>
          <w:top w:val="single" w:sz="8" w:space="0" w:color="BFCFCA"/>
          <w:left w:val="single" w:sz="8" w:space="0" w:color="BFCFCA"/>
          <w:bottom w:val="single" w:sz="8" w:space="0" w:color="BFCFCA"/>
          <w:right w:val="single" w:sz="8" w:space="0" w:color="BFCFCA"/>
          <w:insideH w:val="single" w:sz="8" w:space="0" w:color="BFCFCA"/>
          <w:insideV w:val="single" w:sz="8" w:space="0" w:color="BFCFCA"/>
        </w:tblBorders>
      </w:tblPr>
      <w:tblGrid>
        <w:gridCol w:w="9972"/>
      </w:tblGrid>
      <w:tr>
        <w:tc>
          <w:tcPr>
            <w:tcW w:type="dxa" w:w="9972"/>
            <w:shd w:fill="F3F7F5"/>
            <w:tcMar>
              <w:top w:w="110" w:type="dxa"/>
              <w:start w:w="120" w:type="dxa"/>
              <w:bottom w:w="110" w:type="dxa"/>
              <w:end w:w="120" w:type="dxa"/>
            </w:tcMar>
          </w:tcPr>
          <w:p>
            <w:pPr>
              <w:spacing w:after="80"/>
            </w:pPr>
            <w:r>
              <w:rPr>
                <w:b/>
                <w:color w:val="2E4A41"/>
                <w:sz w:val="21"/>
              </w:rPr>
              <w:t>Conclusiones destacadas</w:t>
            </w:r>
          </w:p>
          <w:p>
            <w:pPr>
              <w:spacing w:after="40"/>
              <w:ind w:left="200"/>
            </w:pPr>
            <w:r>
              <w:rPr>
                <w:sz w:val="20"/>
              </w:rPr>
              <w:t>• 805 edificaciones son anteriores a 1950, 556 corresponden a 1950-1979 y 357 a 1980-2000.</w:t>
            </w:r>
          </w:p>
          <w:p>
            <w:pPr>
              <w:spacing w:after="40"/>
              <w:ind w:left="200"/>
            </w:pPr>
            <w:r>
              <w:rPr>
                <w:sz w:val="20"/>
              </w:rPr>
              <w:t>• La base física del municipio justifica priorizar rehabilitación, adaptación y uso eficiente del parque existente.</w:t>
            </w:r>
          </w:p>
          <w:p>
            <w:pPr>
              <w:spacing w:after="40"/>
              <w:ind w:left="200"/>
            </w:pPr>
            <w:r>
              <w:rPr>
                <w:sz w:val="20"/>
              </w:rPr>
              <w:t>• OE 4 debe trabajarse con lógica de mantenimiento cualificado y renovación antes que de expansión.</w:t>
            </w:r>
          </w:p>
        </w:tc>
      </w:tr>
    </w:tbl>
    <w:tbl>
      <w:tblPr>
        <w:tblW w:type="auto" w:w="0"/>
        <w:jc w:val="center"/>
        <w:tblLook w:firstColumn="1" w:firstRow="1" w:lastColumn="0" w:lastRow="0" w:noHBand="0" w:noVBand="1" w:val="04A0"/>
        <w:tblBorders>
          <w:top w:val="single" w:sz="6" w:space="0" w:color="D8DDE3"/>
          <w:left w:val="single" w:sz="6" w:space="0" w:color="D8DDE3"/>
          <w:bottom w:val="single" w:sz="6" w:space="0" w:color="D8DDE3"/>
          <w:right w:val="single" w:sz="6" w:space="0" w:color="D8DDE3"/>
          <w:insideH w:val="single" w:sz="6" w:space="0" w:color="D8DDE3"/>
          <w:insideV w:val="single" w:sz="6" w:space="0" w:color="D8DDE3"/>
        </w:tblBorders>
      </w:tblPr>
      <w:tblGrid>
        <w:gridCol w:w="9972"/>
      </w:tblGrid>
      <w:tr>
        <w:tc>
          <w:tcPr>
            <w:tcW w:type="dxa" w:w="9972"/>
            <w:shd w:fill="FAFBFC"/>
            <w:tcMar>
              <w:top w:w="90" w:type="dxa"/>
              <w:start w:w="110" w:type="dxa"/>
              <w:bottom w:w="90" w:type="dxa"/>
              <w:end w:w="110" w:type="dxa"/>
            </w:tcMar>
          </w:tcPr>
          <w:p>
            <w:pPr>
              <w:spacing w:after="80"/>
            </w:pPr>
            <w:r>
              <w:rPr>
                <w:b/>
                <w:color w:val="44515A"/>
                <w:sz w:val="20"/>
              </w:rPr>
              <w:t>Fuentes oficiales identificadas para este objetivo</w:t>
            </w:r>
          </w:p>
          <w:p>
            <w:pPr>
              <w:spacing w:after="20"/>
              <w:ind w:left="200"/>
            </w:pPr>
            <w:r>
              <w:rPr>
                <w:color w:val="44515A"/>
                <w:sz w:val="19"/>
              </w:rPr>
              <w:t>• Dirección General del Catastro 2024.</w:t>
            </w:r>
          </w:p>
          <w:p>
            <w:pPr>
              <w:spacing w:after="20"/>
              <w:ind w:left="200"/>
            </w:pPr>
            <w:r>
              <w:rPr>
                <w:color w:val="44515A"/>
                <w:sz w:val="19"/>
              </w:rPr>
              <w:t>• Atlas Digital de las Áreas Urbanas - Dirección General del Catastro 2024.</w:t>
            </w:r>
          </w:p>
        </w:tc>
      </w:tr>
    </w:tbl>
    <w:p>
      <w:r>
        <w:br w:type="page"/>
      </w:r>
    </w:p>
    <w:p>
      <w:pPr>
        <w:spacing w:after="160"/>
      </w:pPr>
      <w:r>
        <w:rPr>
          <w:b/>
          <w:color w:val="2F5D50"/>
          <w:sz w:val="30"/>
        </w:rPr>
        <w:t>OE 5. Favorecer la proximidad y la movilidad sostenible</w:t>
      </w:r>
    </w:p>
    <w:p>
      <w:pPr>
        <w:spacing w:before="0" w:after="140" w:line="276" w:lineRule="auto"/>
      </w:pPr>
      <w:r>
        <w:rPr>
          <w:b w:val="0"/>
        </w:rPr>
        <w:t>La información disponible apunta a una movilidad fuertemente condicionada por el vehículo privado y por la relación funcional del municipio con ámbitos exteriores. El parque móvil por 1.000 habitantes es elevado, la presencia de turismos domina con claridad y el peso relativo de infraestructuras de transporte dentro de la base comparativa es muy alto.</w:t>
      </w:r>
    </w:p>
    <w:p>
      <w:pPr>
        <w:spacing w:before="0" w:after="140" w:line="276" w:lineRule="auto"/>
      </w:pPr>
      <w:r>
        <w:rPr>
          <w:b w:val="0"/>
        </w:rPr>
        <w:t>Este patrón es coherente con un municipio de baja densidad y base rural, donde parte del acceso a empleo, servicios y equipamientos se resuelve fuera del núcleo local. Por ello, la lectura de la movilidad sostenible debe ser realista: no se trata de trasladar sin más soluciones urbanas estandarizadas, sino de reforzar proximidad, seguridad peatonal, conexión funcional y opciones de movilidad compartida o menos dependiente del coche allí donde sea viable.</w:t>
      </w:r>
    </w:p>
    <w:p>
      <w:pPr>
        <w:spacing w:before="0" w:after="140" w:line="276" w:lineRule="auto"/>
      </w:pPr>
      <w:r>
        <w:rPr>
          <w:b w:val="0"/>
        </w:rPr>
        <w:t>La mejora de OE 5 pasa por reducir la movilidad obligada y por reforzar el valor cotidiano del núcleo y de sus entornos inmediatos.</w:t>
      </w:r>
    </w:p>
    <w:tbl>
      <w:tblPr>
        <w:tblW w:type="auto" w:w="0"/>
        <w:jc w:val="center"/>
        <w:tblLook w:firstColumn="1" w:firstRow="1" w:lastColumn="0" w:lastRow="0" w:noHBand="0" w:noVBand="1" w:val="04A0"/>
        <w:tblBorders>
          <w:top w:val="single" w:sz="8" w:space="0" w:color="BFCFCA"/>
          <w:left w:val="single" w:sz="8" w:space="0" w:color="BFCFCA"/>
          <w:bottom w:val="single" w:sz="8" w:space="0" w:color="BFCFCA"/>
          <w:right w:val="single" w:sz="8" w:space="0" w:color="BFCFCA"/>
          <w:insideH w:val="single" w:sz="8" w:space="0" w:color="BFCFCA"/>
          <w:insideV w:val="single" w:sz="8" w:space="0" w:color="BFCFCA"/>
        </w:tblBorders>
      </w:tblPr>
      <w:tblGrid>
        <w:gridCol w:w="9972"/>
      </w:tblGrid>
      <w:tr>
        <w:tc>
          <w:tcPr>
            <w:tcW w:type="dxa" w:w="9972"/>
            <w:shd w:fill="F3F7F5"/>
            <w:tcMar>
              <w:top w:w="110" w:type="dxa"/>
              <w:start w:w="120" w:type="dxa"/>
              <w:bottom w:w="110" w:type="dxa"/>
              <w:end w:w="120" w:type="dxa"/>
            </w:tcMar>
          </w:tcPr>
          <w:p>
            <w:pPr>
              <w:spacing w:after="80"/>
            </w:pPr>
            <w:r>
              <w:rPr>
                <w:b/>
                <w:color w:val="2E4A41"/>
                <w:sz w:val="21"/>
              </w:rPr>
              <w:t>Conclusiones destacadas</w:t>
            </w:r>
          </w:p>
          <w:p>
            <w:pPr>
              <w:spacing w:after="40"/>
              <w:ind w:left="200"/>
            </w:pPr>
            <w:r>
              <w:rPr>
                <w:sz w:val="20"/>
              </w:rPr>
              <w:t>• 768,33 vehículos domiciliados por cada 1.000 habitantes.</w:t>
            </w:r>
          </w:p>
          <w:p>
            <w:pPr>
              <w:spacing w:after="40"/>
              <w:ind w:left="200"/>
            </w:pPr>
            <w:r>
              <w:rPr>
                <w:sz w:val="20"/>
              </w:rPr>
              <w:t>• El 68,86% del parque móvil corresponde a turismos.</w:t>
            </w:r>
          </w:p>
          <w:p>
            <w:pPr>
              <w:spacing w:after="40"/>
              <w:ind w:left="200"/>
            </w:pPr>
            <w:r>
              <w:rPr>
                <w:sz w:val="20"/>
              </w:rPr>
              <w:t>• La superficie de infraestructuras de transporte destaca muy por encima de la mediana comparativa.</w:t>
            </w:r>
          </w:p>
        </w:tc>
      </w:tr>
    </w:tbl>
    <w:tbl>
      <w:tblPr>
        <w:tblW w:type="auto" w:w="0"/>
        <w:jc w:val="center"/>
        <w:tblLook w:firstColumn="1" w:firstRow="1" w:lastColumn="0" w:lastRow="0" w:noHBand="0" w:noVBand="1" w:val="04A0"/>
        <w:tblBorders>
          <w:top w:val="single" w:sz="6" w:space="0" w:color="D8DDE3"/>
          <w:left w:val="single" w:sz="6" w:space="0" w:color="D8DDE3"/>
          <w:bottom w:val="single" w:sz="6" w:space="0" w:color="D8DDE3"/>
          <w:right w:val="single" w:sz="6" w:space="0" w:color="D8DDE3"/>
          <w:insideH w:val="single" w:sz="6" w:space="0" w:color="D8DDE3"/>
          <w:insideV w:val="single" w:sz="6" w:space="0" w:color="D8DDE3"/>
        </w:tblBorders>
      </w:tblPr>
      <w:tblGrid>
        <w:gridCol w:w="9972"/>
      </w:tblGrid>
      <w:tr>
        <w:tc>
          <w:tcPr>
            <w:tcW w:type="dxa" w:w="9972"/>
            <w:shd w:fill="FAFBFC"/>
            <w:tcMar>
              <w:top w:w="90" w:type="dxa"/>
              <w:start w:w="110" w:type="dxa"/>
              <w:bottom w:w="90" w:type="dxa"/>
              <w:end w:w="110" w:type="dxa"/>
            </w:tcMar>
          </w:tcPr>
          <w:p>
            <w:pPr>
              <w:spacing w:after="80"/>
            </w:pPr>
            <w:r>
              <w:rPr>
                <w:b/>
                <w:color w:val="44515A"/>
                <w:sz w:val="20"/>
              </w:rPr>
              <w:t>Fuentes oficiales identificadas para este objetivo</w:t>
            </w:r>
          </w:p>
          <w:p>
            <w:pPr>
              <w:spacing w:after="20"/>
              <w:ind w:left="200"/>
            </w:pPr>
            <w:r>
              <w:rPr>
                <w:color w:val="44515A"/>
                <w:sz w:val="19"/>
              </w:rPr>
              <w:t>• Atlas Digital de las Áreas Urbanas - IGN / Corine Land Cover 2016.</w:t>
            </w:r>
          </w:p>
          <w:p>
            <w:pPr>
              <w:spacing w:after="20"/>
              <w:ind w:left="200"/>
            </w:pPr>
            <w:r>
              <w:rPr>
                <w:color w:val="44515A"/>
                <w:sz w:val="19"/>
              </w:rPr>
              <w:t>• Indicadores comparativos integrados en la base analítica.</w:t>
            </w:r>
          </w:p>
        </w:tc>
      </w:tr>
    </w:tbl>
    <w:p>
      <w:r>
        <w:br w:type="page"/>
      </w:r>
    </w:p>
    <w:p>
      <w:pPr>
        <w:spacing w:after="160"/>
      </w:pPr>
      <w:r>
        <w:rPr>
          <w:b/>
          <w:color w:val="2F5D50"/>
          <w:sz w:val="30"/>
        </w:rPr>
        <w:t>OE 6. Fomentar la cohesión social y buscar la equidad</w:t>
      </w:r>
    </w:p>
    <w:p>
      <w:pPr>
        <w:spacing w:before="0" w:after="140" w:line="276" w:lineRule="auto"/>
      </w:pPr>
      <w:r>
        <w:rPr>
          <w:b w:val="0"/>
        </w:rPr>
        <w:t>La estructura demográfica de Ibeas es más equilibrada de lo que cabría esperar en un pequeño municipio rural. El índice de envejecimiento, la dependencia de mayores y la senectud se sitúan por debajo de las medianas comparativas, mientras que la dependencia infantil aparece por encima. En otras palabras, Ibeas no muestra un perfil extremo de envejecimiento, sino una combinación relativamente más compensada de grupos de edad.</w:t>
      </w:r>
    </w:p>
    <w:p>
      <w:pPr>
        <w:spacing w:before="0" w:after="140" w:line="276" w:lineRule="auto"/>
      </w:pPr>
      <w:r>
        <w:rPr>
          <w:b w:val="0"/>
        </w:rPr>
        <w:t>Al mismo tiempo, el municipio está socialmente en recomposición. Solo una parte minoritaria de la población ha nacido en el propio municipio, mientras que la mayoría procede de fuera -aunque predominantemente de la propia provincia-. Esto sugiere una realidad local marcada por llegada, asentamiento y mezcla de trayectorias residenciales, con la consiguiente necesidad de reforzar pertenencia, vínculos y vida comunitaria.</w:t>
      </w:r>
    </w:p>
    <w:p>
      <w:pPr>
        <w:spacing w:before="0" w:after="140" w:line="276" w:lineRule="auto"/>
      </w:pPr>
      <w:r>
        <w:rPr>
          <w:b w:val="0"/>
        </w:rPr>
        <w:t>La población extranjera no tiene un peso especialmente alto, pero existe una diversidad de procedencias. La cohesión social debe leerse aquí menos como respuesta a una fractura intensa y más como tarea de integración territorial, conexión social y equilibrio intergeneracional.</w:t>
      </w:r>
    </w:p>
    <w:tbl>
      <w:tblPr>
        <w:tblW w:type="auto" w:w="0"/>
        <w:jc w:val="center"/>
        <w:tblLook w:firstColumn="1" w:firstRow="1" w:lastColumn="0" w:lastRow="0" w:noHBand="0" w:noVBand="1" w:val="04A0"/>
        <w:tblBorders>
          <w:top w:val="single" w:sz="8" w:space="0" w:color="BFCFCA"/>
          <w:left w:val="single" w:sz="8" w:space="0" w:color="BFCFCA"/>
          <w:bottom w:val="single" w:sz="8" w:space="0" w:color="BFCFCA"/>
          <w:right w:val="single" w:sz="8" w:space="0" w:color="BFCFCA"/>
          <w:insideH w:val="single" w:sz="8" w:space="0" w:color="BFCFCA"/>
          <w:insideV w:val="single" w:sz="8" w:space="0" w:color="BFCFCA"/>
        </w:tblBorders>
      </w:tblPr>
      <w:tblGrid>
        <w:gridCol w:w="9972"/>
      </w:tblGrid>
      <w:tr>
        <w:tc>
          <w:tcPr>
            <w:tcW w:type="dxa" w:w="9972"/>
            <w:shd w:fill="F3F7F5"/>
            <w:tcMar>
              <w:top w:w="110" w:type="dxa"/>
              <w:start w:w="120" w:type="dxa"/>
              <w:bottom w:w="110" w:type="dxa"/>
              <w:end w:w="120" w:type="dxa"/>
            </w:tcMar>
          </w:tcPr>
          <w:p>
            <w:pPr>
              <w:spacing w:after="80"/>
            </w:pPr>
            <w:r>
              <w:rPr>
                <w:b/>
                <w:color w:val="2E4A41"/>
                <w:sz w:val="21"/>
              </w:rPr>
              <w:t>Conclusiones destacadas</w:t>
            </w:r>
          </w:p>
          <w:p>
            <w:pPr>
              <w:spacing w:after="40"/>
              <w:ind w:left="200"/>
            </w:pPr>
            <w:r>
              <w:rPr>
                <w:sz w:val="20"/>
              </w:rPr>
              <w:t>• Edad media: 44,7 años.</w:t>
            </w:r>
          </w:p>
          <w:p>
            <w:pPr>
              <w:spacing w:after="40"/>
              <w:ind w:left="200"/>
            </w:pPr>
            <w:r>
              <w:rPr>
                <w:sz w:val="20"/>
              </w:rPr>
              <w:t>• Índice de envejecimiento: 21,9, por debajo de la mediana comparativa.</w:t>
            </w:r>
          </w:p>
          <w:p>
            <w:pPr>
              <w:spacing w:after="40"/>
              <w:ind w:left="200"/>
            </w:pPr>
            <w:r>
              <w:rPr>
                <w:sz w:val="20"/>
              </w:rPr>
              <w:t>• Índice de dependencia infantil: 22, por encima de la mediana de referencia.</w:t>
            </w:r>
          </w:p>
          <w:p>
            <w:pPr>
              <w:spacing w:after="40"/>
              <w:ind w:left="200"/>
            </w:pPr>
            <w:r>
              <w:rPr>
                <w:sz w:val="20"/>
              </w:rPr>
              <w:t>• En 2024 residen 73 personas extranjeras; el indicador comparativo sitúa la población extranjera en torno al 5%.</w:t>
            </w:r>
          </w:p>
          <w:p>
            <w:pPr>
              <w:spacing w:after="40"/>
              <w:ind w:left="200"/>
            </w:pPr>
            <w:r>
              <w:rPr>
                <w:sz w:val="20"/>
              </w:rPr>
              <w:t>• La población masculina es 766 y la femenina 693, sobre un total de 1.459 habitantes.</w:t>
            </w:r>
          </w:p>
        </w:tc>
      </w:tr>
    </w:tbl>
    <w:tbl>
      <w:tblPr>
        <w:tblW w:type="auto" w:w="0"/>
        <w:jc w:val="center"/>
        <w:tblLook w:firstColumn="1" w:firstRow="1" w:lastColumn="0" w:lastRow="0" w:noHBand="0" w:noVBand="1" w:val="04A0"/>
        <w:tblBorders>
          <w:top w:val="single" w:sz="6" w:space="0" w:color="D8DDE3"/>
          <w:left w:val="single" w:sz="6" w:space="0" w:color="D8DDE3"/>
          <w:bottom w:val="single" w:sz="6" w:space="0" w:color="D8DDE3"/>
          <w:right w:val="single" w:sz="6" w:space="0" w:color="D8DDE3"/>
          <w:insideH w:val="single" w:sz="6" w:space="0" w:color="D8DDE3"/>
          <w:insideV w:val="single" w:sz="6" w:space="0" w:color="D8DDE3"/>
        </w:tblBorders>
      </w:tblPr>
      <w:tblGrid>
        <w:gridCol w:w="9972"/>
      </w:tblGrid>
      <w:tr>
        <w:tc>
          <w:tcPr>
            <w:tcW w:type="dxa" w:w="9972"/>
            <w:shd w:fill="FAFBFC"/>
            <w:tcMar>
              <w:top w:w="90" w:type="dxa"/>
              <w:start w:w="110" w:type="dxa"/>
              <w:bottom w:w="90" w:type="dxa"/>
              <w:end w:w="110" w:type="dxa"/>
            </w:tcMar>
          </w:tcPr>
          <w:p>
            <w:pPr>
              <w:spacing w:after="80"/>
            </w:pPr>
            <w:r>
              <w:rPr>
                <w:b/>
                <w:color w:val="44515A"/>
                <w:sz w:val="20"/>
              </w:rPr>
              <w:t>Fuentes oficiales identificadas para este objetivo</w:t>
            </w:r>
          </w:p>
          <w:p>
            <w:pPr>
              <w:spacing w:after="20"/>
              <w:ind w:left="200"/>
            </w:pPr>
            <w:r>
              <w:rPr>
                <w:color w:val="44515A"/>
                <w:sz w:val="19"/>
              </w:rPr>
              <w:t>• INE / Atlas Digital de las Áreas Urbanas - padrón, estructura de edades, lugar de nacimiento y población extranjera.</w:t>
            </w:r>
          </w:p>
          <w:p>
            <w:pPr>
              <w:spacing w:after="20"/>
              <w:ind w:left="200"/>
            </w:pPr>
            <w:r>
              <w:rPr>
                <w:color w:val="44515A"/>
                <w:sz w:val="19"/>
              </w:rPr>
              <w:t>• INE 2023 y 2024 - sex ratio y crecimiento vegetativo.</w:t>
            </w:r>
          </w:p>
          <w:p>
            <w:pPr>
              <w:spacing w:after="20"/>
              <w:ind w:left="200"/>
            </w:pPr>
            <w:r>
              <w:rPr>
                <w:color w:val="44515A"/>
                <w:sz w:val="19"/>
              </w:rPr>
              <w:t>• SEPE / Atlas Digital - variables de paro por sexo y edad cuando están disponibles.</w:t>
            </w:r>
          </w:p>
          <w:p>
            <w:pPr>
              <w:spacing w:after="20"/>
              <w:ind w:left="200"/>
            </w:pPr>
            <w:r>
              <w:rPr>
                <w:color w:val="44515A"/>
                <w:sz w:val="19"/>
              </w:rPr>
              <w:t>• Indicadores comparativos integrados en la base analítica.</w:t>
            </w:r>
          </w:p>
        </w:tc>
      </w:tr>
    </w:tbl>
    <w:p>
      <w:r>
        <w:br w:type="page"/>
      </w:r>
    </w:p>
    <w:p>
      <w:pPr>
        <w:spacing w:after="160"/>
      </w:pPr>
      <w:r>
        <w:rPr>
          <w:b/>
          <w:color w:val="2F5D50"/>
          <w:sz w:val="30"/>
        </w:rPr>
        <w:t>OE 7. Impulsar y favorecer la economía urbana</w:t>
      </w:r>
    </w:p>
    <w:p>
      <w:pPr>
        <w:spacing w:before="0" w:after="140" w:line="276" w:lineRule="auto"/>
      </w:pPr>
      <w:r>
        <w:rPr>
          <w:b w:val="0"/>
        </w:rPr>
        <w:t>Ibeas dispone de una economía local reducida en escala, pero relativamente estable. El empleo local crece desde 242 trabajadores en 2007 hasta 283 en 2023, y el número de establecimientos pasa de 37 a 41 en el mismo período, con oscilaciones pero sin una pérdida estructural sostenida del tejido económico.</w:t>
      </w:r>
    </w:p>
    <w:p>
      <w:pPr>
        <w:spacing w:before="0" w:after="140" w:line="276" w:lineRule="auto"/>
      </w:pPr>
      <w:r>
        <w:rPr>
          <w:b w:val="0"/>
        </w:rPr>
        <w:t>La economía local está fuertemente terciarizada. En 2023, 218 de los 283 trabajadores se sitúan en servicios, frente a 32 en agricultura, 22 en construcción y 11 en industria. Esta estructura encaja con un municipio que ha reforzado su componente residencial y funcional, más que con una base económica especializada de tipo industrial.</w:t>
      </w:r>
    </w:p>
    <w:p>
      <w:pPr>
        <w:spacing w:before="0" w:after="140" w:line="276" w:lineRule="auto"/>
      </w:pPr>
      <w:r>
        <w:rPr>
          <w:b w:val="0"/>
        </w:rPr>
        <w:t>La evolución del paro confirma una mejora importante respecto al pico de la crisis, al pasar de 94 personas paradas en 2012-2013 a 37 en 2022. No obstante, los indicadores comparativos alertan de un desequilibrio: el paro femenino tiene una presencia relativa alta. Por tanto, el reto económico de Ibeas no es solo generar actividad, sino fortalecer un tejido local más diversificado, menos dependiente de la función residencial y más equilibrado socialmente.</w:t>
      </w:r>
    </w:p>
    <w:tbl>
      <w:tblPr>
        <w:tblW w:type="auto" w:w="0"/>
        <w:jc w:val="center"/>
        <w:tblLook w:firstColumn="1" w:firstRow="1" w:lastColumn="0" w:lastRow="0" w:noHBand="0" w:noVBand="1" w:val="04A0"/>
        <w:tblBorders>
          <w:top w:val="single" w:sz="8" w:space="0" w:color="BFCFCA"/>
          <w:left w:val="single" w:sz="8" w:space="0" w:color="BFCFCA"/>
          <w:bottom w:val="single" w:sz="8" w:space="0" w:color="BFCFCA"/>
          <w:right w:val="single" w:sz="8" w:space="0" w:color="BFCFCA"/>
          <w:insideH w:val="single" w:sz="8" w:space="0" w:color="BFCFCA"/>
          <w:insideV w:val="single" w:sz="8" w:space="0" w:color="BFCFCA"/>
        </w:tblBorders>
      </w:tblPr>
      <w:tblGrid>
        <w:gridCol w:w="9972"/>
      </w:tblGrid>
      <w:tr>
        <w:tc>
          <w:tcPr>
            <w:tcW w:type="dxa" w:w="9972"/>
            <w:shd w:fill="F3F7F5"/>
            <w:tcMar>
              <w:top w:w="110" w:type="dxa"/>
              <w:start w:w="120" w:type="dxa"/>
              <w:bottom w:w="110" w:type="dxa"/>
              <w:end w:w="120" w:type="dxa"/>
            </w:tcMar>
          </w:tcPr>
          <w:p>
            <w:pPr>
              <w:spacing w:after="80"/>
            </w:pPr>
            <w:r>
              <w:rPr>
                <w:b/>
                <w:color w:val="2E4A41"/>
                <w:sz w:val="21"/>
              </w:rPr>
              <w:t>Conclusiones destacadas</w:t>
            </w:r>
          </w:p>
          <w:p>
            <w:pPr>
              <w:spacing w:after="40"/>
              <w:ind w:left="200"/>
            </w:pPr>
            <w:r>
              <w:rPr>
                <w:sz w:val="20"/>
              </w:rPr>
              <w:t>• 283 trabajadores en 2023 y 41 establecimientos activos en 2023.</w:t>
            </w:r>
          </w:p>
          <w:p>
            <w:pPr>
              <w:spacing w:after="40"/>
              <w:ind w:left="200"/>
            </w:pPr>
            <w:r>
              <w:rPr>
                <w:sz w:val="20"/>
              </w:rPr>
              <w:t>• 218 trabajadores se concentran en servicios; 32 en agricultura, 22 en construcción y 11 en industria.</w:t>
            </w:r>
          </w:p>
          <w:p>
            <w:pPr>
              <w:spacing w:after="40"/>
              <w:ind w:left="200"/>
            </w:pPr>
            <w:r>
              <w:rPr>
                <w:sz w:val="20"/>
              </w:rPr>
              <w:t>• El paro desciende de 94 personas en 2012 a 37 en 2022.</w:t>
            </w:r>
          </w:p>
          <w:p>
            <w:pPr>
              <w:spacing w:after="40"/>
              <w:ind w:left="200"/>
            </w:pPr>
            <w:r>
              <w:rPr>
                <w:sz w:val="20"/>
              </w:rPr>
              <w:t>• La proporción comparativa de paro femenino alcanza el 63,46%.</w:t>
            </w:r>
          </w:p>
        </w:tc>
      </w:tr>
    </w:tbl>
    <w:tbl>
      <w:tblPr>
        <w:tblW w:type="auto" w:w="0"/>
        <w:jc w:val="center"/>
        <w:tblLook w:firstColumn="1" w:firstRow="1" w:lastColumn="0" w:lastRow="0" w:noHBand="0" w:noVBand="1" w:val="04A0"/>
        <w:tblBorders>
          <w:top w:val="single" w:sz="6" w:space="0" w:color="D8DDE3"/>
          <w:left w:val="single" w:sz="6" w:space="0" w:color="D8DDE3"/>
          <w:bottom w:val="single" w:sz="6" w:space="0" w:color="D8DDE3"/>
          <w:right w:val="single" w:sz="6" w:space="0" w:color="D8DDE3"/>
          <w:insideH w:val="single" w:sz="6" w:space="0" w:color="D8DDE3"/>
          <w:insideV w:val="single" w:sz="6" w:space="0" w:color="D8DDE3"/>
        </w:tblBorders>
      </w:tblPr>
      <w:tblGrid>
        <w:gridCol w:w="9972"/>
      </w:tblGrid>
      <w:tr>
        <w:tc>
          <w:tcPr>
            <w:tcW w:type="dxa" w:w="9972"/>
            <w:shd w:fill="FAFBFC"/>
            <w:tcMar>
              <w:top w:w="90" w:type="dxa"/>
              <w:start w:w="110" w:type="dxa"/>
              <w:bottom w:w="90" w:type="dxa"/>
              <w:end w:w="110" w:type="dxa"/>
            </w:tcMar>
          </w:tcPr>
          <w:p>
            <w:pPr>
              <w:spacing w:after="80"/>
            </w:pPr>
            <w:r>
              <w:rPr>
                <w:b/>
                <w:color w:val="44515A"/>
                <w:sz w:val="20"/>
              </w:rPr>
              <w:t>Fuentes oficiales identificadas para este objetivo</w:t>
            </w:r>
          </w:p>
          <w:p>
            <w:pPr>
              <w:spacing w:after="20"/>
              <w:ind w:left="200"/>
            </w:pPr>
            <w:r>
              <w:rPr>
                <w:color w:val="44515A"/>
                <w:sz w:val="19"/>
              </w:rPr>
              <w:t>• Tesorería General de la Seguridad Social / Atlas Digital de las Áreas Urbanas - trabajadores y establecimientos.</w:t>
            </w:r>
          </w:p>
          <w:p>
            <w:pPr>
              <w:spacing w:after="20"/>
              <w:ind w:left="200"/>
            </w:pPr>
            <w:r>
              <w:rPr>
                <w:color w:val="44515A"/>
                <w:sz w:val="19"/>
              </w:rPr>
              <w:t>• SEPE / Atlas Digital de las Áreas Urbanas - paro por sexo, edad y ramas cuando consta.</w:t>
            </w:r>
          </w:p>
          <w:p>
            <w:pPr>
              <w:spacing w:after="20"/>
              <w:ind w:left="200"/>
            </w:pPr>
            <w:r>
              <w:rPr>
                <w:color w:val="44515A"/>
                <w:sz w:val="19"/>
              </w:rPr>
              <w:t>• Indicadores comparativos integrados en la base analítica.</w:t>
            </w:r>
          </w:p>
        </w:tc>
      </w:tr>
    </w:tbl>
    <w:p>
      <w:r>
        <w:br w:type="page"/>
      </w:r>
    </w:p>
    <w:p>
      <w:pPr>
        <w:spacing w:after="160"/>
      </w:pPr>
      <w:r>
        <w:rPr>
          <w:b/>
          <w:color w:val="2F5D50"/>
          <w:sz w:val="30"/>
        </w:rPr>
        <w:t>OE 8. Garantizar el acceso a la vivienda</w:t>
      </w:r>
    </w:p>
    <w:p>
      <w:pPr>
        <w:spacing w:before="0" w:after="140" w:line="276" w:lineRule="auto"/>
      </w:pPr>
      <w:r>
        <w:rPr>
          <w:b w:val="0"/>
        </w:rPr>
        <w:t>La vivienda es uno de los ámbitos más expresivos del diagnóstico. Ibeas combina crecimiento del parque residencial, peso muy alto de edificaciones unifamiliares y capacidad urbanística prevista muy amplia respecto al parque actual. Ello dibuja un municipio donde la expansión residencial ha sido relevante y donde el modelo de vivienda está fuertemente asociado a baja densidad y dispersión relativa.</w:t>
      </w:r>
    </w:p>
    <w:p>
      <w:pPr>
        <w:spacing w:before="0" w:after="140" w:line="276" w:lineRule="auto"/>
      </w:pPr>
      <w:r>
        <w:rPr>
          <w:b w:val="0"/>
        </w:rPr>
        <w:t>El dato comparativo más llamativo es la enorme magnitud del potencial de viviendas previstas en áreas de desarrollo respecto al parque actual. Incluso leído con cautela metodológica, el indicador muestra un desajuste potencial entre capacidad de crecimiento y escala real del municipio. A ello se añade una accesibilidad a la vivienda en propiedad comparativamente tensionada, lo que sugiere que construir más no equivale automáticamente a garantizar mejor acceso.</w:t>
      </w:r>
    </w:p>
    <w:p>
      <w:pPr>
        <w:spacing w:before="0" w:after="140" w:line="276" w:lineRule="auto"/>
      </w:pPr>
      <w:r>
        <w:rPr>
          <w:b w:val="0"/>
        </w:rPr>
        <w:t>La agenda de vivienda en Ibeas debe orientarse menos a la mera expansión y más a la adecuación del parque, el aprovechamiento del tejido ya existente, la diversificación de oferta y la contención de desequilibrios entre crecimiento residencial y acceso efectivo.</w:t>
      </w:r>
    </w:p>
    <w:tbl>
      <w:tblPr>
        <w:tblW w:type="auto" w:w="0"/>
        <w:jc w:val="center"/>
        <w:tblLook w:firstColumn="1" w:firstRow="1" w:lastColumn="0" w:lastRow="0" w:noHBand="0" w:noVBand="1" w:val="04A0"/>
        <w:tblBorders>
          <w:top w:val="single" w:sz="8" w:space="0" w:color="BFCFCA"/>
          <w:left w:val="single" w:sz="8" w:space="0" w:color="BFCFCA"/>
          <w:bottom w:val="single" w:sz="8" w:space="0" w:color="BFCFCA"/>
          <w:right w:val="single" w:sz="8" w:space="0" w:color="BFCFCA"/>
          <w:insideH w:val="single" w:sz="8" w:space="0" w:color="BFCFCA"/>
          <w:insideV w:val="single" w:sz="8" w:space="0" w:color="BFCFCA"/>
        </w:tblBorders>
      </w:tblPr>
      <w:tblGrid>
        <w:gridCol w:w="9972"/>
      </w:tblGrid>
      <w:tr>
        <w:tc>
          <w:tcPr>
            <w:tcW w:type="dxa" w:w="9972"/>
            <w:shd w:fill="F3F7F5"/>
            <w:tcMar>
              <w:top w:w="110" w:type="dxa"/>
              <w:start w:w="120" w:type="dxa"/>
              <w:bottom w:w="110" w:type="dxa"/>
              <w:end w:w="120" w:type="dxa"/>
            </w:tcMar>
          </w:tcPr>
          <w:p>
            <w:pPr>
              <w:spacing w:after="80"/>
            </w:pPr>
            <w:r>
              <w:rPr>
                <w:b/>
                <w:color w:val="2E4A41"/>
                <w:sz w:val="21"/>
              </w:rPr>
              <w:t>Conclusiones destacadas</w:t>
            </w:r>
          </w:p>
          <w:p>
            <w:pPr>
              <w:spacing w:after="40"/>
              <w:ind w:left="200"/>
            </w:pPr>
            <w:r>
              <w:rPr>
                <w:sz w:val="20"/>
              </w:rPr>
              <w:t>• 534 viviendas familiares principales en 2011 y 891,44 viviendas por cada 1.000 habitantes en el indicador comparativo.</w:t>
            </w:r>
          </w:p>
          <w:p>
            <w:pPr>
              <w:spacing w:after="40"/>
              <w:ind w:left="200"/>
            </w:pPr>
            <w:r>
              <w:rPr>
                <w:sz w:val="20"/>
              </w:rPr>
              <w:t>• El 83,37% de los edificios son de una sola vivienda; los edificios con 2 o más viviendas representan el 14,99%.</w:t>
            </w:r>
          </w:p>
          <w:p>
            <w:pPr>
              <w:spacing w:after="40"/>
              <w:ind w:left="200"/>
            </w:pPr>
            <w:r>
              <w:rPr>
                <w:sz w:val="20"/>
              </w:rPr>
              <w:t>• El crecimiento del parque de vivienda 2011-2021 es del 31,65%, muy por encima de la mediana comparativa.</w:t>
            </w:r>
          </w:p>
          <w:p>
            <w:pPr>
              <w:spacing w:after="40"/>
              <w:ind w:left="200"/>
            </w:pPr>
            <w:r>
              <w:rPr>
                <w:sz w:val="20"/>
              </w:rPr>
              <w:t>• La accesibilidad a la vivienda en propiedad presenta una tensión muy elevada respecto a la referencia comparativa.</w:t>
            </w:r>
          </w:p>
          <w:p>
            <w:pPr>
              <w:spacing w:after="40"/>
              <w:ind w:left="200"/>
            </w:pPr>
            <w:r>
              <w:rPr>
                <w:sz w:val="20"/>
              </w:rPr>
              <w:t>• El porcentaje de viviendas previstas en áreas de desarrollo respecto al parque existente alcanza 976,84%.</w:t>
            </w:r>
          </w:p>
        </w:tc>
      </w:tr>
    </w:tbl>
    <w:tbl>
      <w:tblPr>
        <w:tblW w:type="auto" w:w="0"/>
        <w:jc w:val="center"/>
        <w:tblLook w:firstColumn="1" w:firstRow="1" w:lastColumn="0" w:lastRow="0" w:noHBand="0" w:noVBand="1" w:val="04A0"/>
        <w:tblBorders>
          <w:top w:val="single" w:sz="6" w:space="0" w:color="D8DDE3"/>
          <w:left w:val="single" w:sz="6" w:space="0" w:color="D8DDE3"/>
          <w:bottom w:val="single" w:sz="6" w:space="0" w:color="D8DDE3"/>
          <w:right w:val="single" w:sz="6" w:space="0" w:color="D8DDE3"/>
          <w:insideH w:val="single" w:sz="6" w:space="0" w:color="D8DDE3"/>
          <w:insideV w:val="single" w:sz="6" w:space="0" w:color="D8DDE3"/>
        </w:tblBorders>
      </w:tblPr>
      <w:tblGrid>
        <w:gridCol w:w="9972"/>
      </w:tblGrid>
      <w:tr>
        <w:tc>
          <w:tcPr>
            <w:tcW w:type="dxa" w:w="9972"/>
            <w:shd w:fill="FAFBFC"/>
            <w:tcMar>
              <w:top w:w="90" w:type="dxa"/>
              <w:start w:w="110" w:type="dxa"/>
              <w:bottom w:w="90" w:type="dxa"/>
              <w:end w:w="110" w:type="dxa"/>
            </w:tcMar>
          </w:tcPr>
          <w:p>
            <w:pPr>
              <w:spacing w:after="80"/>
            </w:pPr>
            <w:r>
              <w:rPr>
                <w:b/>
                <w:color w:val="44515A"/>
                <w:sz w:val="20"/>
              </w:rPr>
              <w:t>Fuentes oficiales identificadas para este objetivo</w:t>
            </w:r>
          </w:p>
          <w:p>
            <w:pPr>
              <w:spacing w:after="20"/>
              <w:ind w:left="200"/>
            </w:pPr>
            <w:r>
              <w:rPr>
                <w:color w:val="44515A"/>
                <w:sz w:val="19"/>
              </w:rPr>
              <w:t>• INE / Atlas Digital de las Áreas Urbanas - vivienda y hogares.</w:t>
            </w:r>
          </w:p>
          <w:p>
            <w:pPr>
              <w:spacing w:after="20"/>
              <w:ind w:left="200"/>
            </w:pPr>
            <w:r>
              <w:rPr>
                <w:color w:val="44515A"/>
                <w:sz w:val="19"/>
              </w:rPr>
              <w:t>• Dirección General del Catastro 2024 / Atlas Digital - tipología edificatoria.</w:t>
            </w:r>
          </w:p>
          <w:p>
            <w:pPr>
              <w:spacing w:after="20"/>
              <w:ind w:left="200"/>
            </w:pPr>
            <w:r>
              <w:rPr>
                <w:color w:val="44515A"/>
                <w:sz w:val="19"/>
              </w:rPr>
              <w:t>• SIOSE 2014 / Atlas Digital - clases urbanas y forma del tejido residencial.</w:t>
            </w:r>
          </w:p>
          <w:p>
            <w:pPr>
              <w:spacing w:after="20"/>
              <w:ind w:left="200"/>
            </w:pPr>
            <w:r>
              <w:rPr>
                <w:color w:val="44515A"/>
                <w:sz w:val="19"/>
              </w:rPr>
              <w:t>• Indicadores comparativos integrados en la base analítica.</w:t>
            </w:r>
          </w:p>
        </w:tc>
      </w:tr>
    </w:tbl>
    <w:p>
      <w:r>
        <w:br w:type="page"/>
      </w:r>
    </w:p>
    <w:p>
      <w:pPr>
        <w:spacing w:after="160"/>
      </w:pPr>
      <w:r>
        <w:rPr>
          <w:b/>
          <w:color w:val="2F5D50"/>
          <w:sz w:val="30"/>
        </w:rPr>
        <w:t>OE 9. Liderar y fomentar la innovación digital</w:t>
      </w:r>
    </w:p>
    <w:p>
      <w:pPr>
        <w:spacing w:before="0" w:after="140" w:line="276" w:lineRule="auto"/>
      </w:pPr>
      <w:r>
        <w:rPr>
          <w:b w:val="0"/>
        </w:rPr>
        <w:t>OE 9 es el objetivo con menor soporte empírico dentro de la documentación integrada. No se dispone de un bloque específico sobre conectividad, competencias digitales, digitalización empresarial o uso local de servicios electrónicos. Esta ausencia no debe ocultarse: es, en sí misma, una conclusión técnica relevante.</w:t>
      </w:r>
    </w:p>
    <w:p>
      <w:pPr>
        <w:spacing w:before="0" w:after="140" w:line="276" w:lineRule="auto"/>
      </w:pPr>
      <w:r>
        <w:rPr>
          <w:b w:val="0"/>
        </w:rPr>
        <w:t>La falta de información específica impide formular un diagnóstico sustantivo cerrado sobre innovación digital, pero sí permite identificar una debilidad de base en conocimiento territorial. Para poder activar políticas locales en esta materia, el municipio necesita primero medir mejor la realidad digital de población, tejido económico y administración.</w:t>
      </w:r>
    </w:p>
    <w:p>
      <w:pPr>
        <w:spacing w:before="0" w:after="140" w:line="276" w:lineRule="auto"/>
      </w:pPr>
      <w:r>
        <w:rPr>
          <w:b w:val="0"/>
        </w:rPr>
        <w:t>En consecuencia, OE 9 debe plantearse como agenda de construcción de evidencia y capacidad institucional: generar indicadores, identificar brechas, conocer usos y necesidades, y traducir después esa información en actuaciones concretas.</w:t>
      </w:r>
    </w:p>
    <w:tbl>
      <w:tblPr>
        <w:tblW w:type="auto" w:w="0"/>
        <w:jc w:val="center"/>
        <w:tblLook w:firstColumn="1" w:firstRow="1" w:lastColumn="0" w:lastRow="0" w:noHBand="0" w:noVBand="1" w:val="04A0"/>
        <w:tblBorders>
          <w:top w:val="single" w:sz="8" w:space="0" w:color="BFCFCA"/>
          <w:left w:val="single" w:sz="8" w:space="0" w:color="BFCFCA"/>
          <w:bottom w:val="single" w:sz="8" w:space="0" w:color="BFCFCA"/>
          <w:right w:val="single" w:sz="8" w:space="0" w:color="BFCFCA"/>
          <w:insideH w:val="single" w:sz="8" w:space="0" w:color="BFCFCA"/>
          <w:insideV w:val="single" w:sz="8" w:space="0" w:color="BFCFCA"/>
        </w:tblBorders>
      </w:tblPr>
      <w:tblGrid>
        <w:gridCol w:w="9972"/>
      </w:tblGrid>
      <w:tr>
        <w:tc>
          <w:tcPr>
            <w:tcW w:type="dxa" w:w="9972"/>
            <w:shd w:fill="F3F7F5"/>
            <w:tcMar>
              <w:top w:w="110" w:type="dxa"/>
              <w:start w:w="120" w:type="dxa"/>
              <w:bottom w:w="110" w:type="dxa"/>
              <w:end w:w="120" w:type="dxa"/>
            </w:tcMar>
          </w:tcPr>
          <w:p>
            <w:pPr>
              <w:spacing w:after="80"/>
            </w:pPr>
            <w:r>
              <w:rPr>
                <w:b/>
                <w:color w:val="2E4A41"/>
                <w:sz w:val="21"/>
              </w:rPr>
              <w:t>Conclusiones destacadas</w:t>
            </w:r>
          </w:p>
          <w:p>
            <w:pPr>
              <w:spacing w:after="40"/>
              <w:ind w:left="200"/>
            </w:pPr>
            <w:r>
              <w:rPr>
                <w:sz w:val="20"/>
              </w:rPr>
              <w:t>• No existe en la base integrada un bloque estadístico específico sobre digitalización local.</w:t>
            </w:r>
          </w:p>
          <w:p>
            <w:pPr>
              <w:spacing w:after="40"/>
              <w:ind w:left="200"/>
            </w:pPr>
            <w:r>
              <w:rPr>
                <w:sz w:val="20"/>
              </w:rPr>
              <w:t>• La primera necesidad en este OE no es tanto ejecutar sin diagnóstico como construir información útil y operativa.</w:t>
            </w:r>
          </w:p>
        </w:tc>
      </w:tr>
    </w:tbl>
    <w:tbl>
      <w:tblPr>
        <w:tblW w:type="auto" w:w="0"/>
        <w:jc w:val="center"/>
        <w:tblLook w:firstColumn="1" w:firstRow="1" w:lastColumn="0" w:lastRow="0" w:noHBand="0" w:noVBand="1" w:val="04A0"/>
        <w:tblBorders>
          <w:top w:val="single" w:sz="6" w:space="0" w:color="D8DDE3"/>
          <w:left w:val="single" w:sz="6" w:space="0" w:color="D8DDE3"/>
          <w:bottom w:val="single" w:sz="6" w:space="0" w:color="D8DDE3"/>
          <w:right w:val="single" w:sz="6" w:space="0" w:color="D8DDE3"/>
          <w:insideH w:val="single" w:sz="6" w:space="0" w:color="D8DDE3"/>
          <w:insideV w:val="single" w:sz="6" w:space="0" w:color="D8DDE3"/>
        </w:tblBorders>
      </w:tblPr>
      <w:tblGrid>
        <w:gridCol w:w="9972"/>
      </w:tblGrid>
      <w:tr>
        <w:tc>
          <w:tcPr>
            <w:tcW w:type="dxa" w:w="9972"/>
            <w:shd w:fill="FAFBFC"/>
            <w:tcMar>
              <w:top w:w="90" w:type="dxa"/>
              <w:start w:w="110" w:type="dxa"/>
              <w:bottom w:w="90" w:type="dxa"/>
              <w:end w:w="110" w:type="dxa"/>
            </w:tcMar>
          </w:tcPr>
          <w:p>
            <w:pPr>
              <w:spacing w:after="80"/>
            </w:pPr>
            <w:r>
              <w:rPr>
                <w:b/>
                <w:color w:val="44515A"/>
                <w:sz w:val="20"/>
              </w:rPr>
              <w:t>Fuentes oficiales identificadas para este objetivo</w:t>
            </w:r>
          </w:p>
          <w:p>
            <w:pPr>
              <w:spacing w:after="20"/>
              <w:ind w:left="200"/>
            </w:pPr>
            <w:r>
              <w:rPr>
                <w:color w:val="44515A"/>
                <w:sz w:val="19"/>
              </w:rPr>
              <w:t>• No se han identificado fuentes oficiales sectoriales específicas de innovación digital en la documentación de partida.</w:t>
            </w:r>
          </w:p>
        </w:tc>
      </w:tr>
    </w:tbl>
    <w:p>
      <w:r>
        <w:br w:type="page"/>
      </w:r>
    </w:p>
    <w:p>
      <w:pPr>
        <w:spacing w:after="160"/>
      </w:pPr>
      <w:r>
        <w:rPr>
          <w:b/>
          <w:color w:val="2F5D50"/>
          <w:sz w:val="30"/>
        </w:rPr>
        <w:t>OE 10. Mejorar los instrumentos de intervención y la gobernanza</w:t>
      </w:r>
    </w:p>
    <w:p>
      <w:pPr>
        <w:spacing w:before="0" w:after="140" w:line="276" w:lineRule="auto"/>
      </w:pPr>
      <w:r>
        <w:rPr>
          <w:b w:val="0"/>
        </w:rPr>
        <w:t>La documentación integrada ofrece una lectura indirecta pero muy valiosa para la gobernanza. El municipio cuenta con un planeamiento vigente datado en 2003, lo que ha operado en una etapa de reconfiguración demográfica, residencial y territorial intensa. Esta sola constatación ya sitúa una cuestión clave: la gobernanza futura debe valorar hasta qué punto los marcos de intervención actuales siguen siendo adecuados para el Ibeas de hoy.</w:t>
      </w:r>
    </w:p>
    <w:p>
      <w:pPr>
        <w:spacing w:before="0" w:after="140" w:line="276" w:lineRule="auto"/>
      </w:pPr>
      <w:r>
        <w:rPr>
          <w:b w:val="0"/>
        </w:rPr>
        <w:t>Gobernar bien en este contexto no significa solo gestionar la inercia del crecimiento o mantener clasificaciones existentes. Significa decidir con mayor precisión qué modelo de municipio se quiere consolidar, con qué equilibrio entre preservación, vivienda, cohesión, actividad económica y capacidad de gestión pública local. La propia existencia de vacíos de información en algunos objetivos -como OE 9 o parte de OE 4 y OE 5- refuerza la necesidad de mejorar la capacidad municipal de observación, seguimiento y toma de decisiones.</w:t>
      </w:r>
    </w:p>
    <w:p>
      <w:pPr>
        <w:spacing w:before="0" w:after="140" w:line="276" w:lineRule="auto"/>
      </w:pPr>
      <w:r>
        <w:rPr>
          <w:b w:val="0"/>
        </w:rPr>
        <w:t>Por ello, OE 10 debe orientarse a reforzar instrumentos de lectura territorial, coordinación interna, seguimiento de indicadores y ajuste estratégico entre planeamiento, realidad demográfica y proyecto de municipio.</w:t>
      </w:r>
    </w:p>
    <w:tbl>
      <w:tblPr>
        <w:tblW w:type="auto" w:w="0"/>
        <w:jc w:val="center"/>
        <w:tblLook w:firstColumn="1" w:firstRow="1" w:lastColumn="0" w:lastRow="0" w:noHBand="0" w:noVBand="1" w:val="04A0"/>
        <w:tblBorders>
          <w:top w:val="single" w:sz="8" w:space="0" w:color="BFCFCA"/>
          <w:left w:val="single" w:sz="8" w:space="0" w:color="BFCFCA"/>
          <w:bottom w:val="single" w:sz="8" w:space="0" w:color="BFCFCA"/>
          <w:right w:val="single" w:sz="8" w:space="0" w:color="BFCFCA"/>
          <w:insideH w:val="single" w:sz="8" w:space="0" w:color="BFCFCA"/>
          <w:insideV w:val="single" w:sz="8" w:space="0" w:color="BFCFCA"/>
        </w:tblBorders>
      </w:tblPr>
      <w:tblGrid>
        <w:gridCol w:w="9972"/>
      </w:tblGrid>
      <w:tr>
        <w:tc>
          <w:tcPr>
            <w:tcW w:type="dxa" w:w="9972"/>
            <w:shd w:fill="F3F7F5"/>
            <w:tcMar>
              <w:top w:w="110" w:type="dxa"/>
              <w:start w:w="120" w:type="dxa"/>
              <w:bottom w:w="110" w:type="dxa"/>
              <w:end w:w="120" w:type="dxa"/>
            </w:tcMar>
          </w:tcPr>
          <w:p>
            <w:pPr>
              <w:spacing w:after="80"/>
            </w:pPr>
            <w:r>
              <w:rPr>
                <w:b/>
                <w:color w:val="2E4A41"/>
                <w:sz w:val="21"/>
              </w:rPr>
              <w:t>Conclusiones destacadas</w:t>
            </w:r>
          </w:p>
          <w:p>
            <w:pPr>
              <w:spacing w:after="40"/>
              <w:ind w:left="200"/>
            </w:pPr>
            <w:r>
              <w:rPr>
                <w:sz w:val="20"/>
              </w:rPr>
              <w:t>• El indicador comparativo sitúa en 2003 la fecha del planeamiento urbanístico vigente.</w:t>
            </w:r>
          </w:p>
          <w:p>
            <w:pPr>
              <w:spacing w:after="40"/>
              <w:ind w:left="200"/>
            </w:pPr>
            <w:r>
              <w:rPr>
                <w:sz w:val="20"/>
              </w:rPr>
              <w:t>• La gobernanza local necesita traducir datos dispersos en un sistema estable de seguimiento y decisión.</w:t>
            </w:r>
          </w:p>
          <w:p>
            <w:pPr>
              <w:spacing w:after="40"/>
              <w:ind w:left="200"/>
            </w:pPr>
            <w:r>
              <w:rPr>
                <w:sz w:val="20"/>
              </w:rPr>
              <w:t>• Los vacíos detectados en algunos OE son, a su vez, una señal de mejora necesaria en conocimiento territorial.</w:t>
            </w:r>
          </w:p>
        </w:tc>
      </w:tr>
    </w:tbl>
    <w:tbl>
      <w:tblPr>
        <w:tblW w:type="auto" w:w="0"/>
        <w:jc w:val="center"/>
        <w:tblLook w:firstColumn="1" w:firstRow="1" w:lastColumn="0" w:lastRow="0" w:noHBand="0" w:noVBand="1" w:val="04A0"/>
        <w:tblBorders>
          <w:top w:val="single" w:sz="6" w:space="0" w:color="D8DDE3"/>
          <w:left w:val="single" w:sz="6" w:space="0" w:color="D8DDE3"/>
          <w:bottom w:val="single" w:sz="6" w:space="0" w:color="D8DDE3"/>
          <w:right w:val="single" w:sz="6" w:space="0" w:color="D8DDE3"/>
          <w:insideH w:val="single" w:sz="6" w:space="0" w:color="D8DDE3"/>
          <w:insideV w:val="single" w:sz="6" w:space="0" w:color="D8DDE3"/>
        </w:tblBorders>
      </w:tblPr>
      <w:tblGrid>
        <w:gridCol w:w="9972"/>
      </w:tblGrid>
      <w:tr>
        <w:tc>
          <w:tcPr>
            <w:tcW w:type="dxa" w:w="9972"/>
            <w:shd w:fill="FAFBFC"/>
            <w:tcMar>
              <w:top w:w="90" w:type="dxa"/>
              <w:start w:w="110" w:type="dxa"/>
              <w:bottom w:w="90" w:type="dxa"/>
              <w:end w:w="110" w:type="dxa"/>
            </w:tcMar>
          </w:tcPr>
          <w:p>
            <w:pPr>
              <w:spacing w:after="80"/>
            </w:pPr>
            <w:r>
              <w:rPr>
                <w:b/>
                <w:color w:val="44515A"/>
                <w:sz w:val="20"/>
              </w:rPr>
              <w:t>Fuentes oficiales identificadas para este objetivo</w:t>
            </w:r>
          </w:p>
          <w:p>
            <w:pPr>
              <w:spacing w:after="20"/>
              <w:ind w:left="200"/>
            </w:pPr>
            <w:r>
              <w:rPr>
                <w:color w:val="44515A"/>
                <w:sz w:val="19"/>
              </w:rPr>
              <w:t>• Indicadores comparativos integrados en la base analítica.</w:t>
            </w:r>
          </w:p>
          <w:p>
            <w:pPr>
              <w:spacing w:after="20"/>
              <w:ind w:left="200"/>
            </w:pPr>
            <w:r>
              <w:rPr>
                <w:color w:val="44515A"/>
                <w:sz w:val="19"/>
              </w:rPr>
              <w:t>• Conjunto de fuentes oficiales sectoriales ya empleadas en el diagnóstico (INE, Catastro, SIOSE, Corine, TGSS, SEPE).</w:t>
            </w:r>
          </w:p>
        </w:tc>
      </w:tr>
    </w:tbl>
    <w:p>
      <w:r>
        <w:br w:type="page"/>
      </w:r>
    </w:p>
    <w:p>
      <w:pPr>
        <w:spacing w:after="160"/>
      </w:pPr>
      <w:r>
        <w:rPr>
          <w:b/>
          <w:color w:val="2F5D50"/>
          <w:sz w:val="30"/>
        </w:rPr>
        <w:t>12. Conclusión general</w:t>
      </w:r>
    </w:p>
    <w:p>
      <w:pPr>
        <w:spacing w:before="0" w:after="160" w:line="276" w:lineRule="auto"/>
      </w:pPr>
      <w:r>
        <w:rPr>
          <w:b w:val="0"/>
        </w:rPr>
        <w:t>El análisis conjunto de los 10 Objetivos Estratégicos permite formular una lectura territorial muy definida. Ibeas de Juarros es un municipio de base rural y paisajística dominante, marcado por una fuerte pérdida histórica de población y, al mismo tiempo, por una recuperación clara en las últimas décadas. No es un territorio demográficamente colapsado; es un territorio que ha vuelto a crecer.</w:t>
      </w:r>
    </w:p>
    <w:p>
      <w:pPr>
        <w:spacing w:before="0" w:after="160" w:line="276" w:lineRule="auto"/>
      </w:pPr>
      <w:r>
        <w:rPr>
          <w:b w:val="0"/>
        </w:rPr>
        <w:t>Pero ese crecimiento no es neutro. Se apoya en un patrón residencial expansivo, baja densidad, fuerte peso del vehículo privado, gran capacidad urbanística prevista y una economía local pequeña, terciarizada y funcionalmente vinculada al exterior. A la vez, el municipio conserva un valor territorial notable: gran proporción de suelo no urbanizable, presencia forestal y agraria, base edificatoria histórica y una estructura demográfica más equilibrada que la de muchos municipios comparables.</w:t>
      </w:r>
    </w:p>
    <w:p>
      <w:pPr>
        <w:spacing w:before="0" w:after="160" w:line="276" w:lineRule="auto"/>
      </w:pPr>
      <w:r>
        <w:rPr>
          <w:b w:val="0"/>
        </w:rPr>
        <w:t>La tesis estratégica que se desprende del diagnóstico es clara: el futuro de Ibeas no depende de crecer más, sino de crecer mejor. El reto principal es consolidar lo ya ganado -población, masa crítica, funcionalidad residencial, vitalidad local- y hacerlo compatible con un modelo más compacto, más eficiente, más cohesionado y mejor gobernado. Ordenar el suelo, contener la dispersión, reforzar la integración social, ajustar vivienda y planeamiento a la escala real del municipio y mejorar los instrumentos de seguimiento serán las claves para convertir la recuperación reciente en un proyecto territorial sólido y duradero.</w:t>
      </w:r>
    </w:p>
    <w:p>
      <w:r>
        <w:br w:type="page"/>
      </w:r>
    </w:p>
    <w:p>
      <w:pPr>
        <w:spacing w:after="160"/>
      </w:pPr>
      <w:r>
        <w:rPr>
          <w:b/>
          <w:color w:val="2F5D50"/>
          <w:sz w:val="28"/>
        </w:rPr>
        <w:t>Anexo. Relación de fuentes identificadas y alcance en la documentación de partida</w:t>
      </w:r>
    </w:p>
    <w:tbl>
      <w:tblPr>
        <w:tblW w:type="auto" w:w="0"/>
        <w:jc w:val="center"/>
        <w:tblLook w:firstColumn="1" w:firstRow="1" w:lastColumn="0" w:lastRow="0" w:noHBand="0" w:noVBand="1" w:val="04A0"/>
        <w:tblBorders>
          <w:top w:val="single" w:sz="6" w:space="0" w:color="C7D1CC"/>
          <w:left w:val="single" w:sz="6" w:space="0" w:color="C7D1CC"/>
          <w:bottom w:val="single" w:sz="6" w:space="0" w:color="C7D1CC"/>
          <w:right w:val="single" w:sz="6" w:space="0" w:color="C7D1CC"/>
          <w:insideH w:val="single" w:sz="6" w:space="0" w:color="C7D1CC"/>
          <w:insideV w:val="single" w:sz="6" w:space="0" w:color="C7D1CC"/>
        </w:tblBorders>
      </w:tblPr>
      <w:tblGrid>
        <w:gridCol w:w="4986"/>
        <w:gridCol w:w="4986"/>
      </w:tblGrid>
      <w:tr>
        <w:tc>
          <w:tcPr>
            <w:tcW w:type="dxa" w:w="4986"/>
            <w:shd w:fill="E6EFEA"/>
            <w:tcMar>
              <w:top w:w="90" w:type="dxa"/>
              <w:start w:w="110" w:type="dxa"/>
              <w:bottom w:w="90" w:type="dxa"/>
              <w:end w:w="110" w:type="dxa"/>
            </w:tcMar>
          </w:tcPr>
          <w:p>
            <w:r>
              <w:rPr>
                <w:b/>
                <w:sz w:val="20"/>
              </w:rPr>
              <w:t>Fuente</w:t>
            </w:r>
          </w:p>
        </w:tc>
        <w:tc>
          <w:tcPr>
            <w:tcW w:type="dxa" w:w="4986"/>
            <w:shd w:fill="E6EFEA"/>
            <w:tcMar>
              <w:top w:w="90" w:type="dxa"/>
              <w:start w:w="110" w:type="dxa"/>
              <w:bottom w:w="90" w:type="dxa"/>
              <w:end w:w="110" w:type="dxa"/>
            </w:tcMar>
          </w:tcPr>
          <w:p>
            <w:r>
              <w:rPr>
                <w:b/>
                <w:sz w:val="20"/>
              </w:rPr>
              <w:t>Alcance en el diagnóstico</w:t>
            </w:r>
          </w:p>
        </w:tc>
      </w:tr>
      <w:tr>
        <w:tc>
          <w:tcPr>
            <w:tcW w:type="dxa" w:w="4986"/>
            <w:tcMar>
              <w:top w:w="85" w:type="dxa"/>
              <w:start w:w="110" w:type="dxa"/>
              <w:bottom w:w="85" w:type="dxa"/>
              <w:end w:w="110" w:type="dxa"/>
            </w:tcMar>
            <w:vAlign w:val="center"/>
          </w:tcPr>
          <w:p>
            <w:pPr>
              <w:spacing w:after="0"/>
            </w:pPr>
            <w:r>
              <w:rPr>
                <w:sz w:val="18"/>
              </w:rPr>
              <w:t>INE / Atlas Digital de las Áreas Urbanas</w:t>
            </w:r>
          </w:p>
        </w:tc>
        <w:tc>
          <w:tcPr>
            <w:tcW w:type="dxa" w:w="4986"/>
            <w:tcMar>
              <w:top w:w="85" w:type="dxa"/>
              <w:start w:w="110" w:type="dxa"/>
              <w:bottom w:w="85" w:type="dxa"/>
              <w:end w:w="110" w:type="dxa"/>
            </w:tcMar>
            <w:vAlign w:val="center"/>
          </w:tcPr>
          <w:p>
            <w:pPr>
              <w:spacing w:after="0"/>
            </w:pPr>
            <w:r>
              <w:rPr>
                <w:sz w:val="18"/>
              </w:rPr>
              <w:t>Población padronal, estructura de edades, lugar de nacimiento, población extranjera, densidad de vivienda y variables de hogares y vivienda.</w:t>
            </w:r>
          </w:p>
        </w:tc>
      </w:tr>
      <w:tr>
        <w:tc>
          <w:tcPr>
            <w:tcW w:type="dxa" w:w="4986"/>
            <w:tcMar>
              <w:top w:w="85" w:type="dxa"/>
              <w:start w:w="110" w:type="dxa"/>
              <w:bottom w:w="85" w:type="dxa"/>
              <w:end w:w="110" w:type="dxa"/>
            </w:tcMar>
            <w:vAlign w:val="center"/>
          </w:tcPr>
          <w:p>
            <w:pPr>
              <w:spacing w:after="0"/>
            </w:pPr>
            <w:r>
              <w:rPr>
                <w:sz w:val="18"/>
              </w:rPr>
              <w:t>INE 2023</w:t>
            </w:r>
          </w:p>
        </w:tc>
        <w:tc>
          <w:tcPr>
            <w:tcW w:type="dxa" w:w="4986"/>
            <w:tcMar>
              <w:top w:w="85" w:type="dxa"/>
              <w:start w:w="110" w:type="dxa"/>
              <w:bottom w:w="85" w:type="dxa"/>
              <w:end w:w="110" w:type="dxa"/>
            </w:tcMar>
            <w:vAlign w:val="center"/>
          </w:tcPr>
          <w:p>
            <w:pPr>
              <w:spacing w:after="0"/>
            </w:pPr>
            <w:r>
              <w:rPr>
                <w:sz w:val="18"/>
              </w:rPr>
              <w:t>Sex ratio.</w:t>
            </w:r>
          </w:p>
        </w:tc>
      </w:tr>
      <w:tr>
        <w:tc>
          <w:tcPr>
            <w:tcW w:type="dxa" w:w="4986"/>
            <w:tcMar>
              <w:top w:w="85" w:type="dxa"/>
              <w:start w:w="110" w:type="dxa"/>
              <w:bottom w:w="85" w:type="dxa"/>
              <w:end w:w="110" w:type="dxa"/>
            </w:tcMar>
            <w:vAlign w:val="center"/>
          </w:tcPr>
          <w:p>
            <w:pPr>
              <w:spacing w:after="0"/>
            </w:pPr>
            <w:r>
              <w:rPr>
                <w:sz w:val="18"/>
              </w:rPr>
              <w:t>INE 2024</w:t>
            </w:r>
          </w:p>
        </w:tc>
        <w:tc>
          <w:tcPr>
            <w:tcW w:type="dxa" w:w="4986"/>
            <w:tcMar>
              <w:top w:w="85" w:type="dxa"/>
              <w:start w:w="110" w:type="dxa"/>
              <w:bottom w:w="85" w:type="dxa"/>
              <w:end w:w="110" w:type="dxa"/>
            </w:tcMar>
            <w:vAlign w:val="center"/>
          </w:tcPr>
          <w:p>
            <w:pPr>
              <w:spacing w:after="0"/>
            </w:pPr>
            <w:r>
              <w:rPr>
                <w:sz w:val="18"/>
              </w:rPr>
              <w:t>Crecimiento vegetativo.</w:t>
            </w:r>
          </w:p>
        </w:tc>
      </w:tr>
      <w:tr>
        <w:tc>
          <w:tcPr>
            <w:tcW w:type="dxa" w:w="4986"/>
            <w:tcMar>
              <w:top w:w="85" w:type="dxa"/>
              <w:start w:w="110" w:type="dxa"/>
              <w:bottom w:w="85" w:type="dxa"/>
              <w:end w:w="110" w:type="dxa"/>
            </w:tcMar>
            <w:vAlign w:val="center"/>
          </w:tcPr>
          <w:p>
            <w:pPr>
              <w:spacing w:after="0"/>
            </w:pPr>
            <w:r>
              <w:rPr>
                <w:sz w:val="18"/>
              </w:rPr>
              <w:t>Dirección General del Catastro 2024</w:t>
            </w:r>
          </w:p>
        </w:tc>
        <w:tc>
          <w:tcPr>
            <w:tcW w:type="dxa" w:w="4986"/>
            <w:tcMar>
              <w:top w:w="85" w:type="dxa"/>
              <w:start w:w="110" w:type="dxa"/>
              <w:bottom w:w="85" w:type="dxa"/>
              <w:end w:w="110" w:type="dxa"/>
            </w:tcMar>
            <w:vAlign w:val="center"/>
          </w:tcPr>
          <w:p>
            <w:pPr>
              <w:spacing w:after="0"/>
            </w:pPr>
            <w:r>
              <w:rPr>
                <w:sz w:val="18"/>
              </w:rPr>
              <w:t>Edificaciones según uso y antigüedad del parque edificado.</w:t>
            </w:r>
          </w:p>
        </w:tc>
      </w:tr>
      <w:tr>
        <w:tc>
          <w:tcPr>
            <w:tcW w:type="dxa" w:w="4986"/>
            <w:tcMar>
              <w:top w:w="85" w:type="dxa"/>
              <w:start w:w="110" w:type="dxa"/>
              <w:bottom w:w="85" w:type="dxa"/>
              <w:end w:w="110" w:type="dxa"/>
            </w:tcMar>
            <w:vAlign w:val="center"/>
          </w:tcPr>
          <w:p>
            <w:pPr>
              <w:spacing w:after="0"/>
            </w:pPr>
            <w:r>
              <w:rPr>
                <w:sz w:val="18"/>
              </w:rPr>
              <w:t>Atlas Digital de las Áreas Urbanas - Dirección General del Catastro 2024</w:t>
            </w:r>
          </w:p>
        </w:tc>
        <w:tc>
          <w:tcPr>
            <w:tcW w:type="dxa" w:w="4986"/>
            <w:tcMar>
              <w:top w:w="85" w:type="dxa"/>
              <w:start w:w="110" w:type="dxa"/>
              <w:bottom w:w="85" w:type="dxa"/>
              <w:end w:w="110" w:type="dxa"/>
            </w:tcMar>
            <w:vAlign w:val="center"/>
          </w:tcPr>
          <w:p>
            <w:pPr>
              <w:spacing w:after="0"/>
            </w:pPr>
            <w:r>
              <w:rPr>
                <w:sz w:val="18"/>
              </w:rPr>
              <w:t>Tipología edificatoria y estructura del parque inmobiliario.</w:t>
            </w:r>
          </w:p>
        </w:tc>
      </w:tr>
      <w:tr>
        <w:tc>
          <w:tcPr>
            <w:tcW w:type="dxa" w:w="4986"/>
            <w:tcMar>
              <w:top w:w="85" w:type="dxa"/>
              <w:start w:w="110" w:type="dxa"/>
              <w:bottom w:w="85" w:type="dxa"/>
              <w:end w:w="110" w:type="dxa"/>
            </w:tcMar>
            <w:vAlign w:val="center"/>
          </w:tcPr>
          <w:p>
            <w:pPr>
              <w:spacing w:after="0"/>
            </w:pPr>
            <w:r>
              <w:rPr>
                <w:sz w:val="18"/>
              </w:rPr>
              <w:t>Atlas Digital de las Áreas Urbanas - SIOSE 2014</w:t>
            </w:r>
          </w:p>
        </w:tc>
        <w:tc>
          <w:tcPr>
            <w:tcW w:type="dxa" w:w="4986"/>
            <w:tcMar>
              <w:top w:w="85" w:type="dxa"/>
              <w:start w:w="110" w:type="dxa"/>
              <w:bottom w:w="85" w:type="dxa"/>
              <w:end w:w="110" w:type="dxa"/>
            </w:tcMar>
            <w:vAlign w:val="center"/>
          </w:tcPr>
          <w:p>
            <w:pPr>
              <w:spacing w:after="0"/>
            </w:pPr>
            <w:r>
              <w:rPr>
                <w:sz w:val="18"/>
              </w:rPr>
              <w:t>Clases artificiales del suelo, tipologías edificatorias sobre suelo ocupado y forma urbana.</w:t>
            </w:r>
          </w:p>
        </w:tc>
      </w:tr>
      <w:tr>
        <w:tc>
          <w:tcPr>
            <w:tcW w:type="dxa" w:w="4986"/>
            <w:tcMar>
              <w:top w:w="85" w:type="dxa"/>
              <w:start w:w="110" w:type="dxa"/>
              <w:bottom w:w="85" w:type="dxa"/>
              <w:end w:w="110" w:type="dxa"/>
            </w:tcMar>
            <w:vAlign w:val="center"/>
          </w:tcPr>
          <w:p>
            <w:pPr>
              <w:spacing w:after="0"/>
            </w:pPr>
            <w:r>
              <w:rPr>
                <w:sz w:val="18"/>
              </w:rPr>
              <w:t>Atlas Digital de las Áreas Urbanas - IGN / Corine Land Cover 2016</w:t>
            </w:r>
          </w:p>
        </w:tc>
        <w:tc>
          <w:tcPr>
            <w:tcW w:type="dxa" w:w="4986"/>
            <w:tcMar>
              <w:top w:w="85" w:type="dxa"/>
              <w:start w:w="110" w:type="dxa"/>
              <w:bottom w:w="85" w:type="dxa"/>
              <w:end w:w="110" w:type="dxa"/>
            </w:tcMar>
            <w:vAlign w:val="center"/>
          </w:tcPr>
          <w:p>
            <w:pPr>
              <w:spacing w:after="0"/>
            </w:pPr>
            <w:r>
              <w:rPr>
                <w:sz w:val="18"/>
              </w:rPr>
              <w:t>Coberturas del suelo y lectura de ocupación territorial.</w:t>
            </w:r>
          </w:p>
        </w:tc>
      </w:tr>
      <w:tr>
        <w:tc>
          <w:tcPr>
            <w:tcW w:type="dxa" w:w="4986"/>
            <w:tcMar>
              <w:top w:w="85" w:type="dxa"/>
              <w:start w:w="110" w:type="dxa"/>
              <w:bottom w:w="85" w:type="dxa"/>
              <w:end w:w="110" w:type="dxa"/>
            </w:tcMar>
            <w:vAlign w:val="center"/>
          </w:tcPr>
          <w:p>
            <w:pPr>
              <w:spacing w:after="0"/>
            </w:pPr>
            <w:r>
              <w:rPr>
                <w:sz w:val="18"/>
              </w:rPr>
              <w:t>Atlas Digital de las Áreas Urbanas - Tesorería General de la Seguridad Social</w:t>
            </w:r>
          </w:p>
        </w:tc>
        <w:tc>
          <w:tcPr>
            <w:tcW w:type="dxa" w:w="4986"/>
            <w:tcMar>
              <w:top w:w="85" w:type="dxa"/>
              <w:start w:w="110" w:type="dxa"/>
              <w:bottom w:w="85" w:type="dxa"/>
              <w:end w:w="110" w:type="dxa"/>
            </w:tcMar>
            <w:vAlign w:val="center"/>
          </w:tcPr>
          <w:p>
            <w:pPr>
              <w:spacing w:after="0"/>
            </w:pPr>
            <w:r>
              <w:rPr>
                <w:sz w:val="18"/>
              </w:rPr>
              <w:t>Trabajadores, establecimientos y distribución sectorial.</w:t>
            </w:r>
          </w:p>
        </w:tc>
      </w:tr>
      <w:tr>
        <w:tc>
          <w:tcPr>
            <w:tcW w:type="dxa" w:w="4986"/>
            <w:tcMar>
              <w:top w:w="85" w:type="dxa"/>
              <w:start w:w="110" w:type="dxa"/>
              <w:bottom w:w="85" w:type="dxa"/>
              <w:end w:w="110" w:type="dxa"/>
            </w:tcMar>
            <w:vAlign w:val="center"/>
          </w:tcPr>
          <w:p>
            <w:pPr>
              <w:spacing w:after="0"/>
            </w:pPr>
            <w:r>
              <w:rPr>
                <w:sz w:val="18"/>
              </w:rPr>
              <w:t>Atlas Digital de las Áreas Urbanas - Tesorería General de la Seguridad Social 2023</w:t>
            </w:r>
          </w:p>
        </w:tc>
        <w:tc>
          <w:tcPr>
            <w:tcW w:type="dxa" w:w="4986"/>
            <w:tcMar>
              <w:top w:w="85" w:type="dxa"/>
              <w:start w:w="110" w:type="dxa"/>
              <w:bottom w:w="85" w:type="dxa"/>
              <w:end w:w="110" w:type="dxa"/>
            </w:tcMar>
            <w:vAlign w:val="center"/>
          </w:tcPr>
          <w:p>
            <w:pPr>
              <w:spacing w:after="0"/>
            </w:pPr>
            <w:r>
              <w:rPr>
                <w:sz w:val="18"/>
              </w:rPr>
              <w:t>Distribución de establecimientos por rama de actividad.</w:t>
            </w:r>
          </w:p>
        </w:tc>
      </w:tr>
      <w:tr>
        <w:tc>
          <w:tcPr>
            <w:tcW w:type="dxa" w:w="4986"/>
            <w:tcMar>
              <w:top w:w="85" w:type="dxa"/>
              <w:start w:w="110" w:type="dxa"/>
              <w:bottom w:w="85" w:type="dxa"/>
              <w:end w:w="110" w:type="dxa"/>
            </w:tcMar>
            <w:vAlign w:val="center"/>
          </w:tcPr>
          <w:p>
            <w:pPr>
              <w:spacing w:after="0"/>
            </w:pPr>
            <w:r>
              <w:rPr>
                <w:sz w:val="18"/>
              </w:rPr>
              <w:t>Atlas Digital de las Áreas Urbanas - SEPE</w:t>
            </w:r>
          </w:p>
        </w:tc>
        <w:tc>
          <w:tcPr>
            <w:tcW w:type="dxa" w:w="4986"/>
            <w:tcMar>
              <w:top w:w="85" w:type="dxa"/>
              <w:start w:w="110" w:type="dxa"/>
              <w:bottom w:w="85" w:type="dxa"/>
              <w:end w:w="110" w:type="dxa"/>
            </w:tcMar>
            <w:vAlign w:val="center"/>
          </w:tcPr>
          <w:p>
            <w:pPr>
              <w:spacing w:after="0"/>
            </w:pPr>
            <w:r>
              <w:rPr>
                <w:sz w:val="18"/>
              </w:rPr>
              <w:t>Distribución del paro por sexo.</w:t>
            </w:r>
          </w:p>
        </w:tc>
      </w:tr>
      <w:tr>
        <w:tc>
          <w:tcPr>
            <w:tcW w:type="dxa" w:w="4986"/>
            <w:tcMar>
              <w:top w:w="85" w:type="dxa"/>
              <w:start w:w="110" w:type="dxa"/>
              <w:bottom w:w="85" w:type="dxa"/>
              <w:end w:w="110" w:type="dxa"/>
            </w:tcMar>
            <w:vAlign w:val="center"/>
          </w:tcPr>
          <w:p>
            <w:pPr>
              <w:spacing w:after="0"/>
            </w:pPr>
            <w:r>
              <w:rPr>
                <w:sz w:val="18"/>
              </w:rPr>
              <w:t>Atlas Digital de las Áreas Urbanas - SEPE 2022</w:t>
            </w:r>
          </w:p>
        </w:tc>
        <w:tc>
          <w:tcPr>
            <w:tcW w:type="dxa" w:w="4986"/>
            <w:tcMar>
              <w:top w:w="85" w:type="dxa"/>
              <w:start w:w="110" w:type="dxa"/>
              <w:bottom w:w="85" w:type="dxa"/>
              <w:end w:w="110" w:type="dxa"/>
            </w:tcMar>
            <w:vAlign w:val="center"/>
          </w:tcPr>
          <w:p>
            <w:pPr>
              <w:spacing w:after="0"/>
            </w:pPr>
            <w:r>
              <w:rPr>
                <w:sz w:val="18"/>
              </w:rPr>
              <w:t>Distribución del paro por edad y rama de actividad.</w:t>
            </w:r>
          </w:p>
        </w:tc>
      </w:tr>
      <w:tr>
        <w:tc>
          <w:tcPr>
            <w:tcW w:type="dxa" w:w="4986"/>
            <w:tcMar>
              <w:top w:w="85" w:type="dxa"/>
              <w:start w:w="110" w:type="dxa"/>
              <w:bottom w:w="85" w:type="dxa"/>
              <w:end w:w="110" w:type="dxa"/>
            </w:tcMar>
            <w:vAlign w:val="center"/>
          </w:tcPr>
          <w:p>
            <w:pPr>
              <w:spacing w:after="0"/>
            </w:pPr>
            <w:r>
              <w:rPr>
                <w:sz w:val="18"/>
              </w:rPr>
              <w:t>Indicadores comparativos integrados en la base analítica</w:t>
            </w:r>
          </w:p>
        </w:tc>
        <w:tc>
          <w:tcPr>
            <w:tcW w:type="dxa" w:w="4986"/>
            <w:tcMar>
              <w:top w:w="85" w:type="dxa"/>
              <w:start w:w="110" w:type="dxa"/>
              <w:bottom w:w="85" w:type="dxa"/>
              <w:end w:w="110" w:type="dxa"/>
            </w:tcMar>
            <w:vAlign w:val="center"/>
          </w:tcPr>
          <w:p>
            <w:pPr>
              <w:spacing w:after="0"/>
            </w:pPr>
            <w:r>
              <w:rPr>
                <w:sz w:val="18"/>
              </w:rPr>
              <w:t>Conjunto de indicadores multicriterio utilizados para comparar Ibeas con referencias externas. La documentación de partida no identifica de manera homogénea la fuente primaria de cada fila individual, por lo que estos indicadores se emplean con esa cautela metodológica.</w:t>
            </w:r>
          </w:p>
        </w:tc>
      </w:tr>
    </w:tbl>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