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CAC63" w14:textId="78372D4B" w:rsidR="006F0E94" w:rsidRPr="00810C9A" w:rsidRDefault="00810C9A">
      <w:pPr>
        <w:rPr>
          <w:b/>
          <w:bCs/>
          <w:color w:val="EE0000"/>
        </w:rPr>
      </w:pPr>
      <w:r w:rsidRPr="00810C9A">
        <w:rPr>
          <w:b/>
          <w:bCs/>
          <w:color w:val="EE0000"/>
        </w:rPr>
        <w:t>UNIDAD 2:</w:t>
      </w:r>
    </w:p>
    <w:p w14:paraId="5767B149" w14:textId="5AC2A4C0" w:rsidR="00810C9A" w:rsidRPr="00810C9A" w:rsidRDefault="00810C9A">
      <w:pPr>
        <w:rPr>
          <w:b/>
          <w:bCs/>
          <w:color w:val="EE0000"/>
        </w:rPr>
      </w:pPr>
      <w:r w:rsidRPr="00810C9A">
        <w:rPr>
          <w:b/>
          <w:bCs/>
          <w:color w:val="EE0000"/>
        </w:rPr>
        <w:t>RAZONES FINANCIERAS: DEFINICION, USOS, CLASIFICACION Y TIPOS DE ANALISIS</w:t>
      </w:r>
    </w:p>
    <w:p w14:paraId="115036A2" w14:textId="7AE8AEDD" w:rsidR="00810C9A" w:rsidRDefault="00810C9A">
      <w:r>
        <w:t>A las razones financieras se les conoce también como ratio financiera y son una herramienta muy importante para el análisis de la información financiera que debe de tener una empresa para la toma de decisiones. Como se encuentra la empresa en un determinado periodo</w:t>
      </w:r>
    </w:p>
    <w:p w14:paraId="6DA37AC7" w14:textId="7DFA2D93" w:rsidR="00810C9A" w:rsidRDefault="00810C9A">
      <w:r>
        <w:t>Razones Financieras:</w:t>
      </w:r>
    </w:p>
    <w:p w14:paraId="1660AF05" w14:textId="6F74D589" w:rsidR="00810C9A" w:rsidRDefault="00810C9A" w:rsidP="00810C9A">
      <w:pPr>
        <w:pStyle w:val="Prrafodelista"/>
        <w:numPr>
          <w:ilvl w:val="0"/>
          <w:numId w:val="1"/>
        </w:numPr>
      </w:pPr>
      <w:r w:rsidRPr="00810C9A">
        <w:t>Según Lawrence J. Gitman, incluy</w:t>
      </w:r>
      <w:r>
        <w:t>e métodos de cálculo en interpretación de razones financieras para analizar y supervisar el desempeño de la empresa</w:t>
      </w:r>
    </w:p>
    <w:p w14:paraId="2A5D518E" w14:textId="01B3699A" w:rsidR="00810C9A" w:rsidRPr="00810C9A" w:rsidRDefault="00810C9A" w:rsidP="00810C9A">
      <w:pPr>
        <w:pStyle w:val="Prrafodelista"/>
        <w:numPr>
          <w:ilvl w:val="0"/>
          <w:numId w:val="1"/>
        </w:numPr>
      </w:pPr>
      <w:r>
        <w:t>Según Robert W. Jhonson, Estas son indicadores de las actividades de la empresa, además que permite la comparación entre la empresa objetivo de análisis y su competencia.</w:t>
      </w:r>
    </w:p>
    <w:p w14:paraId="7C407CF3" w14:textId="3EBF2DBE" w:rsidR="00810C9A" w:rsidRDefault="00835FFE">
      <w:r>
        <w:t>Tipos de comparación de razones financieras</w:t>
      </w:r>
    </w:p>
    <w:p w14:paraId="18E6557C" w14:textId="44E40933" w:rsidR="00835FFE" w:rsidRDefault="00835FFE" w:rsidP="00835FFE">
      <w:pPr>
        <w:pStyle w:val="Prrafodelista"/>
        <w:numPr>
          <w:ilvl w:val="0"/>
          <w:numId w:val="2"/>
        </w:numPr>
      </w:pPr>
      <w:r w:rsidRPr="00835FFE">
        <w:rPr>
          <w:b/>
          <w:bCs/>
        </w:rPr>
        <w:t>Análisis de una muestra representativa:</w:t>
      </w:r>
      <w:r>
        <w:t xml:space="preserve"> Compara las razones financieras de diferentes empresas en un mismo periodo, en una misma industria o con promedios industriales.</w:t>
      </w:r>
    </w:p>
    <w:p w14:paraId="4616FF82" w14:textId="1886AFE5" w:rsidR="00835FFE" w:rsidRDefault="00835FFE" w:rsidP="00835FFE">
      <w:pPr>
        <w:pStyle w:val="Prrafodelista"/>
        <w:numPr>
          <w:ilvl w:val="0"/>
          <w:numId w:val="2"/>
        </w:numPr>
      </w:pPr>
      <w:r w:rsidRPr="00835FFE">
        <w:rPr>
          <w:b/>
          <w:bCs/>
        </w:rPr>
        <w:t>Benchmarking (evaluación comparativa</w:t>
      </w:r>
      <w:r>
        <w:t>): Es el tipo de análisis en una muestra representativa en el que los valores de las razones de una empresa se comparan con las de un competidor o grupo de competidores claves a los que la empresa se desea imitar</w:t>
      </w:r>
    </w:p>
    <w:p w14:paraId="1361BCC9" w14:textId="19260FC6" w:rsidR="00835FFE" w:rsidRDefault="00835FFE" w:rsidP="00835FFE">
      <w:pPr>
        <w:pStyle w:val="Prrafodelista"/>
        <w:numPr>
          <w:ilvl w:val="0"/>
          <w:numId w:val="2"/>
        </w:numPr>
      </w:pPr>
      <w:r w:rsidRPr="00835FFE">
        <w:rPr>
          <w:b/>
          <w:bCs/>
        </w:rPr>
        <w:t>Análisis de series temporales:</w:t>
      </w:r>
      <w:r>
        <w:t xml:space="preserve"> Evalúa el desempeño con el paso del tiempo, la comparación con el desempeño actual y pasado. Usando las razones permite el análisis evaluar el progreso de la compañía.</w:t>
      </w:r>
    </w:p>
    <w:p w14:paraId="39805520" w14:textId="1B372866" w:rsidR="00835FFE" w:rsidRDefault="00835FFE" w:rsidP="00835FFE">
      <w:pPr>
        <w:pStyle w:val="Prrafodelista"/>
        <w:numPr>
          <w:ilvl w:val="0"/>
          <w:numId w:val="2"/>
        </w:numPr>
      </w:pPr>
      <w:r w:rsidRPr="00835FFE">
        <w:rPr>
          <w:b/>
          <w:bCs/>
        </w:rPr>
        <w:t>Análisis combinado:</w:t>
      </w:r>
      <w:r>
        <w:t xml:space="preserve"> El enfoque más informativo del análisis de razones combina el análisis de una muestra representativa y el análisis de series temporales</w:t>
      </w:r>
    </w:p>
    <w:p w14:paraId="0DE2C08B" w14:textId="44C678D3" w:rsidR="00835FFE" w:rsidRDefault="002770D6" w:rsidP="00835FFE">
      <w:r>
        <w:t>Precauciones en el uso de las razones financieras:</w:t>
      </w:r>
    </w:p>
    <w:p w14:paraId="240D51BB" w14:textId="7A9F5037" w:rsidR="002770D6" w:rsidRDefault="002770D6" w:rsidP="002770D6">
      <w:pPr>
        <w:pStyle w:val="Prrafodelista"/>
        <w:numPr>
          <w:ilvl w:val="0"/>
          <w:numId w:val="1"/>
        </w:numPr>
      </w:pPr>
      <w:r>
        <w:t>Las razones que revelan desviaciones importantes de la norma simplemente indican la posibilidad de que exista un problema, por lo regular se requiere análisis adicional para determinar el problema y aislar las causas del mismo</w:t>
      </w:r>
    </w:p>
    <w:p w14:paraId="2D229564" w14:textId="7ACF6928" w:rsidR="002770D6" w:rsidRDefault="002770D6" w:rsidP="002770D6">
      <w:pPr>
        <w:pStyle w:val="Prrafodelista"/>
        <w:numPr>
          <w:ilvl w:val="0"/>
          <w:numId w:val="1"/>
        </w:numPr>
      </w:pPr>
      <w:r>
        <w:t>Por lo general, una sola razón no ofrece suficiente información para evaluar el desempeño general de la empresa, a excepción de ciertos aspectos específicos de ciertas empresas, una o dos podrían ser suficientes</w:t>
      </w:r>
    </w:p>
    <w:p w14:paraId="26BA39B4" w14:textId="0ABED21E" w:rsidR="002770D6" w:rsidRDefault="002770D6" w:rsidP="002770D6">
      <w:pPr>
        <w:pStyle w:val="Prrafodelista"/>
        <w:numPr>
          <w:ilvl w:val="0"/>
          <w:numId w:val="1"/>
        </w:numPr>
      </w:pPr>
      <w:r>
        <w:t>Las razones que comparan, deben calcularse usando estados financieros fechados en el mismo periodo del año si no, los efectos de estacionalidad, pueden generar conclusiones y decisiones erróneas</w:t>
      </w:r>
    </w:p>
    <w:p w14:paraId="09EFC186" w14:textId="2A8C8836" w:rsidR="002770D6" w:rsidRDefault="002770D6" w:rsidP="002770D6">
      <w:r>
        <w:t>Clasificación de las razones financieras:</w:t>
      </w:r>
    </w:p>
    <w:p w14:paraId="54137677" w14:textId="082547AB" w:rsidR="002770D6" w:rsidRDefault="002770D6" w:rsidP="002770D6">
      <w:pPr>
        <w:pStyle w:val="Prrafodelista"/>
        <w:numPr>
          <w:ilvl w:val="0"/>
          <w:numId w:val="3"/>
        </w:numPr>
      </w:pPr>
      <w:r>
        <w:t>Razones de Liquidez</w:t>
      </w:r>
      <w:r w:rsidR="00D50AC2">
        <w:t xml:space="preserve"> </w:t>
      </w:r>
    </w:p>
    <w:p w14:paraId="448BB74A" w14:textId="24A18D64" w:rsidR="002770D6" w:rsidRDefault="002770D6" w:rsidP="002770D6">
      <w:pPr>
        <w:pStyle w:val="Prrafodelista"/>
        <w:numPr>
          <w:ilvl w:val="0"/>
          <w:numId w:val="3"/>
        </w:numPr>
      </w:pPr>
      <w:r>
        <w:t>Razones de Actividad</w:t>
      </w:r>
    </w:p>
    <w:p w14:paraId="34F2C7BE" w14:textId="4B4D36B2" w:rsidR="002770D6" w:rsidRDefault="002770D6" w:rsidP="002770D6">
      <w:pPr>
        <w:pStyle w:val="Prrafodelista"/>
        <w:numPr>
          <w:ilvl w:val="0"/>
          <w:numId w:val="3"/>
        </w:numPr>
      </w:pPr>
      <w:r>
        <w:t>Razones de Endeudamiento</w:t>
      </w:r>
    </w:p>
    <w:p w14:paraId="3ECC0CD8" w14:textId="16818896" w:rsidR="002770D6" w:rsidRDefault="002770D6" w:rsidP="002770D6">
      <w:pPr>
        <w:pStyle w:val="Prrafodelista"/>
        <w:numPr>
          <w:ilvl w:val="0"/>
          <w:numId w:val="3"/>
        </w:numPr>
      </w:pPr>
      <w:r>
        <w:t>Razones de Rentabilidad</w:t>
      </w:r>
    </w:p>
    <w:p w14:paraId="73B4E8EB" w14:textId="4895106F" w:rsidR="002770D6" w:rsidRDefault="002770D6" w:rsidP="002770D6">
      <w:pPr>
        <w:pStyle w:val="Prrafodelista"/>
        <w:numPr>
          <w:ilvl w:val="0"/>
          <w:numId w:val="3"/>
        </w:numPr>
      </w:pPr>
      <w:r>
        <w:t>Razones de Mercado</w:t>
      </w:r>
    </w:p>
    <w:p w14:paraId="4CCEB2AA" w14:textId="77777777" w:rsidR="002770D6" w:rsidRDefault="002770D6" w:rsidP="002770D6"/>
    <w:p w14:paraId="2FE552FB" w14:textId="15BC8BAB" w:rsidR="005A398A" w:rsidRPr="005A398A" w:rsidRDefault="00D50AC2" w:rsidP="002770D6">
      <w:pPr>
        <w:rPr>
          <w:b/>
          <w:bCs/>
          <w:color w:val="EE0000"/>
        </w:rPr>
      </w:pPr>
      <w:r>
        <w:rPr>
          <w:b/>
          <w:bCs/>
          <w:color w:val="EE0000"/>
          <w:highlight w:val="yellow"/>
        </w:rPr>
        <w:t>Razones</w:t>
      </w:r>
      <w:r w:rsidR="005A398A">
        <w:rPr>
          <w:b/>
          <w:bCs/>
          <w:color w:val="EE0000"/>
          <w:highlight w:val="yellow"/>
        </w:rPr>
        <w:t xml:space="preserve"> de </w:t>
      </w:r>
      <w:r w:rsidR="005A398A" w:rsidRPr="005A398A">
        <w:rPr>
          <w:b/>
          <w:bCs/>
          <w:color w:val="EE0000"/>
          <w:highlight w:val="yellow"/>
        </w:rPr>
        <w:t>Liquidez.</w:t>
      </w:r>
    </w:p>
    <w:p w14:paraId="3714F764" w14:textId="075EA358" w:rsidR="005A398A" w:rsidRDefault="005A398A" w:rsidP="002770D6">
      <w:r w:rsidRPr="005A398A">
        <w:rPr>
          <w:b/>
          <w:bCs/>
        </w:rPr>
        <w:t>Definición de liquidez:</w:t>
      </w:r>
      <w:r>
        <w:t xml:space="preserve"> (</w:t>
      </w:r>
      <w:r w:rsidRPr="00810C9A">
        <w:t>Lawrence J. Gitman</w:t>
      </w:r>
      <w:r>
        <w:t>) Es la capacidad de una empresa para cumplir con sus obligaciones de corto plazo a medida que estas llegan a su vencimiento. Solvencia y facilidad para pagar sus cuentas.</w:t>
      </w:r>
    </w:p>
    <w:p w14:paraId="11520847" w14:textId="77777777" w:rsidR="005A398A" w:rsidRDefault="005A398A" w:rsidP="002770D6"/>
    <w:p w14:paraId="0AEE8A31" w14:textId="368F2F68" w:rsidR="005A398A" w:rsidRDefault="005A398A" w:rsidP="002770D6">
      <w:r w:rsidRPr="005A398A">
        <w:rPr>
          <w:b/>
          <w:bCs/>
        </w:rPr>
        <w:lastRenderedPageBreak/>
        <w:t>Definición de valores comerciales:</w:t>
      </w:r>
      <w:r>
        <w:t xml:space="preserve"> Son instrumentos a corto plazo del mercado de dinero que producen intereses y en las que invierten las empresas, utilizando los fondos de efectivo temporales ociosos. Ejemplo: certificados de depósitos negociables, documentos negociables, pagares sin garantía crediticia.</w:t>
      </w:r>
    </w:p>
    <w:p w14:paraId="496B26EF" w14:textId="46F9C7E6" w:rsidR="005A398A" w:rsidRDefault="00E22F20" w:rsidP="002770D6">
      <w:r>
        <w:t>Las dos medidas básicas de liquides son:</w:t>
      </w:r>
    </w:p>
    <w:p w14:paraId="1CCD9B31" w14:textId="2A41C9D3" w:rsidR="00E22F20" w:rsidRDefault="00E22F20" w:rsidP="00E22F20">
      <w:pPr>
        <w:pStyle w:val="Prrafodelista"/>
        <w:numPr>
          <w:ilvl w:val="0"/>
          <w:numId w:val="4"/>
        </w:numPr>
      </w:pPr>
      <w:r w:rsidRPr="00E22F20">
        <w:rPr>
          <w:b/>
          <w:bCs/>
          <w:highlight w:val="cyan"/>
        </w:rPr>
        <w:t>Liquidez Corriente:</w:t>
      </w:r>
      <w:r>
        <w:t xml:space="preserve"> Es la medida de liquidez que se calcula al dividir los activos corrientes de la empresa entre pasivos corrientes. </w:t>
      </w:r>
      <w:r w:rsidRPr="00E22F20">
        <w:rPr>
          <w:color w:val="EE0000"/>
        </w:rPr>
        <w:t xml:space="preserve">Mide la capacidad de la empresa para cumplir con sus obligaciones a corto plazo. </w:t>
      </w:r>
    </w:p>
    <w:p w14:paraId="0EA803FE" w14:textId="0333552B" w:rsidR="00E22F20" w:rsidRDefault="00E22F20" w:rsidP="00E22F20">
      <w:pPr>
        <w:ind w:left="360"/>
      </w:pPr>
      <m:oMathPara>
        <m:oMath>
          <m:r>
            <w:rPr>
              <w:rFonts w:ascii="Cambria Math" w:hAnsi="Cambria Math"/>
              <w:highlight w:val="cyan"/>
            </w:rPr>
            <m:t>Liquidez Corriente=</m:t>
          </m:r>
          <m:f>
            <m:fPr>
              <m:ctrlPr>
                <w:rPr>
                  <w:rFonts w:ascii="Cambria Math" w:hAnsi="Cambria Math"/>
                  <w:i/>
                  <w:highlight w:val="cyan"/>
                </w:rPr>
              </m:ctrlPr>
            </m:fPr>
            <m:num>
              <m:r>
                <w:rPr>
                  <w:rFonts w:ascii="Cambria Math" w:hAnsi="Cambria Math"/>
                  <w:highlight w:val="cyan"/>
                </w:rPr>
                <m:t>Activos Corrientes</m:t>
              </m:r>
            </m:num>
            <m:den>
              <m:r>
                <w:rPr>
                  <w:rFonts w:ascii="Cambria Math" w:hAnsi="Cambria Math"/>
                  <w:highlight w:val="cyan"/>
                </w:rPr>
                <m:t>Pasivos Corrientes</m:t>
              </m:r>
            </m:den>
          </m:f>
        </m:oMath>
      </m:oMathPara>
    </w:p>
    <w:p w14:paraId="1AAA6A55" w14:textId="0EF057DF" w:rsidR="00E22F20" w:rsidRDefault="00E22F20" w:rsidP="00E22F20">
      <w:pPr>
        <w:pStyle w:val="Prrafodelista"/>
        <w:numPr>
          <w:ilvl w:val="0"/>
          <w:numId w:val="4"/>
        </w:numPr>
      </w:pPr>
      <w:r w:rsidRPr="002C608F">
        <w:rPr>
          <w:b/>
          <w:bCs/>
          <w:highlight w:val="cyan"/>
        </w:rPr>
        <w:t>Liquides de la Razón rápida o razón de prueba acida:</w:t>
      </w:r>
      <w:r>
        <w:t xml:space="preserve"> Es la medida de liquidez que se calcula al dividir los activos corrientes de la empresa menos el inventario, entre sus pasivos corrientes. También </w:t>
      </w:r>
      <w:r w:rsidRPr="00E22F20">
        <w:rPr>
          <w:color w:val="EE0000"/>
        </w:rPr>
        <w:t>m</w:t>
      </w:r>
      <w:r>
        <w:rPr>
          <w:color w:val="EE0000"/>
        </w:rPr>
        <w:t>i</w:t>
      </w:r>
      <w:r w:rsidRPr="00E22F20">
        <w:rPr>
          <w:color w:val="EE0000"/>
        </w:rPr>
        <w:t>de la capacidad de cumplir con las obligaciones, pero es más estricta ya que excluye el inventario, que es un recurso no tan liquido y por lo general difícil de convertir en efectivo fácil o rápidamente. (estancamiento de inventario o ventas al crédito)</w:t>
      </w:r>
    </w:p>
    <w:p w14:paraId="1616AABC" w14:textId="5458C778" w:rsidR="00E22F20" w:rsidRDefault="00E22F20" w:rsidP="00E22F20">
      <w:pPr>
        <w:pStyle w:val="Prrafodelista"/>
      </w:pPr>
      <m:oMathPara>
        <m:oMath>
          <m:r>
            <w:rPr>
              <w:rFonts w:ascii="Cambria Math" w:hAnsi="Cambria Math"/>
              <w:highlight w:val="cyan"/>
            </w:rPr>
            <m:t>Prueba Acida=</m:t>
          </m:r>
          <m:f>
            <m:fPr>
              <m:ctrlPr>
                <w:rPr>
                  <w:rFonts w:ascii="Cambria Math" w:hAnsi="Cambria Math"/>
                  <w:i/>
                  <w:highlight w:val="cyan"/>
                </w:rPr>
              </m:ctrlPr>
            </m:fPr>
            <m:num>
              <m:r>
                <w:rPr>
                  <w:rFonts w:ascii="Cambria Math" w:hAnsi="Cambria Math"/>
                  <w:highlight w:val="cyan"/>
                </w:rPr>
                <m:t>Activos Corrientes-Inventario</m:t>
              </m:r>
            </m:num>
            <m:den>
              <m:r>
                <w:rPr>
                  <w:rFonts w:ascii="Cambria Math" w:hAnsi="Cambria Math"/>
                  <w:highlight w:val="cyan"/>
                </w:rPr>
                <m:t>Pasivos Corrientes</m:t>
              </m:r>
            </m:den>
          </m:f>
        </m:oMath>
      </m:oMathPara>
    </w:p>
    <w:p w14:paraId="01D35A44" w14:textId="77777777" w:rsidR="00CF51AC" w:rsidRDefault="00CF51AC" w:rsidP="00E22F20"/>
    <w:p w14:paraId="6EC83F2B" w14:textId="4F173D7E" w:rsidR="00E22F20" w:rsidRPr="00CF51AC" w:rsidRDefault="00CF51AC" w:rsidP="00E22F20">
      <w:pPr>
        <w:rPr>
          <w:b/>
          <w:bCs/>
        </w:rPr>
      </w:pPr>
      <w:r w:rsidRPr="00CF51AC">
        <w:rPr>
          <w:b/>
          <w:bCs/>
          <w:highlight w:val="yellow"/>
        </w:rPr>
        <w:t>En el estudio de la relación Corriente, se deben considerar los siguientes factores:</w:t>
      </w:r>
    </w:p>
    <w:p w14:paraId="5F661E76" w14:textId="165B7510" w:rsidR="00CF51AC" w:rsidRDefault="00CF51AC" w:rsidP="00CF51AC">
      <w:pPr>
        <w:pStyle w:val="Prrafodelista"/>
        <w:numPr>
          <w:ilvl w:val="1"/>
          <w:numId w:val="2"/>
        </w:numPr>
      </w:pPr>
      <w:r>
        <w:t>La composición de las cuentas del activo corriente y el pasivo corriente</w:t>
      </w:r>
    </w:p>
    <w:p w14:paraId="0A57879F" w14:textId="311E543E" w:rsidR="00CF51AC" w:rsidRDefault="00CF51AC" w:rsidP="00CF51AC">
      <w:pPr>
        <w:pStyle w:val="Prrafodelista"/>
        <w:numPr>
          <w:ilvl w:val="1"/>
          <w:numId w:val="2"/>
        </w:numPr>
      </w:pPr>
      <w:r>
        <w:t>La tendencia del activo y pasivo corriente</w:t>
      </w:r>
    </w:p>
    <w:p w14:paraId="5960AB57" w14:textId="0E8F2173" w:rsidR="00CF51AC" w:rsidRDefault="00CF51AC" w:rsidP="00CF51AC">
      <w:pPr>
        <w:pStyle w:val="Prrafodelista"/>
        <w:numPr>
          <w:ilvl w:val="1"/>
          <w:numId w:val="2"/>
        </w:numPr>
      </w:pPr>
      <w:r>
        <w:t>Los plazos obtenidos de los acreedores y los concebidos a los clientes</w:t>
      </w:r>
    </w:p>
    <w:p w14:paraId="1F22CBCE" w14:textId="74907B37" w:rsidR="00CF51AC" w:rsidRDefault="00CF51AC" w:rsidP="00CF51AC">
      <w:pPr>
        <w:pStyle w:val="Prrafodelista"/>
        <w:numPr>
          <w:ilvl w:val="1"/>
          <w:numId w:val="2"/>
        </w:numPr>
      </w:pPr>
      <w:r>
        <w:t>La probabilidad de los cambios en los valores del activo circulante</w:t>
      </w:r>
    </w:p>
    <w:p w14:paraId="0C142EDC" w14:textId="1C4834C8" w:rsidR="00CF51AC" w:rsidRDefault="00CF51AC" w:rsidP="00CF51AC">
      <w:pPr>
        <w:pStyle w:val="Prrafodelista"/>
        <w:numPr>
          <w:ilvl w:val="1"/>
          <w:numId w:val="2"/>
        </w:numPr>
      </w:pPr>
      <w:r>
        <w:t>El Factor estacional, si lo hay, especialmente cuando las razones del circulante son comparadas en diferentes fechas</w:t>
      </w:r>
    </w:p>
    <w:p w14:paraId="6E733B30" w14:textId="577C5945" w:rsidR="00CF51AC" w:rsidRDefault="00CF51AC" w:rsidP="00CF51AC">
      <w:pPr>
        <w:pStyle w:val="Prrafodelista"/>
        <w:numPr>
          <w:ilvl w:val="1"/>
          <w:numId w:val="2"/>
        </w:numPr>
      </w:pPr>
      <w:r>
        <w:t>Los cambios en los inventarios en relación con las ventas actuales y sus perspectivas</w:t>
      </w:r>
    </w:p>
    <w:p w14:paraId="4C68A08B" w14:textId="0A658BE7" w:rsidR="00CF51AC" w:rsidRDefault="00CF51AC" w:rsidP="00CF51AC">
      <w:pPr>
        <w:pStyle w:val="Prrafodelista"/>
        <w:numPr>
          <w:ilvl w:val="1"/>
          <w:numId w:val="2"/>
        </w:numPr>
      </w:pPr>
      <w:r>
        <w:t>La necesidad de un mayor o menor volumen de capital de trabajo</w:t>
      </w:r>
    </w:p>
    <w:p w14:paraId="5A18686D" w14:textId="21E2846C" w:rsidR="00CF51AC" w:rsidRDefault="00CF51AC" w:rsidP="00CF51AC">
      <w:pPr>
        <w:pStyle w:val="Prrafodelista"/>
        <w:numPr>
          <w:ilvl w:val="1"/>
          <w:numId w:val="2"/>
        </w:numPr>
      </w:pPr>
      <w:r>
        <w:t>El importe del efectivo y valores negociables con que se cuenta</w:t>
      </w:r>
    </w:p>
    <w:p w14:paraId="11600BB4" w14:textId="74B24F83" w:rsidR="00CF51AC" w:rsidRDefault="00CF51AC" w:rsidP="00CF51AC">
      <w:pPr>
        <w:pStyle w:val="Prrafodelista"/>
        <w:numPr>
          <w:ilvl w:val="1"/>
          <w:numId w:val="2"/>
        </w:numPr>
      </w:pPr>
      <w:r>
        <w:t>La utilización y disponibilidad, del crédito bancario por la compañía</w:t>
      </w:r>
    </w:p>
    <w:p w14:paraId="35927EF0" w14:textId="259107F4" w:rsidR="00CF51AC" w:rsidRDefault="00CF51AC" w:rsidP="00CF51AC">
      <w:pPr>
        <w:pStyle w:val="Prrafodelista"/>
        <w:numPr>
          <w:ilvl w:val="1"/>
          <w:numId w:val="2"/>
        </w:numPr>
      </w:pPr>
      <w:r>
        <w:t>La proporción de las cuentas por cobrar en relación al volumen de ventas</w:t>
      </w:r>
    </w:p>
    <w:p w14:paraId="1AE10C7B" w14:textId="2308901D" w:rsidR="00CF51AC" w:rsidRDefault="00CF51AC" w:rsidP="00CF51AC">
      <w:r w:rsidRPr="00CF51AC">
        <w:rPr>
          <w:b/>
          <w:bCs/>
        </w:rPr>
        <w:t>Razón de liquidez:</w:t>
      </w:r>
      <w:r>
        <w:t xml:space="preserve"> Generalmente se tiene la creencia que una relación corriente igual o mayor a 1 es sinónimo de buena liquidez, pero ello solo es cierto dependiendo de la agilidad de la empresa de convertir su cartera e inventario a efectivo al obtener el total generado, comparándolo con los pasivos o corrientes.</w:t>
      </w:r>
    </w:p>
    <w:p w14:paraId="1E7C3C3C" w14:textId="52C50B61" w:rsidR="00D47F20" w:rsidRDefault="00D47F20" w:rsidP="00CF51AC">
      <m:oMathPara>
        <m:oMath>
          <m:r>
            <w:rPr>
              <w:rFonts w:ascii="Cambria Math" w:hAnsi="Cambria Math"/>
              <w:highlight w:val="cyan"/>
            </w:rPr>
            <m:t xml:space="preserve">Rendimiento sobre el patrimonio= </m:t>
          </m:r>
          <m:f>
            <m:fPr>
              <m:ctrlPr>
                <w:rPr>
                  <w:rFonts w:ascii="Cambria Math" w:hAnsi="Cambria Math"/>
                  <w:i/>
                  <w:highlight w:val="cyan"/>
                </w:rPr>
              </m:ctrlPr>
            </m:fPr>
            <m:num>
              <m:r>
                <w:rPr>
                  <w:rFonts w:ascii="Cambria Math" w:hAnsi="Cambria Math"/>
                  <w:highlight w:val="cyan"/>
                </w:rPr>
                <m:t>Utilidad neta despues de impuestos</m:t>
              </m:r>
            </m:num>
            <m:den>
              <m:r>
                <w:rPr>
                  <w:rFonts w:ascii="Cambria Math" w:hAnsi="Cambria Math"/>
                  <w:highlight w:val="cyan"/>
                </w:rPr>
                <m:t>Patrimonio</m:t>
              </m:r>
            </m:den>
          </m:f>
        </m:oMath>
      </m:oMathPara>
    </w:p>
    <w:p w14:paraId="5DE72FBA" w14:textId="77777777" w:rsidR="00282C4B" w:rsidRDefault="00282C4B" w:rsidP="00CF51AC"/>
    <w:p w14:paraId="7F779416" w14:textId="271206BA" w:rsidR="00282C4B" w:rsidRDefault="00282C4B" w:rsidP="00CF51AC">
      <w:pPr>
        <w:rPr>
          <w:b/>
          <w:bCs/>
        </w:rPr>
      </w:pPr>
      <w:r w:rsidRPr="00282C4B">
        <w:rPr>
          <w:b/>
          <w:bCs/>
          <w:highlight w:val="yellow"/>
        </w:rPr>
        <w:t>Análisis o índices de actividades de razones financieras</w:t>
      </w:r>
    </w:p>
    <w:p w14:paraId="25FD58F3" w14:textId="77777777" w:rsidR="00D50AC2" w:rsidRPr="00282C4B" w:rsidRDefault="00D50AC2" w:rsidP="00CF51AC">
      <w:pPr>
        <w:rPr>
          <w:b/>
          <w:bCs/>
        </w:rPr>
      </w:pPr>
    </w:p>
    <w:p w14:paraId="38EAB002" w14:textId="1B3E1667" w:rsidR="00282C4B" w:rsidRPr="00D50AC2" w:rsidRDefault="00D50AC2" w:rsidP="00CF51AC">
      <w:pPr>
        <w:rPr>
          <w:b/>
          <w:bCs/>
          <w:color w:val="EE0000"/>
        </w:rPr>
      </w:pPr>
      <w:r w:rsidRPr="00D50AC2">
        <w:rPr>
          <w:b/>
          <w:bCs/>
          <w:color w:val="EE0000"/>
          <w:highlight w:val="yellow"/>
        </w:rPr>
        <w:t>Razones de Actividad</w:t>
      </w:r>
    </w:p>
    <w:p w14:paraId="457C4259" w14:textId="59F952FC" w:rsidR="00D50AC2" w:rsidRDefault="00D50AC2" w:rsidP="00CF51AC">
      <w:r>
        <w:t xml:space="preserve">Miden la rapidez con la que diversas cuentas se convierten en venta o efectivo, es decir, en entradas o salidas. </w:t>
      </w:r>
      <w:r w:rsidRPr="00DB0D86">
        <w:rPr>
          <w:color w:val="EE0000"/>
        </w:rPr>
        <w:t>Miden la eficiencia con la que opera una empresa en una variedad de dimensiones como: administración de inventarios, gastos y cobros.</w:t>
      </w:r>
    </w:p>
    <w:p w14:paraId="54F77E4E" w14:textId="1013D651" w:rsidR="00D50AC2" w:rsidRDefault="00D50AC2" w:rsidP="00CF51AC">
      <w:r w:rsidRPr="00D50AC2">
        <w:rPr>
          <w:b/>
          <w:bCs/>
          <w:highlight w:val="cyan"/>
        </w:rPr>
        <w:lastRenderedPageBreak/>
        <w:t>Rotación de inventario:</w:t>
      </w:r>
      <w:r>
        <w:t xml:space="preserve"> Mide la actividad o liquidez del inventario de una empresa. Indica el numero de veces en que el inventario es realizado en un periodo determinado. Permite determinar cuántas veces se convierte en dinero o en cuentas por cobrar.</w:t>
      </w:r>
    </w:p>
    <w:p w14:paraId="11E62F74" w14:textId="252A4760" w:rsidR="00D50AC2" w:rsidRPr="00D50AC2" w:rsidRDefault="00D50AC2" w:rsidP="00CF51AC">
      <w:pPr>
        <w:rPr>
          <w:rFonts w:eastAsiaTheme="minorEastAsia"/>
        </w:rPr>
      </w:pPr>
      <m:oMathPara>
        <m:oMath>
          <m:r>
            <w:rPr>
              <w:rFonts w:ascii="Cambria Math" w:hAnsi="Cambria Math"/>
              <w:highlight w:val="cyan"/>
            </w:rPr>
            <m:t xml:space="preserve">Rotacion de inventario= </m:t>
          </m:r>
          <m:f>
            <m:fPr>
              <m:ctrlPr>
                <w:rPr>
                  <w:rFonts w:ascii="Cambria Math" w:hAnsi="Cambria Math"/>
                  <w:i/>
                  <w:highlight w:val="cyan"/>
                </w:rPr>
              </m:ctrlPr>
            </m:fPr>
            <m:num>
              <m:r>
                <w:rPr>
                  <w:rFonts w:ascii="Cambria Math" w:hAnsi="Cambria Math"/>
                  <w:highlight w:val="cyan"/>
                </w:rPr>
                <m:t>Costo de los Bienes Vendidos</m:t>
              </m:r>
            </m:num>
            <m:den>
              <m:r>
                <w:rPr>
                  <w:rFonts w:ascii="Cambria Math" w:hAnsi="Cambria Math"/>
                  <w:highlight w:val="cyan"/>
                </w:rPr>
                <m:t>Inventario</m:t>
              </m:r>
            </m:den>
          </m:f>
          <m:r>
            <w:rPr>
              <w:rFonts w:ascii="Cambria Math" w:hAnsi="Cambria Math"/>
            </w:rPr>
            <m:t xml:space="preserve"> </m:t>
          </m:r>
        </m:oMath>
      </m:oMathPara>
    </w:p>
    <w:p w14:paraId="4E38BEB8" w14:textId="77777777" w:rsidR="00D50AC2" w:rsidRDefault="00D50AC2" w:rsidP="00CF51AC"/>
    <w:p w14:paraId="7AB447F0" w14:textId="4E0E4E08" w:rsidR="00D50AC2" w:rsidRPr="00D50AC2" w:rsidRDefault="00D50AC2" w:rsidP="00CF51AC">
      <w:pPr>
        <w:rPr>
          <w:b/>
          <w:bCs/>
        </w:rPr>
      </w:pPr>
      <w:r w:rsidRPr="00D50AC2">
        <w:rPr>
          <w:b/>
          <w:bCs/>
          <w:highlight w:val="cyan"/>
        </w:rPr>
        <w:t>Edad promedio del inventario:</w:t>
      </w:r>
      <w:r w:rsidR="00E443A5">
        <w:rPr>
          <w:b/>
          <w:bCs/>
        </w:rPr>
        <w:t xml:space="preserve"> </w:t>
      </w:r>
      <w:r w:rsidR="00E443A5" w:rsidRPr="00E443A5">
        <w:t>Es</w:t>
      </w:r>
      <w:r w:rsidR="00E443A5">
        <w:t xml:space="preserve"> el número promedio de días que se requiere para vender el inventario. Se calcula de la siguiente manera:</w:t>
      </w:r>
    </w:p>
    <w:p w14:paraId="17EC28E7" w14:textId="77777777" w:rsidR="00D50AC2" w:rsidRDefault="00D50AC2" w:rsidP="00CF51AC"/>
    <w:p w14:paraId="34A0E665" w14:textId="3E68B1D0" w:rsidR="00D50AC2" w:rsidRDefault="00D50AC2" w:rsidP="00D50AC2">
      <m:oMathPara>
        <m:oMath>
          <m:r>
            <w:rPr>
              <w:rFonts w:ascii="Cambria Math" w:hAnsi="Cambria Math"/>
              <w:highlight w:val="cyan"/>
            </w:rPr>
            <m:t xml:space="preserve">Edad promedio de inventario= </m:t>
          </m:r>
          <m:f>
            <m:fPr>
              <m:ctrlPr>
                <w:rPr>
                  <w:rFonts w:ascii="Cambria Math" w:hAnsi="Cambria Math"/>
                  <w:i/>
                  <w:highlight w:val="cyan"/>
                </w:rPr>
              </m:ctrlPr>
            </m:fPr>
            <m:num>
              <m:r>
                <w:rPr>
                  <w:rFonts w:ascii="Cambria Math" w:hAnsi="Cambria Math"/>
                  <w:highlight w:val="cyan"/>
                </w:rPr>
                <m:t>Dias del año (365)</m:t>
              </m:r>
            </m:num>
            <m:den>
              <m:r>
                <w:rPr>
                  <w:rFonts w:ascii="Cambria Math" w:hAnsi="Cambria Math"/>
                  <w:highlight w:val="cyan"/>
                </w:rPr>
                <m:t>Rotacion de inventario</m:t>
              </m:r>
            </m:den>
          </m:f>
          <m:r>
            <w:rPr>
              <w:rFonts w:ascii="Cambria Math" w:hAnsi="Cambria Math"/>
            </w:rPr>
            <m:t xml:space="preserve"> </m:t>
          </m:r>
        </m:oMath>
      </m:oMathPara>
    </w:p>
    <w:p w14:paraId="4C81DB2A" w14:textId="77777777" w:rsidR="00D50AC2" w:rsidRDefault="00D50AC2" w:rsidP="00CF51AC"/>
    <w:p w14:paraId="26672C08" w14:textId="19D65450" w:rsidR="00D50AC2" w:rsidRDefault="00E443A5" w:rsidP="00CF51AC">
      <w:r w:rsidRPr="00E443A5">
        <w:rPr>
          <w:b/>
          <w:bCs/>
          <w:highlight w:val="cyan"/>
        </w:rPr>
        <w:t>Tiempo Promedio de Cobro:</w:t>
      </w:r>
      <w:r>
        <w:t xml:space="preserve"> Es el tiempo promedio que se requiere para cobrar las cuentas</w:t>
      </w:r>
    </w:p>
    <w:p w14:paraId="17BA4ACA" w14:textId="77777777" w:rsidR="00E443A5" w:rsidRDefault="00E443A5" w:rsidP="00CF51AC"/>
    <w:p w14:paraId="20AD6C76" w14:textId="3F1E689E" w:rsidR="00E443A5" w:rsidRDefault="00E443A5" w:rsidP="00E443A5">
      <m:oMathPara>
        <m:oMath>
          <m:r>
            <w:rPr>
              <w:rFonts w:ascii="Cambria Math" w:hAnsi="Cambria Math"/>
              <w:highlight w:val="cyan"/>
            </w:rPr>
            <m:t xml:space="preserve">Tiempo promedio de cobro= </m:t>
          </m:r>
          <m:f>
            <m:fPr>
              <m:ctrlPr>
                <w:rPr>
                  <w:rFonts w:ascii="Cambria Math" w:hAnsi="Cambria Math"/>
                  <w:i/>
                  <w:highlight w:val="cyan"/>
                </w:rPr>
              </m:ctrlPr>
            </m:fPr>
            <m:num>
              <m:r>
                <w:rPr>
                  <w:rFonts w:ascii="Cambria Math" w:hAnsi="Cambria Math"/>
                  <w:highlight w:val="cyan"/>
                </w:rPr>
                <m:t>Cuentas por cobrar</m:t>
              </m:r>
            </m:num>
            <m:den>
              <m:r>
                <w:rPr>
                  <w:rFonts w:ascii="Cambria Math" w:hAnsi="Cambria Math"/>
                  <w:highlight w:val="cyan"/>
                </w:rPr>
                <m:t xml:space="preserve">Ventas diarias promedio </m:t>
              </m:r>
            </m:den>
          </m:f>
          <m:r>
            <w:rPr>
              <w:rFonts w:ascii="Cambria Math" w:hAnsi="Cambria Math"/>
            </w:rPr>
            <m:t>=</m:t>
          </m:r>
          <m:f>
            <m:fPr>
              <m:ctrlPr>
                <w:rPr>
                  <w:rFonts w:ascii="Cambria Math" w:hAnsi="Cambria Math"/>
                  <w:i/>
                </w:rPr>
              </m:ctrlPr>
            </m:fPr>
            <m:num>
              <m:r>
                <w:rPr>
                  <w:rFonts w:ascii="Cambria Math" w:hAnsi="Cambria Math"/>
                </w:rPr>
                <m:t>Cuentas por cobrar</m:t>
              </m:r>
            </m:num>
            <m:den>
              <m:r>
                <w:rPr>
                  <w:rFonts w:ascii="Cambria Math" w:hAnsi="Cambria Math"/>
                </w:rPr>
                <m:t>(</m:t>
              </m:r>
              <m:f>
                <m:fPr>
                  <m:ctrlPr>
                    <w:rPr>
                      <w:rFonts w:ascii="Cambria Math" w:hAnsi="Cambria Math"/>
                      <w:i/>
                    </w:rPr>
                  </m:ctrlPr>
                </m:fPr>
                <m:num>
                  <m:r>
                    <w:rPr>
                      <w:rFonts w:ascii="Cambria Math" w:hAnsi="Cambria Math"/>
                    </w:rPr>
                    <m:t>Ingreso por ventas anuales</m:t>
                  </m:r>
                </m:num>
                <m:den>
                  <m:r>
                    <w:rPr>
                      <w:rFonts w:ascii="Cambria Math" w:hAnsi="Cambria Math"/>
                    </w:rPr>
                    <m:t>365</m:t>
                  </m:r>
                </m:den>
              </m:f>
              <m:r>
                <w:rPr>
                  <w:rFonts w:ascii="Cambria Math" w:hAnsi="Cambria Math"/>
                </w:rPr>
                <m:t xml:space="preserve"> )</m:t>
              </m:r>
            </m:den>
          </m:f>
        </m:oMath>
      </m:oMathPara>
    </w:p>
    <w:p w14:paraId="3BF88AA7" w14:textId="77777777" w:rsidR="00E443A5" w:rsidRDefault="00E443A5" w:rsidP="00CF51AC"/>
    <w:p w14:paraId="7C146079" w14:textId="13150883" w:rsidR="00CF51AC" w:rsidRDefault="00E443A5" w:rsidP="00CF51AC">
      <w:r w:rsidRPr="004015B6">
        <w:rPr>
          <w:b/>
          <w:bCs/>
          <w:highlight w:val="cyan"/>
        </w:rPr>
        <w:t>Periodo Promedio de pago:</w:t>
      </w:r>
      <w:r>
        <w:t xml:space="preserve"> Es el tiempo promedio que se requiere para pagar las cuentas</w:t>
      </w:r>
    </w:p>
    <w:p w14:paraId="53AD3371" w14:textId="476A7A71" w:rsidR="00B2362C" w:rsidRDefault="00B2362C" w:rsidP="00B2362C">
      <m:oMathPara>
        <m:oMath>
          <m:r>
            <w:rPr>
              <w:rFonts w:ascii="Cambria Math" w:hAnsi="Cambria Math"/>
              <w:highlight w:val="cyan"/>
            </w:rPr>
            <m:t xml:space="preserve">Tiempo promedio de pago= </m:t>
          </m:r>
          <m:f>
            <m:fPr>
              <m:ctrlPr>
                <w:rPr>
                  <w:rFonts w:ascii="Cambria Math" w:hAnsi="Cambria Math"/>
                  <w:i/>
                  <w:highlight w:val="cyan"/>
                </w:rPr>
              </m:ctrlPr>
            </m:fPr>
            <m:num>
              <m:r>
                <w:rPr>
                  <w:rFonts w:ascii="Cambria Math" w:hAnsi="Cambria Math"/>
                  <w:highlight w:val="cyan"/>
                </w:rPr>
                <m:t>Cuentas por pagar</m:t>
              </m:r>
            </m:num>
            <m:den>
              <m:r>
                <w:rPr>
                  <w:rFonts w:ascii="Cambria Math" w:hAnsi="Cambria Math"/>
                  <w:highlight w:val="cyan"/>
                </w:rPr>
                <m:t xml:space="preserve">compras diarias promedio </m:t>
              </m:r>
            </m:den>
          </m:f>
          <m:r>
            <w:rPr>
              <w:rFonts w:ascii="Cambria Math" w:hAnsi="Cambria Math"/>
            </w:rPr>
            <m:t>=</m:t>
          </m:r>
          <m:f>
            <m:fPr>
              <m:ctrlPr>
                <w:rPr>
                  <w:rFonts w:ascii="Cambria Math" w:hAnsi="Cambria Math"/>
                  <w:i/>
                </w:rPr>
              </m:ctrlPr>
            </m:fPr>
            <m:num>
              <m:r>
                <w:rPr>
                  <w:rFonts w:ascii="Cambria Math" w:hAnsi="Cambria Math"/>
                </w:rPr>
                <m:t>Cuentas por pagar</m:t>
              </m:r>
            </m:num>
            <m:den>
              <m:r>
                <w:rPr>
                  <w:rFonts w:ascii="Cambria Math" w:hAnsi="Cambria Math"/>
                </w:rPr>
                <m:t>(</m:t>
              </m:r>
              <m:f>
                <m:fPr>
                  <m:ctrlPr>
                    <w:rPr>
                      <w:rFonts w:ascii="Cambria Math" w:hAnsi="Cambria Math"/>
                      <w:i/>
                    </w:rPr>
                  </m:ctrlPr>
                </m:fPr>
                <m:num>
                  <m:r>
                    <w:rPr>
                      <w:rFonts w:ascii="Cambria Math" w:hAnsi="Cambria Math"/>
                    </w:rPr>
                    <m:t>Ingreso por compras anuales</m:t>
                  </m:r>
                </m:num>
                <m:den>
                  <m:r>
                    <w:rPr>
                      <w:rFonts w:ascii="Cambria Math" w:hAnsi="Cambria Math"/>
                    </w:rPr>
                    <m:t>365</m:t>
                  </m:r>
                </m:den>
              </m:f>
              <m:r>
                <w:rPr>
                  <w:rFonts w:ascii="Cambria Math" w:hAnsi="Cambria Math"/>
                </w:rPr>
                <m:t>)</m:t>
              </m:r>
            </m:den>
          </m:f>
        </m:oMath>
      </m:oMathPara>
    </w:p>
    <w:p w14:paraId="3F3EAB2C" w14:textId="77777777" w:rsidR="00E443A5" w:rsidRDefault="00E443A5" w:rsidP="00CF51AC"/>
    <w:p w14:paraId="47ED9B12" w14:textId="26087357" w:rsidR="00E443A5" w:rsidRDefault="004015B6" w:rsidP="00CF51AC">
      <w:r w:rsidRPr="004015B6">
        <w:rPr>
          <w:b/>
          <w:bCs/>
          <w:highlight w:val="cyan"/>
        </w:rPr>
        <w:t>Rotación de activos totales:</w:t>
      </w:r>
      <w:r>
        <w:t xml:space="preserve"> indica la eficiencia con la que las empresas utilizan sus activos para generar ventas.</w:t>
      </w:r>
    </w:p>
    <w:p w14:paraId="0EE75FFB" w14:textId="0C655B26" w:rsidR="004015B6" w:rsidRDefault="004015B6" w:rsidP="00CF51AC">
      <m:oMathPara>
        <m:oMath>
          <m:r>
            <w:rPr>
              <w:rFonts w:ascii="Cambria Math" w:hAnsi="Cambria Math"/>
              <w:highlight w:val="cyan"/>
            </w:rPr>
            <m:t xml:space="preserve">Rotacion de activos totales= </m:t>
          </m:r>
          <m:f>
            <m:fPr>
              <m:ctrlPr>
                <w:rPr>
                  <w:rFonts w:ascii="Cambria Math" w:hAnsi="Cambria Math"/>
                  <w:i/>
                  <w:highlight w:val="cyan"/>
                </w:rPr>
              </m:ctrlPr>
            </m:fPr>
            <m:num>
              <m:r>
                <w:rPr>
                  <w:rFonts w:ascii="Cambria Math" w:hAnsi="Cambria Math"/>
                  <w:highlight w:val="cyan"/>
                </w:rPr>
                <m:t>Ingreso por ventas</m:t>
              </m:r>
            </m:num>
            <m:den>
              <m:r>
                <w:rPr>
                  <w:rFonts w:ascii="Cambria Math" w:hAnsi="Cambria Math"/>
                  <w:highlight w:val="cyan"/>
                </w:rPr>
                <m:t xml:space="preserve">Total de activos </m:t>
              </m:r>
            </m:den>
          </m:f>
        </m:oMath>
      </m:oMathPara>
    </w:p>
    <w:p w14:paraId="2D039FAA" w14:textId="77777777" w:rsidR="004015B6" w:rsidRDefault="004015B6" w:rsidP="00CF51AC"/>
    <w:p w14:paraId="2B537062" w14:textId="5A4C0B42" w:rsidR="00CF51AC" w:rsidRPr="009630FE" w:rsidRDefault="009630FE" w:rsidP="00CF51AC">
      <w:pPr>
        <w:rPr>
          <w:b/>
          <w:bCs/>
          <w:color w:val="EE0000"/>
        </w:rPr>
      </w:pPr>
      <w:r w:rsidRPr="009630FE">
        <w:rPr>
          <w:b/>
          <w:bCs/>
          <w:color w:val="EE0000"/>
          <w:highlight w:val="yellow"/>
        </w:rPr>
        <w:t>Razones de Endeudamiento</w:t>
      </w:r>
    </w:p>
    <w:p w14:paraId="2ADB990E" w14:textId="7A06558E" w:rsidR="00CF51AC" w:rsidRPr="004015B6" w:rsidRDefault="004015B6" w:rsidP="00CF51AC">
      <w:pPr>
        <w:rPr>
          <w:b/>
          <w:bCs/>
        </w:rPr>
      </w:pPr>
      <w:r w:rsidRPr="004015B6">
        <w:rPr>
          <w:b/>
          <w:bCs/>
          <w:highlight w:val="yellow"/>
        </w:rPr>
        <w:t>Análisis de endeudamiento: cálculos de razones e interpretación</w:t>
      </w:r>
    </w:p>
    <w:p w14:paraId="1177E87A" w14:textId="77777777" w:rsidR="00CF51AC" w:rsidRDefault="00CF51AC" w:rsidP="00CF51AC"/>
    <w:p w14:paraId="1FBBE82E" w14:textId="303C3843" w:rsidR="00CF51AC" w:rsidRPr="00DB0D86" w:rsidRDefault="00D66E9C" w:rsidP="00CF51AC">
      <w:pPr>
        <w:rPr>
          <w:color w:val="EE0000"/>
        </w:rPr>
      </w:pPr>
      <w:r w:rsidRPr="00D66E9C">
        <w:rPr>
          <w:b/>
          <w:bCs/>
        </w:rPr>
        <w:t>Posición de endeudamiento de una empresa:</w:t>
      </w:r>
      <w:r>
        <w:t xml:space="preserve">  Indica el monto del dinero de otras personas que se usa para generar utilidades.  Esta razón nos </w:t>
      </w:r>
      <w:r w:rsidRPr="00DB0D86">
        <w:rPr>
          <w:color w:val="EE0000"/>
        </w:rPr>
        <w:t>permite analizar como se está invirtiendo el capital de sus socios y el capital financiado por instituciones de crédito.</w:t>
      </w:r>
    </w:p>
    <w:p w14:paraId="7033980D" w14:textId="04D1A859" w:rsidR="00D66E9C" w:rsidRDefault="00D66E9C" w:rsidP="00CF51AC">
      <w:r w:rsidRPr="00D66E9C">
        <w:rPr>
          <w:b/>
          <w:bCs/>
        </w:rPr>
        <w:t>Definición de Apalancamiento financiero:</w:t>
      </w:r>
      <w:r>
        <w:t xml:space="preserve"> Aumento del riesgo y el rendimiento mediante el uso de financiamiento de costo fijo, como el endeudamiento y las acciones preferentes. Cuando mayor es la deuda de costo fijo que utiliza la empresa, mayor serán sus riesgos en sus rendimientos esperados.</w:t>
      </w:r>
    </w:p>
    <w:p w14:paraId="3E1CE1AB" w14:textId="5AC4DDC7" w:rsidR="00D66E9C" w:rsidRDefault="00D66E9C" w:rsidP="00CF51AC">
      <w:r w:rsidRPr="00D66E9C">
        <w:rPr>
          <w:b/>
          <w:bCs/>
        </w:rPr>
        <w:t>Grado de endeudamiento:</w:t>
      </w:r>
      <w:r>
        <w:t xml:space="preserve"> Mide el monto de la deuda en relación con otras cifras significativas del balance general. Nos permite medir el grado y evaluar el riesgo implícito en el mantenimiento de un determinado nivel de deuda de una empresa y la capacidad de endeudamiento de la misma</w:t>
      </w:r>
      <w:r w:rsidR="00D47F20">
        <w:t>.</w:t>
      </w:r>
    </w:p>
    <w:p w14:paraId="60B11AEA" w14:textId="7FACC498" w:rsidR="00D66E9C" w:rsidRDefault="00B526FD" w:rsidP="00CF51AC">
      <w:r w:rsidRPr="00B526FD">
        <w:rPr>
          <w:b/>
          <w:bCs/>
        </w:rPr>
        <w:lastRenderedPageBreak/>
        <w:t>Capacidad de pago de deudas:</w:t>
      </w:r>
      <w:r>
        <w:t xml:space="preserve"> Es la capacidad de una empresa para realizar los pagos de requeridos de acuerdo al programado durante la vigencia de su deuda. En palabras simples significa pagar las deudas a tiempo.</w:t>
      </w:r>
    </w:p>
    <w:p w14:paraId="5C3FB43B" w14:textId="49E9C84D" w:rsidR="00B526FD" w:rsidRDefault="00B526FD" w:rsidP="00CF51AC">
      <w:r w:rsidRPr="00B526FD">
        <w:rPr>
          <w:b/>
          <w:bCs/>
        </w:rPr>
        <w:t>Índices de coberturas:</w:t>
      </w:r>
      <w:r>
        <w:t xml:space="preserve"> Razones que miden la capacidad de la empresa para pagar ciertos costos fijos. Cuando menor es el índice de cobertura de una empresa, menores posibilidades tienen de pagar sus obligaciones fijas.</w:t>
      </w:r>
    </w:p>
    <w:p w14:paraId="6B771627" w14:textId="6EC46AAD" w:rsidR="00B526FD" w:rsidRDefault="00404C88" w:rsidP="00CF51AC">
      <w:proofErr w:type="spellStart"/>
      <w:r w:rsidRPr="00404C88">
        <w:rPr>
          <w:b/>
          <w:bCs/>
          <w:highlight w:val="cyan"/>
        </w:rPr>
        <w:t>Indice</w:t>
      </w:r>
      <w:proofErr w:type="spellEnd"/>
      <w:r w:rsidRPr="00404C88">
        <w:rPr>
          <w:b/>
          <w:bCs/>
          <w:highlight w:val="cyan"/>
        </w:rPr>
        <w:t xml:space="preserve"> de endeudamiento:</w:t>
      </w:r>
      <w:r>
        <w:t xml:space="preserve"> mide la proporción de los activos totales que financian los acreedores de la empresa. Indica el porcentaje de financiamiento con deuda, entre </w:t>
      </w:r>
      <w:proofErr w:type="spellStart"/>
      <w:r>
        <w:t>mas</w:t>
      </w:r>
      <w:proofErr w:type="spellEnd"/>
      <w:r>
        <w:t xml:space="preserve"> </w:t>
      </w:r>
      <w:proofErr w:type="spellStart"/>
      <w:r>
        <w:t>gande</w:t>
      </w:r>
      <w:proofErr w:type="spellEnd"/>
      <w:r>
        <w:t xml:space="preserve"> </w:t>
      </w:r>
      <w:proofErr w:type="spellStart"/>
      <w:r>
        <w:t>mas</w:t>
      </w:r>
      <w:proofErr w:type="spellEnd"/>
      <w:r>
        <w:t xml:space="preserve"> deuda</w:t>
      </w:r>
    </w:p>
    <w:p w14:paraId="66B241BB" w14:textId="15BF6C59" w:rsidR="00404C88" w:rsidRPr="00404C88" w:rsidRDefault="00404C88" w:rsidP="00CF51AC">
      <w:pPr>
        <w:rPr>
          <w:rFonts w:eastAsiaTheme="minorEastAsia"/>
        </w:rPr>
      </w:pPr>
      <m:oMathPara>
        <m:oMath>
          <m:r>
            <w:rPr>
              <w:rFonts w:ascii="Cambria Math" w:hAnsi="Cambria Math"/>
              <w:highlight w:val="cyan"/>
            </w:rPr>
            <m:t xml:space="preserve">Indice de endeudamiento= </m:t>
          </m:r>
          <m:f>
            <m:fPr>
              <m:ctrlPr>
                <w:rPr>
                  <w:rFonts w:ascii="Cambria Math" w:hAnsi="Cambria Math"/>
                  <w:i/>
                  <w:highlight w:val="cyan"/>
                </w:rPr>
              </m:ctrlPr>
            </m:fPr>
            <m:num>
              <m:r>
                <w:rPr>
                  <w:rFonts w:ascii="Cambria Math" w:hAnsi="Cambria Math"/>
                  <w:highlight w:val="cyan"/>
                </w:rPr>
                <m:t>Total de pasivos</m:t>
              </m:r>
            </m:num>
            <m:den>
              <m:r>
                <w:rPr>
                  <w:rFonts w:ascii="Cambria Math" w:hAnsi="Cambria Math"/>
                  <w:highlight w:val="cyan"/>
                </w:rPr>
                <m:t>Total de activos</m:t>
              </m:r>
            </m:den>
          </m:f>
        </m:oMath>
      </m:oMathPara>
    </w:p>
    <w:p w14:paraId="7F8088B8" w14:textId="77777777" w:rsidR="00404C88" w:rsidRDefault="00404C88" w:rsidP="00CF51AC"/>
    <w:p w14:paraId="1958A7F1" w14:textId="3F7A934D" w:rsidR="00B526FD" w:rsidRDefault="00404C88" w:rsidP="00CF51AC">
      <w:r w:rsidRPr="00404C88">
        <w:rPr>
          <w:b/>
          <w:bCs/>
          <w:highlight w:val="cyan"/>
        </w:rPr>
        <w:t>Razón de cargos de interés fijo:</w:t>
      </w:r>
      <w:r>
        <w:t xml:space="preserve"> Mide la capacidad de la empresa para realizar pagos de intereses contractuales; en ocasiones, se denomina razón de cobertura de intereses. Entre mas alto el valor mayor es la capacidad de la empresa de cumplir con las obligaciones de intereses</w:t>
      </w:r>
    </w:p>
    <w:p w14:paraId="083DCB8C" w14:textId="0C537F88" w:rsidR="00404C88" w:rsidRDefault="00404C88" w:rsidP="00CF51AC">
      <m:oMathPara>
        <m:oMath>
          <m:r>
            <w:rPr>
              <w:rFonts w:ascii="Cambria Math" w:hAnsi="Cambria Math"/>
              <w:highlight w:val="cyan"/>
            </w:rPr>
            <m:t xml:space="preserve">Razon de cargo de interes fijo= </m:t>
          </m:r>
          <m:f>
            <m:fPr>
              <m:ctrlPr>
                <w:rPr>
                  <w:rFonts w:ascii="Cambria Math" w:hAnsi="Cambria Math"/>
                  <w:i/>
                  <w:highlight w:val="cyan"/>
                </w:rPr>
              </m:ctrlPr>
            </m:fPr>
            <m:num>
              <m:r>
                <w:rPr>
                  <w:rFonts w:ascii="Cambria Math" w:hAnsi="Cambria Math"/>
                  <w:highlight w:val="cyan"/>
                </w:rPr>
                <m:t>Utilidades antes de intereses e impuestos</m:t>
              </m:r>
            </m:num>
            <m:den>
              <m:r>
                <w:rPr>
                  <w:rFonts w:ascii="Cambria Math" w:hAnsi="Cambria Math"/>
                  <w:highlight w:val="cyan"/>
                </w:rPr>
                <m:t>Intereses</m:t>
              </m:r>
            </m:den>
          </m:f>
        </m:oMath>
      </m:oMathPara>
    </w:p>
    <w:p w14:paraId="4DC8AF3D" w14:textId="77777777" w:rsidR="00404C88" w:rsidRDefault="00404C88" w:rsidP="00CF51AC"/>
    <w:p w14:paraId="738F77B0" w14:textId="69E48BCC" w:rsidR="00CF51AC" w:rsidRDefault="00404C88" w:rsidP="00E22F20">
      <w:r w:rsidRPr="00404C88">
        <w:rPr>
          <w:b/>
          <w:bCs/>
          <w:highlight w:val="cyan"/>
        </w:rPr>
        <w:t>Índice de cobertura de pagos fijos:</w:t>
      </w:r>
      <w:r>
        <w:t xml:space="preserve"> Mide la capacidad de la empresa para cumplir con todas sus obligaciones de pagos fijos. Como los intereses y el principal de los </w:t>
      </w:r>
      <w:r w:rsidR="00B439B4">
        <w:t>préstamos</w:t>
      </w:r>
      <w:r>
        <w:t>, pagos de arrendamiento, dividendos de acciones preferentes. Cuanto mas alto es el valor mejor es.</w:t>
      </w:r>
      <w:r w:rsidR="00B439B4">
        <w:t xml:space="preserve">  </w:t>
      </w:r>
    </w:p>
    <w:p w14:paraId="30C02BF9" w14:textId="7D03C2A6" w:rsidR="00404C88" w:rsidRDefault="00404C88" w:rsidP="00E22F20">
      <m:oMathPara>
        <m:oMath>
          <m:r>
            <w:rPr>
              <w:rFonts w:ascii="Cambria Math" w:hAnsi="Cambria Math"/>
              <w:sz w:val="20"/>
              <w:szCs w:val="20"/>
              <w:highlight w:val="cyan"/>
            </w:rPr>
            <m:t xml:space="preserve">Indice de cobertura de pagos fijos= </m:t>
          </m:r>
          <m:f>
            <m:fPr>
              <m:ctrlPr>
                <w:rPr>
                  <w:rFonts w:ascii="Cambria Math" w:hAnsi="Cambria Math"/>
                  <w:i/>
                  <w:sz w:val="20"/>
                  <w:szCs w:val="20"/>
                  <w:highlight w:val="cyan"/>
                </w:rPr>
              </m:ctrlPr>
            </m:fPr>
            <m:num>
              <m:r>
                <w:rPr>
                  <w:rFonts w:ascii="Cambria Math" w:hAnsi="Cambria Math"/>
                  <w:sz w:val="20"/>
                  <w:szCs w:val="20"/>
                  <w:highlight w:val="cyan"/>
                </w:rPr>
                <m:t>Utilidades antes de intereses e impuestos+pagos de arrendamiento</m:t>
              </m:r>
            </m:num>
            <m:den>
              <m:r>
                <w:rPr>
                  <w:rFonts w:ascii="Cambria Math" w:hAnsi="Cambria Math"/>
                  <w:sz w:val="20"/>
                  <w:szCs w:val="20"/>
                  <w:highlight w:val="cyan"/>
                </w:rPr>
                <m:t>intereses+pago de arrendamientos+(</m:t>
              </m:r>
              <m:d>
                <m:dPr>
                  <m:ctrlPr>
                    <w:rPr>
                      <w:rFonts w:ascii="Cambria Math" w:hAnsi="Cambria Math"/>
                      <w:i/>
                      <w:sz w:val="20"/>
                      <w:szCs w:val="20"/>
                      <w:highlight w:val="cyan"/>
                    </w:rPr>
                  </m:ctrlPr>
                </m:dPr>
                <m:e>
                  <m:r>
                    <w:rPr>
                      <w:rFonts w:ascii="Cambria Math" w:hAnsi="Cambria Math"/>
                      <w:sz w:val="20"/>
                      <w:szCs w:val="20"/>
                      <w:highlight w:val="cyan"/>
                    </w:rPr>
                    <m:t xml:space="preserve">pagos del principal+dividendo de acciones preferentes </m:t>
                  </m:r>
                </m:e>
              </m:d>
              <m:d>
                <m:dPr>
                  <m:ctrlPr>
                    <w:rPr>
                      <w:rFonts w:ascii="Cambria Math" w:hAnsi="Cambria Math"/>
                      <w:i/>
                      <w:sz w:val="20"/>
                      <w:szCs w:val="20"/>
                      <w:highlight w:val="cyan"/>
                    </w:rPr>
                  </m:ctrlPr>
                </m:dPr>
                <m:e>
                  <m:f>
                    <m:fPr>
                      <m:ctrlPr>
                        <w:rPr>
                          <w:rFonts w:ascii="Cambria Math" w:hAnsi="Cambria Math"/>
                          <w:i/>
                          <w:sz w:val="20"/>
                          <w:szCs w:val="20"/>
                          <w:highlight w:val="cyan"/>
                        </w:rPr>
                      </m:ctrlPr>
                    </m:fPr>
                    <m:num>
                      <m:r>
                        <w:rPr>
                          <w:rFonts w:ascii="Cambria Math" w:hAnsi="Cambria Math"/>
                          <w:sz w:val="20"/>
                          <w:szCs w:val="20"/>
                          <w:highlight w:val="cyan"/>
                        </w:rPr>
                        <m:t>1</m:t>
                      </m:r>
                    </m:num>
                    <m:den>
                      <m:d>
                        <m:dPr>
                          <m:ctrlPr>
                            <w:rPr>
                              <w:rFonts w:ascii="Cambria Math" w:hAnsi="Cambria Math"/>
                              <w:i/>
                              <w:sz w:val="20"/>
                              <w:szCs w:val="20"/>
                              <w:highlight w:val="cyan"/>
                            </w:rPr>
                          </m:ctrlPr>
                        </m:dPr>
                        <m:e>
                          <m:r>
                            <w:rPr>
                              <w:rFonts w:ascii="Cambria Math" w:hAnsi="Cambria Math"/>
                              <w:sz w:val="20"/>
                              <w:szCs w:val="20"/>
                              <w:highlight w:val="cyan"/>
                            </w:rPr>
                            <m:t>1-T</m:t>
                          </m:r>
                        </m:e>
                      </m:d>
                    </m:den>
                  </m:f>
                </m:e>
              </m:d>
              <m:r>
                <w:rPr>
                  <w:rFonts w:ascii="Cambria Math" w:hAnsi="Cambria Math"/>
                  <w:sz w:val="20"/>
                  <w:szCs w:val="20"/>
                  <w:highlight w:val="cyan"/>
                </w:rPr>
                <m:t>)</m:t>
              </m:r>
            </m:den>
          </m:f>
        </m:oMath>
      </m:oMathPara>
    </w:p>
    <w:p w14:paraId="6404CC46" w14:textId="6B06EEDD" w:rsidR="00404C88" w:rsidRDefault="00B439B4" w:rsidP="00E22F20">
      <w:r>
        <w:t>T es la tasa impositiva comparativa aplicable al ingreso de la empresa</w:t>
      </w:r>
    </w:p>
    <w:p w14:paraId="0B925020" w14:textId="306BA066" w:rsidR="00B439B4" w:rsidRDefault="00B439B4" w:rsidP="00E22F20">
      <w:r>
        <w:t>1 / 1-T se incluye para ajustar el principal después de impuestos y los pagos de dividendos de acciones preferentes con un equivalente antes de impuestos.</w:t>
      </w:r>
    </w:p>
    <w:p w14:paraId="7B5BF9A0" w14:textId="2A2C5A09" w:rsidR="00B439B4" w:rsidRPr="009630FE" w:rsidRDefault="009630FE" w:rsidP="00E22F20">
      <w:pPr>
        <w:rPr>
          <w:b/>
          <w:bCs/>
          <w:color w:val="EE0000"/>
        </w:rPr>
      </w:pPr>
      <w:r w:rsidRPr="009630FE">
        <w:rPr>
          <w:b/>
          <w:bCs/>
          <w:color w:val="EE0000"/>
          <w:highlight w:val="yellow"/>
        </w:rPr>
        <w:t>Razones de Rentabilidad</w:t>
      </w:r>
    </w:p>
    <w:p w14:paraId="7F6D474A" w14:textId="237CB7F3" w:rsidR="00B439B4" w:rsidRPr="008C131E" w:rsidRDefault="008C131E" w:rsidP="00E22F20">
      <w:pPr>
        <w:rPr>
          <w:b/>
          <w:bCs/>
        </w:rPr>
      </w:pPr>
      <w:r w:rsidRPr="008C131E">
        <w:rPr>
          <w:b/>
          <w:bCs/>
          <w:highlight w:val="yellow"/>
        </w:rPr>
        <w:t>Análisis de Rentabilidad: Calculo de razones e interpretación.</w:t>
      </w:r>
    </w:p>
    <w:p w14:paraId="07939DE6" w14:textId="7DA94F7F" w:rsidR="008C131E" w:rsidRDefault="007F0E92" w:rsidP="00E22F20">
      <w:r w:rsidRPr="007F0E92">
        <w:rPr>
          <w:b/>
          <w:bCs/>
        </w:rPr>
        <w:t>Definición de Rentabilidad:</w:t>
      </w:r>
      <w:r>
        <w:t xml:space="preserve"> </w:t>
      </w:r>
      <w:r w:rsidRPr="00DB0D86">
        <w:rPr>
          <w:color w:val="EE0000"/>
        </w:rPr>
        <w:t xml:space="preserve">Es la capacidad que tiene algo para generar suficiente utilidad o beneficio; </w:t>
      </w:r>
      <w:r>
        <w:t>por ejemplo, un negocio es rentable cuando genera mas ingresos que egresos, un cliente es rentable cuando genera mayores ingresos que gastos, un área o departamento de una empresa es rentable cuando genera mayores ingresos que costos.</w:t>
      </w:r>
    </w:p>
    <w:p w14:paraId="215F4780" w14:textId="761A1EDB" w:rsidR="00F6383D" w:rsidRDefault="007F0E92" w:rsidP="00E22F20">
      <w:r w:rsidRPr="00F6383D">
        <w:rPr>
          <w:b/>
          <w:bCs/>
        </w:rPr>
        <w:t>Estado de perdida y Ganancia de tamaño común:</w:t>
      </w:r>
      <w:r>
        <w:t xml:space="preserve"> </w:t>
      </w:r>
      <w:r w:rsidR="009630FE">
        <w:t xml:space="preserve">Es el </w:t>
      </w:r>
      <w:r>
        <w:t xml:space="preserve">Estado de resultados </w:t>
      </w:r>
      <w:r w:rsidR="00DC3876">
        <w:t xml:space="preserve">en el que cada rubro se expresa como un porcentaje de las ventas. Es muy utilizada para evaluar la rentabilidad respecto a las ventas. Comparan el desempeño a lo largo de los años. </w:t>
      </w:r>
    </w:p>
    <w:p w14:paraId="325A1307" w14:textId="5B212397" w:rsidR="00404C88" w:rsidRDefault="00DC3876" w:rsidP="00E22F20">
      <w:r>
        <w:t xml:space="preserve">Algunos </w:t>
      </w:r>
      <w:r w:rsidR="00F6383D">
        <w:t>índices de rentabilidad citados con frecuencia en el estado de perdidas y ganancia son:</w:t>
      </w:r>
      <w:r w:rsidR="007F0E92">
        <w:t xml:space="preserve"> </w:t>
      </w:r>
    </w:p>
    <w:p w14:paraId="391B59D1" w14:textId="543C1695" w:rsidR="00F6383D" w:rsidRDefault="00F6383D" w:rsidP="00F6383D">
      <w:pPr>
        <w:pStyle w:val="Prrafodelista"/>
        <w:numPr>
          <w:ilvl w:val="0"/>
          <w:numId w:val="6"/>
        </w:numPr>
      </w:pPr>
      <w:r w:rsidRPr="00F6383D">
        <w:rPr>
          <w:b/>
          <w:bCs/>
          <w:highlight w:val="cyan"/>
        </w:rPr>
        <w:t>Margen de utilidad Bruta</w:t>
      </w:r>
      <w:r>
        <w:t>:  Mide el porcentaje que queda de cada dólar de ventas después de que la empresa pagó sus bienes. Cuando mas alto es el margen mejor ya que es un menor costo en la mercancía vendida.</w:t>
      </w:r>
    </w:p>
    <w:p w14:paraId="7CDDEDCD" w14:textId="36B349AD" w:rsidR="00F6383D" w:rsidRDefault="00F6383D" w:rsidP="00F6383D">
      <w:pPr>
        <w:pStyle w:val="Prrafodelista"/>
      </w:pPr>
      <m:oMathPara>
        <m:oMath>
          <m:r>
            <w:rPr>
              <w:rFonts w:ascii="Cambria Math" w:hAnsi="Cambria Math"/>
              <w:highlight w:val="cyan"/>
            </w:rPr>
            <m:t xml:space="preserve">Margen de utilidad Bruta= </m:t>
          </m:r>
          <m:f>
            <m:fPr>
              <m:ctrlPr>
                <w:rPr>
                  <w:rFonts w:ascii="Cambria Math" w:hAnsi="Cambria Math"/>
                  <w:i/>
                  <w:highlight w:val="cyan"/>
                </w:rPr>
              </m:ctrlPr>
            </m:fPr>
            <m:num>
              <m:r>
                <w:rPr>
                  <w:rFonts w:ascii="Cambria Math" w:hAnsi="Cambria Math"/>
                  <w:highlight w:val="cyan"/>
                </w:rPr>
                <m:t>Ventas-Costos de bienes vendidos</m:t>
              </m:r>
            </m:num>
            <m:den>
              <m:r>
                <w:rPr>
                  <w:rFonts w:ascii="Cambria Math" w:hAnsi="Cambria Math"/>
                  <w:highlight w:val="cyan"/>
                </w:rPr>
                <m:t>Ventas</m:t>
              </m:r>
            </m:den>
          </m:f>
        </m:oMath>
      </m:oMathPara>
    </w:p>
    <w:p w14:paraId="2D99FE58" w14:textId="0D2CCDE1" w:rsidR="00F6383D" w:rsidRDefault="00F6383D" w:rsidP="00F6383D">
      <w:pPr>
        <w:pStyle w:val="Prrafodelista"/>
        <w:numPr>
          <w:ilvl w:val="0"/>
          <w:numId w:val="6"/>
        </w:numPr>
      </w:pPr>
      <w:r w:rsidRPr="00F6383D">
        <w:rPr>
          <w:b/>
          <w:bCs/>
          <w:highlight w:val="cyan"/>
        </w:rPr>
        <w:lastRenderedPageBreak/>
        <w:t>Margen de utilidad Operativa</w:t>
      </w:r>
      <w:r>
        <w:t xml:space="preserve">: Mide el porcentaje que queda de cada dólar de ventas después de que se dedujeron todos los costos y gastos, excluyendo los intereses, impuestos y dividendos de acciones preferentes; las </w:t>
      </w:r>
      <w:proofErr w:type="gramStart"/>
      <w:r>
        <w:t>utilidades ”puras</w:t>
      </w:r>
      <w:proofErr w:type="gramEnd"/>
      <w:r>
        <w:t>” ganadas por cada dólar de venta</w:t>
      </w:r>
    </w:p>
    <w:p w14:paraId="2CB04A40" w14:textId="40E1F5BB" w:rsidR="00F6383D" w:rsidRDefault="0037212A" w:rsidP="00F6383D">
      <m:oMathPara>
        <m:oMath>
          <m:r>
            <w:rPr>
              <w:rFonts w:ascii="Cambria Math" w:hAnsi="Cambria Math"/>
              <w:highlight w:val="cyan"/>
            </w:rPr>
            <m:t xml:space="preserve">Margen de utilidad Operativa= </m:t>
          </m:r>
          <m:f>
            <m:fPr>
              <m:ctrlPr>
                <w:rPr>
                  <w:rFonts w:ascii="Cambria Math" w:hAnsi="Cambria Math"/>
                  <w:i/>
                  <w:highlight w:val="cyan"/>
                </w:rPr>
              </m:ctrlPr>
            </m:fPr>
            <m:num>
              <m:r>
                <w:rPr>
                  <w:rFonts w:ascii="Cambria Math" w:hAnsi="Cambria Math"/>
                  <w:highlight w:val="cyan"/>
                </w:rPr>
                <m:t>Utilidad Operativa</m:t>
              </m:r>
            </m:num>
            <m:den>
              <m:r>
                <w:rPr>
                  <w:rFonts w:ascii="Cambria Math" w:hAnsi="Cambria Math"/>
                  <w:highlight w:val="cyan"/>
                </w:rPr>
                <m:t>Ventas</m:t>
              </m:r>
            </m:den>
          </m:f>
        </m:oMath>
      </m:oMathPara>
    </w:p>
    <w:p w14:paraId="4E7C4231" w14:textId="24BCA108" w:rsidR="00F6383D" w:rsidRDefault="00F6383D" w:rsidP="00F6383D">
      <w:pPr>
        <w:pStyle w:val="Prrafodelista"/>
        <w:numPr>
          <w:ilvl w:val="0"/>
          <w:numId w:val="6"/>
        </w:numPr>
      </w:pPr>
      <w:r w:rsidRPr="00F6383D">
        <w:rPr>
          <w:b/>
          <w:bCs/>
          <w:highlight w:val="cyan"/>
        </w:rPr>
        <w:t>Margen de utilidad Neta</w:t>
      </w:r>
      <w:r>
        <w:t>: Mide el porcentaje que queda de cada dólar de ventas después de que se dedujeron todos los costos y gastos, incluyendo los intereses, impuestos y dividendos de acciones preferentes.</w:t>
      </w:r>
    </w:p>
    <w:p w14:paraId="3F697BDB" w14:textId="1824B49D" w:rsidR="00E22F20" w:rsidRDefault="0037212A" w:rsidP="00E22F20">
      <m:oMathPara>
        <m:oMath>
          <m:r>
            <w:rPr>
              <w:rFonts w:ascii="Cambria Math" w:hAnsi="Cambria Math"/>
              <w:highlight w:val="cyan"/>
            </w:rPr>
            <m:t xml:space="preserve">Margen de utilidad Neta= </m:t>
          </m:r>
          <m:f>
            <m:fPr>
              <m:ctrlPr>
                <w:rPr>
                  <w:rFonts w:ascii="Cambria Math" w:hAnsi="Cambria Math"/>
                  <w:i/>
                  <w:highlight w:val="cyan"/>
                </w:rPr>
              </m:ctrlPr>
            </m:fPr>
            <m:num>
              <m:r>
                <w:rPr>
                  <w:rFonts w:ascii="Cambria Math" w:hAnsi="Cambria Math"/>
                  <w:highlight w:val="cyan"/>
                </w:rPr>
                <m:t>Ganancias disponibles entre los accionistas</m:t>
              </m:r>
            </m:num>
            <m:den>
              <m:r>
                <w:rPr>
                  <w:rFonts w:ascii="Cambria Math" w:hAnsi="Cambria Math"/>
                  <w:highlight w:val="cyan"/>
                </w:rPr>
                <m:t>Ventas</m:t>
              </m:r>
            </m:den>
          </m:f>
        </m:oMath>
      </m:oMathPara>
    </w:p>
    <w:p w14:paraId="6426DF30" w14:textId="77777777" w:rsidR="00E22F20" w:rsidRDefault="00E22F20" w:rsidP="00E22F20"/>
    <w:p w14:paraId="6C2AB5FE" w14:textId="099C6BB7" w:rsidR="005A398A" w:rsidRPr="0037212A" w:rsidRDefault="0037212A" w:rsidP="002770D6">
      <w:pPr>
        <w:rPr>
          <w:b/>
          <w:bCs/>
        </w:rPr>
      </w:pPr>
      <w:r w:rsidRPr="0037212A">
        <w:rPr>
          <w:b/>
          <w:bCs/>
          <w:highlight w:val="yellow"/>
        </w:rPr>
        <w:t>Rendimientos sobre los activos totales (RSA) y Rendimiento sobre el Patrimonio (RSP)</w:t>
      </w:r>
    </w:p>
    <w:p w14:paraId="4C136D4F" w14:textId="150C7AD5" w:rsidR="0037212A" w:rsidRDefault="0037212A" w:rsidP="002770D6">
      <w:r w:rsidRPr="0037212A">
        <w:rPr>
          <w:b/>
          <w:bCs/>
          <w:highlight w:val="cyan"/>
        </w:rPr>
        <w:t>Rendimientos sobre los activos totales (RSA):</w:t>
      </w:r>
      <w:r>
        <w:rPr>
          <w:b/>
          <w:bCs/>
        </w:rPr>
        <w:t xml:space="preserve"> </w:t>
      </w:r>
      <w:r>
        <w:t xml:space="preserve">Mide la </w:t>
      </w:r>
      <w:r w:rsidRPr="00DB0D86">
        <w:rPr>
          <w:color w:val="EE0000"/>
        </w:rPr>
        <w:t xml:space="preserve">eficacia integral de la administración para generar utilidades con sus activos disponibles. </w:t>
      </w:r>
      <w:r>
        <w:t>Se denomina también RENDIMIENTO SOBRE LA INVERSION (RSI)</w:t>
      </w:r>
    </w:p>
    <w:p w14:paraId="6C2D1CB7" w14:textId="427027AF" w:rsidR="0037212A" w:rsidRDefault="0037212A" w:rsidP="002770D6">
      <m:oMathPara>
        <m:oMath>
          <m:r>
            <w:rPr>
              <w:rFonts w:ascii="Cambria Math" w:hAnsi="Cambria Math"/>
              <w:highlight w:val="cyan"/>
            </w:rPr>
            <m:t>RSA=</m:t>
          </m:r>
          <m:f>
            <m:fPr>
              <m:ctrlPr>
                <w:rPr>
                  <w:rFonts w:ascii="Cambria Math" w:hAnsi="Cambria Math"/>
                  <w:i/>
                  <w:highlight w:val="cyan"/>
                </w:rPr>
              </m:ctrlPr>
            </m:fPr>
            <m:num>
              <m:r>
                <w:rPr>
                  <w:rFonts w:ascii="Cambria Math" w:hAnsi="Cambria Math"/>
                  <w:highlight w:val="cyan"/>
                </w:rPr>
                <m:t>Ganancia disponible para los accionistas comunes</m:t>
              </m:r>
            </m:num>
            <m:den>
              <m:r>
                <w:rPr>
                  <w:rFonts w:ascii="Cambria Math" w:hAnsi="Cambria Math"/>
                  <w:highlight w:val="cyan"/>
                </w:rPr>
                <m:t>Total de activos</m:t>
              </m:r>
            </m:den>
          </m:f>
        </m:oMath>
      </m:oMathPara>
    </w:p>
    <w:p w14:paraId="0514C6D7" w14:textId="77777777" w:rsidR="0037212A" w:rsidRDefault="0037212A" w:rsidP="002770D6"/>
    <w:p w14:paraId="47B1D1B8" w14:textId="77777777" w:rsidR="009630FE" w:rsidRDefault="0037212A" w:rsidP="0037212A">
      <w:r w:rsidRPr="009630FE">
        <w:rPr>
          <w:b/>
          <w:bCs/>
          <w:highlight w:val="cyan"/>
        </w:rPr>
        <w:t>Rendimiento sobre el Patrimonio (RSP):</w:t>
      </w:r>
      <w:r>
        <w:rPr>
          <w:b/>
          <w:bCs/>
        </w:rPr>
        <w:t xml:space="preserve"> </w:t>
      </w:r>
      <w:r>
        <w:t xml:space="preserve">Mide el rendimiento ganado sobre la </w:t>
      </w:r>
      <w:r w:rsidR="009630FE">
        <w:t>inversión de los accionistas comunes de la empresa</w:t>
      </w:r>
    </w:p>
    <w:p w14:paraId="6CB1396E" w14:textId="05D6F7EB" w:rsidR="0037212A" w:rsidRPr="0037212A" w:rsidRDefault="009630FE" w:rsidP="0037212A">
      <m:oMathPara>
        <m:oMath>
          <m:r>
            <w:rPr>
              <w:rFonts w:ascii="Cambria Math" w:hAnsi="Cambria Math"/>
              <w:highlight w:val="cyan"/>
            </w:rPr>
            <m:t>RSP=</m:t>
          </m:r>
          <m:f>
            <m:fPr>
              <m:ctrlPr>
                <w:rPr>
                  <w:rFonts w:ascii="Cambria Math" w:hAnsi="Cambria Math"/>
                  <w:i/>
                  <w:highlight w:val="cyan"/>
                </w:rPr>
              </m:ctrlPr>
            </m:fPr>
            <m:num>
              <m:r>
                <w:rPr>
                  <w:rFonts w:ascii="Cambria Math" w:hAnsi="Cambria Math"/>
                  <w:highlight w:val="cyan"/>
                </w:rPr>
                <m:t>Ganancia disponible para los accionista comunes</m:t>
              </m:r>
            </m:num>
            <m:den>
              <m:r>
                <w:rPr>
                  <w:rFonts w:ascii="Cambria Math" w:hAnsi="Cambria Math"/>
                  <w:highlight w:val="cyan"/>
                </w:rPr>
                <m:t>Capital en acciones comunes</m:t>
              </m:r>
            </m:den>
          </m:f>
        </m:oMath>
      </m:oMathPara>
    </w:p>
    <w:p w14:paraId="79041643" w14:textId="77777777" w:rsidR="005A398A" w:rsidRDefault="005A398A" w:rsidP="002770D6"/>
    <w:p w14:paraId="3B4DF2A3" w14:textId="77777777" w:rsidR="005A398A" w:rsidRDefault="005A398A" w:rsidP="002770D6"/>
    <w:p w14:paraId="6D5B1EA0" w14:textId="0286D993" w:rsidR="00835FFE" w:rsidRDefault="009630FE" w:rsidP="00835FFE">
      <w:pPr>
        <w:rPr>
          <w:b/>
          <w:bCs/>
          <w:color w:val="EE0000"/>
        </w:rPr>
      </w:pPr>
      <w:r w:rsidRPr="009630FE">
        <w:rPr>
          <w:b/>
          <w:bCs/>
          <w:color w:val="EE0000"/>
          <w:highlight w:val="yellow"/>
        </w:rPr>
        <w:t>Razones de Mercado</w:t>
      </w:r>
    </w:p>
    <w:p w14:paraId="0E6C68B4" w14:textId="18794AE8" w:rsidR="009630FE" w:rsidRDefault="0077117A" w:rsidP="00835FFE">
      <w:r w:rsidRPr="0077117A">
        <w:rPr>
          <w:b/>
          <w:bCs/>
        </w:rPr>
        <w:t>Definición</w:t>
      </w:r>
      <w:r>
        <w:t xml:space="preserve">:  Las razones de mercado </w:t>
      </w:r>
      <w:r w:rsidRPr="00DB0D86">
        <w:rPr>
          <w:color w:val="EE0000"/>
        </w:rPr>
        <w:t>relacionan el valor del mercado de una empresa, medido por el precio de mercado de sus acciones, con ciertos valores contables.</w:t>
      </w:r>
      <w:r>
        <w:t xml:space="preserve"> Explican que tan bien se desarrolla la empresa en cuanto al riesgo y rendimiento</w:t>
      </w:r>
    </w:p>
    <w:p w14:paraId="2E50759F" w14:textId="2F6FC70C" w:rsidR="0077117A" w:rsidRDefault="0077117A" w:rsidP="00835FFE">
      <w:r>
        <w:t>Son una metodología de análisis financiero que relacionan el valor de mercado de una firma con valores contables particulares.</w:t>
      </w:r>
    </w:p>
    <w:p w14:paraId="550A5921" w14:textId="090112BC" w:rsidR="0077117A" w:rsidRDefault="0077117A" w:rsidP="00835FFE">
      <w:r>
        <w:t>Según los inversionistas del mercado, reflejan sobre una base relativa la evaluación que hacen los accionistas comunes de todos los aspectos del desempeño pasado y futuro de la empresa.</w:t>
      </w:r>
    </w:p>
    <w:p w14:paraId="55CE30A0" w14:textId="1C36FD8B" w:rsidR="0077117A" w:rsidRDefault="0077117A" w:rsidP="00835FFE">
      <w:r w:rsidRPr="0077117A">
        <w:rPr>
          <w:b/>
          <w:bCs/>
        </w:rPr>
        <w:t>Valor en Libros o Valor Contable:</w:t>
      </w:r>
      <w:r>
        <w:t xml:space="preserve"> Es a la cuantía neta por la cual es registrada un rubro en los estados financieros.</w:t>
      </w:r>
    </w:p>
    <w:p w14:paraId="2D783212" w14:textId="79BA7B70" w:rsidR="00417E30" w:rsidRDefault="00417E30" w:rsidP="00835FFE">
      <w:r w:rsidRPr="00417E30">
        <w:rPr>
          <w:b/>
          <w:bCs/>
          <w:highlight w:val="cyan"/>
        </w:rPr>
        <w:t>Relación Precio/Ganancia (P/G):</w:t>
      </w:r>
      <w:r>
        <w:t xml:space="preserve"> Mide la cantidad que los inversionistas están dispuestos a pagar por cada dólar de las ganancias de una empresa; cuanto mayor sea la relación P/G, mayor será la confianza de los inversionistas.</w:t>
      </w:r>
    </w:p>
    <w:p w14:paraId="64AB25DA" w14:textId="3D7288A6" w:rsidR="00417E30" w:rsidRPr="00417E30" w:rsidRDefault="00417E30" w:rsidP="00835FFE">
      <w:pPr>
        <w:rPr>
          <w:rFonts w:eastAsiaTheme="minorEastAsia"/>
        </w:rPr>
      </w:pPr>
      <m:oMathPara>
        <m:oMath>
          <m:r>
            <w:rPr>
              <w:rFonts w:ascii="Cambria Math" w:hAnsi="Cambria Math"/>
              <w:highlight w:val="cyan"/>
            </w:rPr>
            <m:t>Relacion</m:t>
          </m:r>
          <m:f>
            <m:fPr>
              <m:type m:val="skw"/>
              <m:ctrlPr>
                <w:rPr>
                  <w:rFonts w:ascii="Cambria Math" w:hAnsi="Cambria Math"/>
                  <w:i/>
                  <w:highlight w:val="cyan"/>
                </w:rPr>
              </m:ctrlPr>
            </m:fPr>
            <m:num>
              <m:r>
                <w:rPr>
                  <w:rFonts w:ascii="Cambria Math" w:hAnsi="Cambria Math"/>
                  <w:highlight w:val="cyan"/>
                </w:rPr>
                <m:t>P</m:t>
              </m:r>
            </m:num>
            <m:den>
              <m:r>
                <w:rPr>
                  <w:rFonts w:ascii="Cambria Math" w:hAnsi="Cambria Math"/>
                  <w:highlight w:val="cyan"/>
                </w:rPr>
                <m:t>G</m:t>
              </m:r>
            </m:den>
          </m:f>
          <m:r>
            <w:rPr>
              <w:rFonts w:ascii="Cambria Math" w:hAnsi="Cambria Math"/>
              <w:highlight w:val="cyan"/>
            </w:rPr>
            <m:t xml:space="preserve">= </m:t>
          </m:r>
          <m:f>
            <m:fPr>
              <m:ctrlPr>
                <w:rPr>
                  <w:rFonts w:ascii="Cambria Math" w:hAnsi="Cambria Math"/>
                  <w:i/>
                  <w:highlight w:val="cyan"/>
                </w:rPr>
              </m:ctrlPr>
            </m:fPr>
            <m:num>
              <m:r>
                <w:rPr>
                  <w:rFonts w:ascii="Cambria Math" w:hAnsi="Cambria Math"/>
                  <w:highlight w:val="cyan"/>
                </w:rPr>
                <m:t>Precio de mercado por accion comun</m:t>
              </m:r>
            </m:num>
            <m:den>
              <m:r>
                <w:rPr>
                  <w:rFonts w:ascii="Cambria Math" w:hAnsi="Cambria Math"/>
                  <w:highlight w:val="cyan"/>
                </w:rPr>
                <m:t>Ganancias por accion</m:t>
              </m:r>
            </m:den>
          </m:f>
        </m:oMath>
      </m:oMathPara>
    </w:p>
    <w:p w14:paraId="570D0312" w14:textId="0D2C2871" w:rsidR="00417E30" w:rsidRDefault="00417E30" w:rsidP="00835FFE">
      <w:pPr>
        <w:rPr>
          <w:rFonts w:eastAsiaTheme="minorEastAsia"/>
        </w:rPr>
      </w:pPr>
      <w:r w:rsidRPr="00417E30">
        <w:rPr>
          <w:rFonts w:eastAsiaTheme="minorEastAsia"/>
          <w:b/>
          <w:bCs/>
          <w:highlight w:val="cyan"/>
        </w:rPr>
        <w:lastRenderedPageBreak/>
        <w:t>Razón de Mercado/Libro (M/L):</w:t>
      </w:r>
      <w:r>
        <w:rPr>
          <w:rFonts w:eastAsiaTheme="minorEastAsia"/>
        </w:rPr>
        <w:t xml:space="preserve"> Permite hacer una evaluación de cómo los inversionistas ven el desempeño de la empresa. Las compañías de las que se esperan altos rendimientos en relación con su riesgo, por lo general, venden a múltiplo M/L más alto.</w:t>
      </w:r>
    </w:p>
    <w:p w14:paraId="4309FC48" w14:textId="18175BCE" w:rsidR="00417E30" w:rsidRPr="00417E30" w:rsidRDefault="00417E30" w:rsidP="00835FFE">
      <w:pPr>
        <w:rPr>
          <w:rFonts w:eastAsiaTheme="minorEastAsia"/>
        </w:rPr>
      </w:pPr>
      <m:oMathPara>
        <m:oMath>
          <m:r>
            <w:rPr>
              <w:rFonts w:ascii="Cambria Math" w:hAnsi="Cambria Math"/>
              <w:highlight w:val="cyan"/>
            </w:rPr>
            <m:t xml:space="preserve">Valor en libros por accion comun= </m:t>
          </m:r>
          <m:f>
            <m:fPr>
              <m:ctrlPr>
                <w:rPr>
                  <w:rFonts w:ascii="Cambria Math" w:hAnsi="Cambria Math"/>
                  <w:i/>
                  <w:highlight w:val="cyan"/>
                </w:rPr>
              </m:ctrlPr>
            </m:fPr>
            <m:num>
              <m:r>
                <w:rPr>
                  <w:rFonts w:ascii="Cambria Math" w:hAnsi="Cambria Math"/>
                  <w:highlight w:val="cyan"/>
                </w:rPr>
                <m:t>Capital en acciones comunes</m:t>
              </m:r>
            </m:num>
            <m:den>
              <m:r>
                <w:rPr>
                  <w:rFonts w:ascii="Cambria Math" w:hAnsi="Cambria Math"/>
                  <w:highlight w:val="cyan"/>
                </w:rPr>
                <m:t>Numero de acciones comunes en circulacion</m:t>
              </m:r>
            </m:den>
          </m:f>
        </m:oMath>
      </m:oMathPara>
    </w:p>
    <w:p w14:paraId="5839D6E5" w14:textId="77777777" w:rsidR="00417E30" w:rsidRPr="009630FE" w:rsidRDefault="00417E30" w:rsidP="00835FFE"/>
    <w:sectPr w:rsidR="00417E30" w:rsidRPr="009630FE" w:rsidSect="00B439B4">
      <w:pgSz w:w="12240" w:h="15840"/>
      <w:pgMar w:top="426" w:right="1701" w:bottom="709"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6901"/>
    <w:multiLevelType w:val="hybridMultilevel"/>
    <w:tmpl w:val="54EE9890"/>
    <w:lvl w:ilvl="0" w:tplc="440A000F">
      <w:start w:val="1"/>
      <w:numFmt w:val="decimal"/>
      <w:lvlText w:val="%1."/>
      <w:lvlJc w:val="left"/>
      <w:pPr>
        <w:ind w:left="720" w:hanging="360"/>
      </w:pPr>
      <w:rPr>
        <w:rFonts w:hint="default"/>
      </w:r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21033727"/>
    <w:multiLevelType w:val="hybridMultilevel"/>
    <w:tmpl w:val="4F0005E4"/>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2FCA13BC"/>
    <w:multiLevelType w:val="hybridMultilevel"/>
    <w:tmpl w:val="DE04C786"/>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617928F5"/>
    <w:multiLevelType w:val="hybridMultilevel"/>
    <w:tmpl w:val="8BE8D49C"/>
    <w:lvl w:ilvl="0" w:tplc="500AF674">
      <w:numFmt w:val="bullet"/>
      <w:lvlText w:val="-"/>
      <w:lvlJc w:val="left"/>
      <w:pPr>
        <w:ind w:left="720" w:hanging="360"/>
      </w:pPr>
      <w:rPr>
        <w:rFonts w:ascii="Calibri" w:eastAsiaTheme="minorHAnsi" w:hAnsi="Calibri"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70583DDA"/>
    <w:multiLevelType w:val="hybridMultilevel"/>
    <w:tmpl w:val="F49489F2"/>
    <w:lvl w:ilvl="0" w:tplc="440A000F">
      <w:start w:val="1"/>
      <w:numFmt w:val="decimal"/>
      <w:lvlText w:val="%1."/>
      <w:lvlJc w:val="left"/>
      <w:pPr>
        <w:ind w:left="720" w:hanging="360"/>
      </w:pPr>
      <w:rPr>
        <w:rFonts w:hint="default"/>
      </w:r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738D2FB9"/>
    <w:multiLevelType w:val="hybridMultilevel"/>
    <w:tmpl w:val="E2DEF446"/>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448284160">
    <w:abstractNumId w:val="3"/>
  </w:num>
  <w:num w:numId="2" w16cid:durableId="1296915059">
    <w:abstractNumId w:val="0"/>
  </w:num>
  <w:num w:numId="3" w16cid:durableId="951790343">
    <w:abstractNumId w:val="2"/>
  </w:num>
  <w:num w:numId="4" w16cid:durableId="307050072">
    <w:abstractNumId w:val="4"/>
  </w:num>
  <w:num w:numId="5" w16cid:durableId="415446142">
    <w:abstractNumId w:val="5"/>
  </w:num>
  <w:num w:numId="6" w16cid:durableId="379092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870"/>
    <w:rsid w:val="000358C4"/>
    <w:rsid w:val="00056347"/>
    <w:rsid w:val="000E36CB"/>
    <w:rsid w:val="001A4514"/>
    <w:rsid w:val="001D5360"/>
    <w:rsid w:val="002037BF"/>
    <w:rsid w:val="00271072"/>
    <w:rsid w:val="002770D6"/>
    <w:rsid w:val="00282C4B"/>
    <w:rsid w:val="002C608F"/>
    <w:rsid w:val="003539BE"/>
    <w:rsid w:val="0037212A"/>
    <w:rsid w:val="00377A2B"/>
    <w:rsid w:val="003917B1"/>
    <w:rsid w:val="004015B6"/>
    <w:rsid w:val="00404C88"/>
    <w:rsid w:val="00417E30"/>
    <w:rsid w:val="004E6CCF"/>
    <w:rsid w:val="00526CE6"/>
    <w:rsid w:val="0052770E"/>
    <w:rsid w:val="00537918"/>
    <w:rsid w:val="00582AFA"/>
    <w:rsid w:val="005A398A"/>
    <w:rsid w:val="005D0F11"/>
    <w:rsid w:val="00601193"/>
    <w:rsid w:val="00672817"/>
    <w:rsid w:val="006F0E94"/>
    <w:rsid w:val="0077117A"/>
    <w:rsid w:val="00791951"/>
    <w:rsid w:val="00797A0F"/>
    <w:rsid w:val="007D3B52"/>
    <w:rsid w:val="007E5658"/>
    <w:rsid w:val="007F0E92"/>
    <w:rsid w:val="00810C9A"/>
    <w:rsid w:val="00835FFE"/>
    <w:rsid w:val="008C131E"/>
    <w:rsid w:val="00931393"/>
    <w:rsid w:val="009630FE"/>
    <w:rsid w:val="009A7813"/>
    <w:rsid w:val="009D25C2"/>
    <w:rsid w:val="009D2870"/>
    <w:rsid w:val="00A90B28"/>
    <w:rsid w:val="00AA04B3"/>
    <w:rsid w:val="00AA21C3"/>
    <w:rsid w:val="00B2362C"/>
    <w:rsid w:val="00B439B4"/>
    <w:rsid w:val="00B43A42"/>
    <w:rsid w:val="00B526FD"/>
    <w:rsid w:val="00BA4A16"/>
    <w:rsid w:val="00BB4017"/>
    <w:rsid w:val="00C40A8C"/>
    <w:rsid w:val="00CF51AC"/>
    <w:rsid w:val="00D47F20"/>
    <w:rsid w:val="00D50AC2"/>
    <w:rsid w:val="00D66E9C"/>
    <w:rsid w:val="00D9347E"/>
    <w:rsid w:val="00DB0D86"/>
    <w:rsid w:val="00DC3876"/>
    <w:rsid w:val="00DF5D1F"/>
    <w:rsid w:val="00E22F20"/>
    <w:rsid w:val="00E443A5"/>
    <w:rsid w:val="00E649B2"/>
    <w:rsid w:val="00F54D66"/>
    <w:rsid w:val="00F6383D"/>
    <w:rsid w:val="00FE365D"/>
  </w:rsids>
  <m:mathPr>
    <m:mathFont m:val="Cambria Math"/>
    <m:brkBin m:val="before"/>
    <m:brkBinSub m:val="--"/>
    <m:smallFrac m:val="0"/>
    <m:dispDef/>
    <m:lMargin m:val="0"/>
    <m:rMargin m:val="0"/>
    <m:defJc m:val="centerGroup"/>
    <m:wrapIndent m:val="1440"/>
    <m:intLim m:val="subSup"/>
    <m:naryLim m:val="undOvr"/>
  </m:mathPr>
  <w:themeFontLang w:val="es-S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4EBC1"/>
  <w15:chartTrackingRefBased/>
  <w15:docId w15:val="{F523221B-0604-4550-96A4-7FD662A50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28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D28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D287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287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28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28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28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28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28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287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D287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D287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287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28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28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28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28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2870"/>
    <w:rPr>
      <w:rFonts w:eastAsiaTheme="majorEastAsia" w:cstheme="majorBidi"/>
      <w:color w:val="272727" w:themeColor="text1" w:themeTint="D8"/>
    </w:rPr>
  </w:style>
  <w:style w:type="paragraph" w:styleId="Ttulo">
    <w:name w:val="Title"/>
    <w:basedOn w:val="Normal"/>
    <w:next w:val="Normal"/>
    <w:link w:val="TtuloCar"/>
    <w:uiPriority w:val="10"/>
    <w:qFormat/>
    <w:rsid w:val="009D2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28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28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28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2870"/>
    <w:pPr>
      <w:spacing w:before="160"/>
      <w:jc w:val="center"/>
    </w:pPr>
    <w:rPr>
      <w:i/>
      <w:iCs/>
      <w:color w:val="404040" w:themeColor="text1" w:themeTint="BF"/>
    </w:rPr>
  </w:style>
  <w:style w:type="character" w:customStyle="1" w:styleId="CitaCar">
    <w:name w:val="Cita Car"/>
    <w:basedOn w:val="Fuentedeprrafopredeter"/>
    <w:link w:val="Cita"/>
    <w:uiPriority w:val="29"/>
    <w:rsid w:val="009D2870"/>
    <w:rPr>
      <w:i/>
      <w:iCs/>
      <w:color w:val="404040" w:themeColor="text1" w:themeTint="BF"/>
    </w:rPr>
  </w:style>
  <w:style w:type="paragraph" w:styleId="Prrafodelista">
    <w:name w:val="List Paragraph"/>
    <w:basedOn w:val="Normal"/>
    <w:uiPriority w:val="34"/>
    <w:qFormat/>
    <w:rsid w:val="009D2870"/>
    <w:pPr>
      <w:ind w:left="720"/>
      <w:contextualSpacing/>
    </w:pPr>
  </w:style>
  <w:style w:type="character" w:styleId="nfasisintenso">
    <w:name w:val="Intense Emphasis"/>
    <w:basedOn w:val="Fuentedeprrafopredeter"/>
    <w:uiPriority w:val="21"/>
    <w:qFormat/>
    <w:rsid w:val="009D2870"/>
    <w:rPr>
      <w:i/>
      <w:iCs/>
      <w:color w:val="2F5496" w:themeColor="accent1" w:themeShade="BF"/>
    </w:rPr>
  </w:style>
  <w:style w:type="paragraph" w:styleId="Citadestacada">
    <w:name w:val="Intense Quote"/>
    <w:basedOn w:val="Normal"/>
    <w:next w:val="Normal"/>
    <w:link w:val="CitadestacadaCar"/>
    <w:uiPriority w:val="30"/>
    <w:qFormat/>
    <w:rsid w:val="009D28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2870"/>
    <w:rPr>
      <w:i/>
      <w:iCs/>
      <w:color w:val="2F5496" w:themeColor="accent1" w:themeShade="BF"/>
    </w:rPr>
  </w:style>
  <w:style w:type="character" w:styleId="Referenciaintensa">
    <w:name w:val="Intense Reference"/>
    <w:basedOn w:val="Fuentedeprrafopredeter"/>
    <w:uiPriority w:val="32"/>
    <w:qFormat/>
    <w:rsid w:val="009D2870"/>
    <w:rPr>
      <w:b/>
      <w:bCs/>
      <w:smallCaps/>
      <w:color w:val="2F5496" w:themeColor="accent1" w:themeShade="BF"/>
      <w:spacing w:val="5"/>
    </w:rPr>
  </w:style>
  <w:style w:type="character" w:styleId="Textodelmarcadordeposicin">
    <w:name w:val="Placeholder Text"/>
    <w:basedOn w:val="Fuentedeprrafopredeter"/>
    <w:uiPriority w:val="99"/>
    <w:semiHidden/>
    <w:rsid w:val="00D50AC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763</TotalTime>
  <Pages>6</Pages>
  <Words>2143</Words>
  <Characters>11790</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Vasquez Menjivar</dc:creator>
  <cp:keywords/>
  <dc:description/>
  <cp:lastModifiedBy>Luis Enrique Vasquez Menjivar</cp:lastModifiedBy>
  <cp:revision>9</cp:revision>
  <dcterms:created xsi:type="dcterms:W3CDTF">2026-09-29T16:11:00Z</dcterms:created>
  <dcterms:modified xsi:type="dcterms:W3CDTF">2026-09-30T19:45:00Z</dcterms:modified>
</cp:coreProperties>
</file>