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24"/>
        </w:rPr>
        <w:t>UNIVERSIDAD DE EL SALVADOR EN LÍNEA</w:t>
        <w:br/>
        <w:t>FACULTAD DE INGENIERÍA Y ARQUITECTURA</w:t>
        <w:br/>
        <w:t>ESCUELA DE INGENIERÍA DE SISTEMAS INFORMÁTICOS</w:t>
        <w:br/>
        <w:t>DISEÑO DE SISTEMAS II (DSI215) — CICLO II-2026</w:t>
        <w:br/>
        <w:br/>
      </w:r>
    </w:p>
    <w:p>
      <w:pPr>
        <w:jc w:val="center"/>
      </w:pPr>
      <w:r>
        <w:rPr>
          <w:rFonts w:ascii="Calibri" w:hAnsi="Calibri"/>
          <w:b/>
          <w:color w:val="C00000"/>
          <w:sz w:val="36"/>
        </w:rPr>
        <w:t>ENTREGABLE I EVALUADO (20%)</w:t>
        <w:br/>
        <w:t>AVANCE DE SOFTWARE (50%+) Y PLAN DE PRUEBAS DE QA</w:t>
        <w:br/>
      </w:r>
    </w:p>
    <w:p>
      <w:pPr>
        <w:jc w:val="center"/>
      </w:pPr>
      <w:r>
        <w:rPr>
          <w:rFonts w:ascii="Calibri" w:hAnsi="Calibri"/>
          <w:b/>
          <w:sz w:val="28"/>
        </w:rPr>
        <w:t>Sistema Informático para la Gestión de Servicios Médicos en la Clínica Odontológica DentalCare</w:t>
        <w:br/>
        <w:br/>
        <w:br/>
      </w:r>
    </w:p>
    <w:p>
      <w:pPr>
        <w:jc w:val="center"/>
      </w:pPr>
      <w:r>
        <w:rPr>
          <w:rFonts w:ascii="Calibri" w:hAnsi="Calibri"/>
          <w:sz w:val="22"/>
        </w:rPr>
        <w:t>GRUPO DE TRABAJO N°: [Grupo #]</w:t>
        <w:br/>
        <w:br/>
        <w:t>INTEGRANTES (CARNET - NOMBRE):</w:t>
        <w:br/>
        <w:t>[CARNET 1] - [NOMBRE COMPLETO DEL ESTUDIANTE 1]</w:t>
        <w:br/>
        <w:t>[CARNET 2] - [NOMBRE COMPLETO DEL ESTUDIANTE 2]</w:t>
        <w:br/>
        <w:t>[CARNET 3] - [NOMBRE COMPLETO DEL ESTUDIANTE 3]</w:t>
        <w:br/>
        <w:t>[CARNET 4] - [NOMBRE COMPLETO DEL ESTUDIANTE 4]</w:t>
        <w:br/>
        <w:t>[CARNET 5] - [NOMBRE COMPLETO DEL ESTUDIANTE 5]</w:t>
        <w:br/>
        <w:br/>
        <w:t>DOCENTE DIRECTOR / TUTOR: [Nombre del Docente Tutor]</w:t>
        <w:br/>
        <w:br/>
        <w:t>FECHA DE ENTREGA: Domingo 25 de Octubre de 2026</w:t>
        <w:br/>
        <w:t>San Salvador, El Salvador, Centroamérica</w:t>
      </w:r>
    </w:p>
    <w:p>
      <w:r>
        <w:br w:type="page"/>
      </w:r>
    </w:p>
    <w:p>
      <w:pPr>
        <w:spacing w:before="280" w:after="120"/>
      </w:pPr>
      <w:r>
        <w:rPr>
          <w:rFonts w:ascii="Calibri" w:hAnsi="Calibri"/>
          <w:b/>
          <w:color w:val="1F4E79"/>
          <w:sz w:val="32"/>
        </w:rPr>
        <w:t>ÍNDICE GENERAL</w:t>
      </w:r>
    </w:p>
    <w:p>
      <w:r>
        <w:t>1. INTRODUCCIÓN ........................................................................................................................ 3</w:t>
        <w:br/>
        <w:t>2. OBJETIVOS DEL ENTREGABLE ................................................................................................. 4</w:t>
        <w:br/>
        <w:t xml:space="preserve">   2.1 Objetivo General ................................................................................................................... 4</w:t>
        <w:br/>
        <w:t xml:space="preserve">   2.2 Objetivos Específicos .............................................................................................................. 4</w:t>
        <w:br/>
        <w:t>3. ALCANCE Y ESTADO GENERAL DEL AVANCE DEL SOFTWARE .............................................. 5</w:t>
        <w:br/>
        <w:t xml:space="preserve">   3.1 Resumen Ejecutivo del Proyecto DentalCare ........................................................................... 5</w:t>
        <w:br/>
        <w:t xml:space="preserve">   3.2 Métrica de Cumplimiento de Avance (HDU Desarrolladas vs Planeadas) ................................ 5</w:t>
        <w:br/>
        <w:t xml:space="preserve">   3.3 Solvencia de Observaciones de Laboratorio 3 ........................................................................... 6</w:t>
        <w:br/>
        <w:t>4. SECCIONES POR SPRINT FINALIZADO Y DEFINICIÓN DE TERMINADO (DOD) ......................... 7</w:t>
        <w:br/>
        <w:t xml:space="preserve">   4.1 Sprint 1: Módulos de Seguridad, Gestión de Usuarios, Pacientes y Agenda ........................... 7</w:t>
        <w:br/>
        <w:t xml:space="preserve">       4.1.1 Historias de Usuario Finalizadas ................................................................................... 7</w:t>
        <w:br/>
        <w:t xml:space="preserve">       4.1.2 Definición de Terminado (DOD) - Sprint 1 ................................................................... 8</w:t>
        <w:br/>
        <w:t xml:space="preserve">   4.2 Sprint 2: Módulo de Consulta Odontológica, Odontograma e Historial ..................................... 9</w:t>
        <w:br/>
        <w:t xml:space="preserve">       4.2.1 Historias de Usuario Finalizadas ................................................................................... 9</w:t>
        <w:br/>
        <w:t xml:space="preserve">       4.2.2 Definición de Terminado (DOD) - Sprint 2 ................................................................... 10</w:t>
        <w:br/>
        <w:t xml:space="preserve">   4.3 Sprint 3: Módulos de Tratamientos Odontológicos y Prescripción Médica ............................... 11</w:t>
        <w:br/>
        <w:t xml:space="preserve">       4.3.1 Historias de Usuario Finalizadas ................................................................................... 11</w:t>
        <w:br/>
        <w:t xml:space="preserve">       4.3.2 Definición de Terminado (DOD) - Sprint 3 ................................................................... 12</w:t>
        <w:br/>
        <w:t xml:space="preserve">   4.4 Planificación de Sprints Próximos (Sprint 4 y Sprint 5) ............................................................ 13</w:t>
        <w:br/>
        <w:t>5. PLAN DE PRUEBAS DE CALIDAD (QA) ...................................................................................... 14</w:t>
        <w:br/>
        <w:t xml:space="preserve">   5.1 Estrategia de Calidad y Objetivos de Pruebas ......................................................................... 14</w:t>
        <w:br/>
        <w:t xml:space="preserve">   5.2 Tipos de Pruebas Adoptados .................................................................................................. 14</w:t>
        <w:br/>
        <w:t xml:space="preserve">   5.3 Roles y Responsabilidades de QA ........................................................................................... 15</w:t>
        <w:br/>
        <w:t xml:space="preserve">   5.4 Criterios de Entrada y Criterios de Salida ................................................................................ 15</w:t>
        <w:br/>
        <w:t xml:space="preserve">   5.5 Gestión de Riesgos y Contingencias ....................................................................................... 16</w:t>
        <w:br/>
        <w:t xml:space="preserve">   5.6 Herramientas y Ambiente de Pruebas .................................................................................... 16</w:t>
        <w:br/>
        <w:t>6. CASOS DE PRUEBA DEL SISTEMA DENTALCARE ..................................................................... 17</w:t>
        <w:br/>
        <w:t xml:space="preserve">   6.1 Resumen y Cobertura de Pruebas de Alto Nivel por Rol ........................................................ 17</w:t>
        <w:br/>
        <w:t xml:space="preserve">   6.2 Casos de Prueba Detallados Procedimentales (35 Casos) ....................................................... 18</w:t>
        <w:br/>
        <w:t>7. GESTIÓN DE CONTROL DE VERSIONES Y ENLACES DE ACCESO ............................................. 24</w:t>
        <w:br/>
        <w:t xml:space="preserve">   7.1 Repositorio de Control de Versiones (Git) y Flujo de Ramas ................................................. 24</w:t>
        <w:br/>
        <w:t xml:space="preserve">   7.2 Evidencia de Participación y Commits Continuos ................................................................. 24</w:t>
        <w:br/>
        <w:t xml:space="preserve">   7.3 Enlace a Carpeta Compartida en la Nube ............................................................................... 25</w:t>
        <w:br/>
        <w:t xml:space="preserve">   7.4 Despliegue en Entorno Cloud / Servidor Remoto (No Local) ................................................. 25</w:t>
        <w:br/>
        <w:t>8. CONCLUSIONES Y RECOMENDACIONES ................................................................................. 26</w:t>
        <w:br/>
        <w:t>9. ANEXOS ....................................................................................................................................... 27</w:t>
      </w:r>
    </w:p>
    <w:p>
      <w:r>
        <w:br w:type="page"/>
      </w:r>
    </w:p>
    <w:p>
      <w:pPr>
        <w:spacing w:before="280" w:after="120"/>
      </w:pPr>
      <w:r>
        <w:rPr>
          <w:rFonts w:ascii="Calibri" w:hAnsi="Calibri"/>
          <w:b/>
          <w:color w:val="1F4E79"/>
          <w:sz w:val="32"/>
        </w:rPr>
        <w:t>1. INTRODUCCIÓN</w:t>
      </w:r>
    </w:p>
    <w:p>
      <w:r>
        <w:t>El presente documento técnico constituye el Entregable I Evaluado de la asignatura Diseño de Sistemas II (Ciclo II-2026), cuyo objetivo primordial es evidenciar el avance significativo del desarrollo del software y formalizar el Plan de Pruebas de Aseguramiento de Calidad (QA) para el Sistema Informático de la Clínica Odontológica DentalCare.</w:t>
        <w:br/>
        <w:br/>
        <w:t>DentalCare es una solución web integral diseñada bajo un enfoque de arquitectura por capas y desarrollo ágil Scrum, orientada a optimizar la gestión clínica, médica y administrativa. El sistema centraliza la información de los pacientes, facilita el agendamiento asistido de citas, permite el registro visual interactivo en odontogramas bajo la norma FDI, garantiza el sellado de diagnósticos clínicos, agiliza la prescripción de fármacos con generación digital de recetas en PDF, y administra el inventario de materiales e indicadores gerenciales.</w:t>
        <w:br/>
        <w:br/>
        <w:t>Conforme a los criterios de evaluación establecidos en la guía académica oficial, este entregable certifica un avance físico funcional superior al 50% de las Historias de Usuario (HDU) totales del backlog general (alcanzando 34 historias completadas de 52, correspondientes al 65.4%), consolida los criterios de Definición de Terminado (DOD) para los Sprints 1, 2 y 3 finalizados, y presenta un Plan de Pruebas riguroso con 35 casos de prueba formalizados sin ejecución, cubriendo todos los roles y tipos de pruebas exigidos por el estándar de calidad de software.</w:t>
      </w:r>
    </w:p>
    <w:p>
      <w:pPr>
        <w:spacing w:before="280" w:after="120"/>
      </w:pPr>
      <w:r>
        <w:rPr>
          <w:rFonts w:ascii="Calibri" w:hAnsi="Calibri"/>
          <w:b/>
          <w:color w:val="1F4E79"/>
          <w:sz w:val="32"/>
        </w:rPr>
        <w:t>2. OBJETIVOS DEL ENTREGABLE</w:t>
      </w:r>
    </w:p>
    <w:p>
      <w:pPr>
        <w:spacing w:before="200" w:after="80"/>
      </w:pPr>
      <w:r>
        <w:rPr>
          <w:rFonts w:ascii="Calibri" w:hAnsi="Calibri"/>
          <w:b/>
          <w:color w:val="2F5496"/>
          <w:sz w:val="26"/>
        </w:rPr>
        <w:t>2.1 Objetivo General</w:t>
      </w:r>
    </w:p>
    <w:p>
      <w:r>
        <w:t>Demostrar y documentar el avance funcional del sistema informático DentalCare superior al 50% de las historias de usuario del proyecto, estructurando un Plan Maestro de Pruebas de QA y Definiciones de Terminado (DOD) consistentes que garanticen la calidad, seguridad, mantenibilidad y alineación con las necesidades del personal de la clínica.</w:t>
      </w:r>
    </w:p>
    <w:p>
      <w:pPr>
        <w:spacing w:before="200" w:after="80"/>
      </w:pPr>
      <w:r>
        <w:rPr>
          <w:rFonts w:ascii="Calibri" w:hAnsi="Calibri"/>
          <w:b/>
          <w:color w:val="2F5496"/>
          <w:sz w:val="26"/>
        </w:rPr>
        <w:t>2.2 Objetivos Específicos</w:t>
      </w:r>
    </w:p>
    <w:p>
      <w:r>
        <w:t>• Consolidar el estado de desarrollo de los Sprints 1, 2 y 3 finalizados, verificando el cumplimiento estricto de los Criterios de Aceptación (AC) y la solvencia de observaciones emitidas en el Laboratorio 3.</w:t>
        <w:br/>
        <w:t>• Definir criterios de Definición de Terminado (DOD) estandarizados, coherentes y aplicables para cada incremento de software entregado.</w:t>
        <w:br/>
        <w:t>• Diseñar una matriz diversificada de 35 casos de prueba de QA que contemple pruebas funcionales, validación de datos, casos límite/borde, control de accesos/seguridad (RBAC) y manejo de errores para los 5 roles identificados.</w:t>
        <w:br/>
        <w:t>• Evidenciar el correcto versionamiento colaborativo en Git, la actualización de repositorios en la nube y la disponibilidad operativa del software en un entorno de pruebas remoto desplegado en la nube (no local).</w:t>
      </w:r>
    </w:p>
    <w:p>
      <w:pPr>
        <w:spacing w:before="280" w:after="120"/>
      </w:pPr>
      <w:r>
        <w:rPr>
          <w:rFonts w:ascii="Calibri" w:hAnsi="Calibri"/>
          <w:b/>
          <w:color w:val="1F4E79"/>
          <w:sz w:val="32"/>
        </w:rPr>
        <w:t>3. ALCANCE Y ESTADO GENERAL DEL AVANCE DEL SOFTWARE</w:t>
      </w:r>
    </w:p>
    <w:p>
      <w:r>
        <w:t>El backlog del proyecto DentalCare, gestionado en Jira bajo la clave de proyecto DENTALCARE (DENTALCAREAPP), consta de 52 Historias de Usuario (PBI). A la fecha de presentación del Entregable I, los Sprints 1, 2 y 3 se encuentran 100% finalizados, sumando un total de 34 Historias de Usuario desarrolladas y desplegadas en ambiente de pruebas.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BDD6EE"/>
          </w:tcPr>
          <w:p>
            <w:r>
              <w:rPr>
                <w:b/>
                <w:sz w:val="20"/>
              </w:rPr>
              <w:t>Sprint</w:t>
            </w:r>
          </w:p>
        </w:tc>
        <w:tc>
          <w:tcPr>
            <w:tcW w:type="dxa" w:w="1872"/>
            <w:shd w:fill="BDD6EE"/>
          </w:tcPr>
          <w:p>
            <w:r>
              <w:rPr>
                <w:b/>
                <w:sz w:val="20"/>
              </w:rPr>
              <w:t>Enfoque / Módulos</w:t>
            </w:r>
          </w:p>
        </w:tc>
        <w:tc>
          <w:tcPr>
            <w:tcW w:type="dxa" w:w="1872"/>
            <w:shd w:fill="BDD6EE"/>
          </w:tcPr>
          <w:p>
            <w:r>
              <w:rPr>
                <w:b/>
                <w:sz w:val="20"/>
              </w:rPr>
              <w:t>HDU Planeadas</w:t>
            </w:r>
          </w:p>
        </w:tc>
        <w:tc>
          <w:tcPr>
            <w:tcW w:type="dxa" w:w="1872"/>
            <w:shd w:fill="BDD6EE"/>
          </w:tcPr>
          <w:p>
            <w:r>
              <w:rPr>
                <w:b/>
                <w:sz w:val="20"/>
              </w:rPr>
              <w:t>HDU Finalizadas</w:t>
            </w:r>
          </w:p>
        </w:tc>
        <w:tc>
          <w:tcPr>
            <w:tcW w:type="dxa" w:w="1872"/>
            <w:shd w:fill="BDD6EE"/>
          </w:tcPr>
          <w:p>
            <w:r>
              <w:rPr>
                <w:b/>
                <w:sz w:val="20"/>
              </w:rPr>
              <w:t>Estado Actual</w:t>
            </w:r>
          </w:p>
        </w:tc>
      </w:tr>
      <w:tr>
        <w:tc>
          <w:tcPr>
            <w:tcW w:type="dxa" w:w="1872"/>
          </w:tcPr>
          <w:p>
            <w:r>
              <w:rPr>
                <w:sz w:val="19"/>
              </w:rPr>
              <w:t>Sprint 1</w:t>
            </w:r>
          </w:p>
        </w:tc>
        <w:tc>
          <w:tcPr>
            <w:tcW w:type="dxa" w:w="1872"/>
          </w:tcPr>
          <w:p>
            <w:r>
              <w:rPr>
                <w:sz w:val="19"/>
              </w:rPr>
              <w:t>Seguridad, Usuarios, Roles, Pacientes y Agenda</w:t>
            </w:r>
          </w:p>
        </w:tc>
        <w:tc>
          <w:tcPr>
            <w:tcW w:type="dxa" w:w="1872"/>
          </w:tcPr>
          <w:p>
            <w:r>
              <w:rPr>
                <w:sz w:val="19"/>
              </w:rPr>
              <w:t>17</w:t>
            </w:r>
          </w:p>
        </w:tc>
        <w:tc>
          <w:tcPr>
            <w:tcW w:type="dxa" w:w="1872"/>
          </w:tcPr>
          <w:p>
            <w:r>
              <w:rPr>
                <w:sz w:val="19"/>
              </w:rPr>
              <w:t>17</w:t>
            </w:r>
          </w:p>
        </w:tc>
        <w:tc>
          <w:tcPr>
            <w:tcW w:type="dxa" w:w="1872"/>
          </w:tcPr>
          <w:p>
            <w:r>
              <w:rPr>
                <w:b/>
                <w:color w:val="008000"/>
                <w:sz w:val="19"/>
              </w:rPr>
              <w:t>FINALIZADO (100%)</w:t>
            </w:r>
          </w:p>
        </w:tc>
      </w:tr>
      <w:tr>
        <w:tc>
          <w:tcPr>
            <w:tcW w:type="dxa" w:w="1872"/>
          </w:tcPr>
          <w:p>
            <w:r>
              <w:rPr>
                <w:sz w:val="19"/>
              </w:rPr>
              <w:t>Sprint 2</w:t>
            </w:r>
          </w:p>
        </w:tc>
        <w:tc>
          <w:tcPr>
            <w:tcW w:type="dxa" w:w="1872"/>
          </w:tcPr>
          <w:p>
            <w:r>
              <w:rPr>
                <w:sz w:val="19"/>
              </w:rPr>
              <w:t>Consulta Odontológica, Odontograma FDI e Historial</w:t>
            </w:r>
          </w:p>
        </w:tc>
        <w:tc>
          <w:tcPr>
            <w:tcW w:type="dxa" w:w="1872"/>
          </w:tcPr>
          <w:p>
            <w:r>
              <w:rPr>
                <w:sz w:val="19"/>
              </w:rPr>
              <w:t>10</w:t>
            </w:r>
          </w:p>
        </w:tc>
        <w:tc>
          <w:tcPr>
            <w:tcW w:type="dxa" w:w="1872"/>
          </w:tcPr>
          <w:p>
            <w:r>
              <w:rPr>
                <w:sz w:val="19"/>
              </w:rPr>
              <w:t>10</w:t>
            </w:r>
          </w:p>
        </w:tc>
        <w:tc>
          <w:tcPr>
            <w:tcW w:type="dxa" w:w="1872"/>
          </w:tcPr>
          <w:p>
            <w:r>
              <w:rPr>
                <w:b/>
                <w:color w:val="008000"/>
                <w:sz w:val="19"/>
              </w:rPr>
              <w:t>FINALIZADO (100%)</w:t>
            </w:r>
          </w:p>
        </w:tc>
      </w:tr>
      <w:tr>
        <w:tc>
          <w:tcPr>
            <w:tcW w:type="dxa" w:w="1872"/>
          </w:tcPr>
          <w:p>
            <w:r>
              <w:rPr>
                <w:sz w:val="19"/>
              </w:rPr>
              <w:t>Sprint 3</w:t>
            </w:r>
          </w:p>
        </w:tc>
        <w:tc>
          <w:tcPr>
            <w:tcW w:type="dxa" w:w="1872"/>
          </w:tcPr>
          <w:p>
            <w:r>
              <w:rPr>
                <w:sz w:val="19"/>
              </w:rPr>
              <w:t>Tratamientos Odontológicos y Prescripción Médica</w:t>
            </w:r>
          </w:p>
        </w:tc>
        <w:tc>
          <w:tcPr>
            <w:tcW w:type="dxa" w:w="1872"/>
          </w:tcPr>
          <w:p>
            <w:r>
              <w:rPr>
                <w:sz w:val="19"/>
              </w:rPr>
              <w:t>6</w:t>
            </w:r>
          </w:p>
        </w:tc>
        <w:tc>
          <w:tcPr>
            <w:tcW w:type="dxa" w:w="1872"/>
          </w:tcPr>
          <w:p>
            <w:r>
              <w:rPr>
                <w:sz w:val="19"/>
              </w:rPr>
              <w:t>6</w:t>
            </w:r>
          </w:p>
        </w:tc>
        <w:tc>
          <w:tcPr>
            <w:tcW w:type="dxa" w:w="1872"/>
          </w:tcPr>
          <w:p>
            <w:r>
              <w:rPr>
                <w:b/>
                <w:color w:val="008000"/>
                <w:sz w:val="19"/>
              </w:rPr>
              <w:t>FINALIZADO (100%)</w:t>
            </w:r>
          </w:p>
        </w:tc>
      </w:tr>
      <w:tr>
        <w:tc>
          <w:tcPr>
            <w:tcW w:type="dxa" w:w="1872"/>
          </w:tcPr>
          <w:p>
            <w:r>
              <w:rPr>
                <w:sz w:val="19"/>
              </w:rPr>
              <w:t>Sprint 4</w:t>
            </w:r>
          </w:p>
        </w:tc>
        <w:tc>
          <w:tcPr>
            <w:tcW w:type="dxa" w:w="1872"/>
          </w:tcPr>
          <w:p>
            <w:r>
              <w:rPr>
                <w:sz w:val="19"/>
              </w:rPr>
              <w:t>Inventario, Consumo, Respaldos y Horarios</w:t>
            </w:r>
          </w:p>
        </w:tc>
        <w:tc>
          <w:tcPr>
            <w:tcW w:type="dxa" w:w="1872"/>
          </w:tcPr>
          <w:p>
            <w:r>
              <w:rPr>
                <w:sz w:val="19"/>
              </w:rPr>
              <w:t>10</w:t>
            </w:r>
          </w:p>
        </w:tc>
        <w:tc>
          <w:tcPr>
            <w:tcW w:type="dxa" w:w="1872"/>
          </w:tcPr>
          <w:p>
            <w:r>
              <w:rPr>
                <w:sz w:val="19"/>
              </w:rPr>
              <w:t>1 (Retro lab)</w:t>
            </w:r>
          </w:p>
        </w:tc>
        <w:tc>
          <w:tcPr>
            <w:tcW w:type="dxa" w:w="1872"/>
          </w:tcPr>
          <w:p>
            <w:r>
              <w:rPr>
                <w:sz w:val="19"/>
              </w:rPr>
              <w:t>POR HACER / EN PLANIFICACIÓN</w:t>
            </w:r>
          </w:p>
        </w:tc>
      </w:tr>
      <w:tr>
        <w:tc>
          <w:tcPr>
            <w:tcW w:type="dxa" w:w="1872"/>
          </w:tcPr>
          <w:p>
            <w:r>
              <w:rPr>
                <w:sz w:val="19"/>
              </w:rPr>
              <w:t>Sprint 5</w:t>
            </w:r>
          </w:p>
        </w:tc>
        <w:tc>
          <w:tcPr>
            <w:tcW w:type="dxa" w:w="1872"/>
          </w:tcPr>
          <w:p>
            <w:r>
              <w:rPr>
                <w:sz w:val="19"/>
              </w:rPr>
              <w:t>Reportes Gerenciales, Alertas Stock y Espera</w:t>
            </w:r>
          </w:p>
        </w:tc>
        <w:tc>
          <w:tcPr>
            <w:tcW w:type="dxa" w:w="1872"/>
          </w:tcPr>
          <w:p>
            <w:r>
              <w:rPr>
                <w:sz w:val="19"/>
              </w:rPr>
              <w:t>9</w:t>
            </w:r>
          </w:p>
        </w:tc>
        <w:tc>
          <w:tcPr>
            <w:tcW w:type="dxa" w:w="1872"/>
          </w:tcPr>
          <w:p>
            <w:r>
              <w:rPr>
                <w:sz w:val="19"/>
              </w:rPr>
              <w:t>0</w:t>
            </w:r>
          </w:p>
        </w:tc>
        <w:tc>
          <w:tcPr>
            <w:tcW w:type="dxa" w:w="1872"/>
          </w:tcPr>
          <w:p>
            <w:r>
              <w:rPr>
                <w:sz w:val="19"/>
              </w:rPr>
              <w:t>POR HACER / EN PLANIFICACIÓN</w:t>
            </w:r>
          </w:p>
        </w:tc>
      </w:tr>
    </w:tbl>
    <w:p>
      <w:r>
        <w:br/>
        <w:t>Métrica de Cumplimiento: 34 HDU Finalizadas / 52 HDU Totales = 65.38% de avance funcional global. Con ello se supera ampliamente el umbral del 50% requerido en la rúbrica institucional para optar a la nota máxima (20%).</w:t>
      </w:r>
    </w:p>
    <w:p>
      <w:pPr>
        <w:spacing w:before="200" w:after="80"/>
      </w:pPr>
      <w:r>
        <w:rPr>
          <w:rFonts w:ascii="Calibri" w:hAnsi="Calibri"/>
          <w:b/>
          <w:color w:val="2F5496"/>
          <w:sz w:val="26"/>
        </w:rPr>
        <w:t>3.3 Solvencia de Observaciones de Laboratorio 3</w:t>
      </w:r>
    </w:p>
    <w:p>
      <w:r>
        <w:t>En concordancia con los requerimientos de la rúbrica, el equipo solventó íntegramente las observaciones señaladas en el Laboratorio 3 y retroalimentaciones previas (incidencia DENTALCARE-97):</w:t>
        <w:br/>
        <w:t>1. Sustitución de selectores estáticos por componentes dinámicos SearchableSelect con filtrado y autocompletado en tiempo real en la selección de pacientes y odontólogos.</w:t>
        <w:br/>
        <w:t>2. Fortalecimiento de las validaciones de entrada en formularios de citas y pacientes con máscaras para DUI y teléfono.</w:t>
        <w:br/>
        <w:t>3. Refuerzo de las políticas de expiración de sesión y bloqueo de rutas directas para roles no privilegiados.</w:t>
        <w:br/>
        <w:t>4. Despliegue continuo en servidor remoto (Cloud/PaaS) garantizando disponibilidad 24/7 sin dependencias locales.</w:t>
      </w:r>
    </w:p>
    <w:p>
      <w:pPr>
        <w:spacing w:before="280" w:after="120"/>
      </w:pPr>
      <w:r>
        <w:rPr>
          <w:rFonts w:ascii="Calibri" w:hAnsi="Calibri"/>
          <w:b/>
          <w:color w:val="1F4E79"/>
          <w:sz w:val="32"/>
        </w:rPr>
        <w:t>4. SECCIONES POR SPRINT FINALIZADO Y DEFINICIÓN DE TERMINADO (DOD)</w:t>
      </w:r>
    </w:p>
    <w:p>
      <w:pPr>
        <w:spacing w:before="200" w:after="80"/>
      </w:pPr>
      <w:r>
        <w:rPr>
          <w:rFonts w:ascii="Calibri" w:hAnsi="Calibri"/>
          <w:b/>
          <w:color w:val="2F5496"/>
          <w:sz w:val="26"/>
        </w:rPr>
        <w:t>4.1 Sprint 1: Módulos de Seguridad, Gestión de Usuarios, Pacientes y Agenda</w:t>
      </w:r>
    </w:p>
    <w:p>
      <w:r>
        <w:t>El Sprint 1 sentó las bases operativas del sistema DentalCare, abarcando la autenticación, seguridad RBAC y la gestión integral de admisión y citas médicas. Incluye 17 historias de usuario finalizadas:</w:t>
        <w:br/>
        <w:t>• PBI-AdminTi-01: Crear Usuario (DENTALCARE-50)</w:t>
        <w:br/>
        <w:t>• PBI-AdminTi-02: Asignar Roles (DENTALCARE-51)</w:t>
        <w:br/>
        <w:t>• PBI-AdminTi-04: Revisar Accesos (DENTALCARE-61)</w:t>
        <w:br/>
        <w:t>• PBI-AdminTi-06: Iniciar Sesión (DENTALCARE-91)</w:t>
        <w:br/>
        <w:t>• PBI-Secret-01 al 07: Registrar, Consultar y Actualizar Pacientes; Seleccionar Paciente, Fecha/Hora, Ver Agenda y Filtrar por Fecha (DENTALCARE-52 a 59)</w:t>
        <w:br/>
        <w:t>• PBI-Secret-10 al 15: Buscar Cita, Modificar Horario, Confirmar Cambios, Registrar Motivo de Cancelación, Confirmar Cancelación y Registrar Confirmación de Cita (DENTALCARE-63 a 69).</w:t>
      </w:r>
    </w:p>
    <w:p>
      <w:r>
        <w:rPr>
          <w:b/>
        </w:rPr>
        <w:t>Definición de Terminado (Definition of Done - DOD) — Sprint 1:</w:t>
      </w:r>
    </w:p>
    <w:tbl>
      <w:tblPr>
        <w:tblW w:type="auto" w:w="0"/>
        <w:jc w:val="center"/>
        <w:tblLook w:firstColumn="1" w:firstRow="1" w:lastColumn="0" w:lastRow="0" w:noHBand="0" w:noVBand="1" w:val="04A0"/>
      </w:tblPr>
      <w:tblGrid>
        <w:gridCol w:w="3120"/>
        <w:gridCol w:w="3120"/>
        <w:gridCol w:w="3120"/>
      </w:tblGrid>
      <w:tr>
        <w:tc>
          <w:tcPr>
            <w:tcW w:type="dxa" w:w="3120"/>
            <w:shd w:fill="D9E1F2"/>
          </w:tcPr>
          <w:p>
            <w:r>
              <w:rPr>
                <w:b/>
                <w:sz w:val="19"/>
              </w:rPr>
              <w:t>Criterio DOD</w:t>
            </w:r>
          </w:p>
        </w:tc>
        <w:tc>
          <w:tcPr>
            <w:tcW w:type="dxa" w:w="3120"/>
            <w:shd w:fill="D9E1F2"/>
          </w:tcPr>
          <w:p>
            <w:r>
              <w:rPr>
                <w:b/>
                <w:sz w:val="19"/>
              </w:rPr>
              <w:t>Descripción del Estándar</w:t>
            </w:r>
          </w:p>
        </w:tc>
        <w:tc>
          <w:tcPr>
            <w:tcW w:type="dxa" w:w="3120"/>
            <w:shd w:fill="D9E1F2"/>
          </w:tcPr>
          <w:p>
            <w:r>
              <w:rPr>
                <w:b/>
                <w:sz w:val="19"/>
              </w:rPr>
              <w:t>Verificación / Evidencia</w:t>
            </w:r>
          </w:p>
        </w:tc>
      </w:tr>
      <w:tr>
        <w:tc>
          <w:tcPr>
            <w:tcW w:type="dxa" w:w="3120"/>
          </w:tcPr>
          <w:p>
            <w:r>
              <w:rPr>
                <w:sz w:val="18"/>
              </w:rPr>
              <w:t>Criterios de Aceptación (AC)</w:t>
            </w:r>
          </w:p>
        </w:tc>
        <w:tc>
          <w:tcPr>
            <w:tcW w:type="dxa" w:w="3120"/>
          </w:tcPr>
          <w:p>
            <w:r>
              <w:rPr>
                <w:sz w:val="18"/>
              </w:rPr>
              <w:t>100% de los AC definidos en Jira para las 17 HDU cumplidos y comprobados.</w:t>
            </w:r>
          </w:p>
        </w:tc>
        <w:tc>
          <w:tcPr>
            <w:tcW w:type="dxa" w:w="3120"/>
          </w:tcPr>
          <w:p>
            <w:r>
              <w:rPr>
                <w:sz w:val="18"/>
              </w:rPr>
              <w:t>Validado en pruebas funcionales.</w:t>
            </w:r>
          </w:p>
        </w:tc>
      </w:tr>
      <w:tr>
        <w:tc>
          <w:tcPr>
            <w:tcW w:type="dxa" w:w="3120"/>
          </w:tcPr>
          <w:p>
            <w:r>
              <w:rPr>
                <w:sz w:val="18"/>
              </w:rPr>
              <w:t>Estándares de Código y Nomenclatura</w:t>
            </w:r>
          </w:p>
        </w:tc>
        <w:tc>
          <w:tcPr>
            <w:tcW w:type="dxa" w:w="3120"/>
          </w:tcPr>
          <w:p>
            <w:r>
              <w:rPr>
                <w:sz w:val="18"/>
              </w:rPr>
              <w:t>Código fuente estructurado bajo convenciones del proyecto y arquitectura MVC.</w:t>
            </w:r>
          </w:p>
        </w:tc>
        <w:tc>
          <w:tcPr>
            <w:tcW w:type="dxa" w:w="3120"/>
          </w:tcPr>
          <w:p>
            <w:r>
              <w:rPr>
                <w:sz w:val="18"/>
              </w:rPr>
              <w:t>Revisión de pull requests aprobada.</w:t>
            </w:r>
          </w:p>
        </w:tc>
      </w:tr>
      <w:tr>
        <w:tc>
          <w:tcPr>
            <w:tcW w:type="dxa" w:w="3120"/>
          </w:tcPr>
          <w:p>
            <w:r>
              <w:rPr>
                <w:sz w:val="18"/>
              </w:rPr>
              <w:t>Validación y Seguridad</w:t>
            </w:r>
          </w:p>
        </w:tc>
        <w:tc>
          <w:tcPr>
            <w:tcW w:type="dxa" w:w="3120"/>
          </w:tcPr>
          <w:p>
            <w:r>
              <w:rPr>
                <w:sz w:val="18"/>
              </w:rPr>
              <w:t>Validación de formatos en cliente/servidor; contraseñas cifradas con hash y sesiones tokenizadas.</w:t>
            </w:r>
          </w:p>
        </w:tc>
        <w:tc>
          <w:tcPr>
            <w:tcW w:type="dxa" w:w="3120"/>
          </w:tcPr>
          <w:p>
            <w:r>
              <w:rPr>
                <w:sz w:val="18"/>
              </w:rPr>
              <w:t>Pruebas de inyección y contraseñas.</w:t>
            </w:r>
          </w:p>
        </w:tc>
      </w:tr>
      <w:tr>
        <w:tc>
          <w:tcPr>
            <w:tcW w:type="dxa" w:w="3120"/>
          </w:tcPr>
          <w:p>
            <w:r>
              <w:rPr>
                <w:sz w:val="18"/>
              </w:rPr>
              <w:t>Control de Versiones (Git)</w:t>
            </w:r>
          </w:p>
        </w:tc>
        <w:tc>
          <w:tcPr>
            <w:tcW w:type="dxa" w:w="3120"/>
          </w:tcPr>
          <w:p>
            <w:r>
              <w:rPr>
                <w:sz w:val="18"/>
              </w:rPr>
              <w:t>Commits atómicos por cada miembro, pull requests con revisión de pares y merge en develop.</w:t>
            </w:r>
          </w:p>
        </w:tc>
        <w:tc>
          <w:tcPr>
            <w:tcW w:type="dxa" w:w="3120"/>
          </w:tcPr>
          <w:p>
            <w:r>
              <w:rPr>
                <w:sz w:val="18"/>
              </w:rPr>
              <w:t>Historial de commits activo en Git.</w:t>
            </w:r>
          </w:p>
        </w:tc>
      </w:tr>
      <w:tr>
        <w:tc>
          <w:tcPr>
            <w:tcW w:type="dxa" w:w="3120"/>
          </w:tcPr>
          <w:p>
            <w:r>
              <w:rPr>
                <w:sz w:val="18"/>
              </w:rPr>
              <w:t>Despliegue y Pruebas</w:t>
            </w:r>
          </w:p>
        </w:tc>
        <w:tc>
          <w:tcPr>
            <w:tcW w:type="dxa" w:w="3120"/>
          </w:tcPr>
          <w:p>
            <w:r>
              <w:rPr>
                <w:sz w:val="18"/>
              </w:rPr>
              <w:t>Módulos integrados y operativos en ambiente de staging remoto sin errores críticos abiertos.</w:t>
            </w:r>
          </w:p>
        </w:tc>
        <w:tc>
          <w:tcPr>
            <w:tcW w:type="dxa" w:w="3120"/>
          </w:tcPr>
          <w:p>
            <w:r>
              <w:rPr>
                <w:sz w:val="18"/>
              </w:rPr>
              <w:t>Verificado en servidor cloud.</w:t>
            </w:r>
          </w:p>
        </w:tc>
      </w:tr>
    </w:tbl>
    <w:p>
      <w:pPr>
        <w:spacing w:before="200" w:after="80"/>
      </w:pPr>
      <w:r>
        <w:rPr>
          <w:rFonts w:ascii="Calibri" w:hAnsi="Calibri"/>
          <w:b/>
          <w:color w:val="2F5496"/>
          <w:sz w:val="26"/>
        </w:rPr>
        <w:t>4.2 Sprint 2: Módulo de Consulta Odontológica, Odontograma e Historial</w:t>
      </w:r>
    </w:p>
    <w:p>
      <w:r>
        <w:t>El Sprint 2 implementó el núcleo clínico para el rol Odontólogo, permitiendo la atención en sala, registro gráfico en odontograma interactivo y blindaje de diagnósticos médicos. Incluye 10 historias de usuario finalizadas:</w:t>
        <w:br/>
        <w:t>• PBI-ODO-01: Ver Citas del día (DENTALCARE-75)</w:t>
        <w:br/>
        <w:t>• PBI-ODO-02 / 03 / 04: Verificar Paciente, Revisar Detalles Preconsulta e Iniciar Consulta (DENTALCARE-76, 77, 78)</w:t>
        <w:br/>
        <w:t>• PBI-ODO-05: Cerrar Consulta (DENTALCARE-79)</w:t>
        <w:br/>
        <w:t>• PBI-ODO-06 / 07 / 08: Evaluar Paciente, Registrar Diagnóstico y Confirmar Diagnóstico (DENTALCARE-80, 81, 82)</w:t>
        <w:br/>
        <w:t>• PBI-ODO-15 / 16: Buscar Paciente y Revisar Historial Clínico Completo (DENTALCARE-89, 90).</w:t>
      </w:r>
    </w:p>
    <w:p>
      <w:r>
        <w:rPr>
          <w:b/>
        </w:rPr>
        <w:t>Definición de Terminado (Definition of Done - DOD) — Sprint 2:</w:t>
      </w:r>
    </w:p>
    <w:tbl>
      <w:tblPr>
        <w:tblW w:type="auto" w:w="0"/>
        <w:jc w:val="center"/>
        <w:tblLook w:firstColumn="1" w:firstRow="1" w:lastColumn="0" w:lastRow="0" w:noHBand="0" w:noVBand="1" w:val="04A0"/>
      </w:tblPr>
      <w:tblGrid>
        <w:gridCol w:w="3120"/>
        <w:gridCol w:w="3120"/>
        <w:gridCol w:w="3120"/>
      </w:tblGrid>
      <w:tr>
        <w:tc>
          <w:tcPr>
            <w:tcW w:type="dxa" w:w="3120"/>
            <w:shd w:fill="D9E1F2"/>
          </w:tcPr>
          <w:p>
            <w:r>
              <w:rPr>
                <w:b/>
                <w:sz w:val="19"/>
              </w:rPr>
              <w:t>Criterio DOD</w:t>
            </w:r>
          </w:p>
        </w:tc>
        <w:tc>
          <w:tcPr>
            <w:tcW w:type="dxa" w:w="3120"/>
            <w:shd w:fill="D9E1F2"/>
          </w:tcPr>
          <w:p>
            <w:r>
              <w:rPr>
                <w:b/>
                <w:sz w:val="19"/>
              </w:rPr>
              <w:t>Descripción del Estándar</w:t>
            </w:r>
          </w:p>
        </w:tc>
        <w:tc>
          <w:tcPr>
            <w:tcW w:type="dxa" w:w="3120"/>
            <w:shd w:fill="D9E1F2"/>
          </w:tcPr>
          <w:p>
            <w:r>
              <w:rPr>
                <w:b/>
                <w:sz w:val="19"/>
              </w:rPr>
              <w:t>Verificación / Evidencia</w:t>
            </w:r>
          </w:p>
        </w:tc>
      </w:tr>
      <w:tr>
        <w:tc>
          <w:tcPr>
            <w:tcW w:type="dxa" w:w="3120"/>
          </w:tcPr>
          <w:p>
            <w:r>
              <w:rPr>
                <w:sz w:val="18"/>
              </w:rPr>
              <w:t>Criterios de Aceptación (AC)</w:t>
            </w:r>
          </w:p>
        </w:tc>
        <w:tc>
          <w:tcPr>
            <w:tcW w:type="dxa" w:w="3120"/>
          </w:tcPr>
          <w:p>
            <w:r>
              <w:rPr>
                <w:sz w:val="18"/>
              </w:rPr>
              <w:t>100% de los AC de atención clínica, odontograma y diagnóstico verificados.</w:t>
            </w:r>
          </w:p>
        </w:tc>
        <w:tc>
          <w:tcPr>
            <w:tcW w:type="dxa" w:w="3120"/>
          </w:tcPr>
          <w:p>
            <w:r>
              <w:rPr>
                <w:sz w:val="18"/>
              </w:rPr>
              <w:t>Pruebas de aceptación por Odontólogo.</w:t>
            </w:r>
          </w:p>
        </w:tc>
      </w:tr>
      <w:tr>
        <w:tc>
          <w:tcPr>
            <w:tcW w:type="dxa" w:w="3120"/>
          </w:tcPr>
          <w:p>
            <w:r>
              <w:rPr>
                <w:sz w:val="18"/>
              </w:rPr>
              <w:t>Odontograma Gráfico FDI</w:t>
            </w:r>
          </w:p>
        </w:tc>
        <w:tc>
          <w:tcPr>
            <w:tcW w:type="dxa" w:w="3120"/>
          </w:tcPr>
          <w:p>
            <w:r>
              <w:rPr>
                <w:sz w:val="18"/>
              </w:rPr>
              <w:t>Renderizado SVG/Canvas reactivo sin latencia, mapeo de caras y persistencia en BD.</w:t>
            </w:r>
          </w:p>
        </w:tc>
        <w:tc>
          <w:tcPr>
            <w:tcW w:type="dxa" w:w="3120"/>
          </w:tcPr>
          <w:p>
            <w:r>
              <w:rPr>
                <w:sz w:val="18"/>
              </w:rPr>
              <w:t>Validación visual y de base de datos.</w:t>
            </w:r>
          </w:p>
        </w:tc>
      </w:tr>
      <w:tr>
        <w:tc>
          <w:tcPr>
            <w:tcW w:type="dxa" w:w="3120"/>
          </w:tcPr>
          <w:p>
            <w:r>
              <w:rPr>
                <w:sz w:val="18"/>
              </w:rPr>
              <w:t>Integridad y Sellado Legal</w:t>
            </w:r>
          </w:p>
        </w:tc>
        <w:tc>
          <w:tcPr>
            <w:tcW w:type="dxa" w:w="3120"/>
          </w:tcPr>
          <w:p>
            <w:r>
              <w:rPr>
                <w:sz w:val="18"/>
              </w:rPr>
              <w:t>Inmutabilidad de diagnósticos confirmados con firma digital del doctor (timestamp + ID).</w:t>
            </w:r>
          </w:p>
        </w:tc>
        <w:tc>
          <w:tcPr>
            <w:tcW w:type="dxa" w:w="3120"/>
          </w:tcPr>
          <w:p>
            <w:r>
              <w:rPr>
                <w:sz w:val="18"/>
              </w:rPr>
              <w:t>Bloqueo de edición y error HTTP 403.</w:t>
            </w:r>
          </w:p>
        </w:tc>
      </w:tr>
      <w:tr>
        <w:tc>
          <w:tcPr>
            <w:tcW w:type="dxa" w:w="3120"/>
          </w:tcPr>
          <w:p>
            <w:r>
              <w:rPr>
                <w:sz w:val="18"/>
              </w:rPr>
              <w:t>Control de Versiones</w:t>
            </w:r>
          </w:p>
        </w:tc>
        <w:tc>
          <w:tcPr>
            <w:tcW w:type="dxa" w:w="3120"/>
          </w:tcPr>
          <w:p>
            <w:r>
              <w:rPr>
                <w:sz w:val="18"/>
              </w:rPr>
              <w:t>Ramas de feature integradas, revisiones de código cruzadas y commits descriptivos.</w:t>
            </w:r>
          </w:p>
        </w:tc>
        <w:tc>
          <w:tcPr>
            <w:tcW w:type="dxa" w:w="3120"/>
          </w:tcPr>
          <w:p>
            <w:r>
              <w:rPr>
                <w:sz w:val="18"/>
              </w:rPr>
              <w:t>Historial de Git verificado.</w:t>
            </w:r>
          </w:p>
        </w:tc>
      </w:tr>
      <w:tr>
        <w:tc>
          <w:tcPr>
            <w:tcW w:type="dxa" w:w="3120"/>
          </w:tcPr>
          <w:p>
            <w:r>
              <w:rPr>
                <w:sz w:val="18"/>
              </w:rPr>
              <w:t>Despliegue</w:t>
            </w:r>
          </w:p>
        </w:tc>
        <w:tc>
          <w:tcPr>
            <w:tcW w:type="dxa" w:w="3120"/>
          </w:tcPr>
          <w:p>
            <w:r>
              <w:rPr>
                <w:sz w:val="18"/>
              </w:rPr>
              <w:t>Módulo clínico probado y sincronizado en tiempo real con recepción en servidor remoto.</w:t>
            </w:r>
          </w:p>
        </w:tc>
        <w:tc>
          <w:tcPr>
            <w:tcW w:type="dxa" w:w="3120"/>
          </w:tcPr>
          <w:p>
            <w:r>
              <w:rPr>
                <w:sz w:val="18"/>
              </w:rPr>
              <w:t>Pruebas end-to-end en staging.</w:t>
            </w:r>
          </w:p>
        </w:tc>
      </w:tr>
    </w:tbl>
    <w:p>
      <w:pPr>
        <w:spacing w:before="200" w:after="80"/>
      </w:pPr>
      <w:r>
        <w:rPr>
          <w:rFonts w:ascii="Calibri" w:hAnsi="Calibri"/>
          <w:b/>
          <w:color w:val="2F5496"/>
          <w:sz w:val="26"/>
        </w:rPr>
        <w:t>4.3 Sprint 3: Módulos de Tratamientos Odontológicos y Prescripción Médica</w:t>
      </w:r>
    </w:p>
    <w:p>
      <w:r>
        <w:t>El Sprint 3 completó el flujo médico-administrativo con la formulación de tratamientos, cálculo de costos y emisión oficial de recetas médicas digitales. Incluye 6 historias de usuario finalizadas:</w:t>
        <w:br/>
        <w:t>• PBI-ODO-09 / 10 / 11: Definir Tratamiento, Registrar Tratamiento y Confirmar Tratamiento (DENTALCARE-83, 84, 85)</w:t>
        <w:br/>
        <w:t>• PBI-ODO-12 / 13 / 14: Definir Medicamento, Registrar Indicaciones y Confirmar Prescripción (DENTALCARE-86, 87, 88).</w:t>
      </w:r>
    </w:p>
    <w:p>
      <w:r>
        <w:rPr>
          <w:b/>
        </w:rPr>
        <w:t>Definición de Terminado (Definition of Done - DOD) — Sprint 3:</w:t>
      </w:r>
    </w:p>
    <w:tbl>
      <w:tblPr>
        <w:tblW w:type="auto" w:w="0"/>
        <w:jc w:val="center"/>
        <w:tblLook w:firstColumn="1" w:firstRow="1" w:lastColumn="0" w:lastRow="0" w:noHBand="0" w:noVBand="1" w:val="04A0"/>
      </w:tblPr>
      <w:tblGrid>
        <w:gridCol w:w="3120"/>
        <w:gridCol w:w="3120"/>
        <w:gridCol w:w="3120"/>
      </w:tblGrid>
      <w:tr>
        <w:tc>
          <w:tcPr>
            <w:tcW w:type="dxa" w:w="3120"/>
            <w:shd w:fill="D9E1F2"/>
          </w:tcPr>
          <w:p>
            <w:r>
              <w:rPr>
                <w:b/>
                <w:sz w:val="19"/>
              </w:rPr>
              <w:t>Criterio DOD</w:t>
            </w:r>
          </w:p>
        </w:tc>
        <w:tc>
          <w:tcPr>
            <w:tcW w:type="dxa" w:w="3120"/>
            <w:shd w:fill="D9E1F2"/>
          </w:tcPr>
          <w:p>
            <w:r>
              <w:rPr>
                <w:b/>
                <w:sz w:val="19"/>
              </w:rPr>
              <w:t>Descripción del Estándar</w:t>
            </w:r>
          </w:p>
        </w:tc>
        <w:tc>
          <w:tcPr>
            <w:tcW w:type="dxa" w:w="3120"/>
            <w:shd w:fill="D9E1F2"/>
          </w:tcPr>
          <w:p>
            <w:r>
              <w:rPr>
                <w:b/>
                <w:sz w:val="19"/>
              </w:rPr>
              <w:t>Verificación / Evidencia</w:t>
            </w:r>
          </w:p>
        </w:tc>
      </w:tr>
      <w:tr>
        <w:tc>
          <w:tcPr>
            <w:tcW w:type="dxa" w:w="3120"/>
          </w:tcPr>
          <w:p>
            <w:r>
              <w:rPr>
                <w:sz w:val="18"/>
              </w:rPr>
              <w:t>Criterios de Aceptación (AC)</w:t>
            </w:r>
          </w:p>
        </w:tc>
        <w:tc>
          <w:tcPr>
            <w:tcW w:type="dxa" w:w="3120"/>
          </w:tcPr>
          <w:p>
            <w:r>
              <w:rPr>
                <w:sz w:val="18"/>
              </w:rPr>
              <w:t>100% de los AC de tratamientos, cálculo de subtotales y recetas PDF verificados.</w:t>
            </w:r>
          </w:p>
        </w:tc>
        <w:tc>
          <w:tcPr>
            <w:tcW w:type="dxa" w:w="3120"/>
          </w:tcPr>
          <w:p>
            <w:r>
              <w:rPr>
                <w:sz w:val="18"/>
              </w:rPr>
              <w:t>Validado en pruebas funcionales.</w:t>
            </w:r>
          </w:p>
        </w:tc>
      </w:tr>
      <w:tr>
        <w:tc>
          <w:tcPr>
            <w:tcW w:type="dxa" w:w="3120"/>
          </w:tcPr>
          <w:p>
            <w:r>
              <w:rPr>
                <w:sz w:val="18"/>
              </w:rPr>
              <w:t>Generación de Recetas PDF</w:t>
            </w:r>
          </w:p>
        </w:tc>
        <w:tc>
          <w:tcPr>
            <w:tcW w:type="dxa" w:w="3120"/>
          </w:tcPr>
          <w:p>
            <w:r>
              <w:rPr>
                <w:sz w:val="18"/>
              </w:rPr>
              <w:t>Compilación de documentos PDF inalterables con membrete oficial, posología y descarga.</w:t>
            </w:r>
          </w:p>
        </w:tc>
        <w:tc>
          <w:tcPr>
            <w:tcW w:type="dxa" w:w="3120"/>
          </w:tcPr>
          <w:p>
            <w:r>
              <w:rPr>
                <w:sz w:val="18"/>
              </w:rPr>
              <w:t>Archivos PDF validados.</w:t>
            </w:r>
          </w:p>
        </w:tc>
      </w:tr>
      <w:tr>
        <w:tc>
          <w:tcPr>
            <w:tcW w:type="dxa" w:w="3120"/>
          </w:tcPr>
          <w:p>
            <w:r>
              <w:rPr>
                <w:sz w:val="18"/>
              </w:rPr>
              <w:t>Cálculo Matemático y Facturación</w:t>
            </w:r>
          </w:p>
        </w:tc>
        <w:tc>
          <w:tcPr>
            <w:tcW w:type="dxa" w:w="3120"/>
          </w:tcPr>
          <w:p>
            <w:r>
              <w:rPr>
                <w:sz w:val="18"/>
              </w:rPr>
              <w:t>Sumatoria exacta de subtotales de procedimientos y notificación automática a caja.</w:t>
            </w:r>
          </w:p>
        </w:tc>
        <w:tc>
          <w:tcPr>
            <w:tcW w:type="dxa" w:w="3120"/>
          </w:tcPr>
          <w:p>
            <w:r>
              <w:rPr>
                <w:sz w:val="18"/>
              </w:rPr>
              <w:t>Pruebas de precisión numérica.</w:t>
            </w:r>
          </w:p>
        </w:tc>
      </w:tr>
      <w:tr>
        <w:tc>
          <w:tcPr>
            <w:tcW w:type="dxa" w:w="3120"/>
          </w:tcPr>
          <w:p>
            <w:r>
              <w:rPr>
                <w:sz w:val="18"/>
              </w:rPr>
              <w:t>Control de Versiones</w:t>
            </w:r>
          </w:p>
        </w:tc>
        <w:tc>
          <w:tcPr>
            <w:tcW w:type="dxa" w:w="3120"/>
          </w:tcPr>
          <w:p>
            <w:r>
              <w:rPr>
                <w:sz w:val="18"/>
              </w:rPr>
              <w:t>Integración continua en rama develop, resolución de conflictos y tagging de release.</w:t>
            </w:r>
          </w:p>
        </w:tc>
        <w:tc>
          <w:tcPr>
            <w:tcW w:type="dxa" w:w="3120"/>
          </w:tcPr>
          <w:p>
            <w:r>
              <w:rPr>
                <w:sz w:val="18"/>
              </w:rPr>
              <w:t>Repositorio Git actualizado.</w:t>
            </w:r>
          </w:p>
        </w:tc>
      </w:tr>
      <w:tr>
        <w:tc>
          <w:tcPr>
            <w:tcW w:type="dxa" w:w="3120"/>
          </w:tcPr>
          <w:p>
            <w:r>
              <w:rPr>
                <w:sz w:val="18"/>
              </w:rPr>
              <w:t>Despliegue y Aceptación</w:t>
            </w:r>
          </w:p>
        </w:tc>
        <w:tc>
          <w:tcPr>
            <w:tcW w:type="dxa" w:w="3120"/>
          </w:tcPr>
          <w:p>
            <w:r>
              <w:rPr>
                <w:sz w:val="18"/>
              </w:rPr>
              <w:t>Despliegue verificado en ambiente cloud y validación de usuario clave (Odontólogo).</w:t>
            </w:r>
          </w:p>
        </w:tc>
        <w:tc>
          <w:tcPr>
            <w:tcW w:type="dxa" w:w="3120"/>
          </w:tcPr>
          <w:p>
            <w:r>
              <w:rPr>
                <w:sz w:val="18"/>
              </w:rPr>
              <w:t>Aprobado por el Product Owner.</w:t>
            </w:r>
          </w:p>
        </w:tc>
      </w:tr>
    </w:tbl>
    <w:p>
      <w:pPr>
        <w:spacing w:before="200" w:after="80"/>
      </w:pPr>
      <w:r>
        <w:rPr>
          <w:rFonts w:ascii="Calibri" w:hAnsi="Calibri"/>
          <w:b/>
          <w:color w:val="2F5496"/>
          <w:sz w:val="26"/>
        </w:rPr>
        <w:t>4.4 Planificación de Sprints Próximos (Sprint 4 y Sprint 5)</w:t>
      </w:r>
    </w:p>
    <w:p>
      <w:r>
        <w:t>Para dar continuidad al ciclo de vida del proyecto, se han definido y priorizado las historias más críticas de los Sprints 4 y 5 en Jira:</w:t>
        <w:br/>
        <w:t>• Sprint 4: Módulos de Inventario y Consumo de Insumos (PBI-AsisDent-01 a 04), Políticas de Seguridad Avanzada y Respaldos (PBI-AdminTi-03, 05, 06) y Detección de Conflictos de Horario (PBI-Secret-08, 09).</w:t>
        <w:br/>
        <w:t>• Sprint 5: Tableros de Control y Reportes Gerenciales (PBI-Gerencia-01 a 05), Monitor de Alertas de Stock Crítico (PBI-AsisDent-05) y Gestión de Listas de Espera de Pacientes (PBI-Secret-14, 15, 16).</w:t>
      </w:r>
    </w:p>
    <w:p>
      <w:pPr>
        <w:spacing w:before="280" w:after="120"/>
      </w:pPr>
      <w:r>
        <w:rPr>
          <w:rFonts w:ascii="Calibri" w:hAnsi="Calibri"/>
          <w:b/>
          <w:color w:val="1F4E79"/>
          <w:sz w:val="32"/>
        </w:rPr>
        <w:t>5. PLAN DE PRUEBAS DE CALIDAD (QA)</w:t>
      </w:r>
    </w:p>
    <w:p>
      <w:r>
        <w:t>El Plan de Pruebas formaliza la estrategia de aseguramiento de calidad del software para validar que todas las funcionalidades satisfagan los requerimientos del sistema y los criterios de aceptación. El plan detallado se encuentra totalmente adaptado en la plantilla oficial de Excel adjunta: Grupo#_CARNETSINTEGRANTES_PlandePruebas.xlsx.</w:t>
        <w:br/>
        <w:br/>
        <w:t>A continuación se sintetizan los lineamientos rectores del plan:</w:t>
        <w:br/>
        <w:t>• Alcance: 35 casos de prueba de cobertura funcional, validación de datos, límites, seguridad y errores sobre 5 roles.</w:t>
        <w:br/>
        <w:t>• Roles de QA: QA Lead (planificación y métricas), Desarrolladores (soporte y corrección), Product Owner (aprobación) y Scrum Master.</w:t>
        <w:br/>
        <w:t>• Criterios de Entrada: HU con AC completos, software desplegado en staging y datos de prueba configurados.</w:t>
        <w:br/>
        <w:t>• Criterios de Salida: 100% de casos ejecutados, 0 defectos críticos/altos abiertos y aprobación formal del PO.</w:t>
        <w:br/>
        <w:t>• Herramientas: Jira (gestión de incidencias), Excel (matriz de pruebas), Postman (pruebas de API REST), Git (versionamiento) y navegadores web estándar (Chrome, Edge, Firefox).</w:t>
      </w:r>
    </w:p>
    <w:p>
      <w:pPr>
        <w:spacing w:before="280" w:after="120"/>
      </w:pPr>
      <w:r>
        <w:rPr>
          <w:rFonts w:ascii="Calibri" w:hAnsi="Calibri"/>
          <w:b/>
          <w:color w:val="1F4E79"/>
          <w:sz w:val="32"/>
        </w:rPr>
        <w:t>6. CASOS DE PRUEBA DEL SISTEMA DENTALCARE</w:t>
      </w:r>
    </w:p>
    <w:p>
      <w:r>
        <w:t>Se presentan 35 casos de prueba exhaustivos organizados por Rol de Usuario. El catálogo incluye la tabla de alto nivel y la especificación procedural detallada alineada con las columnas oficiales de la plantilla institucional:</w:t>
      </w:r>
    </w:p>
    <w:tbl>
      <w:tblPr>
        <w:tblW w:type="auto" w:w="0"/>
        <w:jc w:val="center"/>
        <w:tblLook w:firstColumn="1" w:firstRow="1" w:lastColumn="0" w:lastRow="0" w:noHBand="0" w:noVBand="1" w:val="04A0"/>
      </w:tblPr>
      <w:tblGrid>
        <w:gridCol w:w="2340"/>
        <w:gridCol w:w="2340"/>
        <w:gridCol w:w="2340"/>
        <w:gridCol w:w="2340"/>
      </w:tblGrid>
      <w:tr>
        <w:tc>
          <w:tcPr>
            <w:tcW w:type="dxa" w:w="2340"/>
            <w:shd w:fill="BDD6EE"/>
          </w:tcPr>
          <w:p>
            <w:r>
              <w:rPr>
                <w:b/>
                <w:sz w:val="19"/>
              </w:rPr>
              <w:t>CASO DE PRUEBA</w:t>
            </w:r>
          </w:p>
        </w:tc>
        <w:tc>
          <w:tcPr>
            <w:tcW w:type="dxa" w:w="2340"/>
            <w:shd w:fill="BDD6EE"/>
          </w:tcPr>
          <w:p>
            <w:r>
              <w:rPr>
                <w:b/>
                <w:sz w:val="19"/>
              </w:rPr>
              <w:t>DESCRIPCIÓN (OBJETIVO)</w:t>
            </w:r>
          </w:p>
        </w:tc>
        <w:tc>
          <w:tcPr>
            <w:tcW w:type="dxa" w:w="2340"/>
            <w:shd w:fill="BDD6EE"/>
          </w:tcPr>
          <w:p>
            <w:r>
              <w:rPr>
                <w:b/>
                <w:sz w:val="19"/>
              </w:rPr>
              <w:t>CRITERIO DE ACEPTACIÓN</w:t>
            </w:r>
          </w:p>
        </w:tc>
        <w:tc>
          <w:tcPr>
            <w:tcW w:type="dxa" w:w="2340"/>
            <w:shd w:fill="BDD6EE"/>
          </w:tcPr>
          <w:p>
            <w:r>
              <w:rPr>
                <w:b/>
                <w:sz w:val="19"/>
              </w:rPr>
              <w:t>RESULTADO OBTENIDO</w:t>
            </w:r>
          </w:p>
        </w:tc>
      </w:tr>
      <w:tr>
        <w:tc>
          <w:tcPr>
            <w:tcW w:type="dxa" w:w="2340"/>
          </w:tcPr>
          <w:p>
            <w:r>
              <w:rPr>
                <w:sz w:val="17"/>
              </w:rPr>
              <w:t>CP-ADM-001</w:t>
            </w:r>
          </w:p>
        </w:tc>
        <w:tc>
          <w:tcPr>
            <w:tcW w:type="dxa" w:w="2340"/>
          </w:tcPr>
          <w:p>
            <w:r>
              <w:rPr>
                <w:sz w:val="17"/>
              </w:rPr>
              <w:t>Creación exitosa de nuevo usuario del personal clínico en el sistema</w:t>
            </w:r>
          </w:p>
        </w:tc>
        <w:tc>
          <w:tcPr>
            <w:tcW w:type="dxa" w:w="2340"/>
          </w:tcPr>
          <w:p>
            <w:r>
              <w:rPr>
                <w:sz w:val="17"/>
              </w:rPr>
              <w:t>El sistema permite ingresar nombre completo, correo y rol del nuevo usuario; valida que el correo no esté registrado previamente; muestra confirmación de creación exitosa (Alineado con DOD: registro persistido en BD, estándares de nomenclatura y log de auditoría generado).</w:t>
            </w:r>
          </w:p>
        </w:tc>
        <w:tc>
          <w:tcPr>
            <w:tcW w:type="dxa" w:w="2340"/>
          </w:tcPr>
          <w:p>
            <w:r>
              <w:rPr>
                <w:sz w:val="17"/>
              </w:rPr>
              <w:t>No ejecutado (Planificado)</w:t>
            </w:r>
          </w:p>
        </w:tc>
      </w:tr>
      <w:tr>
        <w:tc>
          <w:tcPr>
            <w:tcW w:type="dxa" w:w="2340"/>
          </w:tcPr>
          <w:p>
            <w:r>
              <w:rPr>
                <w:sz w:val="17"/>
              </w:rPr>
              <w:t>CP-ADM-002</w:t>
            </w:r>
          </w:p>
        </w:tc>
        <w:tc>
          <w:tcPr>
            <w:tcW w:type="dxa" w:w="2340"/>
          </w:tcPr>
          <w:p>
            <w:r>
              <w:rPr>
                <w:sz w:val="17"/>
              </w:rPr>
              <w:t>Validación de formato de correo inválido y campos requeridos vacíos al registrar usuario</w:t>
            </w:r>
          </w:p>
        </w:tc>
        <w:tc>
          <w:tcPr>
            <w:tcW w:type="dxa" w:w="2340"/>
          </w:tcPr>
          <w:p>
            <w:r>
              <w:rPr>
                <w:sz w:val="17"/>
              </w:rPr>
              <w:t>El sistema valida los campos requeridos y el formato del correo antes de permitir el envío; resalta visualmente los campos con error en color rojo y presenta mensajes explicativos en línea sin recargar la página (Alineado con DOD: validaciones en cliente y servidor).</w:t>
            </w:r>
          </w:p>
        </w:tc>
        <w:tc>
          <w:tcPr>
            <w:tcW w:type="dxa" w:w="2340"/>
          </w:tcPr>
          <w:p>
            <w:r>
              <w:rPr>
                <w:sz w:val="17"/>
              </w:rPr>
              <w:t>No ejecutado (Planificado)</w:t>
            </w:r>
          </w:p>
        </w:tc>
      </w:tr>
      <w:tr>
        <w:tc>
          <w:tcPr>
            <w:tcW w:type="dxa" w:w="2340"/>
          </w:tcPr>
          <w:p>
            <w:r>
              <w:rPr>
                <w:sz w:val="17"/>
              </w:rPr>
              <w:t>CP-ADM-003</w:t>
            </w:r>
          </w:p>
        </w:tc>
        <w:tc>
          <w:tcPr>
            <w:tcW w:type="dxa" w:w="2340"/>
          </w:tcPr>
          <w:p>
            <w:r>
              <w:rPr>
                <w:sz w:val="17"/>
              </w:rPr>
              <w:t>Intento de registro de usuario con correo electrónico duplicado ya existente en la base de datos</w:t>
            </w:r>
          </w:p>
        </w:tc>
        <w:tc>
          <w:tcPr>
            <w:tcW w:type="dxa" w:w="2340"/>
          </w:tcPr>
          <w:p>
            <w:r>
              <w:rPr>
                <w:sz w:val="17"/>
              </w:rPr>
              <w:t>El sistema valida que el correo no esté registrado previamente; en caso de colisión, cancela la transacción e informa claramente al usuario del conflicto sin generar duplicados (Alineado con DOD: restricción UNIQUE en BD y control de integridad referencial).</w:t>
            </w:r>
          </w:p>
        </w:tc>
        <w:tc>
          <w:tcPr>
            <w:tcW w:type="dxa" w:w="2340"/>
          </w:tcPr>
          <w:p>
            <w:r>
              <w:rPr>
                <w:sz w:val="17"/>
              </w:rPr>
              <w:t>No ejecutado (Planificado)</w:t>
            </w:r>
          </w:p>
        </w:tc>
      </w:tr>
      <w:tr>
        <w:tc>
          <w:tcPr>
            <w:tcW w:type="dxa" w:w="2340"/>
          </w:tcPr>
          <w:p>
            <w:r>
              <w:rPr>
                <w:sz w:val="17"/>
              </w:rPr>
              <w:t>CP-ADM-004</w:t>
            </w:r>
          </w:p>
        </w:tc>
        <w:tc>
          <w:tcPr>
            <w:tcW w:type="dxa" w:w="2340"/>
          </w:tcPr>
          <w:p>
            <w:r>
              <w:rPr>
                <w:sz w:val="17"/>
              </w:rPr>
              <w:t>Modificación de rol de usuario activo y verificación inmediata de permisos de acceso</w:t>
            </w:r>
          </w:p>
        </w:tc>
        <w:tc>
          <w:tcPr>
            <w:tcW w:type="dxa" w:w="2340"/>
          </w:tcPr>
          <w:p>
            <w:r>
              <w:rPr>
                <w:sz w:val="17"/>
              </w:rPr>
              <w:t>El sistema permite seleccionar un usuario existente y asignarle un nuevo rol (Recepcionista, Odontólogo, Asistente Dental, Gerencia, Administrador TI); los cambios en los permisos se reflejan inmediatamente en la sesión del usuario (Alineado con DOD: middleware de autenticación y autorización valida el token/sesión en cada petición).</w:t>
            </w:r>
          </w:p>
        </w:tc>
        <w:tc>
          <w:tcPr>
            <w:tcW w:type="dxa" w:w="2340"/>
          </w:tcPr>
          <w:p>
            <w:r>
              <w:rPr>
                <w:sz w:val="17"/>
              </w:rPr>
              <w:t>No ejecutado (Planificado)</w:t>
            </w:r>
          </w:p>
        </w:tc>
      </w:tr>
      <w:tr>
        <w:tc>
          <w:tcPr>
            <w:tcW w:type="dxa" w:w="2340"/>
          </w:tcPr>
          <w:p>
            <w:r>
              <w:rPr>
                <w:sz w:val="17"/>
              </w:rPr>
              <w:t>CP-ADM-005</w:t>
            </w:r>
          </w:p>
        </w:tc>
        <w:tc>
          <w:tcPr>
            <w:tcW w:type="dxa" w:w="2340"/>
          </w:tcPr>
          <w:p>
            <w:r>
              <w:rPr>
                <w:sz w:val="17"/>
              </w:rPr>
              <w:t>Manejo de errores en login y bloqueo preventivo tras 5 intentos fallidos consecutivos</w:t>
            </w:r>
          </w:p>
        </w:tc>
        <w:tc>
          <w:tcPr>
            <w:tcW w:type="dxa" w:w="2340"/>
          </w:tcPr>
          <w:p>
            <w:r>
              <w:rPr>
                <w:sz w:val="17"/>
              </w:rPr>
              <w:t>El sistema muestra un mensaje de error genérico cuando las credenciales son incorrectas; tras alcanzar el umbral de intentos fallidos bloquea temporalmente el acceso; el sistema registra los intentos fallidos en la bitácora identificándolos visualmente en color rojo (Alineado con DOD: políticas de seguridad OWASP y registro auditable).</w:t>
            </w:r>
          </w:p>
        </w:tc>
        <w:tc>
          <w:tcPr>
            <w:tcW w:type="dxa" w:w="2340"/>
          </w:tcPr>
          <w:p>
            <w:r>
              <w:rPr>
                <w:sz w:val="17"/>
              </w:rPr>
              <w:t>No ejecutado (Planificado)</w:t>
            </w:r>
          </w:p>
        </w:tc>
      </w:tr>
      <w:tr>
        <w:tc>
          <w:tcPr>
            <w:tcW w:type="dxa" w:w="2340"/>
          </w:tcPr>
          <w:p>
            <w:r>
              <w:rPr>
                <w:sz w:val="17"/>
              </w:rPr>
              <w:t>CP-ADM-006</w:t>
            </w:r>
          </w:p>
        </w:tc>
        <w:tc>
          <w:tcPr>
            <w:tcW w:type="dxa" w:w="2340"/>
          </w:tcPr>
          <w:p>
            <w:r>
              <w:rPr>
                <w:sz w:val="17"/>
              </w:rPr>
              <w:t>Generación de enlace de restablecimiento de contraseña y obligación de cambio en primer login</w:t>
            </w:r>
          </w:p>
        </w:tc>
        <w:tc>
          <w:tcPr>
            <w:tcW w:type="dxa" w:w="2340"/>
          </w:tcPr>
          <w:p>
            <w:r>
              <w:rPr>
                <w:sz w:val="17"/>
              </w:rPr>
              <w:t>El sistema genera una contraseña temporal o link de restablecimiento; se envía notificación al correo del usuario; se obliga a cambiar la contraseña en el primer inicio de sesión (Alineado con DOD: tokens con expiración y hash seguro Argon2/Bcrypt).</w:t>
            </w:r>
          </w:p>
        </w:tc>
        <w:tc>
          <w:tcPr>
            <w:tcW w:type="dxa" w:w="2340"/>
          </w:tcPr>
          <w:p>
            <w:r>
              <w:rPr>
                <w:sz w:val="17"/>
              </w:rPr>
              <w:t>No ejecutado (Planificado)</w:t>
            </w:r>
          </w:p>
        </w:tc>
      </w:tr>
      <w:tr>
        <w:tc>
          <w:tcPr>
            <w:tcW w:type="dxa" w:w="2340"/>
          </w:tcPr>
          <w:p>
            <w:r>
              <w:rPr>
                <w:sz w:val="17"/>
              </w:rPr>
              <w:t>CP-ADM-007</w:t>
            </w:r>
          </w:p>
        </w:tc>
        <w:tc>
          <w:tcPr>
            <w:tcW w:type="dxa" w:w="2340"/>
          </w:tcPr>
          <w:p>
            <w:r>
              <w:rPr>
                <w:sz w:val="17"/>
              </w:rPr>
              <w:t>Ejecución exitosa de respaldo manual de base de datos con generación de archivo y timestamp</w:t>
            </w:r>
          </w:p>
        </w:tc>
        <w:tc>
          <w:tcPr>
            <w:tcW w:type="dxa" w:w="2340"/>
          </w:tcPr>
          <w:p>
            <w:r>
              <w:rPr>
                <w:sz w:val="17"/>
              </w:rPr>
              <w:t>El sistema permite ejecutar un respaldo manual de la base de datos; genera un archivo de respaldo con fecha y hora del proceso; muestra confirmación cuando el respaldo se completa exitosamente (Alineado con DOD: proceso no bloqueante para los usuarios conectados).</w:t>
            </w:r>
          </w:p>
        </w:tc>
        <w:tc>
          <w:tcPr>
            <w:tcW w:type="dxa" w:w="2340"/>
          </w:tcPr>
          <w:p>
            <w:r>
              <w:rPr>
                <w:sz w:val="17"/>
              </w:rPr>
              <w:t>No ejecutado (Planificado)</w:t>
            </w:r>
          </w:p>
        </w:tc>
      </w:tr>
      <w:tr>
        <w:tc>
          <w:tcPr>
            <w:tcW w:type="dxa" w:w="2340"/>
          </w:tcPr>
          <w:p>
            <w:r>
              <w:rPr>
                <w:sz w:val="17"/>
              </w:rPr>
              <w:t>CP-REC-001</w:t>
            </w:r>
          </w:p>
        </w:tc>
        <w:tc>
          <w:tcPr>
            <w:tcW w:type="dxa" w:w="2340"/>
          </w:tcPr>
          <w:p>
            <w:r>
              <w:rPr>
                <w:sz w:val="17"/>
              </w:rPr>
              <w:t>Registro exitoso de nuevo paciente con datos generales completos</w:t>
            </w:r>
          </w:p>
        </w:tc>
        <w:tc>
          <w:tcPr>
            <w:tcW w:type="dxa" w:w="2340"/>
          </w:tcPr>
          <w:p>
            <w:r>
              <w:rPr>
                <w:sz w:val="17"/>
              </w:rPr>
              <w:t>El sistema permite ingresar nombre completo, número de documento, teléfono y correo del paciente; valida que el paciente no esté registrado previamente; guarda la información y muestra confirmación de registro exitoso (Alineado con DOD: expediente clínico creado en estado inicial).</w:t>
            </w:r>
          </w:p>
        </w:tc>
        <w:tc>
          <w:tcPr>
            <w:tcW w:type="dxa" w:w="2340"/>
          </w:tcPr>
          <w:p>
            <w:r>
              <w:rPr>
                <w:sz w:val="17"/>
              </w:rPr>
              <w:t>No ejecutado (Planificado)</w:t>
            </w:r>
          </w:p>
        </w:tc>
      </w:tr>
      <w:tr>
        <w:tc>
          <w:tcPr>
            <w:tcW w:type="dxa" w:w="2340"/>
          </w:tcPr>
          <w:p>
            <w:r>
              <w:rPr>
                <w:sz w:val="17"/>
              </w:rPr>
              <w:t>CP-REC-002</w:t>
            </w:r>
          </w:p>
        </w:tc>
        <w:tc>
          <w:tcPr>
            <w:tcW w:type="dxa" w:w="2340"/>
          </w:tcPr>
          <w:p>
            <w:r>
              <w:rPr>
                <w:sz w:val="17"/>
              </w:rPr>
              <w:t>Validación de formato incorrecto en DUI y teléfono al registrar paciente</w:t>
            </w:r>
          </w:p>
        </w:tc>
        <w:tc>
          <w:tcPr>
            <w:tcW w:type="dxa" w:w="2340"/>
          </w:tcPr>
          <w:p>
            <w:r>
              <w:rPr>
                <w:sz w:val="17"/>
              </w:rPr>
              <w:t>El sistema valida en tiempo real los campos de entrada mediante máscaras y expresiones regulares; no permite el guardado con datos no válidos y muestra mensajes de advertencia específicos (Alineado con DOD: sanitización y validación bidireccional cliente-servidor).</w:t>
            </w:r>
          </w:p>
        </w:tc>
        <w:tc>
          <w:tcPr>
            <w:tcW w:type="dxa" w:w="2340"/>
          </w:tcPr>
          <w:p>
            <w:r>
              <w:rPr>
                <w:sz w:val="17"/>
              </w:rPr>
              <w:t>No ejecutado (Planificado)</w:t>
            </w:r>
          </w:p>
        </w:tc>
      </w:tr>
      <w:tr>
        <w:tc>
          <w:tcPr>
            <w:tcW w:type="dxa" w:w="2340"/>
          </w:tcPr>
          <w:p>
            <w:r>
              <w:rPr>
                <w:sz w:val="17"/>
              </w:rPr>
              <w:t>CP-REC-003</w:t>
            </w:r>
          </w:p>
        </w:tc>
        <w:tc>
          <w:tcPr>
            <w:tcW w:type="dxa" w:w="2340"/>
          </w:tcPr>
          <w:p>
            <w:r>
              <w:rPr>
                <w:sz w:val="17"/>
              </w:rPr>
              <w:t>Detección automática y bloqueo de conflicto de horario duplicado para un odontólogo</w:t>
            </w:r>
          </w:p>
        </w:tc>
        <w:tc>
          <w:tcPr>
            <w:tcW w:type="dxa" w:w="2340"/>
          </w:tcPr>
          <w:p>
            <w:r>
              <w:rPr>
                <w:sz w:val="17"/>
              </w:rPr>
              <w:t>El sistema identifica cuando ya existe una cita en la misma fecha y hora; bloquea la asignación de horarios ocupados; muestra un mensaje indicando el conflicto detectado (Alineado con DOD: control de concurrencia y validación de disponibilidad en backend).</w:t>
            </w:r>
          </w:p>
        </w:tc>
        <w:tc>
          <w:tcPr>
            <w:tcW w:type="dxa" w:w="2340"/>
          </w:tcPr>
          <w:p>
            <w:r>
              <w:rPr>
                <w:sz w:val="17"/>
              </w:rPr>
              <w:t>No ejecutado (Planificado)</w:t>
            </w:r>
          </w:p>
        </w:tc>
      </w:tr>
      <w:tr>
        <w:tc>
          <w:tcPr>
            <w:tcW w:type="dxa" w:w="2340"/>
          </w:tcPr>
          <w:p>
            <w:r>
              <w:rPr>
                <w:sz w:val="17"/>
              </w:rPr>
              <w:t>CP-REC-004</w:t>
            </w:r>
          </w:p>
        </w:tc>
        <w:tc>
          <w:tcPr>
            <w:tcW w:type="dxa" w:w="2340"/>
          </w:tcPr>
          <w:p>
            <w:r>
              <w:rPr>
                <w:sz w:val="17"/>
              </w:rPr>
              <w:t>Reprogramación de cita existente modificando fecha/hora y confirmación en agenda</w:t>
            </w:r>
          </w:p>
        </w:tc>
        <w:tc>
          <w:tcPr>
            <w:tcW w:type="dxa" w:w="2340"/>
          </w:tcPr>
          <w:p>
            <w:r>
              <w:rPr>
                <w:sz w:val="17"/>
              </w:rPr>
              <w:t>El sistema permite buscar citas por paciente o fecha; permite seleccionar una nueva fecha y hora validando disponibilidad antes de guardar; muestra resumen de cambios, solicita confirmación y actualiza la cita con la nueva programación (Alineado con DOD: estado de cita actualizado y logs registrados).</w:t>
            </w:r>
          </w:p>
        </w:tc>
        <w:tc>
          <w:tcPr>
            <w:tcW w:type="dxa" w:w="2340"/>
          </w:tcPr>
          <w:p>
            <w:r>
              <w:rPr>
                <w:sz w:val="17"/>
              </w:rPr>
              <w:t>No ejecutado (Planificado)</w:t>
            </w:r>
          </w:p>
        </w:tc>
      </w:tr>
      <w:tr>
        <w:tc>
          <w:tcPr>
            <w:tcW w:type="dxa" w:w="2340"/>
          </w:tcPr>
          <w:p>
            <w:r>
              <w:rPr>
                <w:sz w:val="17"/>
              </w:rPr>
              <w:t>CP-REC-005</w:t>
            </w:r>
          </w:p>
        </w:tc>
        <w:tc>
          <w:tcPr>
            <w:tcW w:type="dxa" w:w="2340"/>
          </w:tcPr>
          <w:p>
            <w:r>
              <w:rPr>
                <w:sz w:val="17"/>
              </w:rPr>
              <w:t>Rechazo de cancelación de cita al dejar el campo 'Motivo de Cancelación' vacío o insuficiente</w:t>
            </w:r>
          </w:p>
        </w:tc>
        <w:tc>
          <w:tcPr>
            <w:tcW w:type="dxa" w:w="2340"/>
          </w:tcPr>
          <w:p>
            <w:r>
              <w:rPr>
                <w:sz w:val="17"/>
              </w:rPr>
              <w:t>El sistema permite ingresar un motivo de cancelación; valida que el motivo no esté vacío; solicita confirmación antes de cancelar; cambia el estado a 'Cancelada' únicamente si se cumple la validación (Alineado con DOD: consistencia transaccional y reglas de validación en formulario).</w:t>
            </w:r>
          </w:p>
        </w:tc>
        <w:tc>
          <w:tcPr>
            <w:tcW w:type="dxa" w:w="2340"/>
          </w:tcPr>
          <w:p>
            <w:r>
              <w:rPr>
                <w:sz w:val="17"/>
              </w:rPr>
              <w:t>No ejecutado (Planificado)</w:t>
            </w:r>
          </w:p>
        </w:tc>
      </w:tr>
      <w:tr>
        <w:tc>
          <w:tcPr>
            <w:tcW w:type="dxa" w:w="2340"/>
          </w:tcPr>
          <w:p>
            <w:r>
              <w:rPr>
                <w:sz w:val="17"/>
              </w:rPr>
              <w:t>CP-REC-006</w:t>
            </w:r>
          </w:p>
        </w:tc>
        <w:tc>
          <w:tcPr>
            <w:tcW w:type="dxa" w:w="2340"/>
          </w:tcPr>
          <w:p>
            <w:r>
              <w:rPr>
                <w:sz w:val="17"/>
              </w:rPr>
              <w:t>Intento de acceso no autorizado mediante URL directa a vistas administrativas por usuario Recepcionista</w:t>
            </w:r>
          </w:p>
        </w:tc>
        <w:tc>
          <w:tcPr>
            <w:tcW w:type="dxa" w:w="2340"/>
          </w:tcPr>
          <w:p>
            <w:r>
              <w:rPr>
                <w:sz w:val="17"/>
              </w:rPr>
              <w:t>El sistema refleja inmediatamente los permisos del rol; intercepta peticiones a rutas restringidas y bloquea cualquier intento de escalamiento de privilegios o navegación forzada (Alineado con DOD: control de seguridad a nivel de rutas y controlador backend).</w:t>
            </w:r>
          </w:p>
        </w:tc>
        <w:tc>
          <w:tcPr>
            <w:tcW w:type="dxa" w:w="2340"/>
          </w:tcPr>
          <w:p>
            <w:r>
              <w:rPr>
                <w:sz w:val="17"/>
              </w:rPr>
              <w:t>No ejecutado (Planificado)</w:t>
            </w:r>
          </w:p>
        </w:tc>
      </w:tr>
      <w:tr>
        <w:tc>
          <w:tcPr>
            <w:tcW w:type="dxa" w:w="2340"/>
          </w:tcPr>
          <w:p>
            <w:r>
              <w:rPr>
                <w:sz w:val="17"/>
              </w:rPr>
              <w:t>CP-REC-007</w:t>
            </w:r>
          </w:p>
        </w:tc>
        <w:tc>
          <w:tcPr>
            <w:tcW w:type="dxa" w:w="2340"/>
          </w:tcPr>
          <w:p>
            <w:r>
              <w:rPr>
                <w:sz w:val="17"/>
              </w:rPr>
              <w:t>Filtrado de agenda de citas por rango de fechas sin atenciones programadas (Empty State)</w:t>
            </w:r>
          </w:p>
        </w:tc>
        <w:tc>
          <w:tcPr>
            <w:tcW w:type="dxa" w:w="2340"/>
          </w:tcPr>
          <w:p>
            <w:r>
              <w:rPr>
                <w:sz w:val="17"/>
              </w:rPr>
              <w:t>El sistema permite seleccionar un rango de fechas; muestra únicamente las citas dentro del rango seleccionado; actualiza los resultados al aplicar el filtro; si no hay citas, muestra un mensaje informativo claro (Alineado con DOD: interfaz responsiva y manejo de estados vacíos según lineamientos UI/UX).</w:t>
            </w:r>
          </w:p>
        </w:tc>
        <w:tc>
          <w:tcPr>
            <w:tcW w:type="dxa" w:w="2340"/>
          </w:tcPr>
          <w:p>
            <w:r>
              <w:rPr>
                <w:sz w:val="17"/>
              </w:rPr>
              <w:t>No ejecutado (Planificado)</w:t>
            </w:r>
          </w:p>
        </w:tc>
      </w:tr>
      <w:tr>
        <w:tc>
          <w:tcPr>
            <w:tcW w:type="dxa" w:w="2340"/>
          </w:tcPr>
          <w:p>
            <w:r>
              <w:rPr>
                <w:sz w:val="17"/>
              </w:rPr>
              <w:t>CP-ODO-001</w:t>
            </w:r>
          </w:p>
        </w:tc>
        <w:tc>
          <w:tcPr>
            <w:tcW w:type="dxa" w:w="2340"/>
          </w:tcPr>
          <w:p>
            <w:r>
              <w:rPr>
                <w:sz w:val="17"/>
              </w:rPr>
              <w:t>Inicio de consulta odontológica con visualización de alertas médicas y captura de hora</w:t>
            </w:r>
          </w:p>
        </w:tc>
        <w:tc>
          <w:tcPr>
            <w:tcW w:type="dxa" w:w="2340"/>
          </w:tcPr>
          <w:p>
            <w:r>
              <w:rPr>
                <w:sz w:val="17"/>
              </w:rPr>
              <w:t>El sistema cuenta con un botón visible de 'Iniciar Consulta'; al presionarlo el estado de la cita cambia automáticamente a 'En consulta'; el sistema captura la hora de inicio de forma automática y muestra alertas médicas críticas (Alineado con DOD: sincronización en tiempo real con recepción).</w:t>
            </w:r>
          </w:p>
        </w:tc>
        <w:tc>
          <w:tcPr>
            <w:tcW w:type="dxa" w:w="2340"/>
          </w:tcPr>
          <w:p>
            <w:r>
              <w:rPr>
                <w:sz w:val="17"/>
              </w:rPr>
              <w:t>No ejecutado (Planificado)</w:t>
            </w:r>
          </w:p>
        </w:tc>
      </w:tr>
      <w:tr>
        <w:tc>
          <w:tcPr>
            <w:tcW w:type="dxa" w:w="2340"/>
          </w:tcPr>
          <w:p>
            <w:r>
              <w:rPr>
                <w:sz w:val="17"/>
              </w:rPr>
              <w:t>CP-ODO-002</w:t>
            </w:r>
          </w:p>
        </w:tc>
        <w:tc>
          <w:tcPr>
            <w:tcW w:type="dxa" w:w="2340"/>
          </w:tcPr>
          <w:p>
            <w:r>
              <w:rPr>
                <w:sz w:val="17"/>
              </w:rPr>
              <w:t>Registro gráfico de hallazgo clínico (caries oclusal) en pieza dental específica en odontograma</w:t>
            </w:r>
          </w:p>
        </w:tc>
        <w:tc>
          <w:tcPr>
            <w:tcW w:type="dxa" w:w="2340"/>
          </w:tcPr>
          <w:p>
            <w:r>
              <w:rPr>
                <w:sz w:val="17"/>
              </w:rPr>
              <w:t>El sistema permite seleccionar de forma gráfica cada pieza dental en el odontograma; permite marcar hallazgos visuales preliminares; provee campo para detallar el diagnóstico y guarda temporalmente el estado como 'Evaluación en curso' (Alineado con DOD: persistencia gráfica en BD y renderizado SVG sin latencia).</w:t>
            </w:r>
          </w:p>
        </w:tc>
        <w:tc>
          <w:tcPr>
            <w:tcW w:type="dxa" w:w="2340"/>
          </w:tcPr>
          <w:p>
            <w:r>
              <w:rPr>
                <w:sz w:val="17"/>
              </w:rPr>
              <w:t>No ejecutado (Planificado)</w:t>
            </w:r>
          </w:p>
        </w:tc>
      </w:tr>
      <w:tr>
        <w:tc>
          <w:tcPr>
            <w:tcW w:type="dxa" w:w="2340"/>
          </w:tcPr>
          <w:p>
            <w:r>
              <w:rPr>
                <w:sz w:val="17"/>
              </w:rPr>
              <w:t>CP-ODO-003</w:t>
            </w:r>
          </w:p>
        </w:tc>
        <w:tc>
          <w:tcPr>
            <w:tcW w:type="dxa" w:w="2340"/>
          </w:tcPr>
          <w:p>
            <w:r>
              <w:rPr>
                <w:sz w:val="17"/>
              </w:rPr>
              <w:t>Intento de cierre de consulta clínica médica sin registrar diagnóstico previo</w:t>
            </w:r>
          </w:p>
        </w:tc>
        <w:tc>
          <w:tcPr>
            <w:tcW w:type="dxa" w:w="2340"/>
          </w:tcPr>
          <w:p>
            <w:r>
              <w:rPr>
                <w:sz w:val="17"/>
              </w:rPr>
              <w:t>El sistema lanza una advertencia si se intenta cerrar la consulta sin haber ingresado al menos un diagnóstico; bloquea la finalización de la cita y mantiene el estado en progreso (Alineado con DOD: validación de negocio inquebrantable a nivel de backend y servicio clínico).</w:t>
            </w:r>
          </w:p>
        </w:tc>
        <w:tc>
          <w:tcPr>
            <w:tcW w:type="dxa" w:w="2340"/>
          </w:tcPr>
          <w:p>
            <w:r>
              <w:rPr>
                <w:sz w:val="17"/>
              </w:rPr>
              <w:t>No ejecutado (Planificado)</w:t>
            </w:r>
          </w:p>
        </w:tc>
      </w:tr>
      <w:tr>
        <w:tc>
          <w:tcPr>
            <w:tcW w:type="dxa" w:w="2340"/>
          </w:tcPr>
          <w:p>
            <w:r>
              <w:rPr>
                <w:sz w:val="17"/>
              </w:rPr>
              <w:t>CP-ODO-004</w:t>
            </w:r>
          </w:p>
        </w:tc>
        <w:tc>
          <w:tcPr>
            <w:tcW w:type="dxa" w:w="2340"/>
          </w:tcPr>
          <w:p>
            <w:r>
              <w:rPr>
                <w:sz w:val="17"/>
              </w:rPr>
              <w:t>Confirmación digital de diagnóstico clínico y bloqueo irreversible de edición</w:t>
            </w:r>
          </w:p>
        </w:tc>
        <w:tc>
          <w:tcPr>
            <w:tcW w:type="dxa" w:w="2340"/>
          </w:tcPr>
          <w:p>
            <w:r>
              <w:rPr>
                <w:sz w:val="17"/>
              </w:rPr>
              <w:t>El sistema muestra un botón de 'Confirmar Diagnóstico' con modal de advertencia indicando irreversibilidad; cambia el estado a 'Confirmado'; bloquea los campos para que sean de solo lectura (Alineado con DOD: inmutabilidad de registros médicos y firma de auditoría con fecha y ID del odontólogo).</w:t>
            </w:r>
          </w:p>
        </w:tc>
        <w:tc>
          <w:tcPr>
            <w:tcW w:type="dxa" w:w="2340"/>
          </w:tcPr>
          <w:p>
            <w:r>
              <w:rPr>
                <w:sz w:val="17"/>
              </w:rPr>
              <w:t>No ejecutado (Planificado)</w:t>
            </w:r>
          </w:p>
        </w:tc>
      </w:tr>
      <w:tr>
        <w:tc>
          <w:tcPr>
            <w:tcW w:type="dxa" w:w="2340"/>
          </w:tcPr>
          <w:p>
            <w:r>
              <w:rPr>
                <w:sz w:val="17"/>
              </w:rPr>
              <w:t>CP-ODO-005</w:t>
            </w:r>
          </w:p>
        </w:tc>
        <w:tc>
          <w:tcPr>
            <w:tcW w:type="dxa" w:w="2340"/>
          </w:tcPr>
          <w:p>
            <w:r>
              <w:rPr>
                <w:sz w:val="17"/>
              </w:rPr>
              <w:t>Selección de procedimientos del catálogo, cálculo de subtotal y confirmación de tratamiento ejecutado</w:t>
            </w:r>
          </w:p>
        </w:tc>
        <w:tc>
          <w:tcPr>
            <w:tcW w:type="dxa" w:w="2340"/>
          </w:tcPr>
          <w:p>
            <w:r>
              <w:rPr>
                <w:sz w:val="17"/>
              </w:rPr>
              <w:t>El sistema muestra lista desplegable con el catálogo de procedimientos; permite agregar múltiples procedimientos; calcula y muestra subtotal; cambia estado a 'Ejecutado' y bloquea edición de lo realizado (Alineado con DOD: cálculo matemático exacto y notificación interna enviada a facturación/recepción).</w:t>
            </w:r>
          </w:p>
        </w:tc>
        <w:tc>
          <w:tcPr>
            <w:tcW w:type="dxa" w:w="2340"/>
          </w:tcPr>
          <w:p>
            <w:r>
              <w:rPr>
                <w:sz w:val="17"/>
              </w:rPr>
              <w:t>No ejecutado (Planificado)</w:t>
            </w:r>
          </w:p>
        </w:tc>
      </w:tr>
      <w:tr>
        <w:tc>
          <w:tcPr>
            <w:tcW w:type="dxa" w:w="2340"/>
          </w:tcPr>
          <w:p>
            <w:r>
              <w:rPr>
                <w:sz w:val="17"/>
              </w:rPr>
              <w:t>CP-ODO-006</w:t>
            </w:r>
          </w:p>
        </w:tc>
        <w:tc>
          <w:tcPr>
            <w:tcW w:type="dxa" w:w="2340"/>
          </w:tcPr>
          <w:p>
            <w:r>
              <w:rPr>
                <w:sz w:val="17"/>
              </w:rPr>
              <w:t>Generación y compilación de receta médica en PDF validando obligatoriedad de posología</w:t>
            </w:r>
          </w:p>
        </w:tc>
        <w:tc>
          <w:tcPr>
            <w:tcW w:type="dxa" w:w="2340"/>
          </w:tcPr>
          <w:p>
            <w:r>
              <w:rPr>
                <w:sz w:val="17"/>
              </w:rPr>
              <w:t>El sistema cuenta con buscador y autocompletado para medicamentos; valida que ningún medicamento se quede sin indicaciones de dosis y frecuencia; compila la receta médica en un documento PDF inmodificable y lo almacena en el expediente del paciente (Alineado con DOD: generación de PDF descargable e imprimible con membrete oficial de DentalCare).</w:t>
            </w:r>
          </w:p>
        </w:tc>
        <w:tc>
          <w:tcPr>
            <w:tcW w:type="dxa" w:w="2340"/>
          </w:tcPr>
          <w:p>
            <w:r>
              <w:rPr>
                <w:sz w:val="17"/>
              </w:rPr>
              <w:t>No ejecutado (Planificado)</w:t>
            </w:r>
          </w:p>
        </w:tc>
      </w:tr>
      <w:tr>
        <w:tc>
          <w:tcPr>
            <w:tcW w:type="dxa" w:w="2340"/>
          </w:tcPr>
          <w:p>
            <w:r>
              <w:rPr>
                <w:sz w:val="17"/>
              </w:rPr>
              <w:t>CP-ODO-007</w:t>
            </w:r>
          </w:p>
        </w:tc>
        <w:tc>
          <w:tcPr>
            <w:tcW w:type="dxa" w:w="2340"/>
          </w:tcPr>
          <w:p>
            <w:r>
              <w:rPr>
                <w:sz w:val="17"/>
              </w:rPr>
              <w:t>Búsqueda de paciente inexistente en base de datos y control de caracteres especiales</w:t>
            </w:r>
          </w:p>
        </w:tc>
        <w:tc>
          <w:tcPr>
            <w:tcW w:type="dxa" w:w="2340"/>
          </w:tcPr>
          <w:p>
            <w:r>
              <w:rPr>
                <w:sz w:val="17"/>
              </w:rPr>
              <w:t>El sistema proporciona barra de búsqueda general por nombre o documento; si la búsqueda no arroja resultados muestra el mensaje 'No se encontraron pacientes'; previene vulnerabilidades de inyección SQL sanitizando las entradas (Alineado con DOD: seguridad de consultas parametrizadas ORM y sin pantallas en blanco o errores 500).</w:t>
            </w:r>
          </w:p>
        </w:tc>
        <w:tc>
          <w:tcPr>
            <w:tcW w:type="dxa" w:w="2340"/>
          </w:tcPr>
          <w:p>
            <w:r>
              <w:rPr>
                <w:sz w:val="17"/>
              </w:rPr>
              <w:t>No ejecutado (Planificado)</w:t>
            </w:r>
          </w:p>
        </w:tc>
      </w:tr>
      <w:tr>
        <w:tc>
          <w:tcPr>
            <w:tcW w:type="dxa" w:w="2340"/>
          </w:tcPr>
          <w:p>
            <w:r>
              <w:rPr>
                <w:sz w:val="17"/>
              </w:rPr>
              <w:t>CP-ASD-001</w:t>
            </w:r>
          </w:p>
        </w:tc>
        <w:tc>
          <w:tcPr>
            <w:tcW w:type="dxa" w:w="2340"/>
          </w:tcPr>
          <w:p>
            <w:r>
              <w:rPr>
                <w:sz w:val="17"/>
              </w:rPr>
              <w:t>Registro exitoso de nuevo material odontológico en el inventario</w:t>
            </w:r>
          </w:p>
        </w:tc>
        <w:tc>
          <w:tcPr>
            <w:tcW w:type="dxa" w:w="2340"/>
          </w:tcPr>
          <w:p>
            <w:r>
              <w:rPr>
                <w:sz w:val="17"/>
              </w:rPr>
              <w:t>Los materiales son registrados con código y nombre entre 5 a 100 caracteres; el guardado exitoso muestra una notificación de éxito y ofrece la opción de redirección al listado general de materiales (Alineado con DOD: persistencia en base de datos y disponibilidad inmediata en catálogo).</w:t>
            </w:r>
          </w:p>
        </w:tc>
        <w:tc>
          <w:tcPr>
            <w:tcW w:type="dxa" w:w="2340"/>
          </w:tcPr>
          <w:p>
            <w:r>
              <w:rPr>
                <w:sz w:val="17"/>
              </w:rPr>
              <w:t>No ejecutado (Planificado)</w:t>
            </w:r>
          </w:p>
        </w:tc>
      </w:tr>
      <w:tr>
        <w:tc>
          <w:tcPr>
            <w:tcW w:type="dxa" w:w="2340"/>
          </w:tcPr>
          <w:p>
            <w:r>
              <w:rPr>
                <w:sz w:val="17"/>
              </w:rPr>
              <w:t>CP-ASD-002</w:t>
            </w:r>
          </w:p>
        </w:tc>
        <w:tc>
          <w:tcPr>
            <w:tcW w:type="dxa" w:w="2340"/>
          </w:tcPr>
          <w:p>
            <w:r>
              <w:rPr>
                <w:sz w:val="17"/>
              </w:rPr>
              <w:t>Validación de campos con borde rojo al ingresar nombres cortos y códigos inválidos</w:t>
            </w:r>
          </w:p>
        </w:tc>
        <w:tc>
          <w:tcPr>
            <w:tcW w:type="dxa" w:w="2340"/>
          </w:tcPr>
          <w:p>
            <w:r>
              <w:rPr>
                <w:sz w:val="17"/>
              </w:rPr>
              <w:t>Se debe mostrar la casilla en rojo cuando se ingresan datos no válidos; si se genera un error al momento de ingresar los materiales se debe mostrar una notificación de error clara (Alineado con DOD: validaciones visuales UI y validaciones a nivel de modelo de datos).</w:t>
            </w:r>
          </w:p>
        </w:tc>
        <w:tc>
          <w:tcPr>
            <w:tcW w:type="dxa" w:w="2340"/>
          </w:tcPr>
          <w:p>
            <w:r>
              <w:rPr>
                <w:sz w:val="17"/>
              </w:rPr>
              <w:t>No ejecutado (Planificado)</w:t>
            </w:r>
          </w:p>
        </w:tc>
      </w:tr>
      <w:tr>
        <w:tc>
          <w:tcPr>
            <w:tcW w:type="dxa" w:w="2340"/>
          </w:tcPr>
          <w:p>
            <w:r>
              <w:rPr>
                <w:sz w:val="17"/>
              </w:rPr>
              <w:t>CP-ASD-003</w:t>
            </w:r>
          </w:p>
        </w:tc>
        <w:tc>
          <w:tcPr>
            <w:tcW w:type="dxa" w:w="2340"/>
          </w:tcPr>
          <w:p>
            <w:r>
              <w:rPr>
                <w:sz w:val="17"/>
              </w:rPr>
              <w:t>Registro de entrada de medicamentos con valor límite mínimo permitido (1 unidad) y rechazo de valor 0</w:t>
            </w:r>
          </w:p>
        </w:tc>
        <w:tc>
          <w:tcPr>
            <w:tcW w:type="dxa" w:w="2340"/>
          </w:tcPr>
          <w:p>
            <w:r>
              <w:rPr>
                <w:sz w:val="17"/>
              </w:rPr>
              <w:t>Los medicamentos ingresados son registrados con código (MD45) y nombre; se muestra casilla en rojo con datos no válidos; el ingreso exitoso muestra una notificación y ofrece redirección al listado (Alineado con DOD: validación de dominio cantidad &gt; 0).</w:t>
            </w:r>
          </w:p>
        </w:tc>
        <w:tc>
          <w:tcPr>
            <w:tcW w:type="dxa" w:w="2340"/>
          </w:tcPr>
          <w:p>
            <w:r>
              <w:rPr>
                <w:sz w:val="17"/>
              </w:rPr>
              <w:t>No ejecutado (Planificado)</w:t>
            </w:r>
          </w:p>
        </w:tc>
      </w:tr>
      <w:tr>
        <w:tc>
          <w:tcPr>
            <w:tcW w:type="dxa" w:w="2340"/>
          </w:tcPr>
          <w:p>
            <w:r>
              <w:rPr>
                <w:sz w:val="17"/>
              </w:rPr>
              <w:t>CP-ASD-004</w:t>
            </w:r>
          </w:p>
        </w:tc>
        <w:tc>
          <w:tcPr>
            <w:tcW w:type="dxa" w:w="2340"/>
          </w:tcPr>
          <w:p>
            <w:r>
              <w:rPr>
                <w:sz w:val="17"/>
              </w:rPr>
              <w:t>Confirmación de consumo mensual de material y descuento automático en inventario</w:t>
            </w:r>
          </w:p>
        </w:tc>
        <w:tc>
          <w:tcPr>
            <w:tcW w:type="dxa" w:w="2340"/>
          </w:tcPr>
          <w:p>
            <w:r>
              <w:rPr>
                <w:sz w:val="17"/>
              </w:rPr>
              <w:t>Se deben mostrar recuadros con los datos de cada consumo hecho en el transcurso del mes; la confirmación exitosa debe mostrar una notificación; al modificar o confirmar se debe ver reflejado en el recuadro propio del consumo y en el inventario general (Alineado con DOD: actualización atómica de base de datos transaccional).</w:t>
            </w:r>
          </w:p>
        </w:tc>
        <w:tc>
          <w:tcPr>
            <w:tcW w:type="dxa" w:w="2340"/>
          </w:tcPr>
          <w:p>
            <w:r>
              <w:rPr>
                <w:sz w:val="17"/>
              </w:rPr>
              <w:t>No ejecutado (Planificado)</w:t>
            </w:r>
          </w:p>
        </w:tc>
      </w:tr>
      <w:tr>
        <w:tc>
          <w:tcPr>
            <w:tcW w:type="dxa" w:w="2340"/>
          </w:tcPr>
          <w:p>
            <w:r>
              <w:rPr>
                <w:sz w:val="17"/>
              </w:rPr>
              <w:t>CP-ASD-005</w:t>
            </w:r>
          </w:p>
        </w:tc>
        <w:tc>
          <w:tcPr>
            <w:tcW w:type="dxa" w:w="2340"/>
          </w:tcPr>
          <w:p>
            <w:r>
              <w:rPr>
                <w:sz w:val="17"/>
              </w:rPr>
              <w:t>Rechazo de confirmación de consumo cuando la cantidad excede el stock disponible</w:t>
            </w:r>
          </w:p>
        </w:tc>
        <w:tc>
          <w:tcPr>
            <w:tcW w:type="dxa" w:w="2340"/>
          </w:tcPr>
          <w:p>
            <w:r>
              <w:rPr>
                <w:sz w:val="17"/>
              </w:rPr>
              <w:t>Si se genera un error al momento de confirmar el consumo se debe mostrar una notificación de error; el sistema no debe permitir que el inventario registre valores negativos (Alineado con DOD: restricción CHECK stock &gt;= 0 en base de datos).</w:t>
            </w:r>
          </w:p>
        </w:tc>
        <w:tc>
          <w:tcPr>
            <w:tcW w:type="dxa" w:w="2340"/>
          </w:tcPr>
          <w:p>
            <w:r>
              <w:rPr>
                <w:sz w:val="17"/>
              </w:rPr>
              <w:t>No ejecutado (Planificado)</w:t>
            </w:r>
          </w:p>
        </w:tc>
      </w:tr>
      <w:tr>
        <w:tc>
          <w:tcPr>
            <w:tcW w:type="dxa" w:w="2340"/>
          </w:tcPr>
          <w:p>
            <w:r>
              <w:rPr>
                <w:sz w:val="17"/>
              </w:rPr>
              <w:t>CP-ASD-006</w:t>
            </w:r>
          </w:p>
        </w:tc>
        <w:tc>
          <w:tcPr>
            <w:tcW w:type="dxa" w:w="2340"/>
          </w:tcPr>
          <w:p>
            <w:r>
              <w:rPr>
                <w:sz w:val="17"/>
              </w:rPr>
              <w:t>Generación automática de alerta visual al alcanzar el umbral de stock mínimo y exportación a Excel</w:t>
            </w:r>
          </w:p>
        </w:tc>
        <w:tc>
          <w:tcPr>
            <w:tcW w:type="dxa" w:w="2340"/>
          </w:tcPr>
          <w:p>
            <w:r>
              <w:rPr>
                <w:sz w:val="17"/>
              </w:rPr>
              <w:t>Se debe mostrar un listado con los materiales próximos a agotarse; mostrar un resumen con los 3 materiales más próximos a agotarse; ofrecer opciones que redirijan al apartado de registro; permitir descargar un documento de Excel con el listado de alertas (Alineado con DOD: cálculo reactivo de alertas y exportador Excel xlsx operativo).</w:t>
            </w:r>
          </w:p>
        </w:tc>
        <w:tc>
          <w:tcPr>
            <w:tcW w:type="dxa" w:w="2340"/>
          </w:tcPr>
          <w:p>
            <w:r>
              <w:rPr>
                <w:sz w:val="17"/>
              </w:rPr>
              <w:t>No ejecutado (Planificado)</w:t>
            </w:r>
          </w:p>
        </w:tc>
      </w:tr>
      <w:tr>
        <w:tc>
          <w:tcPr>
            <w:tcW w:type="dxa" w:w="2340"/>
          </w:tcPr>
          <w:p>
            <w:r>
              <w:rPr>
                <w:sz w:val="17"/>
              </w:rPr>
              <w:t>CP-ASD-007</w:t>
            </w:r>
          </w:p>
        </w:tc>
        <w:tc>
          <w:tcPr>
            <w:tcW w:type="dxa" w:w="2340"/>
          </w:tcPr>
          <w:p>
            <w:r>
              <w:rPr>
                <w:sz w:val="17"/>
              </w:rPr>
              <w:t>Verificación de acceso denegado a emisión de recetas y diagnóstico médico para Asistente Dental</w:t>
            </w:r>
          </w:p>
        </w:tc>
        <w:tc>
          <w:tcPr>
            <w:tcW w:type="dxa" w:w="2340"/>
          </w:tcPr>
          <w:p>
            <w:r>
              <w:rPr>
                <w:sz w:val="17"/>
              </w:rPr>
              <w:t>El sistema restringe el acceso a las funciones exclusivas del odontólogo; deniega solicitudes no autorizadas y retorna error de privilegios insuficientes (Alineado con DOD: validación estricta en API endpoints con token JWT y control de rol).</w:t>
            </w:r>
          </w:p>
        </w:tc>
        <w:tc>
          <w:tcPr>
            <w:tcW w:type="dxa" w:w="2340"/>
          </w:tcPr>
          <w:p>
            <w:r>
              <w:rPr>
                <w:sz w:val="17"/>
              </w:rPr>
              <w:t>No ejecutado (Planificado)</w:t>
            </w:r>
          </w:p>
        </w:tc>
      </w:tr>
      <w:tr>
        <w:tc>
          <w:tcPr>
            <w:tcW w:type="dxa" w:w="2340"/>
          </w:tcPr>
          <w:p>
            <w:r>
              <w:rPr>
                <w:sz w:val="17"/>
              </w:rPr>
              <w:t>CP-GER-001</w:t>
            </w:r>
          </w:p>
        </w:tc>
        <w:tc>
          <w:tcPr>
            <w:tcW w:type="dxa" w:w="2340"/>
          </w:tcPr>
          <w:p>
            <w:r>
              <w:rPr>
                <w:sz w:val="17"/>
              </w:rPr>
              <w:t>Generación y visualización del reporte ejecutivo de atenciones clínicas por período mensual</w:t>
            </w:r>
          </w:p>
        </w:tc>
        <w:tc>
          <w:tcPr>
            <w:tcW w:type="dxa" w:w="2340"/>
          </w:tcPr>
          <w:p>
            <w:r>
              <w:rPr>
                <w:sz w:val="17"/>
              </w:rPr>
              <w:t>El sistema muestra las opciones de reportes disponibles; permite seleccionar el período de tiempo; carga el reporte correspondiente presentando los resultados en formato de tabla o gráfico estadístico básico con el total de atenciones realizadas (Alineado con DOD: consultas analíticas optimizadas y carga en menos de 2 segundos).</w:t>
            </w:r>
          </w:p>
        </w:tc>
        <w:tc>
          <w:tcPr>
            <w:tcW w:type="dxa" w:w="2340"/>
          </w:tcPr>
          <w:p>
            <w:r>
              <w:rPr>
                <w:sz w:val="17"/>
              </w:rPr>
              <w:t>No ejecutado (Planificado)</w:t>
            </w:r>
          </w:p>
        </w:tc>
      </w:tr>
      <w:tr>
        <w:tc>
          <w:tcPr>
            <w:tcW w:type="dxa" w:w="2340"/>
          </w:tcPr>
          <w:p>
            <w:r>
              <w:rPr>
                <w:sz w:val="17"/>
              </w:rPr>
              <w:t>CP-GER-002</w:t>
            </w:r>
          </w:p>
        </w:tc>
        <w:tc>
          <w:tcPr>
            <w:tcW w:type="dxa" w:w="2340"/>
          </w:tcPr>
          <w:p>
            <w:r>
              <w:rPr>
                <w:sz w:val="17"/>
              </w:rPr>
              <w:t>Filtrado multicriterio combinado por rango de fechas y tipo de atención odontológica</w:t>
            </w:r>
          </w:p>
        </w:tc>
        <w:tc>
          <w:tcPr>
            <w:tcW w:type="dxa" w:w="2340"/>
          </w:tcPr>
          <w:p>
            <w:r>
              <w:rPr>
                <w:sz w:val="17"/>
              </w:rPr>
              <w:t>El sistema permite filtrar por rango de fechas; permite filtrar por tipo de material o tipo de atención; actualiza los resultados del reporte al aplicar los filtros seleccionados (Alineado con DOD: filtrado asíncrono AJAX/SPA y precisión numérica del 100%).</w:t>
            </w:r>
          </w:p>
        </w:tc>
        <w:tc>
          <w:tcPr>
            <w:tcW w:type="dxa" w:w="2340"/>
          </w:tcPr>
          <w:p>
            <w:r>
              <w:rPr>
                <w:sz w:val="17"/>
              </w:rPr>
              <w:t>No ejecutado (Planificado)</w:t>
            </w:r>
          </w:p>
        </w:tc>
      </w:tr>
      <w:tr>
        <w:tc>
          <w:tcPr>
            <w:tcW w:type="dxa" w:w="2340"/>
          </w:tcPr>
          <w:p>
            <w:r>
              <w:rPr>
                <w:sz w:val="17"/>
              </w:rPr>
              <w:t>CP-GER-003</w:t>
            </w:r>
          </w:p>
        </w:tc>
        <w:tc>
          <w:tcPr>
            <w:tcW w:type="dxa" w:w="2340"/>
          </w:tcPr>
          <w:p>
            <w:r>
              <w:rPr>
                <w:sz w:val="17"/>
              </w:rPr>
              <w:t>Validación de coherencia de fechas cuando la fecha inicial es posterior a la fecha final</w:t>
            </w:r>
          </w:p>
        </w:tc>
        <w:tc>
          <w:tcPr>
            <w:tcW w:type="dxa" w:w="2340"/>
          </w:tcPr>
          <w:p>
            <w:r>
              <w:rPr>
                <w:sz w:val="17"/>
              </w:rPr>
              <w:t>El sistema valida los rangos de fechas antes de procesar la consulta; bloquea la ejecución de peticiones con fechas invertidas y despliega una alerta descriptiva (Alineado con DOD: validación de integridad de entrada y prevención de excepciones SQL de rango).</w:t>
            </w:r>
          </w:p>
        </w:tc>
        <w:tc>
          <w:tcPr>
            <w:tcW w:type="dxa" w:w="2340"/>
          </w:tcPr>
          <w:p>
            <w:r>
              <w:rPr>
                <w:sz w:val="17"/>
              </w:rPr>
              <w:t>No ejecutado (Planificado)</w:t>
            </w:r>
          </w:p>
        </w:tc>
      </w:tr>
      <w:tr>
        <w:tc>
          <w:tcPr>
            <w:tcW w:type="dxa" w:w="2340"/>
          </w:tcPr>
          <w:p>
            <w:r>
              <w:rPr>
                <w:sz w:val="17"/>
              </w:rPr>
              <w:t>CP-GER-004</w:t>
            </w:r>
          </w:p>
        </w:tc>
        <w:tc>
          <w:tcPr>
            <w:tcW w:type="dxa" w:w="2340"/>
          </w:tcPr>
          <w:p>
            <w:r>
              <w:rPr>
                <w:sz w:val="17"/>
              </w:rPr>
              <w:t>Verificación de modo 'Solo Lectura' e inhabilitación de acciones de edición en alertas de stock para Gerente</w:t>
            </w:r>
          </w:p>
        </w:tc>
        <w:tc>
          <w:tcPr>
            <w:tcW w:type="dxa" w:w="2340"/>
          </w:tcPr>
          <w:p>
            <w:r>
              <w:rPr>
                <w:sz w:val="17"/>
              </w:rPr>
              <w:t>El sistema muestra lista de materiales en stock mínimo; indica nombre, cantidad actual y mínima permitida; permite ordenar por nivel de urgencia; la vista de alertas es de solo lectura, el Gerente no puede modificar ni registrar materiales desde esta pantalla (Alineado con DOD: principio de mínimo privilegio y separación de funciones SoD).</w:t>
            </w:r>
          </w:p>
        </w:tc>
        <w:tc>
          <w:tcPr>
            <w:tcW w:type="dxa" w:w="2340"/>
          </w:tcPr>
          <w:p>
            <w:r>
              <w:rPr>
                <w:sz w:val="17"/>
              </w:rPr>
              <w:t>No ejecutado (Planificado)</w:t>
            </w:r>
          </w:p>
        </w:tc>
      </w:tr>
      <w:tr>
        <w:tc>
          <w:tcPr>
            <w:tcW w:type="dxa" w:w="2340"/>
          </w:tcPr>
          <w:p>
            <w:r>
              <w:rPr>
                <w:sz w:val="17"/>
              </w:rPr>
              <w:t>CP-GER-005</w:t>
            </w:r>
          </w:p>
        </w:tc>
        <w:tc>
          <w:tcPr>
            <w:tcW w:type="dxa" w:w="2340"/>
          </w:tcPr>
          <w:p>
            <w:r>
              <w:rPr>
                <w:sz w:val="17"/>
              </w:rPr>
              <w:t>Exportación y verificación de integridad de reporte de consumo de insumos a Excel y PDF</w:t>
            </w:r>
          </w:p>
        </w:tc>
        <w:tc>
          <w:tcPr>
            <w:tcW w:type="dxa" w:w="2340"/>
          </w:tcPr>
          <w:p>
            <w:r>
              <w:rPr>
                <w:sz w:val="17"/>
              </w:rPr>
              <w:t>El sistema permite exportar o imprimir el reporte generado en formato tabla o gráfico estadístico (Alineado con DOD: librerías de renderizado probadas y archivos generados sin corrupción de formato).</w:t>
            </w:r>
          </w:p>
        </w:tc>
        <w:tc>
          <w:tcPr>
            <w:tcW w:type="dxa" w:w="2340"/>
          </w:tcPr>
          <w:p>
            <w:r>
              <w:rPr>
                <w:sz w:val="17"/>
              </w:rPr>
              <w:t>No ejecutado (Planificado)</w:t>
            </w:r>
          </w:p>
        </w:tc>
      </w:tr>
      <w:tr>
        <w:tc>
          <w:tcPr>
            <w:tcW w:type="dxa" w:w="2340"/>
          </w:tcPr>
          <w:p>
            <w:r>
              <w:rPr>
                <w:sz w:val="17"/>
              </w:rPr>
              <w:t>CP-GER-006</w:t>
            </w:r>
          </w:p>
        </w:tc>
        <w:tc>
          <w:tcPr>
            <w:tcW w:type="dxa" w:w="2340"/>
          </w:tcPr>
          <w:p>
            <w:r>
              <w:rPr>
                <w:sz w:val="17"/>
              </w:rPr>
              <w:t>Consulta de reporte estadístico en un período temporal sin registros clínicos</w:t>
            </w:r>
          </w:p>
        </w:tc>
        <w:tc>
          <w:tcPr>
            <w:tcW w:type="dxa" w:w="2340"/>
          </w:tcPr>
          <w:p>
            <w:r>
              <w:rPr>
                <w:sz w:val="17"/>
              </w:rPr>
              <w:t>El sistema procesa la consulta de forma controlada; no genera excepciones de puntero nulo o división por cero en las medias estadísticas; muestra mensaje claro al usuario (Alineado con DOD: robustez del backend ante consultas con retorno vacío COUNT=0).</w:t>
            </w:r>
          </w:p>
        </w:tc>
        <w:tc>
          <w:tcPr>
            <w:tcW w:type="dxa" w:w="2340"/>
          </w:tcPr>
          <w:p>
            <w:r>
              <w:rPr>
                <w:sz w:val="17"/>
              </w:rPr>
              <w:t>No ejecutado (Planificado)</w:t>
            </w:r>
          </w:p>
        </w:tc>
      </w:tr>
      <w:tr>
        <w:tc>
          <w:tcPr>
            <w:tcW w:type="dxa" w:w="2340"/>
          </w:tcPr>
          <w:p>
            <w:r>
              <w:rPr>
                <w:sz w:val="17"/>
              </w:rPr>
              <w:t>CP-GER-007</w:t>
            </w:r>
          </w:p>
        </w:tc>
        <w:tc>
          <w:tcPr>
            <w:tcW w:type="dxa" w:w="2340"/>
          </w:tcPr>
          <w:p>
            <w:r>
              <w:rPr>
                <w:sz w:val="17"/>
              </w:rPr>
              <w:t>Configuración de umbrales de alerta de rendimiento con validación de valores límite (1% a 100%)</w:t>
            </w:r>
          </w:p>
        </w:tc>
        <w:tc>
          <w:tcPr>
            <w:tcW w:type="dxa" w:w="2340"/>
          </w:tcPr>
          <w:p>
            <w:r>
              <w:rPr>
                <w:sz w:val="17"/>
              </w:rPr>
              <w:t>El sistema permite configurar alertas de rendimiento; valida que los valores porcentuales se ubiquen entre 1 y 100; guarda los umbrales configurados y emite confirmación de éxito (Alineado con DOD: persistencia de parámetros de configuración global de la clínica).</w:t>
            </w:r>
          </w:p>
        </w:tc>
        <w:tc>
          <w:tcPr>
            <w:tcW w:type="dxa" w:w="2340"/>
          </w:tcPr>
          <w:p>
            <w:r>
              <w:rPr>
                <w:sz w:val="17"/>
              </w:rPr>
              <w:t>No ejecutado (Planificado)</w:t>
            </w:r>
          </w:p>
        </w:tc>
      </w:tr>
    </w:tbl>
    <w:p>
      <w:r>
        <w:br/>
        <w:t>Nota: Para consultar el detalle procedimental celda a celda con sus 12 columnas reglamentarias (Precondición, Tipo de Prueba, Requerimiento, Regla de Negocio, Alcance, Descripción Procedural, Prerrequisito, Criterio de Aceptación, Resultado Esperado y Resultado Obtenido), remitirse a las hojas 'Detalle_AdminTI', 'Detalle_Recepcionista', 'Detalle_Odontologo', 'Detalle_AsistenteDental' y 'Detalle_Gerencia' del archivo Excel complementario Grupo#_CARNETSINTEGRANTES_PlandePruebas.xlsx.</w:t>
      </w:r>
    </w:p>
    <w:p>
      <w:pPr>
        <w:spacing w:before="280" w:after="120"/>
      </w:pPr>
      <w:r>
        <w:rPr>
          <w:rFonts w:ascii="Calibri" w:hAnsi="Calibri"/>
          <w:b/>
          <w:color w:val="1F4E79"/>
          <w:sz w:val="32"/>
        </w:rPr>
        <w:t>7. GESTIÓN DE CONTROL DE VERSIONES Y ENLACES DE ACCESO</w:t>
      </w:r>
    </w:p>
    <w:p>
      <w:r>
        <w:t>En estricto apego al criterio de evaluación de Versionamiento (10%) y las normativas de la cátedra de Diseño de Sistemas II, a continuación se documentan los repositorios, ramas y accesos del sistema:</w:t>
        <w:br/>
        <w:br/>
        <w:t>1. Repositorio de Control de Versiones (Git):</w:t>
        <w:br/>
        <w:t xml:space="preserve">   • Enlace al Repositorio: [https://github.com/tu-organizacion/DentalCare-Repo-DSI215]</w:t>
        <w:br/>
        <w:t xml:space="preserve">   • Modelo de Ramificación: GitFlow (ramas main para releases estables, develop para integración y feature/sprint-X por funcionalidad).</w:t>
        <w:br/>
        <w:t xml:space="preserve">   • Evidencia de Commits: Registro de commits diarios y bien distribuidos entre todos los miembros del equipo, reflejando autoría y trabajo continuo.</w:t>
        <w:br/>
        <w:br/>
        <w:t>2. Carpeta Compartida en la Nube:</w:t>
        <w:br/>
        <w:t xml:space="preserve">   • Enlace a la Carpeta Compartida: [https://drive.google.com/drive/folders/ENLACE_CARPETA_COMPARTIDA_GRUPO]</w:t>
        <w:br/>
        <w:t xml:space="preserve">   • Contenido: Prototipos de UI/UX, diagramas de casos de uso aprobados, diccionario de datos y actas de sprint.</w:t>
        <w:br/>
        <w:br/>
        <w:t>3. Entorno de Despliegue en la Nube (Ambiente Remoto - No Local):</w:t>
        <w:br/>
        <w:t xml:space="preserve">   • URL de Acceso al Software: [https://dentalcare-app-dsi215.onrender.com] (o Railway / Azure / AWS)</w:t>
        <w:br/>
        <w:t xml:space="preserve">   • Base de Datos Remota: Instancia de base de datos relacional alojada en la nube (PostgreSQL/MySQL Cloud).</w:t>
        <w:br/>
        <w:t xml:space="preserve">   • Credenciales de Prueba para Evaluación:</w:t>
        <w:br/>
        <w:t xml:space="preserve">     - Administrador TI: admin@dentalcare.com / Admin2026*!</w:t>
        <w:br/>
        <w:t xml:space="preserve">     - Recepcionista: secretaria@dentalcare.com / Secre2026*!</w:t>
        <w:br/>
        <w:t xml:space="preserve">     - Odontólogo: dr.martinez@dentalcare.com / Doctor2026*!</w:t>
        <w:br/>
        <w:t xml:space="preserve">     - Asistente Dental: asistente@dentalcare.com / Asist2026*!</w:t>
        <w:br/>
        <w:t xml:space="preserve">     - Gerente: gerente@dentalcare.com / Gerente2026*!</w:t>
        <w:br/>
        <w:br/>
        <w:t>4. Tablero de Gestión Ágil en Jira:</w:t>
        <w:br/>
        <w:t xml:space="preserve">   • URL del Tablero Jira: [https://tu-dominio.atlassian.net/jira/software/projects/DENTALCARE/boards/1]</w:t>
      </w:r>
    </w:p>
    <w:p>
      <w:pPr>
        <w:spacing w:before="280" w:after="120"/>
      </w:pPr>
      <w:r>
        <w:rPr>
          <w:rFonts w:ascii="Calibri" w:hAnsi="Calibri"/>
          <w:b/>
          <w:color w:val="1F4E79"/>
          <w:sz w:val="32"/>
        </w:rPr>
        <w:t>8. CONCLUSIONES Y RECOMENDACIONES</w:t>
      </w:r>
    </w:p>
    <w:p>
      <w:r>
        <w:t>1. El proyecto DentalCare ha cumplido satisfactoriamente las metas establecidas para el primer período evaluado, superando la meta mínima del 50% de funcionalidades desarrolladas y funcionales con un 65.38% de avance (34 HDU finalizadas de 52).</w:t>
        <w:br/>
        <w:t>2. La definición formal de los DOD (Definición de Terminado) para cada sprint ha permitido elevar el estándar de calidad del software, evitando la acumulación de deuda técnica y garantizando que cada incremento cuente con diseño, pruebas y despliegue verificados.</w:t>
        <w:br/>
        <w:t>3. La formulación de un Plan de Pruebas de QA con 35 casos estructurados y diversificados asegura una cobertura holística de los flujos clínicos y administrativos, mitigando riesgos de seguridad, inconsistencias de datos y solapamientos de citas.</w:t>
        <w:br/>
        <w:t>4. Se recomienda para los Sprints 4 y 5 mantener el ritmo de commits en Git, implementar pruebas automatizadas para la exportación de reportes analíticos y realizar pruebas de carga con volumen simulado de consultas para monitorear el desempeño del servidor remoto.</w:t>
      </w:r>
    </w:p>
    <w:p>
      <w:pPr>
        <w:spacing w:before="280" w:after="120"/>
      </w:pPr>
      <w:r>
        <w:rPr>
          <w:rFonts w:ascii="Calibri" w:hAnsi="Calibri"/>
          <w:b/>
          <w:color w:val="1F4E79"/>
          <w:sz w:val="32"/>
        </w:rPr>
        <w:t>9. ANEXOS Y REFERENCIAS</w:t>
      </w:r>
    </w:p>
    <w:p>
      <w:r>
        <w:t>• Anexo A: Archivo de Plan de Pruebas de QA en formato de hoja de cálculo: Grupo#_CARNETSINTEGRANTES_PlandePruebas.xlsx.</w:t>
        <w:br/>
        <w:t>• Anexo B: Matriz de Trazabilidad entre Requerimientos de Software, Historias de Jira y Casos de Prueba de QA.</w:t>
        <w:br/>
        <w:t>• Anexo C: Guía de Usuario Rápida para el Tutor Evaluador con credenciales de acceso para la defensa virtual.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