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8A0FE" w14:textId="77777777" w:rsidR="00600A02" w:rsidRDefault="00A64E4C">
      <w:pPr>
        <w:pStyle w:val="Title"/>
      </w:pPr>
      <w:r>
        <w:t>Predicting Energy Use of Institutional Buildings using nmecr</w:t>
      </w:r>
    </w:p>
    <w:p w14:paraId="14C4E89F" w14:textId="77777777" w:rsidR="00600A02" w:rsidRDefault="00A64E4C">
      <w:pPr>
        <w:pStyle w:val="Author"/>
      </w:pPr>
      <w:r>
        <w:t>Mrinalini Sharma</w:t>
      </w:r>
      <w:r>
        <w:rPr>
          <w:rStyle w:val="FootnoteReference"/>
        </w:rPr>
        <w:footnoteReference w:id="1"/>
      </w:r>
    </w:p>
    <w:p w14:paraId="611CE604" w14:textId="77777777" w:rsidR="00600A02" w:rsidRDefault="00A64E4C">
      <w:pPr>
        <w:pStyle w:val="Author"/>
      </w:pPr>
      <w:r>
        <w:t>David Jump</w:t>
      </w:r>
      <w:r>
        <w:rPr>
          <w:rStyle w:val="FootnoteReference"/>
        </w:rPr>
        <w:footnoteReference w:id="2"/>
      </w:r>
    </w:p>
    <w:p w14:paraId="2CB10185" w14:textId="77777777" w:rsidR="00600A02" w:rsidRDefault="00A64E4C">
      <w:pPr>
        <w:pStyle w:val="Author"/>
      </w:pPr>
      <w:r>
        <w:t>Devan Johnson</w:t>
      </w:r>
      <w:r>
        <w:rPr>
          <w:rStyle w:val="FootnoteReference"/>
        </w:rPr>
        <w:footnoteReference w:id="3"/>
      </w:r>
    </w:p>
    <w:p w14:paraId="1D940B88" w14:textId="77777777" w:rsidR="00600A02" w:rsidRDefault="00A64E4C">
      <w:pPr>
        <w:pStyle w:val="Date"/>
      </w:pPr>
      <w:r>
        <w:t>November 22, 2019</w:t>
      </w:r>
    </w:p>
    <w:p w14:paraId="538B2D6F" w14:textId="77777777" w:rsidR="00600A02" w:rsidRDefault="00A64E4C">
      <w:pPr>
        <w:pStyle w:val="Heading2"/>
      </w:pPr>
      <w:bookmarkStart w:id="0" w:name="Xf968b3512796e866a329518369577cc5811bd1f"/>
      <w:r>
        <w:t>Normalized Metered Energy Consumption (NM</w:t>
      </w:r>
      <w:bookmarkStart w:id="1" w:name="_GoBack"/>
      <w:bookmarkEnd w:id="1"/>
      <w:r>
        <w:t>EC)</w:t>
      </w:r>
      <w:bookmarkEnd w:id="0"/>
    </w:p>
    <w:p w14:paraId="1D5ACAAD" w14:textId="77777777" w:rsidR="00600A02" w:rsidRDefault="00A64E4C">
      <w:pPr>
        <w:pStyle w:val="FirstParagraph"/>
      </w:pPr>
      <w:r>
        <w:t>Meter-based energy efficiency programs are proliferating across the globe. This proliferation is influenced by the widespread availability of high frequency energy use measurements from new metering technology as well as advancements in statistical regress</w:t>
      </w:r>
      <w:r>
        <w:t>ion and other empirical energy data modeling methodologies. Program administrators may report savings as the overall reduction in normalized metered energy consumption (NMEC). This method to determine savings is based on analysis of meter data collected pr</w:t>
      </w:r>
      <w:r>
        <w:t>ior to and after energy efficiency and conservation measures have been installed. Referred to as advanced measurement and verification (M&amp;V) by the industry, this time-granular data and updated modeling methods provide several advantages over other methods</w:t>
      </w:r>
      <w:r>
        <w:t xml:space="preserve"> used to quantify the benefits of energy efficiency:</w:t>
      </w:r>
    </w:p>
    <w:p w14:paraId="3F1E1009" w14:textId="77777777" w:rsidR="00600A02" w:rsidRDefault="00A64E4C">
      <w:pPr>
        <w:numPr>
          <w:ilvl w:val="0"/>
          <w:numId w:val="2"/>
        </w:numPr>
      </w:pPr>
      <w:r>
        <w:t>It reliably determines the actual savings achieved at the meter</w:t>
      </w:r>
    </w:p>
    <w:p w14:paraId="7F5A0427" w14:textId="77777777" w:rsidR="00600A02" w:rsidRDefault="00A64E4C">
      <w:pPr>
        <w:numPr>
          <w:ilvl w:val="0"/>
          <w:numId w:val="2"/>
        </w:numPr>
      </w:pPr>
      <w:r>
        <w:t>It provides fast feedback on the facility’s energy performance and savings progress</w:t>
      </w:r>
    </w:p>
    <w:p w14:paraId="3B5E5909" w14:textId="77777777" w:rsidR="00600A02" w:rsidRDefault="00A64E4C">
      <w:pPr>
        <w:numPr>
          <w:ilvl w:val="0"/>
          <w:numId w:val="2"/>
        </w:numPr>
      </w:pPr>
      <w:r>
        <w:t>It enables identification and troubleshooting of issues</w:t>
      </w:r>
      <w:r>
        <w:t xml:space="preserve"> that prevent savings realization</w:t>
      </w:r>
    </w:p>
    <w:p w14:paraId="2D8A7454" w14:textId="77777777" w:rsidR="00600A02" w:rsidRDefault="00A64E4C">
      <w:pPr>
        <w:pStyle w:val="FirstParagraph"/>
      </w:pPr>
      <w:r>
        <w:t xml:space="preserve">The </w:t>
      </w:r>
      <w:r>
        <w:rPr>
          <w:rStyle w:val="VerbatimChar"/>
        </w:rPr>
        <w:t>nmecr</w:t>
      </w:r>
      <w:r>
        <w:t xml:space="preserve"> package streamlines the application of the NMEC approach by enabling the:</w:t>
      </w:r>
    </w:p>
    <w:p w14:paraId="339D8DFD" w14:textId="77777777" w:rsidR="00600A02" w:rsidRDefault="00A64E4C">
      <w:pPr>
        <w:numPr>
          <w:ilvl w:val="0"/>
          <w:numId w:val="3"/>
        </w:numPr>
      </w:pPr>
      <w:r>
        <w:t>Management of high frequency, high volume data.</w:t>
      </w:r>
    </w:p>
    <w:p w14:paraId="3E5CE3B9" w14:textId="77777777" w:rsidR="00600A02" w:rsidRDefault="00A64E4C">
      <w:pPr>
        <w:numPr>
          <w:ilvl w:val="0"/>
          <w:numId w:val="3"/>
        </w:numPr>
      </w:pPr>
      <w:r>
        <w:t>Execution of advanced, state-of-the-art time-series data modeling algorithms.</w:t>
      </w:r>
    </w:p>
    <w:p w14:paraId="0C990E9F" w14:textId="77777777" w:rsidR="00600A02" w:rsidRDefault="00A64E4C">
      <w:pPr>
        <w:numPr>
          <w:ilvl w:val="0"/>
          <w:numId w:val="3"/>
        </w:numPr>
      </w:pPr>
      <w:r>
        <w:t>Comprehensiv</w:t>
      </w:r>
      <w:r>
        <w:t>e assessment of the validity of energy data models in specific applications.</w:t>
      </w:r>
    </w:p>
    <w:p w14:paraId="66D29824" w14:textId="77777777" w:rsidR="00600A02" w:rsidRDefault="00A64E4C">
      <w:pPr>
        <w:numPr>
          <w:ilvl w:val="0"/>
          <w:numId w:val="3"/>
        </w:numPr>
      </w:pPr>
      <w:r>
        <w:t>Quantification of uncertainties and risks associated with the energy savings projections in accordance with ASHRAE Guideline 14.</w:t>
      </w:r>
    </w:p>
    <w:p w14:paraId="382387A1" w14:textId="77777777" w:rsidR="00600A02" w:rsidRDefault="00A64E4C">
      <w:pPr>
        <w:pStyle w:val="FirstParagraph"/>
      </w:pPr>
      <w:r>
        <w:lastRenderedPageBreak/>
        <w:t xml:space="preserve">For an overview of nmcer, please refer </w:t>
      </w:r>
      <w:hyperlink r:id="rId7">
        <w:r>
          <w:rPr>
            <w:rStyle w:val="Hyperlink"/>
          </w:rPr>
          <w:t>nmecr_overview.pdf</w:t>
        </w:r>
      </w:hyperlink>
    </w:p>
    <w:p w14:paraId="4616EA34" w14:textId="77777777" w:rsidR="00600A02" w:rsidRDefault="00A64E4C">
      <w:pPr>
        <w:pStyle w:val="BodyText"/>
      </w:pPr>
      <w:r>
        <w:t>Facilities outside the commercial sector have more drivers of energy use than just time and temperature. Institutional facilities, such as schools and government of</w:t>
      </w:r>
      <w:r>
        <w:t>fices, have distinct operating profiles in different parts of the calendar year. These distinct operating profiles can be acconted for by adding variables to the dataframes that are served up to the modeling algorithms. These additional variables are indic</w:t>
      </w:r>
      <w:r>
        <w:t>ator variables, indicating the beginning and end of an operating profile by switching between 1s and 0s.</w:t>
      </w:r>
    </w:p>
    <w:p w14:paraId="7823A800" w14:textId="77777777" w:rsidR="00600A02" w:rsidRDefault="00A64E4C">
      <w:pPr>
        <w:pStyle w:val="Heading2"/>
      </w:pPr>
      <w:bookmarkStart w:id="2" w:name="data"/>
      <w:r>
        <w:t>Data</w:t>
      </w:r>
      <w:bookmarkEnd w:id="2"/>
    </w:p>
    <w:p w14:paraId="0AF10369" w14:textId="77777777" w:rsidR="00600A02" w:rsidRDefault="00A64E4C">
      <w:pPr>
        <w:pStyle w:val="FirstParagraph"/>
      </w:pPr>
      <w:r>
        <w:rPr>
          <w:rStyle w:val="VerbatimChar"/>
        </w:rPr>
        <w:t>nmecr</w:t>
      </w:r>
      <w:r>
        <w:t xml:space="preserve"> includes three datasets for this example: </w:t>
      </w:r>
      <w:r>
        <w:rPr>
          <w:rStyle w:val="VerbatimChar"/>
        </w:rPr>
        <w:t>school_eload</w:t>
      </w:r>
      <w:r>
        <w:t xml:space="preserve">, </w:t>
      </w:r>
      <w:r>
        <w:rPr>
          <w:rStyle w:val="VerbatimChar"/>
        </w:rPr>
        <w:t>school_temp</w:t>
      </w:r>
      <w:r>
        <w:t xml:space="preserve">, and </w:t>
      </w:r>
      <w:r>
        <w:rPr>
          <w:rStyle w:val="VerbatimChar"/>
        </w:rPr>
        <w:t>school_op_mode</w:t>
      </w:r>
      <w:r>
        <w:t>. The data spans 1/1/2018 through 12/31/2018.</w:t>
      </w:r>
    </w:p>
    <w:p w14:paraId="5B1C8CEA" w14:textId="77777777" w:rsidR="00600A02" w:rsidRDefault="00A64E4C">
      <w:pPr>
        <w:pStyle w:val="SourceCode"/>
      </w:pPr>
      <w:r>
        <w:rPr>
          <w:rStyle w:val="CommentTok"/>
        </w:rPr>
        <w:t xml:space="preserve"># Load </w:t>
      </w:r>
      <w:r>
        <w:rPr>
          <w:rStyle w:val="CommentTok"/>
        </w:rPr>
        <w:t>data into an R session:</w:t>
      </w:r>
      <w:r>
        <w:br/>
      </w:r>
      <w:r>
        <w:br/>
      </w:r>
      <w:r>
        <w:rPr>
          <w:rStyle w:val="KeywordTok"/>
        </w:rPr>
        <w:t>data</w:t>
      </w:r>
      <w:r>
        <w:rPr>
          <w:rStyle w:val="NormalTok"/>
        </w:rPr>
        <w:t>(school_eload)</w:t>
      </w:r>
      <w:r>
        <w:br/>
      </w:r>
      <w:r>
        <w:rPr>
          <w:rStyle w:val="KeywordTok"/>
        </w:rPr>
        <w:t>data</w:t>
      </w:r>
      <w:r>
        <w:rPr>
          <w:rStyle w:val="NormalTok"/>
        </w:rPr>
        <w:t>(school_temp)</w:t>
      </w:r>
      <w:r>
        <w:br/>
      </w:r>
      <w:r>
        <w:rPr>
          <w:rStyle w:val="KeywordTok"/>
        </w:rPr>
        <w:t>data</w:t>
      </w:r>
      <w:r>
        <w:rPr>
          <w:rStyle w:val="NormalTok"/>
        </w:rPr>
        <w:t>(school_op_mode)</w:t>
      </w:r>
    </w:p>
    <w:p w14:paraId="7156C891" w14:textId="77777777" w:rsidR="00600A02" w:rsidRDefault="00A64E4C">
      <w:pPr>
        <w:pStyle w:val="Heading2"/>
      </w:pPr>
      <w:bookmarkStart w:id="3" w:name="Xf9bae63a10e1e685d2f61fde7d48d035c7b6917"/>
      <w:r>
        <w:t>Baseline and Performance Period Dataframes for Modeling</w:t>
      </w:r>
      <w:bookmarkEnd w:id="3"/>
    </w:p>
    <w:p w14:paraId="29596188" w14:textId="77777777" w:rsidR="00600A02" w:rsidRDefault="00A64E4C">
      <w:pPr>
        <w:pStyle w:val="FirstParagraph"/>
      </w:pPr>
      <w:r>
        <w:rPr>
          <w:rStyle w:val="VerbatimChar"/>
        </w:rPr>
        <w:t>create_dataframe()</w:t>
      </w:r>
      <w:r>
        <w:t xml:space="preserve"> combines the </w:t>
      </w:r>
      <w:r>
        <w:rPr>
          <w:rStyle w:val="VerbatimChar"/>
        </w:rPr>
        <w:t>eload</w:t>
      </w:r>
      <w:r>
        <w:t xml:space="preserve"> and </w:t>
      </w:r>
      <w:r>
        <w:rPr>
          <w:rStyle w:val="VerbatimChar"/>
        </w:rPr>
        <w:t>temp</w:t>
      </w:r>
      <w:r>
        <w:t xml:space="preserve"> dataframes into one, filters by the specified start and end dates, and</w:t>
      </w:r>
      <w:r>
        <w:t xml:space="preserve"> aggregates to an hourly, daily, or a monthly data interval. If an operating mode dataframe is supplied, </w:t>
      </w:r>
      <w:r>
        <w:rPr>
          <w:rStyle w:val="VerbatimChar"/>
        </w:rPr>
        <w:t>create_dataframe</w:t>
      </w:r>
      <w:r>
        <w:t xml:space="preserve"> creates a list with two objects: dataframe, operating_mode_data.</w:t>
      </w:r>
    </w:p>
    <w:p w14:paraId="64FF65D0" w14:textId="77777777" w:rsidR="00600A02" w:rsidRDefault="00A64E4C">
      <w:pPr>
        <w:pStyle w:val="SourceCode"/>
      </w:pPr>
      <w:r>
        <w:br/>
      </w:r>
      <w:r>
        <w:rPr>
          <w:rStyle w:val="CommentTok"/>
        </w:rPr>
        <w:t># Baseline Dataframe</w:t>
      </w:r>
      <w:r>
        <w:br/>
      </w:r>
      <w:r>
        <w:br/>
      </w:r>
      <w:r>
        <w:rPr>
          <w:rStyle w:val="NormalTok"/>
        </w:rPr>
        <w:t>baseline_df &lt;-</w:t>
      </w:r>
      <w:r>
        <w:rPr>
          <w:rStyle w:val="StringTok"/>
        </w:rPr>
        <w:t xml:space="preserve"> </w:t>
      </w:r>
      <w:r>
        <w:rPr>
          <w:rStyle w:val="KeywordTok"/>
        </w:rPr>
        <w:t>create_dataframe</w:t>
      </w:r>
      <w:r>
        <w:rPr>
          <w:rStyle w:val="NormalTok"/>
        </w:rPr>
        <w:t>(</w:t>
      </w:r>
      <w:r>
        <w:rPr>
          <w:rStyle w:val="DataTypeTok"/>
        </w:rPr>
        <w:t>eload_data =</w:t>
      </w:r>
      <w:r>
        <w:rPr>
          <w:rStyle w:val="NormalTok"/>
        </w:rPr>
        <w:t xml:space="preserve"> s</w:t>
      </w:r>
      <w:r>
        <w:rPr>
          <w:rStyle w:val="NormalTok"/>
        </w:rPr>
        <w:t xml:space="preserve">chool_eload, </w:t>
      </w:r>
      <w:r>
        <w:br/>
      </w:r>
      <w:r>
        <w:rPr>
          <w:rStyle w:val="NormalTok"/>
        </w:rPr>
        <w:t xml:space="preserve">                                </w:t>
      </w:r>
      <w:r>
        <w:rPr>
          <w:rStyle w:val="DataTypeTok"/>
        </w:rPr>
        <w:t>temp_data =</w:t>
      </w:r>
      <w:r>
        <w:rPr>
          <w:rStyle w:val="NormalTok"/>
        </w:rPr>
        <w:t xml:space="preserve"> school_temp,</w:t>
      </w:r>
      <w:r>
        <w:br/>
      </w:r>
      <w:r>
        <w:rPr>
          <w:rStyle w:val="NormalTok"/>
        </w:rPr>
        <w:t xml:space="preserve">                                </w:t>
      </w:r>
      <w:r>
        <w:rPr>
          <w:rStyle w:val="DataTypeTok"/>
        </w:rPr>
        <w:t>convert_to_data_interval =</w:t>
      </w:r>
      <w:r>
        <w:rPr>
          <w:rStyle w:val="NormalTok"/>
        </w:rPr>
        <w:t xml:space="preserve"> </w:t>
      </w:r>
      <w:r>
        <w:rPr>
          <w:rStyle w:val="StringTok"/>
        </w:rPr>
        <w:t>"Daily"</w:t>
      </w:r>
      <w:r>
        <w:rPr>
          <w:rStyle w:val="NormalTok"/>
        </w:rPr>
        <w:t>)</w:t>
      </w:r>
      <w:r>
        <w:br/>
      </w:r>
      <w:r>
        <w:br/>
      </w:r>
      <w:r>
        <w:rPr>
          <w:rStyle w:val="NormalTok"/>
        </w:rPr>
        <w:t>baseline_df_with_op_mode &lt;-</w:t>
      </w:r>
      <w:r>
        <w:rPr>
          <w:rStyle w:val="StringTok"/>
        </w:rPr>
        <w:t xml:space="preserve"> </w:t>
      </w:r>
      <w:r>
        <w:rPr>
          <w:rStyle w:val="KeywordTok"/>
        </w:rPr>
        <w:t>create_dataframe</w:t>
      </w:r>
      <w:r>
        <w:rPr>
          <w:rStyle w:val="NormalTok"/>
        </w:rPr>
        <w:t>(</w:t>
      </w:r>
      <w:r>
        <w:rPr>
          <w:rStyle w:val="DataTypeTok"/>
        </w:rPr>
        <w:t>eload_data =</w:t>
      </w:r>
      <w:r>
        <w:rPr>
          <w:rStyle w:val="NormalTok"/>
        </w:rPr>
        <w:t xml:space="preserve"> school_eload, </w:t>
      </w:r>
      <w:r>
        <w:br/>
      </w:r>
      <w:r>
        <w:rPr>
          <w:rStyle w:val="NormalTok"/>
        </w:rPr>
        <w:t xml:space="preserve">                                             </w:t>
      </w:r>
      <w:r>
        <w:rPr>
          <w:rStyle w:val="DataTypeTok"/>
        </w:rPr>
        <w:t>temp_data =</w:t>
      </w:r>
      <w:r>
        <w:rPr>
          <w:rStyle w:val="NormalTok"/>
        </w:rPr>
        <w:t xml:space="preserve"> school_temp,</w:t>
      </w:r>
      <w:r>
        <w:br/>
      </w:r>
      <w:r>
        <w:rPr>
          <w:rStyle w:val="NormalTok"/>
        </w:rPr>
        <w:t xml:space="preserve">                                             </w:t>
      </w:r>
      <w:r>
        <w:rPr>
          <w:rStyle w:val="DataTypeTok"/>
        </w:rPr>
        <w:t>operating_mode_data =</w:t>
      </w:r>
      <w:r>
        <w:rPr>
          <w:rStyle w:val="NormalTok"/>
        </w:rPr>
        <w:t xml:space="preserve"> school_op_mode,</w:t>
      </w:r>
      <w:r>
        <w:br/>
      </w:r>
      <w:r>
        <w:rPr>
          <w:rStyle w:val="NormalTok"/>
        </w:rPr>
        <w:t xml:space="preserve">                                             </w:t>
      </w:r>
      <w:r>
        <w:rPr>
          <w:rStyle w:val="DataTypeTok"/>
        </w:rPr>
        <w:t>convert_to_data_interval =</w:t>
      </w:r>
      <w:r>
        <w:rPr>
          <w:rStyle w:val="NormalTok"/>
        </w:rPr>
        <w:t xml:space="preserve"> </w:t>
      </w:r>
      <w:r>
        <w:rPr>
          <w:rStyle w:val="StringTok"/>
        </w:rPr>
        <w:t>"Daily"</w:t>
      </w:r>
      <w:r>
        <w:rPr>
          <w:rStyle w:val="NormalTok"/>
        </w:rPr>
        <w:t>)</w:t>
      </w:r>
    </w:p>
    <w:p w14:paraId="34F1BA60" w14:textId="77777777" w:rsidR="00600A02" w:rsidRDefault="00A64E4C">
      <w:pPr>
        <w:pStyle w:val="Heading4"/>
      </w:pPr>
      <w:bookmarkStart w:id="4" w:name="baseline-energy-use"/>
      <w:r>
        <w:lastRenderedPageBreak/>
        <w:t>Baseline Energy Use</w:t>
      </w:r>
      <w:bookmarkEnd w:id="4"/>
    </w:p>
    <w:p w14:paraId="3887B83C" w14:textId="77777777" w:rsidR="00600A02" w:rsidRDefault="00A64E4C">
      <w:pPr>
        <w:pStyle w:val="FirstParagraph"/>
      </w:pPr>
      <w:r>
        <w:rPr>
          <w:noProof/>
        </w:rPr>
        <w:drawing>
          <wp:inline distT="0" distB="0" distL="0" distR="0" wp14:anchorId="0715CF5E" wp14:editId="6AC0F2A8">
            <wp:extent cx="5334000" cy="228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75c4f98.dir/nmecr_institutional_facilties_example_files/figure-docx/baseline%20profile-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14:paraId="49B3BAF3" w14:textId="77777777" w:rsidR="00600A02" w:rsidRDefault="00A64E4C">
      <w:pPr>
        <w:pStyle w:val="BodyText"/>
      </w:pPr>
      <w:r>
        <w:t>Figure 1: Baseline Energy Use over Time</w:t>
      </w:r>
    </w:p>
    <w:p w14:paraId="0F17DE5D" w14:textId="77777777" w:rsidR="00600A02" w:rsidRDefault="00A64E4C">
      <w:pPr>
        <w:pStyle w:val="BodyText"/>
      </w:pPr>
      <w:r>
        <w:rPr>
          <w:noProof/>
        </w:rPr>
        <w:drawing>
          <wp:inline distT="0" distB="0" distL="0" distR="0" wp14:anchorId="072A0900" wp14:editId="72A8030A">
            <wp:extent cx="5334000" cy="228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75c4f98.dir/nmecr_institutional_facilties_example_files/figure-docx/baseline%20scatter-1.png"/>
                    <pic:cNvPicPr>
                      <a:picLocks noChangeAspect="1" noChangeArrowheads="1"/>
                    </pic:cNvPicPr>
                  </pic:nvPicPr>
                  <pic:blipFill>
                    <a:blip r:embed="rId9"/>
                    <a:stretch>
                      <a:fillRect/>
                    </a:stretch>
                  </pic:blipFill>
                  <pic:spPr bwMode="auto">
                    <a:xfrm>
                      <a:off x="0" y="0"/>
                      <a:ext cx="5334000" cy="2286000"/>
                    </a:xfrm>
                    <a:prstGeom prst="rect">
                      <a:avLst/>
                    </a:prstGeom>
                    <a:noFill/>
                    <a:ln w="9525">
                      <a:noFill/>
                      <a:headEnd/>
                      <a:tailEnd/>
                    </a:ln>
                  </pic:spPr>
                </pic:pic>
              </a:graphicData>
            </a:graphic>
          </wp:inline>
        </w:drawing>
      </w:r>
    </w:p>
    <w:p w14:paraId="21BA4059" w14:textId="77777777" w:rsidR="00600A02" w:rsidRDefault="00A64E4C">
      <w:pPr>
        <w:pStyle w:val="BodyText"/>
      </w:pPr>
      <w:r>
        <w:t>Figure 2: Baseline Energy Use over Temperature</w:t>
      </w:r>
    </w:p>
    <w:p w14:paraId="01435068" w14:textId="77777777" w:rsidR="00600A02" w:rsidRDefault="00A64E4C">
      <w:pPr>
        <w:pStyle w:val="BodyText"/>
      </w:pPr>
      <w:r>
        <w:t>As there isn’t a high dependence on temperature, we expect that a model with Simple Linear Regression will not be able to capture all the variation in the energy use profile:</w:t>
      </w:r>
    </w:p>
    <w:p w14:paraId="0E70507E" w14:textId="77777777" w:rsidR="00600A02" w:rsidRDefault="00A64E4C">
      <w:pPr>
        <w:pStyle w:val="Heading3"/>
      </w:pPr>
      <w:bookmarkStart w:id="5" w:name="model-creation"/>
      <w:r>
        <w:t>Model Creation</w:t>
      </w:r>
      <w:bookmarkEnd w:id="5"/>
    </w:p>
    <w:p w14:paraId="05CCB9C9" w14:textId="77777777" w:rsidR="00600A02" w:rsidRDefault="00A64E4C">
      <w:pPr>
        <w:pStyle w:val="FirstParagraph"/>
      </w:pPr>
      <w:r>
        <w:rPr>
          <w:b/>
        </w:rPr>
        <w:t>Simple Linear Regression:</w:t>
      </w:r>
    </w:p>
    <w:p w14:paraId="1A0001FE" w14:textId="77777777" w:rsidR="00600A02" w:rsidRDefault="00A64E4C">
      <w:pPr>
        <w:pStyle w:val="BodyText"/>
      </w:pPr>
      <w:r>
        <w:rPr>
          <w:noProof/>
        </w:rPr>
        <w:lastRenderedPageBreak/>
        <w:drawing>
          <wp:inline distT="0" distB="0" distL="0" distR="0" wp14:anchorId="32897FC2" wp14:editId="5FF70952">
            <wp:extent cx="5334000" cy="228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75c4f98.dir/nmecr_institutional_facilties_example_files/figure-docx/SLR%20model-1.png"/>
                    <pic:cNvPicPr>
                      <a:picLocks noChangeAspect="1" noChangeArrowheads="1"/>
                    </pic:cNvPicPr>
                  </pic:nvPicPr>
                  <pic:blipFill>
                    <a:blip r:embed="rId10"/>
                    <a:stretch>
                      <a:fillRect/>
                    </a:stretch>
                  </pic:blipFill>
                  <pic:spPr bwMode="auto">
                    <a:xfrm>
                      <a:off x="0" y="0"/>
                      <a:ext cx="5334000" cy="2286000"/>
                    </a:xfrm>
                    <a:prstGeom prst="rect">
                      <a:avLst/>
                    </a:prstGeom>
                    <a:noFill/>
                    <a:ln w="9525">
                      <a:noFill/>
                      <a:headEnd/>
                      <a:tailEnd/>
                    </a:ln>
                  </pic:spPr>
                </pic:pic>
              </a:graphicData>
            </a:graphic>
          </wp:inline>
        </w:drawing>
      </w:r>
    </w:p>
    <w:p w14:paraId="0D591E51" w14:textId="77777777" w:rsidR="00600A02" w:rsidRDefault="00A64E4C">
      <w:pPr>
        <w:pStyle w:val="BodyText"/>
      </w:pPr>
      <w:r>
        <w:t xml:space="preserve">Figure 3: Baseline Energy Use modeled </w:t>
      </w:r>
      <w:r>
        <w:t>with Simple Linear Regression over Time</w:t>
      </w:r>
    </w:p>
    <w:p w14:paraId="2EECCBA0" w14:textId="77777777" w:rsidR="00600A02" w:rsidRDefault="00A64E4C">
      <w:pPr>
        <w:pStyle w:val="BodyText"/>
      </w:pPr>
      <w:r>
        <w:rPr>
          <w:noProof/>
        </w:rPr>
        <w:drawing>
          <wp:inline distT="0" distB="0" distL="0" distR="0" wp14:anchorId="232D7272" wp14:editId="218C4938">
            <wp:extent cx="5334000" cy="228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75c4f98.dir/nmecr_institutional_facilties_example_files/figure-docx/SLR%20model%202-1.png"/>
                    <pic:cNvPicPr>
                      <a:picLocks noChangeAspect="1" noChangeArrowheads="1"/>
                    </pic:cNvPicPr>
                  </pic:nvPicPr>
                  <pic:blipFill>
                    <a:blip r:embed="rId11"/>
                    <a:stretch>
                      <a:fillRect/>
                    </a:stretch>
                  </pic:blipFill>
                  <pic:spPr bwMode="auto">
                    <a:xfrm>
                      <a:off x="0" y="0"/>
                      <a:ext cx="5334000" cy="2286000"/>
                    </a:xfrm>
                    <a:prstGeom prst="rect">
                      <a:avLst/>
                    </a:prstGeom>
                    <a:noFill/>
                    <a:ln w="9525">
                      <a:noFill/>
                      <a:headEnd/>
                      <a:tailEnd/>
                    </a:ln>
                  </pic:spPr>
                </pic:pic>
              </a:graphicData>
            </a:graphic>
          </wp:inline>
        </w:drawing>
      </w:r>
    </w:p>
    <w:p w14:paraId="4D4C922D" w14:textId="77777777" w:rsidR="00600A02" w:rsidRDefault="00A64E4C">
      <w:pPr>
        <w:pStyle w:val="BodyText"/>
      </w:pPr>
      <w:r>
        <w:t>Figure 4: Baseline Energy Use modeled with Simple Linear Regression over Time with Operating Mode Information</w:t>
      </w:r>
    </w:p>
    <w:p w14:paraId="0D90B0C3" w14:textId="77777777" w:rsidR="00600A02" w:rsidRDefault="00A64E4C">
      <w:pPr>
        <w:pStyle w:val="BodyText"/>
      </w:pPr>
      <w:r>
        <w:t>The model with the operating model information performs better than the one without. However, it fails t</w:t>
      </w:r>
      <w:r>
        <w:t>o capture the time-based component of the energy use variation.</w:t>
      </w:r>
    </w:p>
    <w:p w14:paraId="02D9F3EC" w14:textId="77777777" w:rsidR="00600A02" w:rsidRDefault="00A64E4C">
      <w:pPr>
        <w:pStyle w:val="BodyText"/>
      </w:pPr>
      <w:r>
        <w:rPr>
          <w:noProof/>
        </w:rPr>
        <w:lastRenderedPageBreak/>
        <w:drawing>
          <wp:inline distT="0" distB="0" distL="0" distR="0" wp14:anchorId="1DE1BFF7" wp14:editId="788E194E">
            <wp:extent cx="533400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75c4f98.dir/nmecr_institutional_facilties_example_files/figure-docx/SLR%20scatter-1.png"/>
                    <pic:cNvPicPr>
                      <a:picLocks noChangeAspect="1" noChangeArrowheads="1"/>
                    </pic:cNvPicPr>
                  </pic:nvPicPr>
                  <pic:blipFill>
                    <a:blip r:embed="rId12"/>
                    <a:stretch>
                      <a:fillRect/>
                    </a:stretch>
                  </pic:blipFill>
                  <pic:spPr bwMode="auto">
                    <a:xfrm>
                      <a:off x="0" y="0"/>
                      <a:ext cx="5334000" cy="2286000"/>
                    </a:xfrm>
                    <a:prstGeom prst="rect">
                      <a:avLst/>
                    </a:prstGeom>
                    <a:noFill/>
                    <a:ln w="9525">
                      <a:noFill/>
                      <a:headEnd/>
                      <a:tailEnd/>
                    </a:ln>
                  </pic:spPr>
                </pic:pic>
              </a:graphicData>
            </a:graphic>
          </wp:inline>
        </w:drawing>
      </w:r>
    </w:p>
    <w:p w14:paraId="7E6F585B" w14:textId="77777777" w:rsidR="00600A02" w:rsidRDefault="00A64E4C">
      <w:pPr>
        <w:pStyle w:val="BodyText"/>
      </w:pPr>
      <w:r>
        <w:t>Figure 5: Baseline Energy Use modeled with Simple Linear Regression over Temperature</w:t>
      </w:r>
    </w:p>
    <w:p w14:paraId="109DA109" w14:textId="77777777" w:rsidR="00600A02" w:rsidRDefault="00A64E4C">
      <w:pPr>
        <w:pStyle w:val="BodyText"/>
      </w:pPr>
      <w:r>
        <w:t>Figure 5 shows that the model without the operating mode information tends to average between the high an</w:t>
      </w:r>
      <w:r>
        <w:t>d the low usage. The model with the operating mode information captures this variation better.</w:t>
      </w:r>
    </w:p>
    <w:p w14:paraId="0A379823" w14:textId="77777777" w:rsidR="00600A02" w:rsidRDefault="00A64E4C">
      <w:pPr>
        <w:pStyle w:val="BodyText"/>
      </w:pPr>
      <w:r>
        <w:rPr>
          <w:b/>
        </w:rPr>
        <w:t>Time of Week and Temperature:</w:t>
      </w:r>
    </w:p>
    <w:p w14:paraId="11D41D3B" w14:textId="77777777" w:rsidR="00600A02" w:rsidRDefault="00A64E4C">
      <w:pPr>
        <w:pStyle w:val="BodyText"/>
      </w:pPr>
      <w:r>
        <w:rPr>
          <w:noProof/>
        </w:rPr>
        <w:drawing>
          <wp:inline distT="0" distB="0" distL="0" distR="0" wp14:anchorId="7E6DB679" wp14:editId="51FE4AF3">
            <wp:extent cx="5334000" cy="228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75c4f98.dir/nmecr_institutional_facilties_example_files/figure-docx/TOWT%20model-1.png"/>
                    <pic:cNvPicPr>
                      <a:picLocks noChangeAspect="1" noChangeArrowheads="1"/>
                    </pic:cNvPicPr>
                  </pic:nvPicPr>
                  <pic:blipFill>
                    <a:blip r:embed="rId13"/>
                    <a:stretch>
                      <a:fillRect/>
                    </a:stretch>
                  </pic:blipFill>
                  <pic:spPr bwMode="auto">
                    <a:xfrm>
                      <a:off x="0" y="0"/>
                      <a:ext cx="5334000" cy="2286000"/>
                    </a:xfrm>
                    <a:prstGeom prst="rect">
                      <a:avLst/>
                    </a:prstGeom>
                    <a:noFill/>
                    <a:ln w="9525">
                      <a:noFill/>
                      <a:headEnd/>
                      <a:tailEnd/>
                    </a:ln>
                  </pic:spPr>
                </pic:pic>
              </a:graphicData>
            </a:graphic>
          </wp:inline>
        </w:drawing>
      </w:r>
    </w:p>
    <w:p w14:paraId="117221D9" w14:textId="77777777" w:rsidR="00600A02" w:rsidRDefault="00A64E4C">
      <w:pPr>
        <w:pStyle w:val="BodyText"/>
      </w:pPr>
      <w:r>
        <w:t>Figure 6: Baseline Energy Use modeled with Time-of-week and Temperature over Time</w:t>
      </w:r>
    </w:p>
    <w:p w14:paraId="62894B43" w14:textId="77777777" w:rsidR="00600A02" w:rsidRDefault="00A64E4C">
      <w:pPr>
        <w:pStyle w:val="BodyText"/>
      </w:pPr>
      <w:r>
        <w:rPr>
          <w:noProof/>
        </w:rPr>
        <w:lastRenderedPageBreak/>
        <w:drawing>
          <wp:inline distT="0" distB="0" distL="0" distR="0" wp14:anchorId="238E2405" wp14:editId="1F08A232">
            <wp:extent cx="5334000" cy="228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75c4f98.dir/nmecr_institutional_facilties_example_files/figure-docx/TOWT_model2-1.png"/>
                    <pic:cNvPicPr>
                      <a:picLocks noChangeAspect="1" noChangeArrowheads="1"/>
                    </pic:cNvPicPr>
                  </pic:nvPicPr>
                  <pic:blipFill>
                    <a:blip r:embed="rId14"/>
                    <a:stretch>
                      <a:fillRect/>
                    </a:stretch>
                  </pic:blipFill>
                  <pic:spPr bwMode="auto">
                    <a:xfrm>
                      <a:off x="0" y="0"/>
                      <a:ext cx="5334000" cy="2286000"/>
                    </a:xfrm>
                    <a:prstGeom prst="rect">
                      <a:avLst/>
                    </a:prstGeom>
                    <a:noFill/>
                    <a:ln w="9525">
                      <a:noFill/>
                      <a:headEnd/>
                      <a:tailEnd/>
                    </a:ln>
                  </pic:spPr>
                </pic:pic>
              </a:graphicData>
            </a:graphic>
          </wp:inline>
        </w:drawing>
      </w:r>
    </w:p>
    <w:p w14:paraId="4819237A" w14:textId="77777777" w:rsidR="00600A02" w:rsidRDefault="00A64E4C">
      <w:pPr>
        <w:pStyle w:val="BodyText"/>
      </w:pPr>
      <w:r>
        <w:t>Figure 7: Baseline Energy Use modeled with Ti</w:t>
      </w:r>
      <w:r>
        <w:t>me-of-week and Temperature over Time with Operating Mode Information</w:t>
      </w:r>
    </w:p>
    <w:p w14:paraId="0772ECDF" w14:textId="77777777" w:rsidR="00600A02" w:rsidRDefault="00A64E4C">
      <w:pPr>
        <w:pStyle w:val="BodyText"/>
      </w:pPr>
      <w:r>
        <w:rPr>
          <w:noProof/>
        </w:rPr>
        <w:drawing>
          <wp:inline distT="0" distB="0" distL="0" distR="0" wp14:anchorId="29430B7E" wp14:editId="0C1CA483">
            <wp:extent cx="5334000" cy="228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msharma/AppData/Local/Temp/RtmpAbqHIX/preview-2210275c4f98.dir/nmecr_institutional_facilties_example_files/figure-docx/TOWT%20scatter-1.png"/>
                    <pic:cNvPicPr>
                      <a:picLocks noChangeAspect="1" noChangeArrowheads="1"/>
                    </pic:cNvPicPr>
                  </pic:nvPicPr>
                  <pic:blipFill>
                    <a:blip r:embed="rId15"/>
                    <a:stretch>
                      <a:fillRect/>
                    </a:stretch>
                  </pic:blipFill>
                  <pic:spPr bwMode="auto">
                    <a:xfrm>
                      <a:off x="0" y="0"/>
                      <a:ext cx="5334000" cy="2286000"/>
                    </a:xfrm>
                    <a:prstGeom prst="rect">
                      <a:avLst/>
                    </a:prstGeom>
                    <a:noFill/>
                    <a:ln w="9525">
                      <a:noFill/>
                      <a:headEnd/>
                      <a:tailEnd/>
                    </a:ln>
                  </pic:spPr>
                </pic:pic>
              </a:graphicData>
            </a:graphic>
          </wp:inline>
        </w:drawing>
      </w:r>
    </w:p>
    <w:p w14:paraId="5EF5C98D" w14:textId="77777777" w:rsidR="00600A02" w:rsidRDefault="00A64E4C">
      <w:pPr>
        <w:pStyle w:val="BodyText"/>
      </w:pPr>
      <w:r>
        <w:t>Figure 8: Baseline Energy Use modeled with Time-of-week and Temperature over Temperature</w:t>
      </w:r>
    </w:p>
    <w:p w14:paraId="16421C50" w14:textId="77777777" w:rsidR="00600A02" w:rsidRDefault="00A64E4C">
      <w:pPr>
        <w:pStyle w:val="BodyText"/>
      </w:pPr>
      <w:r>
        <w:t>The plots show that the Time-of-Week and Temperature algorithm models the energy use profile bet</w:t>
      </w:r>
      <w:r>
        <w:t>ter than SLR.</w:t>
      </w:r>
    </w:p>
    <w:p w14:paraId="0144E6BC" w14:textId="77777777" w:rsidR="00600A02" w:rsidRDefault="00A64E4C">
      <w:pPr>
        <w:pStyle w:val="BodyText"/>
      </w:pPr>
      <w:r>
        <w:t xml:space="preserve">This insight can be confirmed through model statistics by using the </w:t>
      </w:r>
      <w:r>
        <w:rPr>
          <w:rStyle w:val="VerbatimChar"/>
        </w:rPr>
        <w:t>calculate_summary_statistics()</w:t>
      </w:r>
      <w:r>
        <w:t xml:space="preserve"> function. The following table summarizes the results from this function for each of the models assessed above:</w:t>
      </w:r>
    </w:p>
    <w:p w14:paraId="4B545A37" w14:textId="77777777" w:rsidR="00600A02" w:rsidRDefault="00A64E4C">
      <w:pPr>
        <w:pStyle w:val="SourceCode"/>
      </w:pPr>
      <w:r>
        <w:br/>
      </w:r>
      <w:r>
        <w:rPr>
          <w:rStyle w:val="NormalTok"/>
        </w:rPr>
        <w:t>SLR_stats &lt;-</w:t>
      </w:r>
      <w:r>
        <w:rPr>
          <w:rStyle w:val="StringTok"/>
        </w:rPr>
        <w:t xml:space="preserve"> </w:t>
      </w:r>
      <w:r>
        <w:rPr>
          <w:rStyle w:val="KeywordTok"/>
        </w:rPr>
        <w:t>calculate_summary_</w:t>
      </w:r>
      <w:r>
        <w:rPr>
          <w:rStyle w:val="KeywordTok"/>
        </w:rPr>
        <w:t>statistics</w:t>
      </w:r>
      <w:r>
        <w:rPr>
          <w:rStyle w:val="NormalTok"/>
        </w:rPr>
        <w:t>(SLR_model)</w:t>
      </w:r>
      <w:r>
        <w:br/>
      </w:r>
      <w:r>
        <w:br/>
      </w:r>
      <w:r>
        <w:rPr>
          <w:rStyle w:val="NormalTok"/>
        </w:rPr>
        <w:t>SLR_with_op_mode_stats &lt;-</w:t>
      </w:r>
      <w:r>
        <w:rPr>
          <w:rStyle w:val="StringTok"/>
        </w:rPr>
        <w:t xml:space="preserve"> </w:t>
      </w:r>
      <w:r>
        <w:rPr>
          <w:rStyle w:val="KeywordTok"/>
        </w:rPr>
        <w:t>calculate_summary_statistics</w:t>
      </w:r>
      <w:r>
        <w:rPr>
          <w:rStyle w:val="NormalTok"/>
        </w:rPr>
        <w:t>(SLR_model_with_op_mode)</w:t>
      </w:r>
      <w:r>
        <w:br/>
      </w:r>
      <w:r>
        <w:br/>
      </w:r>
      <w:r>
        <w:rPr>
          <w:rStyle w:val="NormalTok"/>
        </w:rPr>
        <w:t>TOWT_stats &lt;-</w:t>
      </w:r>
      <w:r>
        <w:rPr>
          <w:rStyle w:val="StringTok"/>
        </w:rPr>
        <w:t xml:space="preserve"> </w:t>
      </w:r>
      <w:r>
        <w:rPr>
          <w:rStyle w:val="KeywordTok"/>
        </w:rPr>
        <w:t>calculate_summary_statistics</w:t>
      </w:r>
      <w:r>
        <w:rPr>
          <w:rStyle w:val="NormalTok"/>
        </w:rPr>
        <w:t>(TOWT_model)</w:t>
      </w:r>
      <w:r>
        <w:br/>
      </w:r>
      <w:r>
        <w:lastRenderedPageBreak/>
        <w:br/>
      </w:r>
      <w:r>
        <w:rPr>
          <w:rStyle w:val="NormalTok"/>
        </w:rPr>
        <w:t>TOWT_with_op_mode_stats &lt;-</w:t>
      </w:r>
      <w:r>
        <w:rPr>
          <w:rStyle w:val="StringTok"/>
        </w:rPr>
        <w:t xml:space="preserve"> </w:t>
      </w:r>
      <w:r>
        <w:rPr>
          <w:rStyle w:val="KeywordTok"/>
        </w:rPr>
        <w:t>calculate_summary_statistics</w:t>
      </w:r>
      <w:r>
        <w:rPr>
          <w:rStyle w:val="NormalTok"/>
        </w:rPr>
        <w:t>(TOWT_model_with_op_mode)</w:t>
      </w:r>
      <w:r>
        <w:br/>
      </w:r>
      <w:r>
        <w:br/>
      </w:r>
      <w:r>
        <w:br/>
      </w:r>
      <w:r>
        <w:rPr>
          <w:rStyle w:val="NormalTok"/>
        </w:rPr>
        <w:t>all_stats &lt;-</w:t>
      </w:r>
      <w:r>
        <w:rPr>
          <w:rStyle w:val="StringTok"/>
        </w:rPr>
        <w:t xml:space="preserve"> </w:t>
      </w:r>
      <w:r>
        <w:rPr>
          <w:rStyle w:val="KeywordTok"/>
        </w:rPr>
        <w:t>bind_rows</w:t>
      </w:r>
      <w:r>
        <w:rPr>
          <w:rStyle w:val="NormalTok"/>
        </w:rPr>
        <w:t>(SLR_stats, SLR_with_op_mode_stats, TOWT_stats, TOWT_with_op_mode_stats)</w:t>
      </w:r>
      <w:r>
        <w:br/>
      </w:r>
      <w:r>
        <w:br/>
      </w:r>
      <w:r>
        <w:rPr>
          <w:rStyle w:val="NormalTok"/>
        </w:rPr>
        <w:t>model_names &lt;-</w:t>
      </w:r>
      <w:r>
        <w:rPr>
          <w:rStyle w:val="StringTok"/>
        </w:rPr>
        <w:t xml:space="preserve"> </w:t>
      </w:r>
      <w:r>
        <w:rPr>
          <w:rStyle w:val="KeywordTok"/>
        </w:rPr>
        <w:t>c</w:t>
      </w:r>
      <w:r>
        <w:rPr>
          <w:rStyle w:val="NormalTok"/>
        </w:rPr>
        <w:t>(</w:t>
      </w:r>
      <w:r>
        <w:rPr>
          <w:rStyle w:val="StringTok"/>
        </w:rPr>
        <w:t>"SLR"</w:t>
      </w:r>
      <w:r>
        <w:rPr>
          <w:rStyle w:val="NormalTok"/>
        </w:rPr>
        <w:t xml:space="preserve">, </w:t>
      </w:r>
      <w:r>
        <w:rPr>
          <w:rStyle w:val="StringTok"/>
        </w:rPr>
        <w:t>"SLR with op_mode"</w:t>
      </w:r>
      <w:r>
        <w:rPr>
          <w:rStyle w:val="NormalTok"/>
        </w:rPr>
        <w:t xml:space="preserve">, </w:t>
      </w:r>
      <w:r>
        <w:rPr>
          <w:rStyle w:val="StringTok"/>
        </w:rPr>
        <w:t>"TOWT"</w:t>
      </w:r>
      <w:r>
        <w:rPr>
          <w:rStyle w:val="NormalTok"/>
        </w:rPr>
        <w:t xml:space="preserve">, </w:t>
      </w:r>
      <w:r>
        <w:rPr>
          <w:rStyle w:val="StringTok"/>
        </w:rPr>
        <w:t>"TOWT with op_mode"</w:t>
      </w:r>
      <w:r>
        <w:rPr>
          <w:rStyle w:val="NormalTok"/>
        </w:rPr>
        <w:t>)</w:t>
      </w:r>
      <w:r>
        <w:br/>
      </w:r>
      <w:r>
        <w:br/>
      </w:r>
      <w:r>
        <w:rPr>
          <w:rStyle w:val="NormalTok"/>
        </w:rPr>
        <w:t>all_stats &lt;-</w:t>
      </w:r>
      <w:r>
        <w:rPr>
          <w:rStyle w:val="StringTok"/>
        </w:rPr>
        <w:t xml:space="preserve"> </w:t>
      </w:r>
      <w:r>
        <w:rPr>
          <w:rStyle w:val="KeywordTok"/>
        </w:rPr>
        <w:t>bind_cols</w:t>
      </w:r>
      <w:r>
        <w:rPr>
          <w:rStyle w:val="NormalTok"/>
        </w:rPr>
        <w:t>(</w:t>
      </w:r>
      <w:r>
        <w:rPr>
          <w:rStyle w:val="StringTok"/>
        </w:rPr>
        <w:t>"Model Name"</w:t>
      </w:r>
      <w:r>
        <w:rPr>
          <w:rStyle w:val="NormalTok"/>
        </w:rPr>
        <w:t xml:space="preserve"> =</w:t>
      </w:r>
      <w:r>
        <w:rPr>
          <w:rStyle w:val="StringTok"/>
        </w:rPr>
        <w:t xml:space="preserve"> </w:t>
      </w:r>
      <w:r>
        <w:rPr>
          <w:rStyle w:val="NormalTok"/>
        </w:rPr>
        <w:t>model_names, all_sta</w:t>
      </w:r>
      <w:r>
        <w:rPr>
          <w:rStyle w:val="NormalTok"/>
        </w:rPr>
        <w:t>ts)</w:t>
      </w:r>
      <w:r>
        <w:br/>
      </w:r>
      <w:r>
        <w:br/>
      </w:r>
      <w:r>
        <w:rPr>
          <w:rStyle w:val="NormalTok"/>
        </w:rPr>
        <w:t>all_stats</w:t>
      </w:r>
      <w:r>
        <w:br/>
      </w:r>
      <w:r>
        <w:rPr>
          <w:rStyle w:val="CommentTok"/>
        </w:rPr>
        <w:t>#&gt; # A tibble: 4 x 6</w:t>
      </w:r>
      <w:r>
        <w:br/>
      </w:r>
      <w:r>
        <w:rPr>
          <w:rStyle w:val="CommentTok"/>
        </w:rPr>
        <w:t>#&gt;   `Model Name`      R_squared CVRMSE      NDBE       MBE `#Parameters`</w:t>
      </w:r>
      <w:r>
        <w:br/>
      </w:r>
      <w:r>
        <w:rPr>
          <w:rStyle w:val="CommentTok"/>
        </w:rPr>
        <w:t>#&gt;   &lt;chr&gt;                 &lt;dbl&gt;  &lt;dbl&gt;     &lt;dbl&gt;     &lt;dbl&gt;         &lt;int&gt;</w:t>
      </w:r>
      <w:r>
        <w:br/>
      </w:r>
      <w:r>
        <w:rPr>
          <w:rStyle w:val="CommentTok"/>
        </w:rPr>
        <w:t xml:space="preserve">#&gt; 1 SLR                  0.0133  0.438 -1.37e-17 -9.97e-15             </w:t>
      </w:r>
      <w:r>
        <w:rPr>
          <w:rStyle w:val="CommentTok"/>
        </w:rPr>
        <w:t>2</w:t>
      </w:r>
      <w:r>
        <w:br/>
      </w:r>
      <w:r>
        <w:rPr>
          <w:rStyle w:val="CommentTok"/>
        </w:rPr>
        <w:t>#&gt; 2 SLR with op_mode     0.201   0.396 -1.47e-17 -1.07e-14             6</w:t>
      </w:r>
      <w:r>
        <w:br/>
      </w:r>
      <w:r>
        <w:rPr>
          <w:rStyle w:val="CommentTok"/>
        </w:rPr>
        <w:t>#&gt; 3 TOWT                 0.547   0.304  3.14e-16  2.29e-13            19</w:t>
      </w:r>
      <w:r>
        <w:br/>
      </w:r>
      <w:r>
        <w:rPr>
          <w:rStyle w:val="CommentTok"/>
        </w:rPr>
        <w:t>#&gt; 4 TOWT with op_mode    0.847   0.178 -2.22e-16 -1.62e-13            27</w:t>
      </w:r>
    </w:p>
    <w:p w14:paraId="7E15D85A" w14:textId="77777777" w:rsidR="00600A02" w:rsidRDefault="00A64E4C">
      <w:pPr>
        <w:pStyle w:val="Compact"/>
        <w:numPr>
          <w:ilvl w:val="0"/>
          <w:numId w:val="4"/>
        </w:numPr>
      </w:pPr>
      <w:r>
        <w:t>CVRMSE: Coefficient of Variation</w:t>
      </w:r>
      <w:r>
        <w:t xml:space="preserve"> of Root Mean Squared Error</w:t>
      </w:r>
    </w:p>
    <w:p w14:paraId="271A0156" w14:textId="77777777" w:rsidR="00600A02" w:rsidRDefault="00A64E4C">
      <w:pPr>
        <w:pStyle w:val="Compact"/>
        <w:numPr>
          <w:ilvl w:val="0"/>
          <w:numId w:val="4"/>
        </w:numPr>
      </w:pPr>
      <w:r>
        <w:t>NDBE: Net Determination Bias Error</w:t>
      </w:r>
    </w:p>
    <w:p w14:paraId="2BB217D6" w14:textId="77777777" w:rsidR="00600A02" w:rsidRDefault="00A64E4C">
      <w:pPr>
        <w:pStyle w:val="Compact"/>
        <w:numPr>
          <w:ilvl w:val="0"/>
          <w:numId w:val="4"/>
        </w:numPr>
      </w:pPr>
      <w:r>
        <w:t>MBE: Mean Bias Error</w:t>
      </w:r>
    </w:p>
    <w:p w14:paraId="6A492D2E" w14:textId="77777777" w:rsidR="00600A02" w:rsidRDefault="00A64E4C">
      <w:pPr>
        <w:pStyle w:val="Compact"/>
        <w:numPr>
          <w:ilvl w:val="0"/>
          <w:numId w:val="4"/>
        </w:numPr>
      </w:pPr>
      <w:r>
        <w:t>R_squared: Coefficient of Determination</w:t>
      </w:r>
    </w:p>
    <w:p w14:paraId="14571FA5" w14:textId="77777777" w:rsidR="00600A02" w:rsidRDefault="00A64E4C">
      <w:pPr>
        <w:pStyle w:val="Heading2"/>
      </w:pPr>
      <w:bookmarkStart w:id="6" w:name="assessing-project-fit-for-nmec"/>
      <w:r>
        <w:t>Assessing project fit for NMEC</w:t>
      </w:r>
      <w:bookmarkEnd w:id="6"/>
    </w:p>
    <w:p w14:paraId="6D65BFED" w14:textId="77777777" w:rsidR="00600A02" w:rsidRDefault="00A64E4C">
      <w:pPr>
        <w:pStyle w:val="FirstParagraph"/>
      </w:pPr>
      <w:r>
        <w:t>Using the modeling statistics and the savings uncertainity for 10%, we can determine the validity of the NMEC approach for a certain project. For the building decribed here, following are the key values to be used for this assessment</w:t>
      </w:r>
    </w:p>
    <w:p w14:paraId="7380CFC5" w14:textId="77777777" w:rsidR="00600A02" w:rsidRDefault="00A64E4C">
      <w:pPr>
        <w:pStyle w:val="Compact"/>
        <w:numPr>
          <w:ilvl w:val="0"/>
          <w:numId w:val="5"/>
        </w:numPr>
      </w:pPr>
      <w:r>
        <w:t xml:space="preserve">CVRMSE: 17.8% (should </w:t>
      </w:r>
      <w:r>
        <w:t>be &lt; 25%)</w:t>
      </w:r>
    </w:p>
    <w:p w14:paraId="2FAFAF54" w14:textId="77777777" w:rsidR="00600A02" w:rsidRDefault="00A64E4C">
      <w:pPr>
        <w:pStyle w:val="Compact"/>
        <w:numPr>
          <w:ilvl w:val="0"/>
          <w:numId w:val="5"/>
        </w:numPr>
      </w:pPr>
      <w:r>
        <w:t>NDBE: 0.0000 (should be &lt; 0.005%)</w:t>
      </w:r>
    </w:p>
    <w:p w14:paraId="01E5FF9D" w14:textId="77777777" w:rsidR="00600A02" w:rsidRDefault="00A64E4C">
      <w:pPr>
        <w:pStyle w:val="FirstParagraph"/>
      </w:pPr>
      <w:r>
        <w:t xml:space="preserve">The California Public Utilities Commission requires savings to be detectable above model variations. </w:t>
      </w:r>
      <w:r>
        <w:rPr>
          <w:rStyle w:val="VerbatimChar"/>
        </w:rPr>
        <w:t>nmecr</w:t>
      </w:r>
      <w:r>
        <w:t xml:space="preserve"> interprets this using ASHRAE Guideline 14 - 2014’s formulation for savings uncertainty, which relates the</w:t>
      </w:r>
      <w:r>
        <w:t xml:space="preserve"> savings uncertainty to the model goodness of fit metric CV(RMSE), the confidence level, the amount of savings, the amount of data used to develop the model, and the amount of data required to report savings. It includes a correction when autocorrelation i</w:t>
      </w:r>
      <w:r>
        <w:t>s present (which occurs mainly in models developed from daily and hourly data). LBNL has shown this uncertainty formulation with correction for autocorrelation underestimates the savings uncertainty. More work on this issue is needed. Until a better formul</w:t>
      </w:r>
      <w:r>
        <w:t xml:space="preserve">ation is available, </w:t>
      </w:r>
      <w:r>
        <w:rPr>
          <w:rStyle w:val="VerbatimChar"/>
        </w:rPr>
        <w:t>nmecr</w:t>
      </w:r>
      <w:r>
        <w:t xml:space="preserve"> uses ASHRAE’s method only as an estimation.</w:t>
      </w:r>
    </w:p>
    <w:p w14:paraId="6F8BD232" w14:textId="77777777" w:rsidR="00600A02" w:rsidRDefault="00A64E4C">
      <w:pPr>
        <w:pStyle w:val="SourceCode"/>
      </w:pPr>
      <w:r>
        <w:br/>
      </w:r>
      <w:r>
        <w:rPr>
          <w:rStyle w:val="NormalTok"/>
        </w:rPr>
        <w:t>TOWT_savings &lt;-</w:t>
      </w:r>
      <w:r>
        <w:rPr>
          <w:rStyle w:val="StringTok"/>
        </w:rPr>
        <w:t xml:space="preserve"> </w:t>
      </w:r>
      <w:r>
        <w:rPr>
          <w:rStyle w:val="KeywordTok"/>
        </w:rPr>
        <w:t>calculate_savings_and_uncertainty</w:t>
      </w:r>
      <w:r>
        <w:rPr>
          <w:rStyle w:val="NormalTok"/>
        </w:rPr>
        <w:t>(</w:t>
      </w:r>
      <w:r>
        <w:rPr>
          <w:rStyle w:val="DataTypeTok"/>
        </w:rPr>
        <w:t>prediction_df =</w:t>
      </w:r>
      <w:r>
        <w:rPr>
          <w:rStyle w:val="NormalTok"/>
        </w:rPr>
        <w:t xml:space="preserve"> </w:t>
      </w:r>
      <w:r>
        <w:rPr>
          <w:rStyle w:val="OtherTok"/>
        </w:rPr>
        <w:t>NULL</w:t>
      </w:r>
      <w:r>
        <w:rPr>
          <w:rStyle w:val="NormalTok"/>
        </w:rPr>
        <w:t xml:space="preserve">, </w:t>
      </w:r>
      <w:r>
        <w:br/>
      </w:r>
      <w:r>
        <w:rPr>
          <w:rStyle w:val="NormalTok"/>
        </w:rPr>
        <w:lastRenderedPageBreak/>
        <w:t xml:space="preserve">                                                  </w:t>
      </w:r>
      <w:r>
        <w:rPr>
          <w:rStyle w:val="DataTypeTok"/>
        </w:rPr>
        <w:t>modeled_object =</w:t>
      </w:r>
      <w:r>
        <w:rPr>
          <w:rStyle w:val="NormalTok"/>
        </w:rPr>
        <w:t xml:space="preserve"> TOWT_model_with_op_mode, </w:t>
      </w:r>
      <w:r>
        <w:br/>
      </w:r>
      <w:r>
        <w:rPr>
          <w:rStyle w:val="NormalTok"/>
        </w:rPr>
        <w:t xml:space="preserve">                                                  </w:t>
      </w:r>
      <w:r>
        <w:rPr>
          <w:rStyle w:val="DataTypeTok"/>
        </w:rPr>
        <w:t>model_summary_statistics =</w:t>
      </w:r>
      <w:r>
        <w:rPr>
          <w:rStyle w:val="NormalTok"/>
        </w:rPr>
        <w:t xml:space="preserve"> TOWT_with_op_mode_stats,</w:t>
      </w:r>
      <w:r>
        <w:br/>
      </w:r>
      <w:r>
        <w:rPr>
          <w:rStyle w:val="NormalTok"/>
        </w:rPr>
        <w:t xml:space="preserve">                                                  </w:t>
      </w:r>
      <w:r>
        <w:rPr>
          <w:rStyle w:val="DataTypeTok"/>
        </w:rPr>
        <w:t>confidence_level =</w:t>
      </w:r>
      <w:r>
        <w:rPr>
          <w:rStyle w:val="NormalTok"/>
        </w:rPr>
        <w:t xml:space="preserve"> </w:t>
      </w:r>
      <w:r>
        <w:rPr>
          <w:rStyle w:val="DecValTok"/>
        </w:rPr>
        <w:t>68</w:t>
      </w:r>
      <w:r>
        <w:rPr>
          <w:rStyle w:val="NormalTok"/>
        </w:rPr>
        <w:t>)</w:t>
      </w:r>
      <w:r>
        <w:br/>
      </w:r>
      <w:r>
        <w:br/>
      </w:r>
      <w:r>
        <w:rPr>
          <w:rStyle w:val="NormalTok"/>
        </w:rPr>
        <w:t>TOWT_savings</w:t>
      </w:r>
      <w:r>
        <w:rPr>
          <w:rStyle w:val="OperatorTok"/>
        </w:rPr>
        <w:t>$</w:t>
      </w:r>
      <w:r>
        <w:rPr>
          <w:rStyle w:val="NormalTok"/>
        </w:rPr>
        <w:t>savings_summary_df</w:t>
      </w:r>
      <w:r>
        <w:br/>
      </w:r>
      <w:r>
        <w:rPr>
          <w:rStyle w:val="CommentTok"/>
        </w:rPr>
        <w:t>#&gt;   savings_pct savings_uncertainty savings_pct</w:t>
      </w:r>
      <w:r>
        <w:rPr>
          <w:rStyle w:val="CommentTok"/>
        </w:rPr>
        <w:t>_for_50pct_uncertainty</w:t>
      </w:r>
      <w:r>
        <w:br/>
      </w:r>
      <w:r>
        <w:rPr>
          <w:rStyle w:val="CommentTok"/>
        </w:rPr>
        <w:t>#&gt; 1         0.1            0.194619                        0.03892381</w:t>
      </w:r>
      <w:r>
        <w:br/>
      </w:r>
      <w:r>
        <w:rPr>
          <w:rStyle w:val="CommentTok"/>
        </w:rPr>
        <w:t>#&gt;   confidence_level</w:t>
      </w:r>
      <w:r>
        <w:br/>
      </w:r>
      <w:r>
        <w:rPr>
          <w:rStyle w:val="CommentTok"/>
        </w:rPr>
        <w:t>#&gt; 1               68</w:t>
      </w:r>
    </w:p>
    <w:p w14:paraId="620BAFCA" w14:textId="77777777" w:rsidR="00600A02" w:rsidRDefault="00A64E4C">
      <w:pPr>
        <w:pStyle w:val="Compact"/>
        <w:numPr>
          <w:ilvl w:val="0"/>
          <w:numId w:val="6"/>
        </w:numPr>
      </w:pPr>
      <w:r>
        <w:t>Savings Uncertainty for 10% savings (at 68% confidence level): 19.5% (shoule be &lt; 50%).</w:t>
      </w:r>
    </w:p>
    <w:p w14:paraId="7563D13D" w14:textId="77777777" w:rsidR="00600A02" w:rsidRDefault="00A64E4C">
      <w:pPr>
        <w:pStyle w:val="FirstParagraph"/>
      </w:pPr>
      <w:r>
        <w:t>The savings percentage require</w:t>
      </w:r>
      <w:r>
        <w:t>d to meet the threshold of 50% uncertainty, at the 68% confidence level, is 3.9% (as shown by the output above, see: savings_pct_for_50pct_uncertainty).</w:t>
      </w:r>
    </w:p>
    <w:p w14:paraId="115F10D7" w14:textId="77777777" w:rsidR="00600A02" w:rsidRDefault="00A64E4C">
      <w:pPr>
        <w:pStyle w:val="BodyText"/>
      </w:pPr>
      <w:r>
        <w:t>In addition to evaluating the model metrics, it is essential to ensure that the modeled profile follows</w:t>
      </w:r>
      <w:r>
        <w:t xml:space="preserve"> the actual energy use closely (see Figure 8 above).</w:t>
      </w:r>
    </w:p>
    <w:sectPr w:rsidR="00600A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7B066" w14:textId="77777777" w:rsidR="00A64E4C" w:rsidRDefault="00A64E4C">
      <w:pPr>
        <w:spacing w:after="0"/>
      </w:pPr>
      <w:r>
        <w:separator/>
      </w:r>
    </w:p>
  </w:endnote>
  <w:endnote w:type="continuationSeparator" w:id="0">
    <w:p w14:paraId="5682EAE2" w14:textId="77777777" w:rsidR="00A64E4C" w:rsidRDefault="00A64E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5D351" w14:textId="77777777" w:rsidR="00A64E4C" w:rsidRDefault="00A64E4C">
      <w:r>
        <w:separator/>
      </w:r>
    </w:p>
  </w:footnote>
  <w:footnote w:type="continuationSeparator" w:id="0">
    <w:p w14:paraId="44573E27" w14:textId="77777777" w:rsidR="00A64E4C" w:rsidRDefault="00A64E4C">
      <w:r>
        <w:continuationSeparator/>
      </w:r>
    </w:p>
  </w:footnote>
  <w:footnote w:id="1">
    <w:p w14:paraId="6A7A55B7" w14:textId="77777777" w:rsidR="00600A02" w:rsidRDefault="00A64E4C">
      <w:pPr>
        <w:pStyle w:val="FootnoteText"/>
      </w:pPr>
      <w:r>
        <w:rPr>
          <w:rStyle w:val="FootnoteReference"/>
        </w:rPr>
        <w:footnoteRef/>
      </w:r>
      <w:r>
        <w:t xml:space="preserve"> </w:t>
      </w:r>
      <w:hyperlink r:id="rId1">
        <w:r>
          <w:rPr>
            <w:rStyle w:val="Hyperlink"/>
          </w:rPr>
          <w:t>msharma@kw-engineering.com</w:t>
        </w:r>
      </w:hyperlink>
    </w:p>
  </w:footnote>
  <w:footnote w:id="2">
    <w:p w14:paraId="72372D63" w14:textId="77777777" w:rsidR="00600A02" w:rsidRDefault="00A64E4C">
      <w:pPr>
        <w:pStyle w:val="FootnoteText"/>
      </w:pPr>
      <w:r>
        <w:rPr>
          <w:rStyle w:val="FootnoteReference"/>
        </w:rPr>
        <w:footnoteRef/>
      </w:r>
      <w:r>
        <w:t xml:space="preserve"> </w:t>
      </w:r>
      <w:hyperlink r:id="rId2">
        <w:r>
          <w:rPr>
            <w:rStyle w:val="Hyperlink"/>
          </w:rPr>
          <w:t>djump@kw-engineering.com</w:t>
        </w:r>
      </w:hyperlink>
    </w:p>
  </w:footnote>
  <w:footnote w:id="3">
    <w:p w14:paraId="49D51BFC" w14:textId="77777777" w:rsidR="00600A02" w:rsidRDefault="00A64E4C">
      <w:pPr>
        <w:pStyle w:val="FootnoteText"/>
      </w:pPr>
      <w:r>
        <w:rPr>
          <w:rStyle w:val="FootnoteReference"/>
        </w:rPr>
        <w:footnoteRef/>
      </w:r>
      <w:r>
        <w:t xml:space="preserve"> </w:t>
      </w:r>
      <w:hyperlink r:id="rId3">
        <w:r>
          <w:rPr>
            <w:rStyle w:val="Hyperlink"/>
          </w:rPr>
          <w:t>johnson@kw-engineering.com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086F7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648D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C8EF5E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00EE13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0248"/>
    <w:rsid w:val="004E29B3"/>
    <w:rsid w:val="00590D07"/>
    <w:rsid w:val="00600A02"/>
    <w:rsid w:val="00784D58"/>
    <w:rsid w:val="008D6863"/>
    <w:rsid w:val="00A64E4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F56C"/>
  <w15:docId w15:val="{F06105B0-E557-4482-B58B-164E3570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kW-Labs/nmecr/blob/master/vignettes/nmecr.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mailto:johnson@kw-engineering.com" TargetMode="External"/><Relationship Id="rId2" Type="http://schemas.openxmlformats.org/officeDocument/2006/relationships/hyperlink" Target="mailto:djump@kw-engineering.com" TargetMode="External"/><Relationship Id="rId1" Type="http://schemas.openxmlformats.org/officeDocument/2006/relationships/hyperlink" Target="mailto:msharma@kw-engineer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Energy Use of Institutional Buildings using nmecr</dc:title>
  <dc:creator>Mrinalini Sharma; David Jump; Devan Johnson</dc:creator>
  <cp:keywords/>
  <cp:lastModifiedBy>Mrinalini Sharma</cp:lastModifiedBy>
  <cp:revision>2</cp:revision>
  <dcterms:created xsi:type="dcterms:W3CDTF">2019-11-25T23:12:00Z</dcterms:created>
  <dcterms:modified xsi:type="dcterms:W3CDTF">2019-11-25T23:12:00Z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22, 2019</vt:lpwstr>
  </property>
  <property fmtid="{D5CDD505-2E9C-101B-9397-08002B2CF9AE}" pid="3" name="output">
    <vt:lpwstr/>
  </property>
  <property fmtid="{D5CDD505-2E9C-101B-9397-08002B2CF9AE}" pid="4" name="vignette">
    <vt:lpwstr>% % %</vt:lpwstr>
  </property>
</Properties>
</file>