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2-1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2-1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结合上述三个用户角色的功能需求分析，得到了校园兼职平台的系统用例图，如图3-1所示。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图3-1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根据系统的总体架构设计和各用户角色的功能需求，将系统功能按照学生端、雇主端和管理端三个维度进行模块划分。系统的功能模块图如图4-2所示。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图4-2 校园兼职平台功能模块图</w:t>
      </w:r>
    </w:p>
    <w:p>
      <w:pPr>
        <w:jc w:val="center"/>
      </w:pPr>
      <w:r>
        <w:rPr>
          <w:rFonts w:ascii="宋体" w:hAnsi="宋体" w:eastAsia="宋体"/>
          <w:b/>
          <w:sz w:val="21"/>
        </w:rPr>
        <w:t>图4-1 校园兼职平台系统架构图</w:t>
      </w:r>
    </w:p>
    <w:p>
      <w:pPr>
        <w:ind w:firstLine="420"/>
      </w:pPr>
      <w:r>
        <w:rPr>
          <w:rFonts w:ascii="宋体" w:hAnsi="宋体" w:eastAsia="宋体"/>
          <w:b w:val="0"/>
          <w:sz w:val="24"/>
        </w:rPr>
        <w:t>根据上述实体及关系分析，使用E-R图描述系统的数据库概念模型，如图4-3所示。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图4-3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4-1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4-2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4-3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4-4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4-5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4-6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4-7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4-8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图5-2 管理员登录时序图</w:t>
      </w:r>
    </w:p>
    <w:p>
      <w:pPr>
        <w:jc w:val="center"/>
      </w:pPr>
      <w:r>
        <w:drawing>
          <wp:inline xmlns:a="http://schemas.openxmlformats.org/drawingml/2006/main" xmlns:pic="http://schemas.openxmlformats.org/drawingml/2006/picture">
            <wp:extent cx="4572000" cy="5312535"/>
            <wp:docPr id="24" name="Picture 24"/>
            <wp:cNvGraphicFramePr>
              <a:graphicFrameLocks noChangeAspect="1"/>
            </wp:cNvGraphicFramePr>
            <a:graphic>
              <a:graphicData uri="http://schemas.openxmlformats.org/drawingml/2006/picture">
                <pic:pic>
                  <pic:nvPicPr>
                    <pic:cNvPr id="0" name="code_login_service.png"/>
                    <pic:cNvPicPr/>
                  </pic:nvPicPr>
                  <pic:blipFill>
                    <a:blip r:embed="rId34"/>
                    <a:stretch>
                      <a:fillRect/>
                    </a:stretch>
                  </pic:blipFill>
                  <pic:spPr>
                    <a:xfrm>
                      <a:off x="0" y="0"/>
                      <a:ext cx="4572000" cy="5312535"/>
                    </a:xfrm>
                    <a:prstGeom prst="rect"/>
                  </pic:spPr>
                </pic:pic>
              </a:graphicData>
            </a:graphic>
          </wp:inline>
        </w:drawing>
      </w:r>
    </w:p>
    <w:p>
      <w:pPr>
        <w:jc w:val="center"/>
      </w:pPr>
      <w:r>
        <w:rPr>
          <w:rFonts w:ascii="宋体" w:hAnsi="宋体" w:eastAsia="宋体"/>
          <w:b/>
          <w:sz w:val="21"/>
        </w:rPr>
        <w:t>图5-3 登录核心业务逻辑代码</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图5-4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图5-5 兼职信息审核界面</w:t>
      </w:r>
    </w:p>
    <w:p>
      <w:pPr>
        <w:jc w:val="center"/>
      </w:pPr>
      <w:r>
        <w:drawing>
          <wp:inline xmlns:a="http://schemas.openxmlformats.org/drawingml/2006/main" xmlns:pic="http://schemas.openxmlformats.org/drawingml/2006/picture">
            <wp:extent cx="4572000" cy="5107021"/>
            <wp:docPr id="21" name="Picture 21"/>
            <wp:cNvGraphicFramePr>
              <a:graphicFrameLocks noChangeAspect="1"/>
            </wp:cNvGraphicFramePr>
            <a:graphic>
              <a:graphicData uri="http://schemas.openxmlformats.org/drawingml/2006/picture">
                <pic:pic>
                  <pic:nvPicPr>
                    <pic:cNvPr id="0" name="code_publish_job.png"/>
                    <pic:cNvPicPr/>
                  </pic:nvPicPr>
                  <pic:blipFill>
                    <a:blip r:embed="rId27"/>
                    <a:stretch>
                      <a:fillRect/>
                    </a:stretch>
                  </pic:blipFill>
                  <pic:spPr>
                    <a:xfrm>
                      <a:off x="0" y="0"/>
                      <a:ext cx="4572000" cy="5107021"/>
                    </a:xfrm>
                    <a:prstGeom prst="rect"/>
                  </pic:spPr>
                </pic:pic>
              </a:graphicData>
            </a:graphic>
          </wp:inline>
        </w:drawing>
      </w:r>
    </w:p>
    <w:p>
      <w:pPr>
        <w:jc w:val="center"/>
      </w:pPr>
      <w:r>
        <w:rPr>
          <w:rFonts w:ascii="宋体" w:hAnsi="宋体" w:eastAsia="宋体"/>
          <w:b/>
          <w:sz w:val="21"/>
        </w:rPr>
        <w:t>图5-6 兼职审核核心代码</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图5-7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图5-8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图5-9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图5-10 发布兼职时序图</w:t>
      </w:r>
    </w:p>
    <w:p>
      <w:pPr>
        <w:jc w:val="center"/>
      </w:pPr>
      <w:r>
        <w:drawing>
          <wp:inline xmlns:a="http://schemas.openxmlformats.org/drawingml/2006/main" xmlns:pic="http://schemas.openxmlformats.org/drawingml/2006/picture">
            <wp:extent cx="4572000" cy="5107021"/>
            <wp:docPr id="16" name="Picture 16"/>
            <wp:cNvGraphicFramePr>
              <a:graphicFrameLocks noChangeAspect="1"/>
            </wp:cNvGraphicFramePr>
            <a:graphic>
              <a:graphicData uri="http://schemas.openxmlformats.org/drawingml/2006/picture">
                <pic:pic>
                  <pic:nvPicPr>
                    <pic:cNvPr id="0" name="code_publish_job.png"/>
                    <pic:cNvPicPr/>
                  </pic:nvPicPr>
                  <pic:blipFill>
                    <a:blip r:embed="rId27"/>
                    <a:stretch>
                      <a:fillRect/>
                    </a:stretch>
                  </pic:blipFill>
                  <pic:spPr>
                    <a:xfrm>
                      <a:off x="0" y="0"/>
                      <a:ext cx="4572000" cy="5107021"/>
                    </a:xfrm>
                    <a:prstGeom prst="rect"/>
                  </pic:spPr>
                </pic:pic>
              </a:graphicData>
            </a:graphic>
          </wp:inline>
        </w:drawing>
      </w:r>
    </w:p>
    <w:p>
      <w:pPr>
        <w:jc w:val="center"/>
      </w:pPr>
      <w:r>
        <w:rPr>
          <w:rFonts w:ascii="宋体" w:hAnsi="宋体" w:eastAsia="宋体"/>
          <w:b/>
          <w:sz w:val="21"/>
        </w:rPr>
        <w:t>图5-11 发布兼职核心代码</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图5-12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图5-13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图5-14 申请审核时序图</w:t>
      </w:r>
    </w:p>
    <w:p>
      <w:pPr>
        <w:jc w:val="center"/>
      </w:pPr>
      <w:r>
        <w:drawing>
          <wp:inline xmlns:a="http://schemas.openxmlformats.org/drawingml/2006/main" xmlns:pic="http://schemas.openxmlformats.org/drawingml/2006/picture">
            <wp:extent cx="4572000" cy="4089633"/>
            <wp:docPr id="12" name="Picture 12"/>
            <wp:cNvGraphicFramePr>
              <a:graphicFrameLocks noChangeAspect="1"/>
            </wp:cNvGraphicFramePr>
            <a:graphic>
              <a:graphicData uri="http://schemas.openxmlformats.org/drawingml/2006/picture">
                <pic:pic>
                  <pic:nvPicPr>
                    <pic:cNvPr id="0" name="code_apply_review.png"/>
                    <pic:cNvPicPr/>
                  </pic:nvPicPr>
                  <pic:blipFill>
                    <a:blip r:embed="rId23"/>
                    <a:stretch>
                      <a:fillRect/>
                    </a:stretch>
                  </pic:blipFill>
                  <pic:spPr>
                    <a:xfrm>
                      <a:off x="0" y="0"/>
                      <a:ext cx="4572000" cy="4089633"/>
                    </a:xfrm>
                    <a:prstGeom prst="rect"/>
                  </pic:spPr>
                </pic:pic>
              </a:graphicData>
            </a:graphic>
          </wp:inline>
        </w:drawing>
      </w:r>
    </w:p>
    <w:p>
      <w:pPr>
        <w:jc w:val="center"/>
      </w:pPr>
      <w:r>
        <w:rPr>
          <w:rFonts w:ascii="宋体" w:hAnsi="宋体" w:eastAsia="宋体"/>
          <w:b/>
          <w:sz w:val="21"/>
        </w:rPr>
        <w:t>图5-15 申请审核核心代码</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图5-16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图5-17 订单结算时序图</w:t>
      </w:r>
    </w:p>
    <w:p>
      <w:pPr>
        <w:jc w:val="center"/>
      </w:pPr>
      <w:r>
        <w:drawing>
          <wp:inline xmlns:a="http://schemas.openxmlformats.org/drawingml/2006/main" xmlns:pic="http://schemas.openxmlformats.org/drawingml/2006/picture">
            <wp:extent cx="4572000" cy="4717915"/>
            <wp:docPr id="9" name="Picture 9"/>
            <wp:cNvGraphicFramePr>
              <a:graphicFrameLocks noChangeAspect="1"/>
            </wp:cNvGraphicFramePr>
            <a:graphic>
              <a:graphicData uri="http://schemas.openxmlformats.org/drawingml/2006/picture">
                <pic:pic>
                  <pic:nvPicPr>
                    <pic:cNvPr id="0" name="code_settle_review.png"/>
                    <pic:cNvPicPr/>
                  </pic:nvPicPr>
                  <pic:blipFill>
                    <a:blip r:embed="rId14"/>
                    <a:stretch>
                      <a:fillRect/>
                    </a:stretch>
                  </pic:blipFill>
                  <pic:spPr>
                    <a:xfrm>
                      <a:off x="0" y="0"/>
                      <a:ext cx="4572000" cy="4717915"/>
                    </a:xfrm>
                    <a:prstGeom prst="rect"/>
                  </pic:spPr>
                </pic:pic>
              </a:graphicData>
            </a:graphic>
          </wp:inline>
        </w:drawing>
      </w:r>
    </w:p>
    <w:p>
      <w:pPr>
        <w:jc w:val="center"/>
      </w:pPr>
      <w:r>
        <w:rPr>
          <w:rFonts w:ascii="宋体" w:hAnsi="宋体" w:eastAsia="宋体"/>
          <w:b/>
          <w:sz w:val="21"/>
        </w:rPr>
        <w:t>图5-18 订单结算核心代码</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图5-19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图5-20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图5-21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图5-22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图5-23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图5-24 学生评价界面</w:t>
      </w:r>
    </w:p>
    <w:p>
      <w:pPr>
        <w:jc w:val="center"/>
      </w:pPr>
      <w:r>
        <w:drawing>
          <wp:inline xmlns:a="http://schemas.openxmlformats.org/drawingml/2006/main" xmlns:pic="http://schemas.openxmlformats.org/drawingml/2006/picture">
            <wp:extent cx="4572000" cy="4717915"/>
            <wp:docPr id="2" name="Picture 2"/>
            <wp:cNvGraphicFramePr>
              <a:graphicFrameLocks noChangeAspect="1"/>
            </wp:cNvGraphicFramePr>
            <a:graphic>
              <a:graphicData uri="http://schemas.openxmlformats.org/drawingml/2006/picture">
                <pic:pic>
                  <pic:nvPicPr>
                    <pic:cNvPr id="0" name="code_settle_review.png"/>
                    <pic:cNvPicPr/>
                  </pic:nvPicPr>
                  <pic:blipFill>
                    <a:blip r:embed="rId14"/>
                    <a:stretch>
                      <a:fillRect/>
                    </a:stretch>
                  </pic:blipFill>
                  <pic:spPr>
                    <a:xfrm>
                      <a:off x="0" y="0"/>
                      <a:ext cx="4572000" cy="4717915"/>
                    </a:xfrm>
                    <a:prstGeom prst="rect"/>
                  </pic:spPr>
                </pic:pic>
              </a:graphicData>
            </a:graphic>
          </wp:inline>
        </w:drawing>
      </w:r>
    </w:p>
    <w:p>
      <w:pPr>
        <w:jc w:val="center"/>
      </w:pPr>
      <w:r>
        <w:rPr>
          <w:rFonts w:ascii="宋体" w:hAnsi="宋体" w:eastAsia="宋体"/>
          <w:b/>
          <w:sz w:val="21"/>
        </w:rPr>
        <w:t>图5-25 评价提交核心代码</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图5-26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6-1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6-1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6-2所示。</w:t>
      </w:r>
    </w:p>
    <w:p>
      <w:pPr>
        <w:jc w:val="center"/>
      </w:pPr>
      <w:r>
        <w:rPr>
          <w:rFonts w:ascii="宋体" w:hAnsi="宋体" w:eastAsia="宋体"/>
          <w:b/>
          <w:sz w:val="21"/>
        </w:rPr>
        <w:t>表6-2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6-3所示。</w:t>
      </w:r>
    </w:p>
    <w:p>
      <w:pPr>
        <w:jc w:val="center"/>
      </w:pPr>
      <w:r>
        <w:rPr>
          <w:rFonts w:ascii="宋体" w:hAnsi="宋体" w:eastAsia="宋体"/>
          <w:b/>
          <w:sz w:val="21"/>
        </w:rPr>
        <w:t>表6-3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