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admin_policies__admin_faq_md</w:t>
      </w:r>
    </w:p>
    <w:p>
      <w:r>
        <w:rPr>
          <w:rFonts w:ascii="Microsoft YaHei" w:hAnsi="Microsoft YaHei" w:eastAsia="Microsoft YaHei"/>
          <w:sz w:val="21"/>
        </w:rPr>
        <w:t>Source file: admin_policies/admin_faq.md</w:t>
      </w: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行政制度 FAQ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Q1：差旅报销必须多久内提交？</w:t>
      </w:r>
    </w:p>
    <w:p/>
    <w:p>
      <w:r>
        <w:rPr>
          <w:rFonts w:ascii="Microsoft YaHei" w:hAnsi="Microsoft YaHei" w:eastAsia="Microsoft YaHei"/>
          <w:sz w:val="21"/>
        </w:rPr>
        <w:t>差旅报销应在返程后 15 个自然日内提交。普通日常费用应在费用发生后 30 个自然日内提交。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Q2：电子发票只上传截图可以吗？</w:t>
      </w:r>
    </w:p>
    <w:p/>
    <w:p>
      <w:r>
        <w:rPr>
          <w:rFonts w:ascii="Microsoft YaHei" w:hAnsi="Microsoft YaHei" w:eastAsia="Microsoft YaHei"/>
          <w:sz w:val="21"/>
        </w:rPr>
        <w:t>不可以。电子发票必须上传 PDF 原件。若只上传截图，财务会退回申请。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Q3：金额超过 5000 元的采购需要哪些审批？</w:t>
      </w:r>
    </w:p>
    <w:p/>
    <w:p>
      <w:r>
        <w:rPr>
          <w:rFonts w:ascii="Microsoft YaHei" w:hAnsi="Microsoft YaHei" w:eastAsia="Microsoft YaHei"/>
          <w:sz w:val="21"/>
        </w:rPr>
        <w:t>需要直属主管、部门负责人、行政部、财务和分管 VP 审批，并至少提供 3 家供应商比价。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Q4：办公用品可以先购买再报销吗？</w:t>
      </w:r>
    </w:p>
    <w:p/>
    <w:p>
      <w:r>
        <w:rPr>
          <w:rFonts w:ascii="Microsoft YaHei" w:hAnsi="Microsoft YaHei" w:eastAsia="Microsoft YaHei"/>
          <w:sz w:val="21"/>
        </w:rPr>
        <w:t>不超过 300 元的零星办公用品可走日常报销。超过 300 元或属于固定资产、软件订阅、外包服务的，应先提交采购申请。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Q5：忘带工牌怎么办？</w:t>
      </w:r>
    </w:p>
    <w:p/>
    <w:p>
      <w:r>
        <w:rPr>
          <w:rFonts w:ascii="Microsoft YaHei" w:hAnsi="Microsoft YaHei" w:eastAsia="Microsoft YaHei"/>
          <w:sz w:val="21"/>
        </w:rPr>
        <w:t>应在前台登记临时通行信息，并由直属主管在当日内确认。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Q6：会议取消后是否需要释放会议室？</w:t>
      </w:r>
    </w:p>
    <w:p/>
    <w:p>
      <w:r>
        <w:rPr>
          <w:rFonts w:ascii="Microsoft YaHei" w:hAnsi="Microsoft YaHei" w:eastAsia="Microsoft YaHei"/>
          <w:sz w:val="21"/>
        </w:rPr>
        <w:t>需要。会议取消应至少提前 30 分钟释放会议室，避免影响其他团队使用。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Q7：固定资产采购后谁负责登记？</w:t>
      </w:r>
    </w:p>
    <w:p/>
    <w:p>
      <w:r>
        <w:rPr>
          <w:rFonts w:ascii="Microsoft YaHei" w:hAnsi="Microsoft YaHei" w:eastAsia="Microsoft YaHei"/>
          <w:sz w:val="21"/>
        </w:rPr>
        <w:t>行政部负责验收，财务负责资产编号，使用员工在资产系统确认领用。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Q8：哪些费用不能走日常报销？</w:t>
      </w:r>
    </w:p>
    <w:p/>
    <w:p>
      <w:r>
        <w:rPr>
          <w:rFonts w:ascii="Microsoft YaHei" w:hAnsi="Microsoft YaHei" w:eastAsia="Microsoft YaHei"/>
          <w:sz w:val="21"/>
        </w:rPr>
        <w:t>固定资产采购、软件订阅年费、合同类付款不得走日常报销流程，应按采购或合同付款流程处理。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