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admin_policies__admin_policy_change_log_md</w:t>
      </w:r>
    </w:p>
    <w:p>
      <w:r>
        <w:rPr>
          <w:rFonts w:ascii="Microsoft YaHei" w:hAnsi="Microsoft YaHei" w:eastAsia="Microsoft YaHei"/>
          <w:sz w:val="21"/>
        </w:rPr>
        <w:t>Source file: admin_policies/admin_policy_change_log.md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行政制度版本记录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2026-06-20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报销流程新增电子发票 PDF 原件要求，截图不再作为有效报销凭证。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采购流程新增紧急采购补单要求，必须在 2 个工作日内补交采购申请。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办公规范新增工作日 20:30 后空调使用登记要求。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2026-05-15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会议室管理增加“取消会议需提前 30 分钟释放会议室”的要求。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固定资产管理增加半年度盘点频率。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访客制度明确访客不得单独进入研发区、财务区和档案室。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2026-04-01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报销审批路径按 1000 元、5000 元两个金额阈值调整。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采购金额超过 50000 元时，新增 CEO 审批和采购评审记录要求。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信息安全条款新增“不得上传内部制度文档至未经批准的外部网盘”。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