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admin_policies__reimbursement_process_txt</w:t>
      </w:r>
    </w:p>
    <w:p>
      <w:r>
        <w:rPr>
          <w:rFonts w:ascii="Microsoft YaHei" w:hAnsi="Microsoft YaHei" w:eastAsia="Microsoft YaHei"/>
          <w:sz w:val="21"/>
        </w:rPr>
        <w:t>Source file: admin_policies/reimbursement_process.txt</w:t>
      </w:r>
    </w:p>
    <w:p>
      <w:r>
        <w:rPr>
          <w:rFonts w:ascii="Microsoft YaHei" w:hAnsi="Microsoft YaHei" w:eastAsia="Microsoft YaHei"/>
          <w:sz w:val="21"/>
        </w:rPr>
        <w:t>报销流程说明</w:t>
      </w:r>
    </w:p>
    <w:p/>
    <w:p>
      <w:r>
        <w:rPr>
          <w:rFonts w:ascii="Microsoft YaHei" w:hAnsi="Microsoft YaHei" w:eastAsia="Microsoft YaHei"/>
          <w:sz w:val="21"/>
        </w:rPr>
        <w:t>一、适用范围</w:t>
      </w:r>
    </w:p>
    <w:p>
      <w:r>
        <w:rPr>
          <w:rFonts w:ascii="Microsoft YaHei" w:hAnsi="Microsoft YaHei" w:eastAsia="Microsoft YaHei"/>
          <w:sz w:val="21"/>
        </w:rPr>
        <w:t>本流程适用于差旅费、交通费、办公用品、业务招待费、培训费和经审批的其他日常费用。固定资产采购、软件订阅年费和合同类付款不得走日常报销流程，应按采购或合同付款流程处理。</w:t>
      </w:r>
    </w:p>
    <w:p/>
    <w:p>
      <w:r>
        <w:rPr>
          <w:rFonts w:ascii="Microsoft YaHei" w:hAnsi="Microsoft YaHei" w:eastAsia="Microsoft YaHei"/>
          <w:sz w:val="21"/>
        </w:rPr>
        <w:t>二、提交时限</w:t>
      </w:r>
    </w:p>
    <w:p>
      <w:r>
        <w:rPr>
          <w:rFonts w:ascii="Microsoft YaHei" w:hAnsi="Microsoft YaHei" w:eastAsia="Microsoft YaHei"/>
          <w:sz w:val="21"/>
        </w:rPr>
        <w:t>员工应在费用发生后 30 个自然日内提交报销。差旅报销应在返程后 15 个自然日内提交。跨年度费用原则上应在当年 12 月 25 日前提交。</w:t>
      </w:r>
    </w:p>
    <w:p/>
    <w:p>
      <w:r>
        <w:rPr>
          <w:rFonts w:ascii="Microsoft YaHei" w:hAnsi="Microsoft YaHei" w:eastAsia="Microsoft YaHei"/>
          <w:sz w:val="21"/>
        </w:rPr>
        <w:t>三、基础材料</w:t>
      </w:r>
    </w:p>
    <w:p>
      <w:r>
        <w:rPr>
          <w:rFonts w:ascii="Microsoft YaHei" w:hAnsi="Microsoft YaHei" w:eastAsia="Microsoft YaHei"/>
          <w:sz w:val="21"/>
        </w:rPr>
        <w:t>1. 合规发票或电子发票原件。</w:t>
      </w:r>
    </w:p>
    <w:p>
      <w:r>
        <w:rPr>
          <w:rFonts w:ascii="Microsoft YaHei" w:hAnsi="Microsoft YaHei" w:eastAsia="Microsoft YaHei"/>
          <w:sz w:val="21"/>
        </w:rPr>
        <w:t>2. 支付凭证，如银行卡流水、支付截图或对公付款记录。</w:t>
      </w:r>
    </w:p>
    <w:p>
      <w:r>
        <w:rPr>
          <w:rFonts w:ascii="Microsoft YaHei" w:hAnsi="Microsoft YaHei" w:eastAsia="Microsoft YaHei"/>
          <w:sz w:val="21"/>
        </w:rPr>
        <w:t>3. 业务说明，需写明费用发生时间、地点、对象和用途。</w:t>
      </w:r>
    </w:p>
    <w:p>
      <w:r>
        <w:rPr>
          <w:rFonts w:ascii="Microsoft YaHei" w:hAnsi="Microsoft YaHei" w:eastAsia="Microsoft YaHei"/>
          <w:sz w:val="21"/>
        </w:rPr>
        <w:t>4. 事前审批记录。金额超过 1000 元的业务招待和培训费用必须提供事前审批。</w:t>
      </w:r>
    </w:p>
    <w:p/>
    <w:p>
      <w:r>
        <w:rPr>
          <w:rFonts w:ascii="Microsoft YaHei" w:hAnsi="Microsoft YaHei" w:eastAsia="Microsoft YaHei"/>
          <w:sz w:val="21"/>
        </w:rPr>
        <w:t>四、审批路径</w:t>
      </w:r>
    </w:p>
    <w:p>
      <w:r>
        <w:rPr>
          <w:rFonts w:ascii="Microsoft YaHei" w:hAnsi="Microsoft YaHei" w:eastAsia="Microsoft YaHei"/>
          <w:sz w:val="21"/>
        </w:rPr>
        <w:t>单笔金额小于等于 1000 元：直属主管审批后进入财务复核。</w:t>
      </w:r>
    </w:p>
    <w:p>
      <w:r>
        <w:rPr>
          <w:rFonts w:ascii="Microsoft YaHei" w:hAnsi="Microsoft YaHei" w:eastAsia="Microsoft YaHei"/>
          <w:sz w:val="21"/>
        </w:rPr>
        <w:t>单笔金额大于 1000 元且小于等于 5000 元：直属主管、部门负责人审批后进入财务复核。</w:t>
      </w:r>
    </w:p>
    <w:p>
      <w:r>
        <w:rPr>
          <w:rFonts w:ascii="Microsoft YaHei" w:hAnsi="Microsoft YaHei" w:eastAsia="Microsoft YaHei"/>
          <w:sz w:val="21"/>
        </w:rPr>
        <w:t>单笔金额大于 5000 元：直属主管、部门负责人、分管 VP 审批后进入财务复核。</w:t>
      </w:r>
    </w:p>
    <w:p/>
    <w:p>
      <w:r>
        <w:rPr>
          <w:rFonts w:ascii="Microsoft YaHei" w:hAnsi="Microsoft YaHei" w:eastAsia="Microsoft YaHei"/>
          <w:sz w:val="21"/>
        </w:rPr>
        <w:t>五、电子发票要求</w:t>
      </w:r>
    </w:p>
    <w:p>
      <w:r>
        <w:rPr>
          <w:rFonts w:ascii="Microsoft YaHei" w:hAnsi="Microsoft YaHei" w:eastAsia="Microsoft YaHei"/>
          <w:sz w:val="21"/>
        </w:rPr>
        <w:t>电子发票需上传 PDF 原件，不得仅上传截图。若发票抬头、税号或金额错误，财务将退回申请。</w:t>
      </w:r>
    </w:p>
    <w:p/>
    <w:p>
      <w:r>
        <w:rPr>
          <w:rFonts w:ascii="Microsoft YaHei" w:hAnsi="Microsoft YaHei" w:eastAsia="Microsoft YaHei"/>
          <w:sz w:val="21"/>
        </w:rPr>
        <w:t>六、付款周期</w:t>
      </w:r>
    </w:p>
    <w:p>
      <w:r>
        <w:rPr>
          <w:rFonts w:ascii="Microsoft YaHei" w:hAnsi="Microsoft YaHei" w:eastAsia="Microsoft YaHei"/>
          <w:sz w:val="21"/>
        </w:rPr>
        <w:t>每周二和周四为报销付款日。财务在付款日前一工作日 18:00 前复核通过的单据，将进入最近一次付款批次。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