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61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8"/>
        <w:gridCol w:w="5490"/>
        <w:gridCol w:w="5495"/>
      </w:tblGrid>
      <w:tr>
        <w:trPr>
          <w:trHeight w:val="620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vertAlign w:val="superscript"/>
              </w:rPr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5EB04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-681990</wp:posOffset>
                      </wp:positionV>
                      <wp:extent cx="4149725" cy="658495"/>
                      <wp:effectExtent l="0" t="0" r="508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9000" cy="657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860675" cy="543560"/>
                                        <wp:effectExtent l="0" t="0" r="0" b="0"/>
                                        <wp:docPr id="3" name="Picture 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60675" cy="543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f" style="position:absolute;margin-left:57.95pt;margin-top:-53.7pt;width:326.65pt;height:51.75pt" wp14:anchorId="065EB048">
                      <w10:wrap type="none"/>
                      <v:fill type="solid" color2="black" o:detectmouseclick="t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0675" cy="543560"/>
                                  <wp:effectExtent l="0" t="0" r="0" b="0"/>
                                  <wp:docPr id="4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0675" cy="543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5FBBF2CF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-363220</wp:posOffset>
                      </wp:positionV>
                      <wp:extent cx="3351530" cy="359410"/>
                      <wp:effectExtent l="0" t="0" r="0" b="5080"/>
                      <wp:wrapNone/>
                      <wp:docPr id="5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0880" cy="3589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A"/>
                                      <w:sz w:val="28"/>
                                      <w:szCs w:val="28"/>
                                    </w:rPr>
                                    <w:t>Program Calendar for 2022-2023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" stroked="f" style="position:absolute;margin-left:73.35pt;margin-top:-28.6pt;width:263.8pt;height:28.2pt" wp14:anchorId="5FBBF2CF">
                      <w10:wrap type="square"/>
                      <v:fill on="false" o:detectmouseclick="t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Program Calendar for 2022-2023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March 2023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705" w:leader="none"/>
              </w:tabs>
              <w:spacing w:lineRule="auto" w:line="240" w:before="0" w:after="0"/>
              <w:rPr/>
            </w:pPr>
            <w:r>
              <w:rPr/>
              <w:tab/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March 2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Decline of Local News Consensus Questions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Coordinator: TBD</w: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March 21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National LWV Speaker TBD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Coordinators: Shelley Jones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51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April 2023</w:t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April 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 Electoral College and Why It Matters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Coordinator: </w:t>
            </w:r>
            <w:r>
              <w:rPr>
                <w:color w:val="4F81BD" w:themeColor="accent1"/>
              </w:rPr>
              <w:t>TBD</w: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April 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Intersectional Advocacy Coalition of Whitman County (IAC)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Coordinator: </w:t>
            </w:r>
            <w:r>
              <w:rPr>
                <w:color w:val="4F81BD" w:themeColor="accent1"/>
              </w:rPr>
              <w:t>Tricia</w:t>
            </w:r>
            <w:r>
              <w:rPr/>
              <w:t xml:space="preserve"> Grantham</w:t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May 2023</w:t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May 4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2023 Annual Meeting and short program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Guest Speakers: </w:t>
            </w:r>
            <w:r>
              <w:rPr>
                <w:color w:val="4F81BD" w:themeColor="accent1"/>
              </w:rPr>
              <w:t>TBD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May 17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June 2023</w:t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June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strike/>
              </w:rPr>
            </w:pPr>
            <w:r>
              <w:rPr>
                <w:b/>
                <w:bCs/>
                <w:i/>
                <w:iCs/>
              </w:rPr>
              <w:t>LWVWA Convention in Tri Cities May 5-7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July 2023</w:t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Program Planning Mtg</w:t>
            </w:r>
          </w:p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/>
              <w:t>10 am: In-Person at Mary Collins Pool – salad potluck</w: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August 2023</w:t>
            </w:r>
          </w:p>
        </w:tc>
        <w:tc>
          <w:tcPr>
            <w:tcW w:w="54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  <w:tc>
          <w:tcPr>
            <w:tcW w:w="54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Evening Meetings </w:t>
      </w:r>
      <w:r>
        <w:rPr>
          <w:bCs/>
          <w:sz w:val="24"/>
          <w:szCs w:val="24"/>
        </w:rPr>
        <w:t>will be a hybrid of in-person and Zoom meetings unless COVID rates increase significantly. We will try to keep the 1</w:t>
      </w:r>
      <w:r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Thursday of each month for evening General Meetings, unless there is a speaker scheduling conflict.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Brown Bags </w:t>
      </w:r>
      <w:r>
        <w:rPr>
          <w:bCs/>
          <w:sz w:val="24"/>
          <w:szCs w:val="24"/>
        </w:rPr>
        <w:t>are on the 3</w:t>
      </w:r>
      <w:r>
        <w:rPr>
          <w:bCs/>
          <w:sz w:val="24"/>
          <w:szCs w:val="24"/>
          <w:vertAlign w:val="superscript"/>
        </w:rPr>
        <w:t>rd</w:t>
      </w:r>
      <w:r>
        <w:rPr>
          <w:bCs/>
          <w:sz w:val="24"/>
          <w:szCs w:val="24"/>
        </w:rPr>
        <w:t xml:space="preserve"> Tuesday of each month from 11 am – 1 pm and will continue to be over Zoom so that those that work can attend more easily. </w:t>
      </w:r>
    </w:p>
    <w:p>
      <w:pPr>
        <w:pStyle w:val="ListParagraph"/>
        <w:numPr>
          <w:ilvl w:val="0"/>
          <w:numId w:val="1"/>
        </w:numPr>
        <w:rPr>
          <w:b/>
          <w:b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 xml:space="preserve">Board meetings. </w:t>
      </w:r>
      <w:r>
        <w:rPr>
          <w:b/>
          <w:i/>
          <w:iCs/>
          <w:sz w:val="24"/>
          <w:szCs w:val="24"/>
        </w:rPr>
        <w:t>We are a “Board of the Whole”</w:t>
      </w:r>
      <w:r>
        <w:rPr>
          <w:bCs/>
          <w:sz w:val="24"/>
          <w:szCs w:val="24"/>
        </w:rPr>
        <w:t xml:space="preserve">. Therefore, board meetings are open to all League members and are held on the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Tuesday of each month at 11:00 am – 1:00 pm</w:t>
      </w:r>
      <w:r>
        <w:rPr>
          <w:bCs/>
          <w:sz w:val="24"/>
          <w:szCs w:val="24"/>
        </w:rPr>
        <w:t xml:space="preserve">. </w:t>
      </w:r>
      <w:r>
        <w:rPr>
          <w:b/>
          <w:sz w:val="24"/>
          <w:szCs w:val="24"/>
        </w:rPr>
        <w:t>August – May</w:t>
      </w:r>
      <w:r>
        <w:rPr>
          <w:bCs/>
          <w:sz w:val="24"/>
          <w:szCs w:val="24"/>
        </w:rPr>
        <w:t xml:space="preserve">. Although we prefer to meet in person, due to COVID meetings will be over Zoom for the foreseeable future.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b/>
          <w:sz w:val="24"/>
          <w:szCs w:val="24"/>
        </w:rPr>
        <w:t>Annual Dues</w:t>
      </w:r>
      <w:r>
        <w:rPr>
          <w:bCs/>
          <w:sz w:val="24"/>
          <w:szCs w:val="24"/>
        </w:rPr>
        <w:t xml:space="preserve"> are due at the September Back to League meeting. </w:t>
      </w:r>
      <w:r>
        <w:rPr>
          <w:b/>
          <w:sz w:val="24"/>
          <w:szCs w:val="24"/>
        </w:rPr>
        <w:t>Individual is $65. Household is $90. Students are free.</w:t>
      </w:r>
    </w:p>
    <w:sectPr>
      <w:footerReference w:type="default" r:id="rId3"/>
      <w:type w:val="nextPage"/>
      <w:pgSz w:orient="landscape" w:w="15840" w:h="122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As of 9/4/2022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eastAsia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12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12be"/>
    <w:rPr/>
  </w:style>
  <w:style w:type="character" w:styleId="InternetLink">
    <w:name w:val="Internet Link"/>
    <w:basedOn w:val="DefaultParagraphFont"/>
    <w:uiPriority w:val="99"/>
    <w:semiHidden/>
    <w:unhideWhenUsed/>
    <w:rsid w:val="000b6faf"/>
    <w:rPr>
      <w:color w:val="0000FF"/>
      <w:u w:val="single"/>
    </w:rPr>
  </w:style>
  <w:style w:type="character" w:styleId="ListLabel1">
    <w:name w:val="ListLabel 1"/>
    <w:qFormat/>
    <w:rPr>
      <w:rFonts w:eastAsia="Calibri" w:cs="Arial"/>
      <w:b/>
      <w:sz w:val="24"/>
    </w:rPr>
  </w:style>
  <w:style w:type="character" w:styleId="ListLabel2">
    <w:name w:val="ListLabel 2"/>
    <w:qFormat/>
    <w:rPr>
      <w:rFonts w:eastAsia="Calibri" w:cs="Arial"/>
      <w:b/>
      <w:sz w:val="24"/>
    </w:rPr>
  </w:style>
  <w:style w:type="character" w:styleId="ListLabel3">
    <w:name w:val="ListLabel 3"/>
    <w:qFormat/>
    <w:rPr>
      <w:rFonts w:eastAsia="Calibri" w:cs="Arial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7be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12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12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6f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25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08EB-B9A0-4E78-A770-00D02740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NeoOffice/2022.1$MacOSX_X86_64 NeoOffice_project/0</Application>
  <Paragraphs>38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2022-09-04T22:05:00Z</dcterms:created>
  <dc:creator>Mary Collins</dc:creator>
  <dc:language>en-US</dc:language>
  <cp:lastPrinted>2021-08-14T19:53:00Z</cp:lastPrinted>
  <dcterms:modified xsi:type="dcterms:W3CDTF">2022-09-05T12:15:53Z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