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B5F44"/>
          <w:sz w:val="40"/>
        </w:rPr>
        <w:t>检测仪厂家回复信息登记表</w:t>
      </w:r>
    </w:p>
    <w:p>
      <w:pPr>
        <w:jc w:val="center"/>
      </w:pPr>
      <w:r>
        <w:rPr>
          <w:rFonts w:ascii="Microsoft YaHei" w:hAnsi="Microsoft YaHei" w:eastAsia="Microsoft YaHei"/>
          <w:color w:val="60746B"/>
          <w:sz w:val="20"/>
        </w:rPr>
        <w:t>厂家回复后请按实际情况填写，未知项可先留空。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5F44"/>
              </w:rPr>
              <w:t>序号</w:t>
            </w:r>
          </w:p>
        </w:tc>
        <w:tc>
          <w:tcPr>
            <w:tcW w:type="dxa" w:w="3249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5F44"/>
              </w:rPr>
              <w:t>登记项</w:t>
            </w:r>
          </w:p>
        </w:tc>
        <w:tc>
          <w:tcPr>
            <w:tcW w:type="dxa" w:w="3249"/>
            <w:shd w:fill="EA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0B5F44"/>
              </w:rPr>
              <w:t>厂家回复</w:t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厂家名称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2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联系人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3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技术联系人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4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电话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5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微信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6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检测仪型号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7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设备编号规则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8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是否支持 HTTPS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9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是否支持 JSON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10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是否支持签名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11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是否能配置上传地址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12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是否能配置厂家编码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13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是否能配置密钥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14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是否有唯一检测记录 ID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15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合格/不合格编码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16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是否支持失败重试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17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是否提供示例数据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18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是否可远程联调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19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预计联调时间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  <w:tr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20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备注</w:t>
            </w:r>
          </w:p>
        </w:tc>
        <w:tc>
          <w:tcPr>
            <w:tcW w:type="dxa" w:w="3249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</w:r>
          </w:p>
        </w:tc>
      </w:tr>
    </w:tbl>
    <w:p/>
    <w:p>
      <w:r>
        <w:rPr>
          <w:color w:val="9B1C1C"/>
        </w:rPr>
        <w:t>注意：不要在登记表中填写真实服务器密码、数据库密码、JWT_SECRET、OSS_SECRET 或其他系统密钥。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6B4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