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CDS 色彩使用规范中文整理</w:t>
      </w:r>
    </w:p>
    <w:p>
      <w:pPr>
        <w:spacing w:line="240" w:lineRule="exact"/>
      </w:pPr>
      <w:r>
        <w:rPr>
          <w:color w:val="52514E"/>
          <w:sz w:val="18"/>
        </w:rPr>
        <w:t>原文规则  实现核对  适用边界</w:t>
      </w:r>
    </w:p>
    <w:p>
      <w:r>
        <w:t>CDS 是 Claude Design System，中文可译为“Claude 设计系统”。它把颜色、组件、排版、密度和动效组织成可复用的设计语言。本文聚焦颜色：选什么颜色、用在哪种元素上，以及浅色和深色模式如何对应。</w:t>
      </w:r>
    </w:p>
    <w:p>
      <w:r>
        <w:t>目前已经找到明确的规则文本及落地 CSS。可以确认 CDS 存在成体系的色彩规范；尚不能据此宣称已取得“桌面聊天界面自身的完整设计标准文件”。桌面壳、聊天内容、Visualize 和 Artifact 模板的适用范围必须分别判断。</w:t>
      </w:r>
    </w:p>
    <w:p>
      <w:pPr>
        <w:pStyle w:val="Heading2"/>
      </w:pPr>
      <w:r>
        <w:t>本文的完整性范围</w:t>
      </w:r>
    </w:p>
    <w:p>
      <w:r>
        <w:t>本次覆盖已提取 CDS 文本中全部与颜色使用直接相关的规则，并补充当前桌面 CSS 的颜色值、Visualize 专用规则和 Artifact 模板差异。附带原文、来源路径、SHA-256 校验值及 315 个基础色值的 CSV。没有取得的内部源文件、组件文档和运行时状态不计入“完整”。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34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20"/>
              </w:rPr>
              <w:t>标记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表示什么</w:t>
            </w:r>
          </w:p>
        </w:tc>
        <w:tc>
          <w:tcPr>
            <w:tcW w:type="dxa" w:w="4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不表示什么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原文已确认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安装包原文明确写有这条规则</w:t>
            </w:r>
          </w:p>
        </w:tc>
        <w:tc>
          <w:tcPr>
            <w:tcW w:type="dxa" w:w="4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每个产品和每个状态都已执行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实现已核对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在指定版本 CSS 或模板中找到对应声明</w:t>
            </w:r>
          </w:p>
        </w:tc>
        <w:tc>
          <w:tcPr>
            <w:tcW w:type="dxa" w:w="4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已在真实聊天 DOM 中验证最终颜色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未验证或有冲突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缺少运行时证据，或不同材料不一致</w:t>
            </w:r>
          </w:p>
        </w:tc>
        <w:tc>
          <w:tcPr>
            <w:tcW w:type="dxa" w:w="4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可以按经验补全或直接认定为错误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t>版本和阅读方式</w:t>
      </w:r>
    </w:p>
    <w:p>
      <w:r>
        <w:t>主要依据本机 Claude.app 2.42304.0 的 app.asar；Artifact 对照来自 Claude Code 2.1.299 的本地二进制。核对日期为 2026 年 10 月 18 日。本文是独立中文整理，不是 Anthropic 发布的中文版。</w:t>
      </w:r>
    </w:p>
    <w:p>
      <w:pPr>
        <w:spacing w:line="240" w:lineRule="exact"/>
      </w:pPr>
      <w:r>
        <w:rPr>
          <w:color w:val="52514E"/>
          <w:sz w:val="18"/>
        </w:rPr>
        <w:t>第 1 至 6 节是 CDS 通用规则；第 7 至 9 节是 Visualize 附录；第 10 节对比 Artifact；第 11 至 12 节列出疑点和原始出处。文中 S1、S2 等是来源编号，L 表示附带原文文件的行号。</w:t>
      </w:r>
    </w:p>
    <w:p>
      <w:pPr>
        <w:spacing w:line="240" w:lineRule="exact"/>
      </w:pPr>
      <w:r>
        <w:rPr>
          <w:color w:val="52514E"/>
          <w:sz w:val="18"/>
        </w:rPr>
        <w:t>出处：S1 L1–13、L95–119；S2 导入及注释；S3 当前 CSS；S4 模板颜色注释。</w:t>
      </w:r>
    </w:p>
    <w:p>
      <w:pPr>
        <w:pStyle w:val="Heading1"/>
        <w:pageBreakBefore/>
      </w:pPr>
      <w:r>
        <w:t>1 用色原则和令牌体系</w:t>
      </w:r>
    </w:p>
    <w:p>
      <w:r>
        <w:t>状态：以下原则均为原文已确认。令牌（token）是按用途命名的变量，例如 text-secondary 表示辅助文字颜色；它将使用意图与某个固定十六进制色值分开。</w:t>
      </w:r>
    </w:p>
    <w:p>
      <w:pPr>
        <w:pStyle w:val="Heading2"/>
      </w:pPr>
      <w:r>
        <w:t>先按用途选令牌</w:t>
      </w:r>
    </w:p>
    <w:p>
      <w:r>
        <w:t>背景选 surface、bg 或 fill；文字选 text 或 on；边框选 border。组件优先消费用途层，不直接写原始 hex，也不直接依赖内部 role-* 别名。React 或 Tailwind 写法与普通 HTML 写法需要按宿主区分。</w:t>
      </w:r>
    </w:p>
    <w:p>
      <w:pPr>
        <w:pStyle w:val="Heading2"/>
      </w:pPr>
      <w:r>
        <w:t>突出少量关键动作</w:t>
      </w:r>
    </w:p>
    <w:p>
      <w:r>
        <w:t>每个视图至多一个以强调色填充的 primary Button；同级按钮用 secondary 或 ghost。secondary 是默认按钮。弹出菜单、横幅和密集工具区应保持克制，不轻易使用 primary 或 brand。这里的 primary Button 变体不能仅凭名字等同于 fill-primary 令牌：后者是中性色填充，具体按钮取值应查看组件实现。</w:t>
      </w:r>
    </w:p>
    <w:p>
      <w:pPr>
        <w:pStyle w:val="Heading2"/>
      </w:pPr>
      <w:r>
        <w:t>陶土色表达 Claude 的动作</w:t>
      </w:r>
    </w:p>
    <w:p>
      <w:r>
        <w:t>brand 是陶土色 clay，保留给原文所称 Claude-initiated actions，例如发送、生成及星形标志。普通用户主操作使用 accent 蓝色，其余界面尽量保持灰色。不能因为陶土色是品牌色，就把所有主要按钮和大面积背景都涂成陶土色。</w:t>
      </w:r>
    </w:p>
    <w:p>
      <w:pPr>
        <w:pStyle w:val="Heading2"/>
      </w:pPr>
      <w:r>
        <w:t>文字层级用专门颜色表达</w:t>
      </w:r>
    </w:p>
    <w:p>
      <w:r>
        <w:t>正文用 text-primary；辅助说明用 text-secondary；占位、题注和元数据才用 text-muted。禁止用文字 opacity 制造弱化层级，因为透明度会与不同底色叠加，导致颜色漂移。避免无必要的禁用按钮；确实必须禁用时使用 disabledReason。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72"/>
        <w:gridCol w:w="4694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20"/>
              </w:rPr>
              <w:t>层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负责什么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本文中的使用方式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1 基础色板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9 个色相及固定 hex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保存原始值，通常不直接用于组件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2 主题阶梯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neutral 与 alpha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跟随主题翻转或形成透明叠层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3 表面层级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surface-0 至 surface-3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表达页面与浮层明度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4 用途层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text / fill / bg / border / on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组件实际选择的颜色接口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5 密度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尺寸、间距、字体尺寸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相关但不属于色彩规则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6 动效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时长、缓动</w:t>
            </w:r>
          </w:p>
        </w:tc>
        <w:tc>
          <w:tcPr>
            <w:tcW w:type="dxa" w:w="4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相关但不属于色彩规则</w:t>
            </w:r>
          </w:p>
        </w:tc>
      </w:tr>
    </w:tbl>
    <w:p>
      <w:pPr>
        <w:spacing w:after="0" w:line="60" w:lineRule="exact" w:before="0"/>
      </w:pPr>
    </w:p>
    <w:p>
      <w:pPr>
        <w:spacing w:line="240" w:lineRule="exact"/>
      </w:pPr>
      <w:r>
        <w:rPr>
          <w:color w:val="52514E"/>
          <w:sz w:val="18"/>
        </w:rPr>
        <w:t>出处：S1 L17–63、L75–93、L99–131。基础色阶原文写 36 档，当前 CSS 实际为 35 档，见第 11 节。</w:t>
      </w:r>
    </w:p>
    <w:p>
      <w:pPr>
        <w:pStyle w:val="Heading1"/>
        <w:pageBreakBefore/>
      </w:pPr>
      <w:r>
        <w:t>2 表面和文字颜色</w:t>
      </w:r>
    </w:p>
    <w:p>
      <w:r>
        <w:t>状态：用途与层级为原文已确认；下表 hex 是当前桌面 CSS 的静态默认声明解析结果。局部覆盖、嵌套主题或宿主背景仍可能改变最终显示。表内省略 -- 前缀；桌面 CSS 实际使用 --cds-*。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5"/>
        <w:gridCol w:w="3226"/>
        <w:gridCol w:w="3226"/>
      </w:tblGrid>
      <w:tr>
        <w:trPr>
          <w:cantSplit/>
          <w:tblHeader/>
        </w:trPr>
        <w:tc>
          <w:tcPr>
            <w:tcW w:type="dxa" w:w="3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20"/>
              </w:rPr>
              <w:t>令牌与用途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浅色模式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深色模式</w:t>
            </w:r>
          </w:p>
        </w:tc>
      </w:tr>
      <w:tr>
        <w:trPr>
          <w:cantSplit/>
        </w:trPr>
        <w:tc>
          <w:tcPr>
            <w:tcW w:type="dxa" w:w="3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surface-0  页面底色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#f9f9f7  gray-20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#0b0b0b  gray-900</w:t>
            </w:r>
          </w:p>
        </w:tc>
      </w:tr>
      <w:tr>
        <w:trPr>
          <w:cantSplit/>
        </w:trPr>
        <w:tc>
          <w:tcPr>
            <w:tcW w:type="dxa" w:w="3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surface-1  文档流内卡片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#fcfcfb  gray-10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#151515  gray-850</w:t>
            </w:r>
          </w:p>
        </w:tc>
      </w:tr>
      <w:tr>
        <w:trPr>
          <w:cantSplit/>
        </w:trPr>
        <w:tc>
          <w:tcPr>
            <w:tcW w:type="dxa" w:w="3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surface-2  面板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#ffffff  gray-0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#1a1a19  gray-830</w:t>
            </w:r>
          </w:p>
        </w:tc>
      </w:tr>
      <w:tr>
        <w:trPr>
          <w:cantSplit/>
        </w:trPr>
        <w:tc>
          <w:tcPr>
            <w:tcW w:type="dxa" w:w="3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surface-3  弹出层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#ffffff  gray-0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#20201f  gray-800</w:t>
            </w:r>
          </w:p>
        </w:tc>
      </w:tr>
      <w:tr>
        <w:trPr>
          <w:cantSplit/>
        </w:trPr>
        <w:tc>
          <w:tcPr>
            <w:tcW w:type="dxa" w:w="3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text-primary  正文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#0b0b0b  neutral-900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#f0efec  gray-50</w:t>
            </w:r>
          </w:p>
        </w:tc>
      </w:tr>
      <w:tr>
        <w:trPr>
          <w:cantSplit/>
        </w:trPr>
        <w:tc>
          <w:tcPr>
            <w:tcW w:type="dxa" w:w="3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text-secondary  辅助说明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#52514e  neutral-600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#c3c2b7  gray-200</w:t>
            </w:r>
          </w:p>
        </w:tc>
      </w:tr>
      <w:tr>
        <w:trPr>
          <w:cantSplit/>
        </w:trPr>
        <w:tc>
          <w:tcPr>
            <w:tcW w:type="dxa" w:w="3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text-muted  占位和元数据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#898781  neutral-400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#898781  gray-400</w:t>
            </w:r>
          </w:p>
        </w:tc>
      </w:tr>
      <w:tr>
        <w:trPr>
          <w:cantSplit/>
        </w:trPr>
        <w:tc>
          <w:tcPr>
            <w:tcW w:type="dxa" w:w="37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text-accent  强调文字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#184f95  blue-600</w:t>
            </w:r>
          </w:p>
        </w:tc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#6da7ec  blue-300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t>表面的序号代表明度</w:t>
      </w:r>
    </w:p>
    <w:p>
      <w:r>
        <w:t>两种主题中，surface-0 都是这一组里最暗的平面，surface-3 最亮；浅色的 2 和 3 可以相同。surface-panel 指向 2，surface-popover 指向 3。不要把“暗色模式”理解成给所有面板统一套纯黑。</w:t>
      </w:r>
    </w:p>
    <w:p>
      <w:pPr>
        <w:pStyle w:val="Heading2"/>
      </w:pPr>
      <w:r>
        <w:t>页面和浮层分别管理底色</w:t>
      </w:r>
    </w:p>
    <w:p>
      <w:r>
        <w:t>页面默认使用 surface-0，但宿主可通过 CdsRoot.pageBackground 指定画布颜色。弹出层和 Surface 会将环境背景重新指向自身平面，使焦点环的挖空部分等效果与浮层融合。不要手动覆盖浮动界面的 page-bg；新浮层样式使用文档指定的 shadow-focus、bg-page 或 useCdsSurface()。</w:t>
      </w:r>
    </w:p>
    <w:p>
      <w:r>
        <w:t>同时最多两层浮动高度（panel / popover）；需要第三层时改用 Dialog。普通文档流内的平面卡片没有浮动深度，不计入这个限制。密集列表优先使用带分隔边框的行。</w:t>
      </w:r>
    </w:p>
    <w:p>
      <w:pPr>
        <w:pStyle w:val="Heading2"/>
      </w:pPr>
      <w:r>
        <w:t>不要把令牌值误读成聊天截图结论</w:t>
      </w:r>
    </w:p>
    <w:p>
      <w:r>
        <w:t>深色 text-primary 当前默认是 #f0efec，而 Artifact 模板用 #ffffff；surface-1 当前默认是 #151515，而部分 Visualize 说明写 #1a1a19。差异保留在本文，不统一改写。</w:t>
      </w:r>
    </w:p>
    <w:p>
      <w:pPr>
        <w:spacing w:line="240" w:lineRule="exact"/>
      </w:pPr>
      <w:r>
        <w:rPr>
          <w:color w:val="52514E"/>
          <w:sz w:val="18"/>
        </w:rPr>
        <w:t>出处：S1 L61–63、L135–144、L194–200；S3 中 :where(:root,:host)、.cds-root 及显式 dark 选择器。</w:t>
      </w:r>
    </w:p>
    <w:p>
      <w:pPr>
        <w:pStyle w:val="Heading1"/>
        <w:pageBreakBefore/>
      </w:pPr>
      <w:r>
        <w:t>3 语义角色和前景配对</w:t>
      </w:r>
    </w:p>
    <w:p>
      <w:r>
        <w:t>状态：规则为原文已确认，角色映射已在当前桌面 CSS 中核对。表中的数字是色阶编号；它们是该版本默认映射，不应写死到业务组件中。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440"/>
        <w:gridCol w:w="3384"/>
        <w:gridCol w:w="3254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色相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实色填充及 hover</w:t>
            </w:r>
          </w:p>
        </w:tc>
        <w:tc>
          <w:tcPr>
            <w:tcW w:type="dxa" w:w="3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填充上的文字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accent 强调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blue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450 → 400</w:t>
            </w:r>
          </w:p>
        </w:tc>
        <w:tc>
          <w:tcPr>
            <w:tcW w:type="dxa" w:w="3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on-accent 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danger 危险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red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450 → 400</w:t>
            </w:r>
          </w:p>
        </w:tc>
        <w:tc>
          <w:tcPr>
            <w:tcW w:type="dxa" w:w="3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on-danger 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success 成功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green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450 → 400</w:t>
            </w:r>
          </w:p>
        </w:tc>
        <w:tc>
          <w:tcPr>
            <w:tcW w:type="dxa" w:w="3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on-success 近黑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warning 警告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yellow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200 → 250</w:t>
            </w:r>
          </w:p>
        </w:tc>
        <w:tc>
          <w:tcPr>
            <w:tcW w:type="dxa" w:w="3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on-warning 近黑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pro 专属角色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violet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450 → 400</w:t>
            </w:r>
          </w:p>
        </w:tc>
        <w:tc>
          <w:tcPr>
            <w:tcW w:type="dxa" w:w="3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on-pro 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brand Claude 动作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clay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clay-emphasized → clay</w:t>
            </w:r>
          </w:p>
        </w:tc>
        <w:tc>
          <w:tcPr>
            <w:tcW w:type="dxa" w:w="32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on-brand 白</w:t>
            </w:r>
          </w:p>
        </w:tc>
      </w:tr>
    </w:tbl>
    <w:p>
      <w:pPr>
        <w:spacing w:after="0" w:line="60" w:lineRule="exact" w:before="0"/>
      </w:pPr>
    </w:p>
    <w:p>
      <w:pPr>
        <w:spacing w:line="240" w:lineRule="exact"/>
      </w:pPr>
      <w:r>
        <w:rPr>
          <w:color w:val="52514E"/>
          <w:sz w:val="18"/>
        </w:rPr>
        <w:t>原文角色表将 pro 色相写成 purple；当前内部映射实际指向 violet 色阶。其业务含义不在本次证据中展开，不能自行推断所有订阅或升级界面必须使用它。</w:t>
      </w:r>
    </w:p>
    <w:p>
      <w:pPr>
        <w:pStyle w:val="Heading2"/>
      </w:pPr>
      <w:r>
        <w:t>淡背景配语义文字</w:t>
      </w:r>
    </w:p>
    <w:p>
      <w:r>
        <w:t>bg-{role} 是被动状态背景，例如 Banner、Toast。五个色相角色的浅色默认为 hue-100，深色为 hue-800；搭配 text-{role}。border-{role} 浅色用 hue-250，深色用 hue-700。浅色语义文字默认用 hue-600；深色 accent、danger、warning、pro 用 300，success 用 400。</w:t>
      </w:r>
    </w:p>
    <w:p>
      <w:pPr>
        <w:pStyle w:val="Heading2"/>
      </w:pPr>
      <w:r>
        <w:t>实色控件配 on 文字</w:t>
      </w:r>
    </w:p>
    <w:p>
      <w:r>
        <w:t>fill-{role} 用于按钮、复选框和开关等实色交互表面，必须配 on-{role}；不要把适合淡背景的 text-{role} 放在同色实底上。on-success 与 on-warning 是近黑色，并不是所有彩色按钮都用白字。</w:t>
      </w:r>
    </w:p>
    <w:p>
      <w:pPr>
        <w:spacing w:before="60" w:after="160" w:line="240" w:lineRule="exact"/>
      </w:pPr>
      <w:r>
        <w:rPr>
          <w:rFonts w:ascii="Menlo" w:hAnsi="Menlo"/>
          <w:sz w:val="18"/>
        </w:rPr>
        <w:t>.status {</w:t>
      </w:r>
      <w:r>
        <w:rPr>
          <w:rFonts w:ascii="Menlo" w:hAnsi="Menlo"/>
          <w:sz w:val="18"/>
        </w:rPr>
        <w:br/>
        <w:t xml:space="preserve">  background: var(--bg-danger);</w:t>
      </w:r>
      <w:r>
        <w:rPr>
          <w:rFonts w:ascii="Menlo" w:hAnsi="Menlo"/>
          <w:sz w:val="18"/>
        </w:rPr>
        <w:br/>
        <w:t xml:space="preserve">  color: var(--text-danger);</w:t>
      </w:r>
      <w:r>
        <w:rPr>
          <w:rFonts w:ascii="Menlo" w:hAnsi="Menlo"/>
          <w:sz w:val="18"/>
        </w:rPr>
        <w:br/>
        <w:t xml:space="preserve">  border: 1px solid var(--border-danger);</w:t>
      </w:r>
      <w:r>
        <w:rPr>
          <w:rFonts w:ascii="Menlo" w:hAnsi="Menlo"/>
          <w:sz w:val="18"/>
        </w:rPr>
        <w:br/>
        <w:t>}</w:t>
      </w:r>
      <w:r>
        <w:rPr>
          <w:rFonts w:ascii="Menlo" w:hAnsi="Menlo"/>
          <w:sz w:val="18"/>
        </w:rPr>
        <w:br/>
        <w:t>.action {</w:t>
      </w:r>
      <w:r>
        <w:rPr>
          <w:rFonts w:ascii="Menlo" w:hAnsi="Menlo"/>
          <w:sz w:val="18"/>
        </w:rPr>
        <w:br/>
        <w:t xml:space="preserve">  background: var(--fill-accent);</w:t>
      </w:r>
      <w:r>
        <w:rPr>
          <w:rFonts w:ascii="Menlo" w:hAnsi="Menlo"/>
          <w:sz w:val="18"/>
        </w:rPr>
        <w:br/>
        <w:t xml:space="preserve">  color: var(--on-accent);</w:t>
      </w:r>
      <w:r>
        <w:rPr>
          <w:rFonts w:ascii="Menlo" w:hAnsi="Menlo"/>
          <w:sz w:val="18"/>
        </w:rPr>
        <w:br/>
        <w:t>}</w:t>
      </w:r>
    </w:p>
    <w:p>
      <w:pPr>
        <w:spacing w:line="240" w:lineRule="exact"/>
      </w:pPr>
      <w:r>
        <w:rPr>
          <w:color w:val="52514E"/>
          <w:sz w:val="18"/>
        </w:rPr>
        <w:t>以上示例按原文规则整理，适用于已加载 vanilla 令牌的环境；不是原文逐字示例，也不是已运行的组件验证。</w:t>
      </w:r>
    </w:p>
    <w:p>
      <w:pPr>
        <w:pStyle w:val="Heading2"/>
      </w:pPr>
      <w:r>
        <w:t>品牌色是特例</w:t>
      </w:r>
    </w:p>
    <w:p>
      <w:r>
        <w:t>brand 仅提供 fill-brand、fill-brand-hover、on-brand，没有通用的 text-brand、bg-brand、border-brand 角色。当前默认 clay 为 #d97757，clay-emphasized 为 #c6613f；常态填充用后者，hover 用前者。</w:t>
      </w:r>
    </w:p>
    <w:p>
      <w:pPr>
        <w:spacing w:line="240" w:lineRule="exact"/>
      </w:pPr>
      <w:r>
        <w:rPr>
          <w:color w:val="52514E"/>
          <w:sz w:val="18"/>
        </w:rPr>
        <w:t>出处：S1 L152–188、L213–219；S3 角色别名、fill、text、on 和 clay 声明。</w:t>
      </w:r>
    </w:p>
    <w:p>
      <w:pPr>
        <w:pStyle w:val="Heading1"/>
        <w:pageBreakBefore/>
      </w:pPr>
      <w:r>
        <w:t>4 交互状态 边框和焦点</w:t>
      </w:r>
    </w:p>
    <w:p>
      <w:r>
        <w:t>状态：下表是原文用途表的中文整理；alpha 百分比已核对当前桌面 CSS。没有对实际控件的每一种交互状态做运行时验收。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6"/>
        <w:gridCol w:w="4133"/>
        <w:gridCol w:w="2808"/>
      </w:tblGrid>
      <w:tr>
        <w:trPr>
          <w:cantSplit/>
          <w:tblHeader/>
        </w:trPr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令牌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9"/>
              </w:rPr>
              <w:t>默认规则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border / border-strong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alpha-2 / alpha-3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普通细边框 / 强调分隔</w:t>
            </w:r>
          </w:p>
        </w:tc>
      </w:tr>
      <w:tr>
        <w:trPr>
          <w:cantSplit/>
        </w:trPr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border-stronger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neutral-900 的 40%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更强分隔</w:t>
            </w:r>
          </w:p>
        </w:tc>
      </w:tr>
      <w:tr>
        <w:trPr>
          <w:cantSplit/>
        </w:trPr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fill-primary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neutral-900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中性主填充</w:t>
            </w:r>
          </w:p>
        </w:tc>
      </w:tr>
      <w:tr>
        <w:trPr>
          <w:cantSplit/>
        </w:trPr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fill-primary-hover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浅色 neutral-750；深色当前为 gray-100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中性主填充悬停</w:t>
            </w:r>
          </w:p>
        </w:tc>
      </w:tr>
      <w:tr>
        <w:trPr>
          <w:cantSplit/>
        </w:trPr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fill-secondary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浅色白色约 10%；深色 alpha-2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次要按钮</w:t>
            </w:r>
          </w:p>
        </w:tc>
      </w:tr>
      <w:tr>
        <w:trPr>
          <w:cantSplit/>
        </w:trPr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fill-secondary-hover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浅色 alpha-1；深色白色 14%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次要按钮悬停</w:t>
            </w:r>
          </w:p>
        </w:tc>
      </w:tr>
      <w:tr>
        <w:trPr>
          <w:cantSplit/>
        </w:trPr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fill-secondary-ring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浅色 border；深色透明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次要按钮描边</w:t>
            </w:r>
          </w:p>
        </w:tc>
      </w:tr>
      <w:tr>
        <w:trPr>
          <w:cantSplit/>
        </w:trPr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fill-field / fill-field-ring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浅色白色 50% / border；深色 alpha-1 / border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输入框等静止状态</w:t>
            </w:r>
          </w:p>
        </w:tc>
      </w:tr>
      <w:tr>
        <w:trPr>
          <w:cantSplit/>
        </w:trPr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fill-ghost-hover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浅色 alpha-1；深色白色 7.5%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透明按钮或行悬停</w:t>
            </w:r>
          </w:p>
        </w:tc>
      </w:tr>
      <w:tr>
        <w:trPr>
          <w:cantSplit/>
        </w:trPr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fill-ghost-selected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浅色 alpha-2；深色白色 15%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行或导航选中</w:t>
            </w:r>
          </w:p>
        </w:tc>
      </w:tr>
      <w:tr>
        <w:trPr>
          <w:cantSplit/>
        </w:trPr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fill-control / hover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alpha-2 / alpha-3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头像等兜底背景</w:t>
            </w:r>
          </w:p>
        </w:tc>
      </w:tr>
      <w:tr>
        <w:trPr>
          <w:cantSplit/>
        </w:trPr>
        <w:tc>
          <w:tcPr>
            <w:tcW w:type="dxa" w:w="32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fill-disabled / text-disabled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alpha-1 / alpha-4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禁用背景及文字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t>透明度属于令牌定义</w:t>
      </w:r>
    </w:p>
    <w:p>
      <w:r>
        <w:t>alpha-0 至 alpha-9 的当前百分比依次为 0、5、10、20、35、50、60、70、85、95。颜色基础来自 neutral-900，随主题变化。使用这些背景或边框令牌，与给整段文字加 opacity 是两回事；后者仍被原文禁止。</w:t>
      </w:r>
    </w:p>
    <w:p>
      <w:pPr>
        <w:pStyle w:val="Heading2"/>
      </w:pPr>
      <w:r>
        <w:t>焦点和阴影也有主题规则</w:t>
      </w:r>
    </w:p>
    <w:p>
      <w:r>
        <w:t>focus-shadow 的核心是 accent 细环和 bg-accent 柔和外环；当前实现还用 page-bg 做内侧挖空。shadow-sm、md、lg 为接触阴影与扩散阴影的组合，由 shadow-color 驱动；深色约为黑色 24%。popover 阴影单独使用两层固定配方：0 8px 24px /12% 与 0 2px 6px /8%。</w:t>
      </w:r>
    </w:p>
    <w:p>
      <w:pPr>
        <w:spacing w:line="240" w:lineRule="exact"/>
      </w:pPr>
      <w:r>
        <w:rPr>
          <w:color w:val="52514E"/>
          <w:sz w:val="18"/>
        </w:rPr>
        <w:t>原文示例边框为 0.5px，而用途表写 default 1px hairline；这支持“细边框”方向，不能推导所有 CDS 组件统一为 0.5px 或 1px。Visualize 的 0.5px 是其专用要求。</w:t>
      </w:r>
    </w:p>
    <w:p>
      <w:pPr>
        <w:spacing w:line="240" w:lineRule="exact"/>
      </w:pPr>
      <w:r>
        <w:rPr>
          <w:color w:val="52514E"/>
          <w:sz w:val="18"/>
        </w:rPr>
        <w:t>出处：S1 L190–228；S3 alpha、fill、focus-shadow、shadow-color 声明。</w:t>
      </w:r>
    </w:p>
    <w:p>
      <w:pPr>
        <w:pStyle w:val="Heading1"/>
        <w:pageBreakBefore/>
      </w:pPr>
      <w:r>
        <w:t>5 色调背景 高亮和代码状态</w:t>
      </w:r>
    </w:p>
    <w:p>
      <w:pPr>
        <w:pStyle w:val="Heading2"/>
      </w:pPr>
      <w:r>
        <w:t>小标签使用透明色调</w:t>
      </w:r>
    </w:p>
    <w:p>
      <w:r>
        <w:t>原文已确认：bg-tint-{hue} 支持 red、orange、yellow、green、aqua、blue、violet、magenta 八个彩色色相。浅色透明度为 35%，深色为 75%；通道值按默认 surface-1 反算，使其在标准卡片底上接近对应的不透明 hue-100 / hue-800，同时让下方 hover 或 selected 状态透出来。</w:t>
      </w:r>
    </w:p>
    <w:p>
      <w:r>
        <w:t>Badge 的着色变体使用这套透明 tint；Banner、Toast 和大块状态背景继续使用不透明 bg-{role}。tint 背景配 text-tint-{hue}，默认浅色 hue-600、深色 hue-300。</w:t>
      </w:r>
    </w:p>
    <w:p>
      <w:r>
        <w:t>当底层是 fill-accent 等实色表面时，原来的混色假设不再成立：该表面作用域会改用 bg-tint-{hue}-opaque。自定义主题如果更改 surface-* 且要求精确还原色阶，应同时调整 bg-tint-* 及其 opaque 对应值。</w:t>
      </w:r>
    </w:p>
    <w:p>
      <w:pPr>
        <w:pStyle w:val="Heading2"/>
      </w:pPr>
      <w:r>
        <w:t>较轻的强调和文本标记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3658"/>
        <w:gridCol w:w="4104"/>
      </w:tblGrid>
      <w:tr>
        <w:trPr>
          <w:cantSplit/>
          <w:tblHeader/>
        </w:trPr>
        <w:tc>
          <w:tcPr>
            <w:tcW w:type="dxa" w:w="2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20"/>
              </w:rPr>
              <w:t>令牌</w:t>
            </w:r>
          </w:p>
        </w:tc>
        <w:tc>
          <w:tcPr>
            <w:tcW w:type="dxa" w:w="3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配方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用法</w:t>
            </w:r>
          </w:p>
        </w:tc>
      </w:tr>
      <w:tr>
        <w:trPr>
          <w:cantSplit/>
        </w:trPr>
        <w:tc>
          <w:tcPr>
            <w:tcW w:type="dxa" w:w="2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bg-accent-muted</w:t>
            </w:r>
          </w:p>
        </w:tc>
        <w:tc>
          <w:tcPr>
            <w:tcW w:type="dxa" w:w="3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fill-accent 与透明色混合，10%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比 bg-accent 更轻的强调，如已回应的 reaction pill</w:t>
            </w:r>
          </w:p>
        </w:tc>
      </w:tr>
      <w:tr>
        <w:trPr>
          <w:cantSplit/>
        </w:trPr>
        <w:tc>
          <w:tcPr>
            <w:tcW w:type="dxa" w:w="2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bg-highlight</w:t>
            </w:r>
          </w:p>
        </w:tc>
        <w:tc>
          <w:tcPr>
            <w:tcW w:type="dxa" w:w="36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fill-warning 与透明色混合，33%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搜索命中、正文 mark；文字保留自身颜色和字重</w:t>
            </w:r>
          </w:p>
        </w:tc>
      </w:tr>
    </w:tbl>
    <w:p>
      <w:pPr>
        <w:spacing w:after="0" w:line="60" w:lineRule="exact" w:before="0"/>
      </w:pPr>
    </w:p>
    <w:p>
      <w:r>
        <w:t>bg-highlight 在两种模式中使用同一混色公式；不要用 bg-warning 的深色 hue-800 代替荧光标记。它在深色表面上可能更像暗斑。</w:t>
      </w:r>
    </w:p>
    <w:p>
      <w:pPr>
        <w:pStyle w:val="Heading2"/>
      </w:pPr>
      <w:r>
        <w:t>Git 与评审状态使用专门角色</w:t>
      </w:r>
    </w:p>
    <w:p>
      <w:r>
        <w:t>git-* 覆盖 added、removed、modified、conflicting、merged、closed、draft，opened 是 added 的别名，queued 是 modified 的别名。每一组都有 text、fill、fill-hover、bg、border、on。</w:t>
      </w:r>
    </w:p>
    <w:p>
      <w:r>
        <w:t>原文说明这些值来自 claude.ai 差异视图既有配色，不直接取 CDS 色阶；浅色 fill 为配合白色 on-git-* 做了加深。原文声称这样可满足 AA，本次仅确认该声明存在，没有重新测量全部配对的可访问性对比度。</w:t>
      </w:r>
    </w:p>
    <w:p>
      <w:pPr>
        <w:pStyle w:val="Heading2"/>
      </w:pPr>
      <w:r>
        <w:t>基础色板供追溯和特殊用途使用</w:t>
      </w:r>
    </w:p>
    <w:p>
      <w:r>
        <w:t>当前 CSS 中有灰、红、橙、黄、绿、aqua、蓝、violet、magenta 九个色相，每组 35 个刻度，共 315 条基础色值；每组起点为 #ffffff，终点为 #0b0b0b。完整数值保存在 sources/cds-base-palette.csv。基础色值不随主题变化，neutral 和用途层负责主题适配。</w:t>
      </w:r>
    </w:p>
    <w:p>
      <w:pPr>
        <w:spacing w:line="240" w:lineRule="exact"/>
      </w:pPr>
      <w:r>
        <w:rPr>
          <w:color w:val="52514E"/>
          <w:sz w:val="18"/>
        </w:rPr>
        <w:t>出处：S1 L123–131、L165–175；S3 的基础色板。完整令牌声明及选择器见 sources/desktop-cds-declarations.tsv。</w:t>
      </w:r>
    </w:p>
    <w:p>
      <w:pPr>
        <w:pStyle w:val="Heading1"/>
        <w:pageBreakBefore/>
      </w:pPr>
      <w:r>
        <w:t>6 主题接入和适用边界</w:t>
      </w:r>
    </w:p>
    <w:p>
      <w:pPr>
        <w:pStyle w:val="Heading2"/>
      </w:pPr>
      <w:r>
        <w:t>普通 HTML 与桌面 React 的命名不同</w:t>
      </w:r>
    </w:p>
    <w:p>
      <w:r>
        <w:t>vanilla 文档使用无前缀变量，例如 --text-primary、--surface-1；由 @ant/cds/tokens.vanilla.css 在 :root 上提供。当前桌面打包 CSS 的 CDS 变量使用 --cds-text-primary 等前缀，并在 .cds-root 及相关主题作用域下定义。两套名字不能仅靠复制粘贴互换。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701"/>
        <w:gridCol w:w="4378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20"/>
              </w:rPr>
              <w:t>环境</w:t>
            </w:r>
          </w:p>
        </w:tc>
        <w:tc>
          <w:tcPr>
            <w:tcW w:type="dxa" w:w="3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颜色变量形式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主题入口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CDS vanilla</w:t>
            </w:r>
          </w:p>
        </w:tc>
        <w:tc>
          <w:tcPr>
            <w:tcW w:type="dxa" w:w="3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--text-primary / --surface-1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根上的 data-mode；无显式值时跟随系统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当前桌面 CDS CSS</w:t>
            </w:r>
          </w:p>
        </w:tc>
        <w:tc>
          <w:tcPr>
            <w:tcW w:type="dxa" w:w="3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--cds-text-primary / --cds-surface-1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.cds-root 与 data-mode 组合，含 system 分支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所提取 Artifact 模板</w:t>
            </w:r>
          </w:p>
        </w:tc>
        <w:tc>
          <w:tcPr>
            <w:tcW w:type="dxa" w:w="3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--ink / --bg / --card</w:t>
            </w:r>
          </w:p>
        </w:tc>
        <w:tc>
          <w:tcPr>
            <w:tcW w:type="dxa" w:w="43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data-theme 与系统偏好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t>主题切换交给令牌</w:t>
      </w:r>
    </w:p>
    <w:p>
      <w:r>
        <w:t>通用规则要求颜色随令牌自动翻转，不另写一套硬编码 dark override。neutral-N 的规则是浅色映射 gray-N，深色映射 gray-(900-N)；但用途层可以进一步覆盖，所以不能靠这个公式推算所有最终文字色。当前 text-primary 的深色覆盖就是 gray-50。</w:t>
      </w:r>
    </w:p>
    <w:p>
      <w:pPr>
        <w:spacing w:before="60" w:after="160" w:line="240" w:lineRule="exact"/>
      </w:pPr>
      <w:r>
        <w:rPr>
          <w:rFonts w:ascii="Menlo" w:hAnsi="Menlo"/>
          <w:sz w:val="18"/>
        </w:rPr>
        <w:t>/* 已由宿主加载 vanilla 令牌的示意 */</w:t>
      </w:r>
      <w:r>
        <w:rPr>
          <w:rFonts w:ascii="Menlo" w:hAnsi="Menlo"/>
          <w:sz w:val="18"/>
        </w:rPr>
        <w:br/>
        <w:t>.panel {</w:t>
      </w:r>
      <w:r>
        <w:rPr>
          <w:rFonts w:ascii="Menlo" w:hAnsi="Menlo"/>
          <w:sz w:val="18"/>
        </w:rPr>
        <w:br/>
        <w:t xml:space="preserve">  background: var(--surface-1);</w:t>
      </w:r>
      <w:r>
        <w:rPr>
          <w:rFonts w:ascii="Menlo" w:hAnsi="Menlo"/>
          <w:sz w:val="18"/>
        </w:rPr>
        <w:br/>
        <w:t xml:space="preserve">  color: var(--text-primary);</w:t>
      </w:r>
      <w:r>
        <w:rPr>
          <w:rFonts w:ascii="Menlo" w:hAnsi="Menlo"/>
          <w:sz w:val="18"/>
        </w:rPr>
        <w:br/>
        <w:t xml:space="preserve">  border: 0.5px solid var(--border);</w:t>
      </w:r>
      <w:r>
        <w:rPr>
          <w:rFonts w:ascii="Menlo" w:hAnsi="Menlo"/>
          <w:sz w:val="18"/>
        </w:rPr>
        <w:br/>
        <w:t>}</w:t>
      </w:r>
      <w:r>
        <w:rPr>
          <w:rFonts w:ascii="Menlo" w:hAnsi="Menlo"/>
          <w:sz w:val="18"/>
        </w:rPr>
        <w:br/>
        <w:t>.panel-description { color: var(--text-secondary); }</w:t>
      </w:r>
    </w:p>
    <w:p>
      <w:pPr>
        <w:spacing w:line="240" w:lineRule="exact"/>
      </w:pPr>
      <w:r>
        <w:rPr>
          <w:color w:val="52514E"/>
          <w:sz w:val="18"/>
        </w:rPr>
        <w:t>示例由整理者按规则编写。独立页面仍需加载相应 CSS；只写变量名不会自动得到 CDS 样式。Canvas 无法直接解释 CSS var，图表应先读取计算样式或按专用色表取值，见第 9 节。</w:t>
      </w:r>
    </w:p>
    <w:p>
      <w:pPr>
        <w:pStyle w:val="Heading2"/>
      </w:pPr>
      <w:r>
        <w:t>桌面采用 CDS 的证据已经存在</w:t>
      </w:r>
    </w:p>
    <w:p>
      <w:r>
        <w:t>window-shared.css 明确导入 @ant/cds/theme.css；注释说 theme.css 会带入 tokens.css，并指向 packages/cds/docs/getting-started.md 和 CONSUMING.md。当前主窗口 CSS 也含 CDS 令牌和组件声明。</w:t>
      </w:r>
    </w:p>
    <w:p>
      <w:r>
        <w:t>但同一文件保留了兼容旧表单的 gray-500 = #6b7280、blue-600 = #2563eb 工具类覆盖，还保留旧样式共存说明。这说明“导入 CDS”不能等同于“所有窗口和所有控件完全使用同一套颜色”。</w:t>
      </w:r>
    </w:p>
    <w:p>
      <w:r>
        <w:t>尚未完成：桌面聊天消息、侧栏、输入区、工具卡片、弹窗在浅深主题及 hover、selected、disabled、focus 等状态下的 DOM 与计算样式取证。因此本文不将静态包内规则标记为聊天界面全部验收通过。</w:t>
      </w:r>
    </w:p>
    <w:p>
      <w:pPr>
        <w:spacing w:line="240" w:lineRule="exact"/>
      </w:pPr>
      <w:r>
        <w:rPr>
          <w:color w:val="52514E"/>
          <w:sz w:val="18"/>
        </w:rPr>
        <w:t>出处：S1 L5–13、L41–47、L129–144；S2 L2–46；S3；S4 L19–40。</w:t>
      </w:r>
    </w:p>
    <w:p>
      <w:pPr>
        <w:pStyle w:val="Heading1"/>
        <w:pageBreakBefore/>
      </w:pPr>
      <w:r>
        <w:t>7 Visualize 的专用用色规则</w:t>
      </w:r>
    </w:p>
    <w:p>
      <w:r>
        <w:t>本节只适用于安装包内 Imagine / Visualize 文档描述的聊天内嵌图示和交互内容。这些是原文已确认的专用要求，不能自动推广为整个桌面应用的通用设计规则。</w:t>
      </w:r>
    </w:p>
    <w:p>
      <w:pPr>
        <w:pStyle w:val="Heading2"/>
      </w:pPr>
      <w:r>
        <w:t>界面底色和装饰</w:t>
      </w:r>
    </w:p>
    <w:p>
      <w:r>
        <w:t>外层容器保持透明，由宿主提供背景；采用平面表面，不使用装饰性渐变、投影、模糊、光晕或霓虹。UI 模块只为功能性焦点环保留阴影例外。卡片、控件、文字仍使用 CDS 变量；“white”或“black”等文字描述不能覆盖主题变量。</w:t>
      </w:r>
    </w:p>
    <w:p>
      <w:r>
        <w:t>普通卡片使用 surface-2 和细边框；指标卡使用 surface-1 且无边框；按钮预置为透明底，hover 使用 surface-1。窄幅完整 mockup 可以放在 surface-1 的模拟设备或内容画布上；这与外层宿主容器保持透明的规则分属不同层级。</w:t>
      </w:r>
    </w:p>
    <w:p>
      <w:pPr>
        <w:pStyle w:val="Heading2"/>
      </w:pPr>
      <w:r>
        <w:t>图示的颜色表示含义</w:t>
      </w:r>
    </w:p>
    <w:p>
      <w:r>
        <w:t>同类节点用同色；中性的开始、结束和结构节点用灰色。一般类别优先紫、teal、coral、pink。蓝、绿、amber、红优先保留给信息、成功、警告、错误。物理机理图可按真实含义使用暖色表示热或高强度，冷色表示冷或低强度，灰色表示惰性结构。</w:t>
      </w:r>
    </w:p>
    <w:p>
      <w:r>
        <w:t>全局 complexity budget 要求每图最多 2 套色阶；色板章节又建议 2–3 色，两段有口径差异。本文的使用建议是默认不超过 2 套；这是整理建议，不把它伪装成已被官方解释的统一口径。有语义编码时加一行图例，并用形状、线型或纹理提供第二种识别方式。</w:t>
      </w:r>
    </w:p>
    <w:p>
      <w:pPr>
        <w:pStyle w:val="Heading2"/>
      </w:pPr>
      <w:r>
        <w:t>SVG 的前景和深色适配</w:t>
      </w:r>
    </w:p>
    <w:p>
      <w:r>
        <w:t>使用预设 c-{ramp} 类自动适配浅深色。浅色节点：50 底、600 边、800 标题、600 副标题；深色节点：800 底、200 边、100 标题、200 副标题。标题和副标题不能仅靠字重区分，需使用不同色阶。</w:t>
      </w:r>
    </w:p>
    <w:p>
      <w:r>
        <w:t>c-* 放在直接包含形状的组或形状本身，不能只放在更外层，也不能用于 path 期望自动得到填充。连接线须 fill="none"；箭头头部使用 context-stroke 跟随线色。连接线允许用表内中间色阶 hex；HTML 语义状态仍用 CSS 变量。</w:t>
      </w:r>
    </w:p>
    <w:p>
      <w:pPr>
        <w:pStyle w:val="Heading2"/>
      </w:pPr>
      <w:r>
        <w:t>物理渐变是有限例外</w:t>
      </w:r>
    </w:p>
    <w:p>
      <w:r>
        <w:t>机理图允许一个用于连续物理量的 linearGradient，且由同一色阶的两个端点组成；不允许把渐变当装饰。但水箱示例含更多渐变，与文字约束冲突，本文保留文字规则并标记示例未统一。</w:t>
      </w:r>
    </w:p>
    <w:p>
      <w:pPr>
        <w:spacing w:line="240" w:lineRule="exact"/>
      </w:pPr>
      <w:r>
        <w:rPr>
          <w:color w:val="52514E"/>
          <w:sz w:val="18"/>
        </w:rPr>
        <w:t>出处：S5 L12–16、L23–78；S6 UI components；S8 L17–31；S9 SVG setup；S10 Illustrative diagrams。</w:t>
      </w:r>
    </w:p>
    <w:p>
      <w:pPr>
        <w:pStyle w:val="Heading1"/>
        <w:pageBreakBefore/>
      </w:pPr>
      <w:r>
        <w:t>8 Visualize 图示色板和选择状态</w:t>
      </w:r>
    </w:p>
    <w:p>
      <w:r>
        <w:t>以下是 Visualize 的独立 9 × 7 色板，不是第 5 节 CDS 基础色板的缩略版。同名 blue、green 等也不能假定数值一致。表格完整转录该模块的 63 个值，适用范围为分类图示及其着色标签。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287"/>
        <w:gridCol w:w="1287"/>
        <w:gridCol w:w="1287"/>
        <w:gridCol w:w="1287"/>
        <w:gridCol w:w="1287"/>
        <w:gridCol w:w="1287"/>
        <w:gridCol w:w="1287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28" w:lineRule="exact"/>
            </w:pPr>
            <w:r>
              <w:rPr>
                <w:b/>
                <w:sz w:val="16"/>
              </w:rPr>
              <w:t>色阶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28" w:lineRule="exact"/>
              <w:jc w:val="center"/>
            </w:pPr>
            <w:r>
              <w:rPr>
                <w:b/>
                <w:sz w:val="16"/>
              </w:rPr>
              <w:t>50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28" w:lineRule="exact"/>
              <w:jc w:val="center"/>
            </w:pPr>
            <w:r>
              <w:rPr>
                <w:b/>
                <w:sz w:val="16"/>
              </w:rPr>
              <w:t>100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28" w:lineRule="exact"/>
              <w:jc w:val="center"/>
            </w:pPr>
            <w:r>
              <w:rPr>
                <w:b/>
                <w:sz w:val="16"/>
              </w:rPr>
              <w:t>200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28" w:lineRule="exact"/>
              <w:jc w:val="center"/>
            </w:pPr>
            <w:r>
              <w:rPr>
                <w:b/>
                <w:sz w:val="16"/>
              </w:rPr>
              <w:t>400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28" w:lineRule="exact"/>
              <w:jc w:val="center"/>
            </w:pPr>
            <w:r>
              <w:rPr>
                <w:b/>
                <w:sz w:val="16"/>
              </w:rPr>
              <w:t>600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28" w:lineRule="exact"/>
              <w:jc w:val="center"/>
            </w:pPr>
            <w:r>
              <w:rPr>
                <w:b/>
                <w:sz w:val="16"/>
              </w:rPr>
              <w:t>800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28" w:lineRule="exact"/>
              <w:jc w:val="center"/>
            </w:pPr>
            <w:r>
              <w:rPr>
                <w:b/>
                <w:sz w:val="16"/>
              </w:rPr>
              <w:t>900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</w:pPr>
            <w:r>
              <w:rPr>
                <w:b w:val="0"/>
                <w:sz w:val="16"/>
              </w:rPr>
              <w:t>purple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#EEEDFE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#CECBF6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#AFA9EC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#7F77DD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#534AB7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#3C3489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#26215C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</w:pPr>
            <w:r>
              <w:rPr>
                <w:b w:val="0"/>
                <w:sz w:val="16"/>
              </w:rPr>
              <w:t>teal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#E1F5EE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#9FE1CB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#5DCAA5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#1D9E75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#0F6E56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#085041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#04342C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</w:pPr>
            <w:r>
              <w:rPr>
                <w:b w:val="0"/>
                <w:sz w:val="16"/>
              </w:rPr>
              <w:t>coral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#FAECE7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#F5C4B3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#F0997B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#D85A30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#993C1D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#712B13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#4A1B0C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</w:pPr>
            <w:r>
              <w:rPr>
                <w:b w:val="0"/>
                <w:sz w:val="16"/>
              </w:rPr>
              <w:t>pink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#FBEAF0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#F4C0D1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#ED93B1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#D4537E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#993556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#72243E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#4B1528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</w:pPr>
            <w:r>
              <w:rPr>
                <w:b w:val="0"/>
                <w:sz w:val="16"/>
              </w:rPr>
              <w:t>gray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#F1EFE8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#D3D1C7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#B4B2A9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#888780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#5F5E5A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#444441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#2C2C2A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</w:pPr>
            <w:r>
              <w:rPr>
                <w:b w:val="0"/>
                <w:sz w:val="16"/>
              </w:rPr>
              <w:t>blue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#E6F1FB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#B5D4F4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#85B7EB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#378ADD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#185FA5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#0C447C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#042C53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</w:pPr>
            <w:r>
              <w:rPr>
                <w:b w:val="0"/>
                <w:sz w:val="16"/>
              </w:rPr>
              <w:t>green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#EAF3DE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#C0DD97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#97C459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#639922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#3B6D11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#27500A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#173404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</w:pPr>
            <w:r>
              <w:rPr>
                <w:b w:val="0"/>
                <w:sz w:val="16"/>
              </w:rPr>
              <w:t>amber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#FAEEDA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#FAC775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#EF9F27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#BA7517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#854F0B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#633806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#412402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</w:pPr>
            <w:r>
              <w:rPr>
                <w:b w:val="0"/>
                <w:sz w:val="16"/>
              </w:rPr>
              <w:t>red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#FCEBEB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#F7C1C1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#F09595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#E24B4A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#A32D2D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#791F1F</w:t>
            </w:r>
          </w:p>
        </w:tc>
        <w:tc>
          <w:tcPr>
            <w:tcW w:type="dxa" w:w="12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28" w:lineRule="exact"/>
              <w:jc w:val="center"/>
            </w:pPr>
            <w:r>
              <w:rPr>
                <w:b w:val="0"/>
                <w:sz w:val="16"/>
              </w:rPr>
              <w:t>#501313</w:t>
            </w:r>
          </w:p>
        </w:tc>
      </w:tr>
    </w:tbl>
    <w:p>
      <w:pPr>
        <w:spacing w:after="0" w:line="60" w:lineRule="exact" w:before="0"/>
      </w:pPr>
    </w:p>
    <w:p>
      <w:pPr>
        <w:spacing w:line="240" w:lineRule="exact"/>
      </w:pPr>
      <w:r>
        <w:rPr>
          <w:color w:val="52514E"/>
          <w:sz w:val="18"/>
        </w:rPr>
        <w:t>表内 # 为十六进制颜色前缀。800 / 900 作为浅色底上的深文字；深色模式改用上节的 100 / 200 前景。分类图示的同色相文字规则，不替代 CDS 实色按钮使用 on-* 的规则。</w:t>
      </w:r>
    </w:p>
    <w:p>
      <w:pPr>
        <w:pStyle w:val="Heading2"/>
      </w:pPr>
      <w:r>
        <w:t>选择状态保持一致</w:t>
      </w:r>
    </w:p>
    <w:p>
      <w:r>
        <w:t>Elicitation 选项的默认选择色为蓝色，不为不同选项轮流配彩虹色。预算或成本、风险或破坏性、成功或确认等有明确语义时，可分别用 warning、danger、success 表示未选中外观。已选中状态仍统一为蓝色。</w:t>
      </w:r>
    </w:p>
    <w:p>
      <w:r>
        <w:t>使用 data-accent 调整允许的语义强调，不用内联 background 或 border 覆盖 pill；否则会压过 aria-pressed="true" 的选择态 CSS，用户看不出选中变化。选项内部的插图可以有自己的颜色，选择边框和底色仍保持蓝色。</w:t>
      </w:r>
    </w:p>
    <w:p>
      <w:pPr>
        <w:pStyle w:val="Heading2"/>
      </w:pPr>
      <w:r>
        <w:t>图示层级和说明文字</w:t>
      </w:r>
    </w:p>
    <w:p>
      <w:r>
        <w:t>结构图中，嵌套区域不能都用同一个 c-* 类期待出现层次，因为相同类会解析到相同填充。原文建议相关区域用相关色阶，功能明显不同的区域用对比色阶；仍需结合全局颜色数量预算，必要时拆图。</w:t>
      </w:r>
    </w:p>
    <w:p>
      <w:r>
        <w:t>图表数值、坐标轴和图例文字则应保持 text-primary、text-secondary、text-muted，通过旁边的小色块标记系列。不要把分类节点的同色文字规则套到所有图表文字上。</w:t>
      </w:r>
    </w:p>
    <w:p>
      <w:pPr>
        <w:spacing w:line="240" w:lineRule="exact"/>
      </w:pPr>
      <w:r>
        <w:rPr>
          <w:color w:val="52514E"/>
          <w:sz w:val="18"/>
        </w:rPr>
        <w:t>出处：S8 L1–31；S7 Color story；S10 Color in structural diagrams；S12 L83–85。</w:t>
      </w:r>
    </w:p>
    <w:p>
      <w:pPr>
        <w:pStyle w:val="Heading1"/>
        <w:pageBreakBefore/>
      </w:pPr>
      <w:r>
        <w:t>9 Visualize 图表用色</w:t>
      </w:r>
    </w:p>
    <w:p>
      <w:r>
        <w:t>原文已确认：先确定信息任务，再选择分类、顺序、发散或状态用色。单个重点使用“一色加灰色”；数值强弱默认使用单一色相；分类色不能用于无意义的轮流装饰。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2218"/>
        <w:gridCol w:w="3240"/>
        <w:gridCol w:w="3240"/>
      </w:tblGrid>
      <w:tr>
        <w:trPr>
          <w:cantSplit/>
          <w:tblHeader/>
        </w:trPr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20"/>
              </w:rPr>
              <w:t>固定顺序</w:t>
            </w:r>
          </w:p>
        </w:tc>
        <w:tc>
          <w:tcPr>
            <w:tcW w:type="dxa" w:w="22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色相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浅色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深色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blue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#2a78d6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#3987e5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2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orange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#eb6834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#d95926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2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aqua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#1baf7a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#199e70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2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yellow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#eda100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#c98500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magenta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#e87ba4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#d55181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2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green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#008300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#008300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2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violet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#6250d6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#9085e9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2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red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#e34948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#e66767</w:t>
            </w:r>
          </w:p>
        </w:tc>
      </w:tr>
    </w:tbl>
    <w:p>
      <w:pPr>
        <w:spacing w:after="0" w:line="60" w:lineRule="exact" w:before="0"/>
      </w:pPr>
    </w:p>
    <w:p>
      <w:r>
        <w:t>这套分类色板名为 Cove。按固定顺序分配，最多 8 个；第 9 个系列并入 Other 或改用分面小图。筛选和排序后，实体颜色必须保持不变。至少两个系列需要图例，四个及以下应加直接标签。</w:t>
      </w:r>
    </w:p>
    <w:p>
      <w:pPr>
        <w:pStyle w:val="Heading2"/>
      </w:pPr>
      <w:r>
        <w:t>数值强弱 正负和状态</w:t>
      </w:r>
    </w:p>
    <w:p>
      <w:r>
        <w:t>顺序数据用单色相由浅到深，默认蓝色。发散数据用蓝与红，中点必须为中性灰：浅色 #f0efec，深色 #383835。不要用彩虹色暗示连续数值。</w:t>
      </w:r>
    </w:p>
    <w:p>
      <w:r>
        <w:t>状态专用色为 good #0ca30c、warning #fab219、serious #ec835a、critical #d03b3b；必须配图标和文字，不能仅靠颜色表达，也不能把它们当“第几个系列”的任意颜色。</w:t>
      </w:r>
    </w:p>
    <w:p>
      <w:pPr>
        <w:pStyle w:val="Heading2"/>
      </w:pPr>
      <w:r>
        <w:t>图表底色和笔画</w:t>
      </w:r>
    </w:p>
    <w:p>
      <w:r>
        <w:t>图表底色使用 surface-1，文字使用 text-*；图例的小方块承担系列识别。网格线应比表面略有对比，原文给出的浅深色分别是 #e1e0d9 / #2c2c2a；基线是 #c3c2b7 / #383835。</w:t>
      </w:r>
    </w:p>
    <w:p>
      <w:r>
        <w:t>折线为 2px；端点至少 8px，外加 2px 表面色环；面积填充约为系列色的 10% 透明度；相邻堆叠或柱形之间留 2px 表面色间隔，避免给每个标记包一圈描边。透明度用于数据填充，不解除正文禁止 opacity 的规则。</w:t>
      </w:r>
    </w:p>
    <w:p>
      <w:pPr>
        <w:pStyle w:val="Heading2"/>
      </w:pPr>
      <w:r>
        <w:t>Canvas 的取值方法和一处冲突</w:t>
      </w:r>
    </w:p>
    <w:p>
      <w:r>
        <w:t>Chart.js 的 Canvas 不直接解析 CSS var。系列色可以使用上表 hex；界面色可通过 getComputedStyle 读取令牌。HTML / SVG 图例可用 var(--series-N, &lt;hex&gt;)。</w:t>
      </w:r>
    </w:p>
    <w:p>
      <w:r>
        <w:t>图表说明把深色 surface-1 列为 #1a1a19，但当前 CDS 规则及桌面 CSS 为 #151515。实际实现应读取宿主变量，本文不把说明表中的值当作当前宿主已验证的计算色。</w:t>
      </w:r>
    </w:p>
    <w:p>
      <w:pPr>
        <w:spacing w:line="240" w:lineRule="exact"/>
      </w:pPr>
      <w:r>
        <w:rPr>
          <w:color w:val="52514E"/>
          <w:sz w:val="18"/>
        </w:rPr>
        <w:t>出处：S12 L3–106；S11 Chart.js 示例；S1 表面表与 S3 用于差异核对。</w:t>
      </w:r>
    </w:p>
    <w:p>
      <w:pPr>
        <w:pStyle w:val="Heading1"/>
        <w:pageBreakBefore/>
      </w:pPr>
      <w:r>
        <w:t>10 Artifact 模板与 CDS 的差异</w:t>
      </w:r>
    </w:p>
    <w:p>
      <w:r>
        <w:t>Artifact 在这里指 Claude 生成并交给独立查看区域呈现的内容，例如解释页、交互页面或其他作品。当前证据是一份 artifact-explainer 模板的样式片段；它不能代表桌面聊天界面的全部 CSS。</w:t>
      </w:r>
    </w:p>
    <w:p>
      <w:r>
        <w:t>模板注释明确把 --bg、--ink、--ink-soft、--line、--card、--accent 对应到 CDS 用途令牌，但代码中保存的是模板自己的局部变量和固定色值。下面保留它与当前桌面默认值的差异。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4"/>
        <w:gridCol w:w="3456"/>
        <w:gridCol w:w="4536"/>
      </w:tblGrid>
      <w:tr>
        <w:trPr>
          <w:cantSplit/>
          <w:tblHeader/>
        </w:trPr>
        <w:tc>
          <w:tcPr>
            <w:tcW w:type="dxa" w:w="2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Artifact 深色模板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当前桌面 CDS 深色默认</w:t>
            </w:r>
          </w:p>
        </w:tc>
      </w:tr>
      <w:tr>
        <w:trPr>
          <w:cantSplit/>
        </w:trPr>
        <w:tc>
          <w:tcPr>
            <w:tcW w:type="dxa" w:w="2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页面底色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#0d0d0d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#0b0b0b</w:t>
            </w:r>
          </w:p>
        </w:tc>
      </w:tr>
      <w:tr>
        <w:trPr>
          <w:cantSplit/>
        </w:trPr>
        <w:tc>
          <w:tcPr>
            <w:tcW w:type="dxa" w:w="2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卡片底色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#1a1a19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#151515</w:t>
            </w:r>
          </w:p>
        </w:tc>
      </w:tr>
      <w:tr>
        <w:trPr>
          <w:cantSplit/>
        </w:trPr>
        <w:tc>
          <w:tcPr>
            <w:tcW w:type="dxa" w:w="2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主文字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#ffffff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#f0efec</w:t>
            </w:r>
          </w:p>
        </w:tc>
      </w:tr>
      <w:tr>
        <w:trPr>
          <w:cantSplit/>
        </w:trPr>
        <w:tc>
          <w:tcPr>
            <w:tcW w:type="dxa" w:w="2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辅助文字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#c3c2b7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#c3c2b7</w:t>
            </w:r>
          </w:p>
        </w:tc>
      </w:tr>
      <w:tr>
        <w:trPr>
          <w:cantSplit/>
        </w:trPr>
        <w:tc>
          <w:tcPr>
            <w:tcW w:type="dxa" w:w="2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强调文字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#6da7ec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#6da7ec</w:t>
            </w:r>
          </w:p>
        </w:tc>
      </w:tr>
      <w:tr>
        <w:trPr>
          <w:cantSplit/>
        </w:trPr>
        <w:tc>
          <w:tcPr>
            <w:tcW w:type="dxa" w:w="2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默认边框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白色 10%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alpha-2，即默认白色 10%</w:t>
            </w:r>
          </w:p>
        </w:tc>
      </w:tr>
    </w:tbl>
    <w:p>
      <w:pPr>
        <w:spacing w:after="0" w:line="60" w:lineRule="exact" w:before="0"/>
      </w:pPr>
    </w:p>
    <w:p>
      <w:r>
        <w:t>这份模板的浅色值为：背景 #f9f9f7、卡片 #fcfcfb、主文字 #0b0b0b、辅助文字 #52514e、边框 rgba(11,11,11,0.1)、强调文字 #184f95。它们与当前 CDS 相应用途的浅色默认值一致。</w:t>
      </w:r>
    </w:p>
    <w:p>
      <w:pPr>
        <w:pStyle w:val="Heading2"/>
      </w:pPr>
      <w:r>
        <w:t>模板自己的主题机制</w:t>
      </w:r>
    </w:p>
    <w:p>
      <w:r>
        <w:t>模板使用 data-theme="dark" 和系统深色偏好；系统深色分支会避开显式 data-theme="light"。显式 dark 与系统 dark 两段都定义同样的深色值。它不是 CDS vanilla 的 data-mode 接口。</w:t>
      </w:r>
    </w:p>
    <w:p>
      <w:r>
        <w:t>accent-soft 由 accent 的 12% 与 bg 混合生成；注释要求调整强调色时保持派生关系，并让深色块补齐浅色块新增项。这个 12% 是模板配方，不应与通用 CDS 的 bg-accent-muted 10% 混为一条规则。</w:t>
      </w:r>
    </w:p>
    <w:p>
      <w:pPr>
        <w:pStyle w:val="Heading2"/>
      </w:pPr>
      <w:r>
        <w:t>如何评价这份证据</w:t>
      </w:r>
    </w:p>
    <w:p>
      <w:r>
        <w:t>已确认：模板作者明确引用 CDS 名称与用途映射，并提供浅深色配方。未验证：这些差异来自版本、产品场景还是手工快照；无法仅凭注释判断哪份是桌面聊天的最终标准。</w:t>
      </w:r>
    </w:p>
    <w:p>
      <w:r>
        <w:t>原截图中的“暗色背景 #0d0d0d、卡片 #1a1a19、白墨 #ffffff”可以归属于这份 Artifact 模板，但不能据此概括当前桌面 CDS，更不能证明聊天消息区实际使用相同值。</w:t>
      </w:r>
    </w:p>
    <w:p>
      <w:pPr>
        <w:spacing w:line="240" w:lineRule="exact"/>
      </w:pPr>
      <w:r>
        <w:rPr>
          <w:color w:val="52514E"/>
          <w:sz w:val="18"/>
        </w:rPr>
        <w:t>出处：S4 L1–40；S3 当前默认表面与文字声明。S4 的原始二进制路径和字节范围见 provenance.json。</w:t>
      </w:r>
    </w:p>
    <w:p>
      <w:pPr>
        <w:pStyle w:val="Heading1"/>
        <w:pageBreakBefore/>
      </w:pPr>
      <w:r>
        <w:t>11 已确认事项与待核实问题</w:t>
      </w:r>
    </w:p>
    <w:p>
      <w:pPr>
        <w:pStyle w:val="Heading2"/>
      </w:pPr>
      <w:r>
        <w:t>已经成立的结论</w:t>
      </w:r>
    </w:p>
    <w:p>
      <w:r>
        <w:t>CDS 是 Claude Design System；存在明确的用色规则和源码生成标记；桌面壳确实接入 @ant/cds/theme.css；当前打包 CSS 确实包含用途令牌及浅深色映射。以上结论均有直接文件证据。</w:t>
      </w:r>
    </w:p>
    <w:p>
      <w:pPr>
        <w:pStyle w:val="Heading2"/>
      </w:pPr>
      <w:r>
        <w:t>不能提前宣告完成的部分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3845"/>
        <w:gridCol w:w="4133"/>
      </w:tblGrid>
      <w:tr>
        <w:trPr>
          <w:cantSplit/>
          <w:tblHeader/>
        </w:trPr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38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当前证据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60" w:lineRule="exact"/>
              <w:jc w:val="center"/>
            </w:pPr>
            <w:r>
              <w:rPr>
                <w:b/>
                <w:sz w:val="20"/>
              </w:rPr>
              <w:t>要补什么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桌面聊天的完整标准文件</w:t>
            </w:r>
          </w:p>
        </w:tc>
        <w:tc>
          <w:tcPr>
            <w:tcW w:type="dxa" w:w="38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只有生成后的 CDS 文本和包内 CSS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内部源文档全集，以及聊天 UI 的实际依赖关系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原文 36 档与实现 35 档</w:t>
            </w:r>
          </w:p>
        </w:tc>
        <w:tc>
          <w:tcPr>
            <w:tcW w:type="dxa" w:w="38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9 个色相均实数为 35；原文列出的刻度也合计 35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上游源文件或变更记录；目前只能称数量不一致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深色 surface-1 的两个值</w:t>
            </w:r>
          </w:p>
        </w:tc>
        <w:tc>
          <w:tcPr>
            <w:tcW w:type="dxa" w:w="38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通用规则及 CSS 为 #151515；图表说明为 #1a1a19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目标宿主计算样式与模块版本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图示 2 色或 2–3 色</w:t>
            </w:r>
          </w:p>
        </w:tc>
        <w:tc>
          <w:tcPr>
            <w:tcW w:type="dxa" w:w="38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全局上限与色板章节口径不同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文档维护者的适用范围说明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渐变和阴影例外</w:t>
            </w:r>
          </w:p>
        </w:tc>
        <w:tc>
          <w:tcPr>
            <w:tcW w:type="dxa" w:w="38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机理图文字允许一个渐变；示例含多个；选项示例还出现投影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确认示例是否落后于规则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可访问性合格</w:t>
            </w:r>
          </w:p>
        </w:tc>
        <w:tc>
          <w:tcPr>
            <w:tcW w:type="dxa" w:w="38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原文有 WCAG / AA 声明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对实际背景、字重、字号及所有状态做对比度检查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聊天界面最终颜色</w:t>
            </w:r>
          </w:p>
        </w:tc>
        <w:tc>
          <w:tcPr>
            <w:tcW w:type="dxa" w:w="38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  <w:jc w:val="center"/>
            </w:pPr>
            <w:r>
              <w:rPr>
                <w:b w:val="0"/>
                <w:sz w:val="20"/>
              </w:rPr>
              <w:t>静态默认声明已知，存在局部覆盖和旧样式</w:t>
            </w:r>
          </w:p>
        </w:tc>
        <w:tc>
          <w:tcPr>
            <w:tcW w:type="dxa" w:w="41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20"/>
              </w:rPr>
              <w:t>真实 DOM、计算样式、加载样式源与主题状态对照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t>整理时采用的判断顺序</w:t>
      </w:r>
    </w:p>
    <w:p>
      <w:r>
        <w:t>本文对“规则存在”引用规则原文；对“本版 CSS 声明是什么”引用实际声明；对“用户看到什么”保留为运行时待验证。文档说明与 CSS 冲突时并排保留，不拿一个来源替另一个来源作证。</w:t>
      </w:r>
    </w:p>
    <w:p>
      <w:r>
        <w:t>原文给出的相对源码路径只能证明来源线索，不能声称对应源文件已经到手。提取文本中带有生成工具或模型使用说明的段落，仅作为研究对象保存，不作为本次整理任务的新指令。</w:t>
      </w:r>
    </w:p>
    <w:p>
      <w:pPr>
        <w:pStyle w:val="Heading2"/>
      </w:pPr>
      <w:r>
        <w:t>本次已完成的核对范围</w:t>
      </w:r>
    </w:p>
    <w:p>
      <w:r>
        <w:t>已重新读取当前 app.asar，静态解析生成文档及 CSS，保存原始成员与校验值；已用 CSS 解析器统计基础色阶并提取带选择器的声明；已从 Claude Code 二进制按字节截取模板样式。没有以截图取色反推 token，也没有用旧报告替代原文证据。</w:t>
      </w:r>
    </w:p>
    <w:p>
      <w:pPr>
        <w:spacing w:line="240" w:lineRule="exact"/>
      </w:pPr>
      <w:r>
        <w:rPr>
          <w:color w:val="52514E"/>
          <w:sz w:val="18"/>
        </w:rPr>
        <w:t>出处：S1 L125；S3；S5 L14 与 S8 L21；S10 机理图规则及示例；S12 L75。</w:t>
      </w:r>
    </w:p>
    <w:p>
      <w:pPr>
        <w:pStyle w:val="Heading1"/>
        <w:pageBreakBefore/>
      </w:pPr>
      <w:r>
        <w:t>12 原始出处和复核方法</w:t>
      </w:r>
    </w:p>
    <w:p>
      <w:r>
        <w:t>以下文件均随文档保存于 sources 目录。行号针对解码后的可读原文；压缩 CSS 用声明名、选择器及字符偏移定位。中文正文是归纳翻译，示例与使用建议已明确标注。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536"/>
        <w:gridCol w:w="4910"/>
      </w:tblGrid>
      <w:tr>
        <w:trPr>
          <w:cantSplit/>
          <w:tblHeader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9"/>
              </w:rPr>
              <w:t>附带文件</w:t>
            </w:r>
          </w:p>
        </w:tc>
        <w:tc>
          <w:tcPr>
            <w:tcW w:type="dxa" w:w="4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E8EDF2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9"/>
              </w:rPr>
              <w:t>来源和定位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S1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cds-tokens-vanilla.original.md</w:t>
            </w:r>
          </w:p>
        </w:tc>
        <w:tc>
          <w:tcPr>
            <w:tcW w:type="dxa" w:w="4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app.asar 中 Visualize bundle 的 n 字符串；含生成来源标记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S2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desktop-window-shared.css</w:t>
            </w:r>
          </w:p>
        </w:tc>
        <w:tc>
          <w:tcPr>
            <w:tcW w:type="dxa" w:w="4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/.vite/renderer/about_window/window-shared.css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S3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desktop-main.css</w:t>
            </w:r>
          </w:p>
        </w:tc>
        <w:tc>
          <w:tcPr>
            <w:tcW w:type="dxa" w:w="4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/.vite/renderer/main_window/assets/</w:t>
              <w:br/>
              <w:t>MainWindowPage-DTxMhyWF.css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S4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artifact-explainer-style.original.txt</w:t>
            </w:r>
          </w:p>
        </w:tc>
        <w:tc>
          <w:tcPr>
            <w:tcW w:type="dxa" w:w="4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Claude Code 2.1.299 二进制的原样字节片段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S5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embedded-text-1.original.md</w:t>
            </w:r>
          </w:p>
        </w:tc>
        <w:tc>
          <w:tcPr>
            <w:tcW w:type="dxa" w:w="4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Imagine 通用规则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S6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embedded-text-2.original.md</w:t>
            </w:r>
          </w:p>
        </w:tc>
        <w:tc>
          <w:tcPr>
            <w:tcW w:type="dxa" w:w="4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UI components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S7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embedded-text-3.original.md</w:t>
            </w:r>
          </w:p>
        </w:tc>
        <w:tc>
          <w:tcPr>
            <w:tcW w:type="dxa" w:w="4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Elicitation 选择状态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S8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embedded-text-4.original.md</w:t>
            </w:r>
          </w:p>
        </w:tc>
        <w:tc>
          <w:tcPr>
            <w:tcW w:type="dxa" w:w="4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Visualize 9 × 7 色板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S9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embedded-text-5.original.md</w:t>
            </w:r>
          </w:p>
        </w:tc>
        <w:tc>
          <w:tcPr>
            <w:tcW w:type="dxa" w:w="4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SVG setup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S10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embedded-text-6.original.md</w:t>
            </w:r>
          </w:p>
        </w:tc>
        <w:tc>
          <w:tcPr>
            <w:tcW w:type="dxa" w:w="4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Diagram types 和机理图例外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S11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embedded-text-7.original.md</w:t>
            </w:r>
          </w:p>
        </w:tc>
        <w:tc>
          <w:tcPr>
            <w:tcW w:type="dxa" w:w="4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Charts 与地图示例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S12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embedded-text-8.original.md</w:t>
            </w:r>
          </w:p>
        </w:tc>
        <w:tc>
          <w:tcPr>
            <w:tcW w:type="dxa" w:w="4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95" w:type="dxa"/>
              <w:bottom w:w="75" w:type="dxa"/>
              <w:right w:w="95" w:type="dxa"/>
            </w:tcMar>
            <w:shd w:fill="FFFFFF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Data visualization 与 Cove 色板</w:t>
            </w:r>
          </w:p>
        </w:tc>
      </w:tr>
    </w:tbl>
    <w:p>
      <w:pPr>
        <w:spacing w:after="0" w:line="60" w:lineRule="exact" w:before="0"/>
      </w:pPr>
    </w:p>
    <w:p>
      <w:pPr>
        <w:pStyle w:val="Heading2"/>
      </w:pPr>
      <w:r>
        <w:t>来源链和可复核文件</w:t>
      </w:r>
    </w:p>
    <w:p>
      <w:r>
        <w:t>S1 及 S5–S12 来自当前 app.asar 的 /.vite/build/index.chunk-BaLvO2wi.js，完整成员副本为 cds-visualize-bundle.js。提取只解析字面量，不执行代码；动态模板表达式保留为 ${...}，未假定其运行结果。</w:t>
      </w:r>
    </w:p>
    <w:p>
      <w:r>
        <w:t>S1 首行写明由 apps/cds-docs/scripts/gen-cds-skill.mjs 从 packages/cds/{CLAUDE.md,docs/**} 生成；令牌正文指出 TypeScript 源位于 packages/cds/tokens/，生成 CSS 位于 src/generated/tokens.css。这些是原文标注的上游出处，不是已获取的独立文件。</w:t>
      </w:r>
    </w:p>
    <w:p>
      <w:pPr>
        <w:spacing w:line="240" w:lineRule="exact"/>
      </w:pPr>
      <w:r>
        <w:rPr>
          <w:color w:val="52514E"/>
          <w:sz w:val="18"/>
        </w:rPr>
        <w:t>provenance.json 记录原始绝对路径、应用版本、提取时间、大小、SHA-256、成员路径及模板字节范围。desktop-cds-declarations.json / .tsv 保留 2070 条声明及作用域，其中 952 个不同名称包含组件内部变量，不是“952 个公开色彩令牌”。cds-base-palette.csv 则仅包含 315 条基础色值。</w:t>
      </w:r>
    </w:p>
    <w:p>
      <w:pPr>
        <w:spacing w:line="240" w:lineRule="exact"/>
      </w:pPr>
      <w:r>
        <w:rPr>
          <w:color w:val="52514E"/>
          <w:sz w:val="18"/>
        </w:rPr>
        <w:t>如需复核某条规则，先按来源编号读取原文，再按 token 名查声明及选择器；核对真实聊天界面时，还需查看相应 DOM 的最终计算样式。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374" w:footer="40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依据本地安装包核对  2026 年 10 月 18 日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CDS 色彩使用规范中文整理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0" w:lineRule="exact"/>
      <w:snapToGrid w:val="0"/>
    </w:pPr>
    <w:rPr>
      <w:rFonts w:ascii="Arial" w:hAnsi="Arial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/>
      <w:snapToGrid w:val="0"/>
    </w:pPr>
    <w:rPr>
      <w:rFonts w:ascii="Arial" w:hAnsi="Arial" w:eastAsia="Hei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/>
      <w:snapToGrid w:val="0"/>
    </w:pPr>
    <w:rPr>
      <w:rFonts w:ascii="Arial" w:hAnsi="Arial" w:eastAsia="Hei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  <w:snapToGrid w:val="0"/>
    </w:pPr>
    <w:rPr>
      <w:rFonts w:ascii="Arial" w:hAnsi="Arial" w:eastAsia="Heiti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  <w:snapToGrid w:val="0"/>
    </w:pPr>
    <w:rPr>
      <w:rFonts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  <w:snapToGrid w:val="0"/>
    </w:pPr>
    <w:rPr>
      <w:rFonts w:ascii="Arial" w:hAnsi="Arial" w:eastAsia="Heiti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snapToGrid w:val="0"/>
    </w:pPr>
    <w:rPr>
      <w:rFonts w:ascii="Arial" w:hAnsi="Arial" w:eastAsia="Heiti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  <w:snapToGrid w:val="0"/>
    </w:pPr>
    <w:rPr>
      <w:rFonts w:ascii="Arial" w:hAnsi="Arial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  <w:snapToGrid w:val="0"/>
    </w:pPr>
    <w:rPr>
      <w:rFonts w:ascii="Arial" w:hAnsi="Arial" w:eastAsia="Hei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CDS 色彩使用规范中文整理</dc:title>
  <dc:subject>Claude Design System 色彩规则与原始证据</dc:subject>
  <dc:creator>Codex 整理</dc:creator>
  <cp:keywords/>
  <dc:description>基于本地安装包的独立整理，非官方中文文档。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