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5496497">
      <w:pPr>
        <w:spacing w:after="240" w:line="384"/>
        <w:jc w:val="center"/>
        <w:rPr>
          <w:color w:val="1565c0"/>
        </w:rPr>
      </w:pPr>
      <w:r>
        <w:rPr>
          <w:rFonts w:hint="eastAsia" w:ascii="SimSun" w:hAnsi="SimSun" w:eastAsia="SimSun" w:cs="SimSun"/>
          <w:b w:val="1"/>
          <w:color w:val="1565c0"/>
          <w:spacing w:val="28"/>
          <w:sz w:val="28"/>
        </w:rPr>
        <w:t>行业研究 · AI 融资分析</w:t>
      </w:r>
    </w:p>
    <w:p w14:paraId="4E001E2D">
      <w:pPr>
        <w:spacing w:after="240" w:line="312"/>
        <w:jc w:val="center"/>
        <w:rPr>
          <w:color w:val="1a237e"/>
        </w:rPr>
      </w:pPr>
      <w:r>
        <w:rPr>
          <w:rFonts w:hint="eastAsia" w:ascii="SimSun" w:hAnsi="SimSun" w:eastAsia="SimSun" w:cs="SimSun"/>
          <w:b w:val="1"/>
          <w:color w:val="1a237e"/>
          <w:sz w:val="44"/>
        </w:rPr>
        <w:t>AI行业实时融资分析报告</w:t>
      </w:r>
    </w:p>
    <w:p w14:paraId="58B24B7B">
      <w:pPr>
        <w:spacing w:after="600" w:line="384"/>
        <w:jc w:val="center"/>
        <w:rPr>
          <w:color w:val="1565c0"/>
        </w:rPr>
      </w:pPr>
      <w:r>
        <w:rPr>
          <w:rFonts w:hint="eastAsia" w:ascii="SimSun" w:hAnsi="SimSun" w:eastAsia="SimSun" w:cs="SimSun"/>
          <w:color w:val="1565c0"/>
          <w:sz w:val="20"/>
        </w:rPr>
        <w:t>2026 年 8 月 – 10 月全球 AI 融资事件分析</w:t>
      </w:r>
    </w:p>
    <w:p w14:paraId="7FB64392">
      <w:pPr>
        <w:spacing w:line="38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16"/>
        </w:rPr>
        <w:t>报告类型：行业融资分析报告</w:t>
      </w:r>
    </w:p>
    <w:p w14:paraId="4F12EED7">
      <w:pPr>
        <w:spacing w:line="38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16"/>
        </w:rPr>
        <w:t>数据区间：2026 年 8 月 6 日 – 2026 年 10 月 14 日（69 天）</w:t>
      </w:r>
    </w:p>
    <w:p w14:paraId="1F7F1809">
      <w:pPr>
        <w:spacing w:line="38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16"/>
        </w:rPr>
        <w:t>数据采集时间：2026 年 10 月 15 日 08:30 – 08:55（GMT+8）</w:t>
      </w:r>
    </w:p>
    <w:p w14:paraId="0D926B42">
      <w:pPr>
        <w:spacing w:line="384"/>
        <w:jc w:val="center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16"/>
        </w:rPr>
        <w:t>数据来源：Web Search + Agent Browser（网页检索 + 浏览器采集）</w:t>
      </w:r>
    </w:p>
    <w:p w14:paraId="00EDC91C">
      <w:pPr>
        <w:spacing w:line="38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16"/>
        </w:rPr>
        <w:t>样本规模：27 起融资事件 · 金额单位：亿美元</w:t>
      </w:r>
    </w:p>
    <w:p w14:paraId="5BB5EDA8">
      <w:pPr>
        <w:spacing w:before="240" w:after="120"/>
      </w:pPr>
      <w:r>
        <w:rPr>
          <w:rFonts w:hint="eastAsia"/>
          <w:b w:val="1"/>
        </w:rPr>
        <w:t>目录</w:t>
      </w:r>
    </w:p>
    <w:p w14:paraId="459DE21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13AF3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一、核心发现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01E2D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二、融资趋势分析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37549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（一）按细分领域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CF0B0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（二）按国家 / 地区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B2843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（三）按时间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9383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三、与实验一静态数据的对比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958F4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（一）对比口径说明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9E1A3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（二）企业层面的重叠与差异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AFFCE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（三）结构层面的差异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C95A8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（四）对比小结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1216E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四、展望与建议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80A8C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（一）趋势展望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6710B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00A2B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五、数据说明与局限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D58C228">
      <w:p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5BE4717F">
      <w:pPr>
        <w:pStyle w:val="000005"/>
        <w:keepNext w:val="1"/>
        <w:keepLines w:val="1"/>
        <w:shd w:val="clear" w:fill="1a237e"/>
        <w:spacing w:before="600" w:beforeAutospacing="1" w:after="240" w:afterAutospacing="1" w:line="384"/>
        <w:jc w:val="left"/>
        <w:outlineLvl w:val="1"/>
        <w:rPr>
          <w:color w:val="ffffff"/>
          <w:sz w:val="32"/>
          <w:szCs w:val="32"/>
        </w:rPr>
      </w:pPr>
      <w:bookmarkStart w:id="1" w:name="section-1"/>
      <w:r>
        <w:rPr>
          <w:rFonts w:hint="eastAsia" w:ascii="SimSun" w:hAnsi="SimSun" w:eastAsia="SimSun" w:cs="SimSun"/>
          <w:b w:val="1"/>
          <w:color w:val="ffffff"/>
          <w:sz w:val="26"/>
        </w:rPr>
        <w:t>摘要</w:t>
      </w:r>
      <w:bookmarkEnd w:id="1"/>
    </w:p>
    <w:p w14:paraId="7BF8C048">
      <w:pPr>
        <w:shd w:val="clear" w:fill="f5f7fa"/>
        <w:spacing w:after="180" w:line="384"/>
        <w:jc w:val="both"/>
        <w:rPr>
          <w:color w:val="616161"/>
        </w:rPr>
      </w:pPr>
      <w:r>
        <w:rPr>
          <w:rFonts w:ascii="SimSun" w:hAnsi="SimSun" w:eastAsia="SimSun" w:cs="SimSun"/>
          <w:i w:val="1"/>
          <w:color w:val="616161"/>
          <w:sz w:val="16"/>
        </w:rPr>
        <w:t>Executive Summary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D01BC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总融资额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28067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融资事件数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D246F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涉及国家 / 地区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CF3D07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涉及细分领域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2BA8C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最大单笔融资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F5DEE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386.5 亿美元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22D1D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27 起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B38C5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4 个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E879A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10 个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8BD4B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116 亿美元（DeepSeek）</w:t>
            </w:r>
          </w:p>
        </w:tc>
      </w:tr>
    </w:tbl>
    <w:p w14:paraId="694E616D">
      <w:pPr>
        <w:shd w:val="clear" w:fill="f5f7fa"/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本报告以 27 起实时融资事件为样本，刻画了近两个半月全球 AI 一级市场的资金流向，并与实验一的静态数据（12 家企业 / 2024 年 / 223.1 亿美元）做了对照。核心判断有三点：其一，资金重心正从大模型单极转向"算力底座 + 具身与垂类应用"的多极结构；其二，中国区融资额首次超过美国，但高度依赖单笔超大型交易，结构上并不稳固；其三，融资节奏显著加快，同时单笔中位数明显下移，市场呈现"事件更多、中位更小、头部更大"的哑铃形分布。</w:t>
      </w:r>
    </w:p>
    <w:p w14:paraId="3DD6E1E0">
      <w:pPr>
        <w:pStyle w:val="000005"/>
        <w:keepNext w:val="1"/>
        <w:keepLines w:val="1"/>
        <w:shd w:val="clear" w:fill="1a237e"/>
        <w:spacing w:before="600" w:beforeAutospacing="1" w:after="240" w:afterAutospacing="1" w:line="384"/>
        <w:jc w:val="left"/>
        <w:outlineLvl w:val="1"/>
        <w:rPr>
          <w:color w:val="ffffff"/>
          <w:sz w:val="32"/>
          <w:szCs w:val="32"/>
        </w:rPr>
      </w:pPr>
      <w:bookmarkStart w:id="2" w:name="section-2"/>
      <w:r>
        <w:rPr>
          <w:rFonts w:hint="eastAsia" w:ascii="SimSun" w:hAnsi="SimSun" w:eastAsia="SimSun" w:cs="SimSun"/>
          <w:b w:val="1"/>
          <w:color w:val="ffffff"/>
          <w:sz w:val="26"/>
        </w:rPr>
        <w:t>一、核心发现</w:t>
      </w:r>
      <w:bookmarkEnd w:id="2"/>
    </w:p>
    <w:p w14:paraId="6396CD5B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发现一：融资高度集中于头部三笔，但整体集中度较静态数据下降。</w:t>
      </w:r>
      <w:r>
        <w:rPr>
          <w:rFonts w:hint="eastAsia" w:ascii="SimSun" w:hAnsi="SimSun" w:eastAsia="SimSun" w:cs="SimSun"/>
          <w:color w:val="212121"/>
          <w:sz w:val="18"/>
        </w:rPr>
        <w:t xml:space="preserve">27 起事件合计 </w:t>
      </w:r>
      <w:r>
        <w:rPr>
          <w:rFonts w:hint="eastAsia" w:ascii="SimSun" w:hAnsi="SimSun" w:eastAsia="SimSun" w:cs="SimSun"/>
          <w:b w:val="1"/>
          <w:color w:val="e53935"/>
          <w:sz w:val="18"/>
        </w:rPr>
        <w:t>386.5 亿美元</w:t>
      </w:r>
      <w:r>
        <w:rPr>
          <w:rFonts w:hint="eastAsia" w:ascii="SimSun" w:hAnsi="SimSun" w:eastAsia="SimSun" w:cs="SimSun"/>
          <w:color w:val="212121"/>
          <w:sz w:val="18"/>
        </w:rPr>
        <w:t xml:space="preserve">，其中 DeepSeek（116 亿美元）、Databricks（50 亿美元）、智谱（50 亿美元）三笔合计 216 亿美元，占总额 </w:t>
      </w:r>
      <w:r>
        <w:rPr>
          <w:rFonts w:ascii="SimSun" w:hAnsi="SimSun" w:eastAsia="SimSun" w:cs="SimSun"/>
          <w:b w:val="1"/>
          <w:color w:val="e53935"/>
          <w:sz w:val="18"/>
        </w:rPr>
        <w:t>55.9%</w:t>
      </w:r>
      <w:r>
        <w:rPr>
          <w:rFonts w:hint="eastAsia" w:ascii="SimSun" w:hAnsi="SimSun" w:eastAsia="SimSun" w:cs="SimSun"/>
          <w:color w:val="212121"/>
          <w:sz w:val="18"/>
        </w:rPr>
        <w:t>；单笔最高 116 亿美元。对照静态数据的头部三笔集中度 74.4%，本次集中度下降 18.5 个百分点，说明资金在向更多中等规模标的扩散。</w:t>
      </w:r>
    </w:p>
    <w:p w14:paraId="4B5B318F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发现二：中国区融资额首次超过美国。</w:t>
      </w:r>
      <w:r>
        <w:rPr>
          <w:rFonts w:hint="eastAsia" w:ascii="SimSun" w:hAnsi="SimSun" w:eastAsia="SimSun" w:cs="SimSun"/>
          <w:color w:val="212121"/>
          <w:sz w:val="18"/>
        </w:rPr>
        <w:t xml:space="preserve">中国区 </w:t>
      </w:r>
      <w:r>
        <w:rPr>
          <w:rFonts w:hint="eastAsia" w:ascii="SimSun" w:hAnsi="SimSun" w:eastAsia="SimSun" w:cs="SimSun"/>
          <w:b w:val="1"/>
          <w:color w:val="e53935"/>
          <w:sz w:val="18"/>
        </w:rPr>
        <w:t>196.6 亿美元</w:t>
      </w:r>
      <w:r>
        <w:rPr>
          <w:rFonts w:hint="eastAsia" w:ascii="SimSun" w:hAnsi="SimSun" w:eastAsia="SimSun" w:cs="SimSun"/>
          <w:color w:val="212121"/>
          <w:sz w:val="18"/>
        </w:rPr>
        <w:t xml:space="preserve">，占总额 50.9%；美国 150.9 亿美元，占 39.0%。而在静态数据中，美国占比高达 86.3%，中国仅 8.6%。这一反转主要由一笔超大型交易驱动：剔除 DeepSeek 单笔 116 亿美元后，中国区回落至 80.6 亿美元，占比 </w:t>
      </w:r>
      <w:r>
        <w:rPr>
          <w:rFonts w:ascii="SimSun" w:hAnsi="SimSun" w:eastAsia="SimSun" w:cs="SimSun"/>
          <w:b w:val="1"/>
          <w:color w:val="e53935"/>
          <w:sz w:val="18"/>
        </w:rPr>
        <w:t>29.8%</w:t>
      </w:r>
      <w:r>
        <w:rPr>
          <w:rFonts w:hint="eastAsia" w:ascii="SimSun" w:hAnsi="SimSun" w:eastAsia="SimSun" w:cs="SimSun"/>
          <w:color w:val="212121"/>
          <w:sz w:val="18"/>
        </w:rPr>
        <w:t>，美国则回升至 55.8%。因此"中国反超"更准确的表述是"单笔事件驱动下的反超"，其稳定性有待后续验证。</w:t>
      </w:r>
    </w:p>
    <w:p w14:paraId="79150F23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发现三：赛道重心从"大模型"转向"算力底座与多极应用"。</w:t>
      </w:r>
      <w:r>
        <w:rPr>
          <w:rFonts w:hint="eastAsia" w:ascii="SimSun" w:hAnsi="SimSun" w:eastAsia="SimSun" w:cs="SimSun"/>
          <w:color w:val="212121"/>
          <w:sz w:val="18"/>
        </w:rPr>
        <w:t xml:space="preserve">静态数据中大模型占金额的 88.8%、占事件的 66.7%，呈单极格局；本次大模型金额占比降至 </w:t>
      </w:r>
      <w:r>
        <w:rPr>
          <w:rFonts w:ascii="SimSun" w:hAnsi="SimSun" w:eastAsia="SimSun" w:cs="SimSun"/>
          <w:b w:val="1"/>
          <w:color w:val="e53935"/>
          <w:sz w:val="18"/>
        </w:rPr>
        <w:t>42.9%</w:t>
      </w:r>
      <w:r>
        <w:rPr>
          <w:rFonts w:hint="eastAsia" w:ascii="SimSun" w:hAnsi="SimSun" w:eastAsia="SimSun" w:cs="SimSun"/>
          <w:color w:val="212121"/>
          <w:sz w:val="18"/>
        </w:rPr>
        <w:t>，事件占比仅 7.4%（2 起）。与此同时，AI 基础设施与 AI 芯片合计 118.3 亿美元、占 30.6%，共 9 起事件，成为事实上的第二大资金板块（本报告将这两类合称"算力底座"，指为模型训练与推理提供算力、芯片与云服务的底层供给方）；细分领域数量也从 5 个扩展到 10 个。</w:t>
      </w:r>
    </w:p>
    <w:p w14:paraId="356EB151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发现四：融资节奏加快，单笔中位数显著下移。</w:t>
      </w:r>
      <w:r>
        <w:rPr>
          <w:rFonts w:hint="eastAsia" w:ascii="SimSun" w:hAnsi="SimSun" w:eastAsia="SimSun" w:cs="SimSun"/>
          <w:color w:val="212121"/>
          <w:sz w:val="18"/>
        </w:rPr>
        <w:t xml:space="preserve">本次窗口月均约 11.7 起事件，而静态数据（2024 全年 12 起）月均仅 1 起。同期单笔均值由 18.6 亿美元降至 14.3 亿美元（-23.0%），中位数由 7.2 亿美元降至 </w:t>
      </w:r>
      <w:r>
        <w:rPr>
          <w:rFonts w:hint="eastAsia" w:ascii="SimSun" w:hAnsi="SimSun" w:eastAsia="SimSun" w:cs="SimSun"/>
          <w:b w:val="1"/>
          <w:color w:val="e53935"/>
          <w:sz w:val="18"/>
        </w:rPr>
        <w:t>4.0 亿美元</w:t>
      </w:r>
      <w:r>
        <w:rPr>
          <w:rFonts w:hint="eastAsia" w:ascii="SimSun" w:hAnsi="SimSun" w:eastAsia="SimSun" w:cs="SimSun"/>
          <w:color w:val="212121"/>
          <w:sz w:val="18"/>
        </w:rPr>
        <w:t>（-44.4%），即半数交易规模不足 4 亿美元，而最大单笔却升至 116 亿美元——头部与中位同时向两端拉开，形成"哑铃形分布"（指超大额与中小额交易各占一端、中间规模交易相对稀薄的分布形态）。</w:t>
      </w:r>
    </w:p>
    <w:p w14:paraId="5D91BA30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发现五：融资披露高度聚集于少数时间窗口。</w:t>
      </w:r>
      <w:r>
        <w:rPr>
          <w:rFonts w:hint="eastAsia" w:ascii="SimSun" w:hAnsi="SimSun" w:eastAsia="SimSun" w:cs="SimSun"/>
          <w:color w:val="212121"/>
          <w:sz w:val="18"/>
        </w:rPr>
        <w:t xml:space="preserve">累计资金呈现明显的梯次跳升，8 月 22 日、9 月 2 日、9 月 8 日、9 月 15 日、9 月 28 日、10 月 6 日六个节点的单日新增分别为 50、35、30、50、20.5、116 亿美元，合计 301.5 亿美元，占累计金额的 </w:t>
      </w:r>
      <w:r>
        <w:rPr>
          <w:rFonts w:ascii="SimSun" w:hAnsi="SimSun" w:eastAsia="SimSun" w:cs="SimSun"/>
          <w:b w:val="1"/>
          <w:color w:val="e53935"/>
          <w:sz w:val="18"/>
        </w:rPr>
        <w:t>78.0%</w:t>
      </w:r>
      <w:r>
        <w:rPr>
          <w:rFonts w:hint="eastAsia" w:ascii="SimSun" w:hAnsi="SimSun" w:eastAsia="SimSun" w:cs="SimSun"/>
          <w:color w:val="212121"/>
          <w:sz w:val="18"/>
        </w:rPr>
        <w:t>——即不足三分之一的披露日承载了接近八成的资金量。三个月中 9 月为峰值月，单月新增 161.0 亿美元、15 起事件。</w:t>
      </w:r>
    </w:p>
    <w:p w14:paraId="6DACC282">
      <w:pPr>
        <w:pStyle w:val="000005"/>
        <w:keepNext w:val="1"/>
        <w:keepLines w:val="1"/>
        <w:shd w:val="clear" w:fill="1a237e"/>
        <w:spacing w:before="600" w:beforeAutospacing="1" w:after="240" w:afterAutospacing="1" w:line="384"/>
        <w:jc w:val="left"/>
        <w:outlineLvl w:val="1"/>
        <w:rPr>
          <w:color w:val="ffffff"/>
          <w:sz w:val="32"/>
          <w:szCs w:val="32"/>
        </w:rPr>
      </w:pPr>
      <w:bookmarkStart w:id="3" w:name="section-3"/>
      <w:r>
        <w:rPr>
          <w:rFonts w:hint="eastAsia" w:ascii="SimSun" w:hAnsi="SimSun" w:eastAsia="SimSun" w:cs="SimSun"/>
          <w:b w:val="1"/>
          <w:color w:val="ffffff"/>
          <w:sz w:val="26"/>
        </w:rPr>
        <w:t>二、融资趋势分析</w:t>
      </w:r>
      <w:bookmarkEnd w:id="3"/>
    </w:p>
    <w:p w14:paraId="0987EDF5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本部分从细分领域、国家 / 地区与时间三个维度拆解 27 起融资事件，以刻画资金的流向结构与投放节奏。</w:t>
      </w:r>
    </w:p>
    <w:p w14:paraId="19AEB565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4" w:name="section-3-1"/>
      <w:r>
        <w:rPr>
          <w:rFonts w:hint="eastAsia" w:ascii="SimSun" w:hAnsi="SimSun" w:eastAsia="SimSun" w:cs="SimSun"/>
          <w:b w:val="1"/>
          <w:color w:val="1565c0"/>
          <w:sz w:val="20"/>
        </w:rPr>
        <w:t>（一）按细分领域</w:t>
      </w:r>
      <w:bookmarkEnd w:id="4"/>
    </w:p>
    <w:p w14:paraId="36033786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下表按实时金额降序对比两类数据在各细分领域的分布：</w:t>
      </w:r>
    </w:p>
    <w:tbl>
      <w:tblPr>
        <w:tblW w:w="8306" w:type="dxa"/>
        <w:shd w:color="212121"/>
        <w:tblLayout w:type="autofit"/>
        <w:tblCellMar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34A047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细分领域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4DAAE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静态金额（亿美元）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11291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静态占比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2D605D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实时金额（亿美元）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F94E54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实时占比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A2F5CC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实时事件数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4FFC8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大模型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364CB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198.1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FEC7BA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88.8%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A65DA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166.0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6DCCA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42.9%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C00ED0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FFBF0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AI 基础设施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55A05F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8B36D2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558DE6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66.5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1D9C6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17.2%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72DCED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56D2F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AI 芯片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8C8C7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FDC5F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92F8F5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51.8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6A6942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13.4%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B5E1E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8D679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自动驾驶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1FDF18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3.5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B2A8D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1.6%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6929D8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31.0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1C840B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8.0%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663F2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64A0A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AI 智能体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FACB3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3.5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AFD8B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1.6%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43163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18.5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F58C2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4.8%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424B4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1AFDD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具身智能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60728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CDF8DD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66EE1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17.5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1384C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4.5%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665D93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EBA8F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国防 / 工业 AI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3CA17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8135F9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3DBCFA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13.7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E833CA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3.5%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3DA86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F658E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垂直应用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5CDF1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A31BC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5F8C9F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10.7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08712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2.8%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5FF80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16780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决策模型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7CE14A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C16DA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501139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8.7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0BE1B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2.3%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511AB0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272A8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世界模型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714DA3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CB85C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5DA1A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2.2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013452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0.6%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5C84DA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25856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数据服务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C81155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10.0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7FE78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4.5%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C96BE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22CC74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7C850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</w:t>
            </w:r>
          </w:p>
        </w:tc>
      </w:tr>
      <w:tr>
        <w:trPr/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2071F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云计算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B1F47A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8.0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5ACE76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3.6%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B010E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0FE889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38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6563D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</w:t>
            </w:r>
          </w:p>
        </w:tc>
      </w:tr>
    </w:tbl>
    <w:p w14:paraId="222596C7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领域结构的变化可以分为两条线。一条是"从模型层下沉到基础设施层"：静态数据中不存在独立的算力类目，而本次 AI 基础设施与 AI 芯片合计吸金 118.3 亿美元，且以 2 亿至 50 亿美元的中等规模为主，事件数达 9 起，是全部领域中最密集的一块。</w:t>
      </w:r>
    </w:p>
    <w:p w14:paraId="14AD84C6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另一条是"物理世界的 AI 化"：具身智能、自动驾驶、国防 / 工业 AI 合计 62.2 亿美元，占 16.1%，反映出资金对人形机器人、Robotaxi 与智能制造的持续加注。值得注意的是，静态数据中的"数据服务"与"云计算"两个类目在本次窗口内没有对应事件，但这并不等于该类需求消失，而是本次采集窗口内未见相应规模的公开融资披露。</w:t>
      </w:r>
    </w:p>
    <w:p w14:paraId="0F2ECBF1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5" w:name="section-3-2"/>
      <w:r>
        <w:rPr>
          <w:rFonts w:hint="eastAsia" w:ascii="SimSun" w:hAnsi="SimSun" w:eastAsia="SimSun" w:cs="SimSun"/>
          <w:b w:val="1"/>
          <w:color w:val="1565c0"/>
          <w:sz w:val="20"/>
        </w:rPr>
        <w:t>（二）按国家 / 地区</w:t>
      </w:r>
      <w:bookmarkEnd w:id="5"/>
    </w:p>
    <w:p w14:paraId="54ECEA95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国家 / 地区维度的金额与事件分布如下表所示：</w:t>
      </w:r>
    </w:p>
    <w:tbl>
      <w:tblPr>
        <w:tblW w:w="8306" w:type="dxa"/>
        <w:shd w:color="212121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40111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国家 / 地区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06C80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静态金额（亿美元）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6BA7CE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静态占比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92BA75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静态事件数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6812F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实时金额（亿美元）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BFA3F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实时占比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E4E46D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实时事件数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6A49E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美国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92F85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192.5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DA78D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86.3%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71F69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6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B8119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150.9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E01388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39.0%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72D9A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14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E1153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中国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3380B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19.2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9833B2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8.6%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32BFC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7BA54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196.6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A3AAD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50.9%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3012D4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11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78125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中国台湾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1265E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C7EC0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7972D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C4838E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35.0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1072F3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9.1%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C6E57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3480F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法国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A5E47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6.4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0EDE7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2.9%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A581E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5BC94A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F02E0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A6AB6A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F1339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加拿大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60321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5.0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D4ACD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2.2%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7F2E8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09C9A4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D3805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7ED90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CF15B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瑞典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9ACAB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24802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—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CFCB3A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0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4172B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4.0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B48036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1.0%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5EF72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</w:t>
            </w:r>
          </w:p>
        </w:tc>
      </w:tr>
      <w:tr>
        <w:trPr/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D16FB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合计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EB1248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223.1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5F801B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100%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C9C91E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12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014B16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386.5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7A3AC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100%</w:t>
            </w:r>
          </w:p>
        </w:tc>
        <w:tc>
          <w:tcPr>
            <w:tcW w:w="118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E580E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27</w:t>
            </w:r>
          </w:p>
        </w:tc>
      </w:tr>
    </w:tbl>
    <w:p w14:paraId="6A912F9C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 xml:space="preserve">从覆盖广度看，两次样本均涉及 4 个国家 / 地区，但构成不同：静态为美国、中国、法国、加拿大；本次为美国、中国、中国台湾、瑞典——欧洲由法国、加拿大换为瑞典，亚洲新增中国台湾。从金额结构看，美国占比从 86.3% 大幅回落至 </w:t>
      </w:r>
      <w:r>
        <w:rPr>
          <w:rFonts w:ascii="SimSun" w:hAnsi="SimSun" w:eastAsia="SimSun" w:cs="SimSun"/>
          <w:b w:val="1"/>
          <w:color w:val="e53935"/>
          <w:sz w:val="18"/>
        </w:rPr>
        <w:t>39.0%</w:t>
      </w:r>
      <w:r>
        <w:rPr>
          <w:rFonts w:hint="eastAsia" w:ascii="SimSun" w:hAnsi="SimSun" w:eastAsia="SimSun" w:cs="SimSun"/>
          <w:color w:val="212121"/>
          <w:sz w:val="18"/>
        </w:rPr>
        <w:t>，中国从 8.6% 升至 50.9%，是本次最显著的结构性变化。</w:t>
      </w:r>
    </w:p>
    <w:p w14:paraId="5D95823A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事件数量上美国仍以 14 起居首，是中国（11 起）的 1.3 倍，说明美国市场在"交易数量"维度依然活跃，其占比下滑主要来自单笔规模不及中国区的超大型交易。</w:t>
      </w:r>
    </w:p>
    <w:p w14:paraId="2E1C8DA0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6" w:name="section-3-3"/>
      <w:r>
        <w:rPr>
          <w:rFonts w:hint="eastAsia" w:ascii="SimSun" w:hAnsi="SimSun" w:eastAsia="SimSun" w:cs="SimSun"/>
          <w:b w:val="1"/>
          <w:color w:val="1565c0"/>
          <w:sz w:val="20"/>
        </w:rPr>
        <w:t>（三）按时间</w:t>
      </w:r>
      <w:bookmarkEnd w:id="6"/>
    </w:p>
    <w:p w14:paraId="7C348F5B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将 27 起事件按月份汇总，并计算当月新增与累计金额：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7110F5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月份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C0147E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事件数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BA4AF6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当月新增（亿美元）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BDFA69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累计（亿美元）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A1EC18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当月新增占比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5359C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2026 年 8 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E91196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548E4E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88.8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80340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88.8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F83C3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23.0%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45A9B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2026 年 9 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D3A3B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0AE6A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161.0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426EA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249.8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BDE39F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41.7%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0ADB4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2026 年 10 月（至 14 日）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F01CE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6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28147E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136.7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6035F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386.5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583F8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35.4%</w:t>
            </w:r>
          </w:p>
        </w:tc>
      </w:tr>
    </w:tbl>
    <w:p w14:paraId="71FFF884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三个月呈现出"起步平缓、中部冲高、尾部再拉"的形态。8 月虽有 Databricks 的 50 亿美元支撑，但整体节奏偏慢；9 月为峰值月，15 起事件、161.0 亿美元，占全期新增的 41.7%，其中 9 月 28 日单日集中披露 5 起事件。</w:t>
      </w:r>
    </w:p>
    <w:p w14:paraId="6C07A30C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 xml:space="preserve">10 月仅统计到 14 日，已录得 136.7 亿美元，其中 DeepSeek 一笔即贡献 116 亿美元，占该月新增的 </w:t>
      </w:r>
      <w:r>
        <w:rPr>
          <w:rFonts w:ascii="SimSun" w:hAnsi="SimSun" w:eastAsia="SimSun" w:cs="SimSun"/>
          <w:b w:val="1"/>
          <w:color w:val="e53935"/>
          <w:sz w:val="18"/>
        </w:rPr>
        <w:t>84.9%</w:t>
      </w:r>
      <w:r>
        <w:rPr>
          <w:rFonts w:hint="eastAsia" w:ascii="SimSun" w:hAnsi="SimSun" w:eastAsia="SimSun" w:cs="SimSun"/>
          <w:color w:val="212121"/>
          <w:sz w:val="18"/>
        </w:rPr>
        <w:t>。从个案分布看，全期 20 个有融资披露的日期中，仅 6 个日期的单日新增超过 20 亿美元，合计贡献 301.5 亿美元、占累计金额的 78.0%，显示资金落地在时间上具有明显的"事件驱动"特征，而非均匀分布。</w:t>
      </w:r>
    </w:p>
    <w:p w14:paraId="070163EB">
      <w:pPr>
        <w:pStyle w:val="000005"/>
        <w:keepNext w:val="1"/>
        <w:keepLines w:val="1"/>
        <w:shd w:val="clear" w:fill="1a237e"/>
        <w:spacing w:before="600" w:beforeAutospacing="1" w:after="240" w:afterAutospacing="1" w:line="384"/>
        <w:jc w:val="left"/>
        <w:outlineLvl w:val="1"/>
        <w:rPr>
          <w:color w:val="ffffff"/>
          <w:sz w:val="32"/>
          <w:szCs w:val="32"/>
        </w:rPr>
      </w:pPr>
      <w:bookmarkStart w:id="7" w:name="section-4"/>
      <w:r>
        <w:rPr>
          <w:rFonts w:hint="eastAsia" w:ascii="SimSun" w:hAnsi="SimSun" w:eastAsia="SimSun" w:cs="SimSun"/>
          <w:b w:val="1"/>
          <w:color w:val="ffffff"/>
          <w:sz w:val="26"/>
        </w:rPr>
        <w:t>三、与实验一静态数据的对比</w:t>
      </w:r>
      <w:bookmarkEnd w:id="7"/>
    </w:p>
    <w:p w14:paraId="00F69F3D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本部分将实时数据与实验一的静态数据逐层对照：先说明对比口径，再从企业层面与结构层面展开，最后给出可比性判断。</w:t>
      </w:r>
    </w:p>
    <w:p w14:paraId="31376C1C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8" w:name="section-4-1"/>
      <w:r>
        <w:rPr>
          <w:rFonts w:hint="eastAsia" w:ascii="SimSun" w:hAnsi="SimSun" w:eastAsia="SimSun" w:cs="SimSun"/>
          <w:b w:val="1"/>
          <w:color w:val="1565c0"/>
          <w:sz w:val="20"/>
        </w:rPr>
        <w:t>（一）对比口径说明</w:t>
      </w:r>
      <w:bookmarkEnd w:id="8"/>
    </w:p>
    <w:p w14:paraId="2E94F9FA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本节的对照基准为实验一的静态数据集，包含 12 家代表性 AI 企业的 2024 年融资记录，合计 223.1 亿美元；对照对象为本报告使用的实时数据集，包含 27 起事件，合计 386.5 亿美元。</w:t>
      </w:r>
    </w:p>
    <w:p w14:paraId="2D1FCFBC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需要先行说明的是，两套数据的采集范围并不对等：静态数据是面向 12 家标杆企业的定向样本，时间跨度覆盖 2024 全年；实时数据是针对约 2.3 个月的公开信息扫描。因此，涉及"合计金额""月均事件数"等总量与频率类指标只能作为趋势参考，不能视为同一口径下的严谨比较；而"结构占比""单笔规模分位"等比例类指标相对可比。</w:t>
      </w:r>
    </w:p>
    <w:p w14:paraId="462C5C61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9" w:name="section-4-2"/>
      <w:r>
        <w:rPr>
          <w:rFonts w:hint="eastAsia" w:ascii="SimSun" w:hAnsi="SimSun" w:eastAsia="SimSun" w:cs="SimSun"/>
          <w:b w:val="1"/>
          <w:color w:val="1565c0"/>
          <w:sz w:val="20"/>
        </w:rPr>
        <w:t>（二）企业层面的重叠与差异</w:t>
      </w:r>
      <w:bookmarkEnd w:id="9"/>
    </w:p>
    <w:p w14:paraId="1EB87DDE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按企业名称逐条比对，两套数据中仅有 1 家企业在名称上存在重叠，即静态数据中的"智谱AI"与实时数据中的"智谱"，占静态样本的 8.3%、实时样本的 3.7%。其差异如下：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79DDD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项目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78286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实验一静态数据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CCAA8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实时数据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5AA16B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差异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12A2E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企业名称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E90DF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智谱AI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77ABF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智谱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C8E86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同一企业，名称表述略有差异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8068E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融资日期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2F450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2024 年 3 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C49E4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2026 年 9 月 15 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094F3C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相隔约 2.5 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C1C337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融资金额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C028A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5.2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E58AA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50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0C8B80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净增 44.8 亿美元，约 9.6 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6A70F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国家 / 地区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FC86F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中国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014EF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中国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9314FD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一致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491C6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细分领域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38190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大模型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B7CD8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大模型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390B9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一致</w:t>
            </w:r>
          </w:p>
        </w:tc>
      </w:tr>
    </w:tbl>
    <w:p w14:paraId="4E7F09E0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 xml:space="preserve">对该重叠项需作两点口径提示。第一，两笔交易的融资工具并不相同：静态记录的 5.2 亿美元为单轮股权融资，实时记录的 50 亿美元为 393 亿港元配售叠加可转债的合计规模，包含债权类工具，因此 </w:t>
      </w:r>
      <w:r>
        <w:rPr>
          <w:rFonts w:hint="eastAsia" w:ascii="SimSun" w:hAnsi="SimSun" w:eastAsia="SimSun" w:cs="SimSun"/>
          <w:b w:val="1"/>
          <w:color w:val="e53935"/>
          <w:sz w:val="18"/>
        </w:rPr>
        <w:t>9.6 倍</w:t>
      </w:r>
      <w:r>
        <w:rPr>
          <w:rFonts w:hint="eastAsia" w:ascii="SimSun" w:hAnsi="SimSun" w:eastAsia="SimSun" w:cs="SimSun"/>
          <w:color w:val="212121"/>
          <w:sz w:val="18"/>
        </w:rPr>
        <w:t>的放大倍数只能作为量级参考，不宜直接解读为估值或股权融资能力的同比变化。</w:t>
      </w:r>
    </w:p>
    <w:p w14:paraId="469408E9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第二，剩余 11 家静态企业在本次窗口内均未出现新的融资记录，但这仅代表"本次未采集到"，不代表这些企业在此期间没有融资活动。从更宏观的角度看，这次比对透露出一个值得关注的现象：2024 年被视作代表性样本的企业，在两年的窗口后已不再是融资叙事的主角，头部名单发生了整体性更替——静态数据的头部是 OpenAI、xAI、Anthropic 三家美国大模型公司；实时数据的头部则是 DeepSeek、Databricks、智谱，分别代表中国大模型、数据与 AI 基础设施、中国大模型三类资产。</w:t>
      </w:r>
    </w:p>
    <w:p w14:paraId="152F6658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10" w:name="section-4-3"/>
      <w:r>
        <w:rPr>
          <w:rFonts w:hint="eastAsia" w:ascii="SimSun" w:hAnsi="SimSun" w:eastAsia="SimSun" w:cs="SimSun"/>
          <w:b w:val="1"/>
          <w:color w:val="1565c0"/>
          <w:sz w:val="20"/>
        </w:rPr>
        <w:t>（三）结构层面的差异</w:t>
      </w:r>
      <w:bookmarkEnd w:id="10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0D895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对比维度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0D9C2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实验一静态数据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F9168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实时数据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8f0fe"/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64AEA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Sun" w:hAnsi="SimSun" w:eastAsia="SimSun" w:cs="SimSun"/>
                <w:b w:val="1"/>
                <w:color w:val="1a237e"/>
                <w:sz w:val="16"/>
              </w:rPr>
              <w:t>变化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2CB6A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记录条数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9141B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12 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46320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27 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0FD20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+15 条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0F528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融资金额合计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45EB9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223.1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B87BD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386.5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A48FE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+73.3%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6C996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单笔均值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43D67D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18.6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A02782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14.3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4CBB4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-23.0%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6F0F0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单笔中位数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6EDD9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7.2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6D521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4.0 亿美元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1064B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-44.4%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D8FDBA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单笔最高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E3194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66 亿美元（OpenAI）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C0241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116 亿美元（DeepSeek）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E5B9D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+75.8%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C22EE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头部三笔集中度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8A536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74.4%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6DD5FB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55.9%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D7F7F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-18.5 个百分点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258A6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覆盖国家 / 地区数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D4D28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4 个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46551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4 个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47D79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持平，构成不同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2023C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细分领域数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D1432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5 个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06A333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10 个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3FAAB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+5 个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43F410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美国金额占比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F7C10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86.3%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AF4F1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39.0%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5127E5F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-47.3 个百分点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11CED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中国金额占比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AED78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8.6%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7665C8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50.9%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C9087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+42.3 个百分点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1EAC36A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大模型金额占比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6A141E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88.8%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399C79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16"/>
              </w:rPr>
              <w:t>42.9%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0" w:type="dxa"/>
              <w:left w:w="148" w:type="dxa"/>
              <w:bottom w:w="100" w:type="dxa"/>
              <w:right w:w="148" w:type="dxa"/>
            </w:tcMar>
            <w:vAlign w:val="center"/>
          </w:tcPr>
          <w:p w14:paraId="2CFEA1B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16"/>
              </w:rPr>
              <w:t>-45.9 个百分点</w:t>
            </w:r>
          </w:p>
        </w:tc>
      </w:tr>
    </w:tbl>
    <w:p w14:paraId="54669EC1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上表可以归纳为三组变化。第一组是"规模抬升但更分散"：合计金额增长 73.3%，单笔最高增长 75.8%，但同时均值和中位数双双下降，头部集中度回落 18.5 个百分点——资金总量变大了，但单笔的典型规模反而变小了。</w:t>
      </w:r>
    </w:p>
    <w:p w14:paraId="231479DB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第二组是"地域重心东移"：美国占比回落近一半，中国占比提升逾 40 个百分点。第三组是"赛道去单极化"：大模型占比下降约 46 个百分点，细分领域数量翻倍。</w:t>
      </w:r>
    </w:p>
    <w:p w14:paraId="11553E47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11" w:name="section-4-4"/>
      <w:r>
        <w:rPr>
          <w:rFonts w:hint="eastAsia" w:ascii="SimSun" w:hAnsi="SimSun" w:eastAsia="SimSun" w:cs="SimSun"/>
          <w:b w:val="1"/>
          <w:color w:val="1565c0"/>
          <w:sz w:val="20"/>
        </w:rPr>
        <w:t>（四）对比小结</w:t>
      </w:r>
      <w:bookmarkEnd w:id="11"/>
    </w:p>
    <w:p w14:paraId="4949404E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综合来看，两套数据之间不是简单的"变多"或"变少"关系，而是市场结构发生了三重位移：资金从模型层向算力底座下沉，地域从美国单极向中美双极迁移，赛道从大模型单极向多极分散。</w:t>
      </w:r>
    </w:p>
    <w:p w14:paraId="4F29FE2C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这些位移中，"赛道去单极化"与"单笔中位数下移"两项在两次独立采集中方向一致，可靠性相对较高；而"中国反超美国"这一结论高度依赖单笔超大型交易，稳健性最弱，需要更长窗口的数据予以确认。</w:t>
      </w:r>
    </w:p>
    <w:p w14:paraId="3D62BE20">
      <w:pPr>
        <w:pStyle w:val="000005"/>
        <w:keepNext w:val="1"/>
        <w:keepLines w:val="1"/>
        <w:shd w:val="clear" w:fill="1a237e"/>
        <w:spacing w:before="600" w:beforeAutospacing="1" w:after="240" w:afterAutospacing="1" w:line="384"/>
        <w:jc w:val="left"/>
        <w:outlineLvl w:val="1"/>
        <w:rPr>
          <w:color w:val="ffffff"/>
          <w:sz w:val="32"/>
          <w:szCs w:val="32"/>
        </w:rPr>
      </w:pPr>
      <w:bookmarkStart w:id="12" w:name="section-5"/>
      <w:r>
        <w:rPr>
          <w:rFonts w:hint="eastAsia" w:ascii="SimSun" w:hAnsi="SimSun" w:eastAsia="SimSun" w:cs="SimSun"/>
          <w:b w:val="1"/>
          <w:color w:val="ffffff"/>
          <w:sz w:val="26"/>
        </w:rPr>
        <w:t>四、展望与建议</w:t>
      </w:r>
      <w:bookmarkEnd w:id="12"/>
    </w:p>
    <w:p w14:paraId="1831ABAF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18"/>
        </w:rPr>
        <w:t>基于前述趋势与结构变化，本部分给出三条趋势判断与五条可操作建议。</w:t>
      </w:r>
    </w:p>
    <w:p w14:paraId="066E83A3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13" w:name="section-5-1"/>
      <w:r>
        <w:rPr>
          <w:rFonts w:hint="eastAsia" w:ascii="SimSun" w:hAnsi="SimSun" w:eastAsia="SimSun" w:cs="SimSun"/>
          <w:b w:val="1"/>
          <w:color w:val="1565c0"/>
          <w:sz w:val="20"/>
        </w:rPr>
        <w:t>（一）趋势展望</w:t>
      </w:r>
      <w:bookmarkEnd w:id="13"/>
    </w:p>
    <w:p w14:paraId="67A99BAF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趋势一：算力底座将持续吸纳中等规模资金。</w:t>
      </w:r>
      <w:r>
        <w:rPr>
          <w:rFonts w:hint="eastAsia" w:ascii="SimSun" w:hAnsi="SimSun" w:eastAsia="SimSun" w:cs="SimSun"/>
          <w:color w:val="212121"/>
          <w:sz w:val="18"/>
        </w:rPr>
        <w:t>AI 基础设施与 AI 芯片在本次样本中已占 30.6%、9 起事件，且单笔规模集中在 2 亿至 50 亿美元区间。这类标的不依赖单一的技术叙事，收入可见度更高，预计在当前融资环境下比纯模型层更易获得持续加注。</w:t>
      </w:r>
    </w:p>
    <w:p w14:paraId="5ED53B29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趋势二：头部与中位的"哑铃化"可能延续。</w:t>
      </w:r>
      <w:r>
        <w:rPr>
          <w:rFonts w:hint="eastAsia" w:ascii="SimSun" w:hAnsi="SimSun" w:eastAsia="SimSun" w:cs="SimSun"/>
          <w:color w:val="212121"/>
          <w:sz w:val="18"/>
        </w:rPr>
        <w:t>单笔最高与中位数反向变动，说明市场正在分化：少数具备算力、数据或渠道壁垒的标的能拿到超大额资金，而大量中腰部项目只能拿到 4 亿美元以下的中小额融资。这一结构下，中腰部项目的融资难度和估值压力都会上升。</w:t>
      </w:r>
    </w:p>
    <w:p w14:paraId="5194D4D7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趋势三：地域叙事的不确定性上升。</w:t>
      </w:r>
      <w:r>
        <w:rPr>
          <w:rFonts w:hint="eastAsia" w:ascii="SimSun" w:hAnsi="SimSun" w:eastAsia="SimSun" w:cs="SimSun"/>
          <w:color w:val="212121"/>
          <w:sz w:val="18"/>
        </w:rPr>
        <w:t>中国区金额占比的跃升主要来自单笔事件，一旦缺少同类量级的交易，占比会迅速回落。因此短期内"中美双极"格局的稳固程度，取决于是否有第二、第三笔百亿美元级交易跟进。</w:t>
      </w:r>
    </w:p>
    <w:p w14:paraId="6766984A">
      <w:pPr>
        <w:pStyle w:val="000006"/>
        <w:keepNext w:val="1"/>
        <w:keepLines w:val="1"/>
        <w:spacing w:before="240" w:beforeAutospacing="1" w:after="108" w:afterAutospacing="1" w:line="384"/>
        <w:jc w:val="left"/>
        <w:outlineLvl w:val="2"/>
        <w:rPr>
          <w:color w:val="1565c0"/>
          <w:sz w:val="32"/>
          <w:szCs w:val="32"/>
        </w:rPr>
      </w:pPr>
      <w:bookmarkStart w:id="14" w:name="section-5-2"/>
      <w:r>
        <w:rPr>
          <w:rFonts w:hint="eastAsia" w:ascii="SimSun" w:hAnsi="SimSun" w:eastAsia="SimSun" w:cs="SimSun"/>
          <w:b w:val="1"/>
          <w:color w:val="1565c0"/>
          <w:sz w:val="20"/>
        </w:rPr>
        <w:t>（二）建议</w:t>
      </w:r>
      <w:bookmarkEnd w:id="14"/>
    </w:p>
    <w:p w14:paraId="49795AD6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建议一：把监测频率从"按月"提到"按周"。</w:t>
      </w:r>
      <w:r>
        <w:rPr>
          <w:rFonts w:hint="eastAsia" w:ascii="SimSun" w:hAnsi="SimSun" w:eastAsia="SimSun" w:cs="SimSun"/>
          <w:color w:val="212121"/>
          <w:sz w:val="18"/>
        </w:rPr>
        <w:t>本次 20 个有披露的日期中，仅 6 个日期的单日新增超过 20 亿美元，且集中在 8 月 22 日、9 月 2 日、9 月 8 日、9 月 15 日、9 月 28 日、10 月 6 日等少数节点，合计占累计金额的 78.0%。按月汇总会严重平滑掉这些跳变，无法捕捉交易节奏。</w:t>
      </w:r>
    </w:p>
    <w:p w14:paraId="10DEB9B5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建议二：对"媒体报道"类记录建立二次核实流程。</w:t>
      </w:r>
      <w:r>
        <w:rPr>
          <w:rFonts w:hint="eastAsia" w:ascii="SimSun" w:hAnsi="SimSun" w:eastAsia="SimSun" w:cs="SimSun"/>
          <w:color w:val="212121"/>
          <w:sz w:val="18"/>
        </w:rPr>
        <w:t>本次 27 条记录中，23 条来自公开媒体报道，3 条有官方公告或上市公司披露支撑（Hadrian、地瓜机器人、智谱），1 条为待证实的媒体转述（DeepSeek 116 亿美元）。建议对单笔金额超过 30 亿美元、且仅由媒体转述的记录，在引用时明确标注可信度等级，并在后续窗口跟踪其是否获得官方确认。</w:t>
      </w:r>
    </w:p>
    <w:p w14:paraId="3E5ADEE0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建议三：规模指标应与结构指标分开解读。</w:t>
      </w:r>
      <w:r>
        <w:rPr>
          <w:rFonts w:hint="eastAsia" w:ascii="SimSun" w:hAnsi="SimSun" w:eastAsia="SimSun" w:cs="SimSun"/>
          <w:color w:val="212121"/>
          <w:sz w:val="18"/>
        </w:rPr>
        <w:t>由于本次存在单笔占总额 30.0% 的超大型交易，任何以"总额"为分母的占比结论都高度敏感。建议在披露此类占比时同步给出剔除最大单笔后的口径，本报告在发现二中已按此处理——剔除 DeepSeek 后，中国区占比由 50.9% 降至 29.8%，美国回升至 55.8%。</w:t>
      </w:r>
    </w:p>
    <w:p w14:paraId="7B103786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建议四：补足中腰部标的的跟踪清单。</w:t>
      </w:r>
      <w:r>
        <w:rPr>
          <w:rFonts w:hint="eastAsia" w:ascii="SimSun" w:hAnsi="SimSun" w:eastAsia="SimSun" w:cs="SimSun"/>
          <w:color w:val="212121"/>
          <w:sz w:val="18"/>
        </w:rPr>
        <w:t>本次 27 起事件中有 14 起金额不超过 4 亿美元，方向高度分散，覆盖 AI 编程工具、AI 制药、低空经济、AI 安全、AI 陪伴、世界模型、机器人芯片、GPU 云服务等。这类小额交易往往先于赛道热度出现，建议单列观察清单，作为下一轮趋势的先行指标。</w:t>
      </w:r>
    </w:p>
    <w:p w14:paraId="59EF9058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建议五：将机器人、自动驾驶等物理 AI 方向列为重点跟踪板块。</w:t>
      </w:r>
      <w:r>
        <w:rPr>
          <w:rFonts w:hint="eastAsia" w:ascii="SimSun" w:hAnsi="SimSun" w:eastAsia="SimSun" w:cs="SimSun"/>
          <w:color w:val="212121"/>
          <w:sz w:val="18"/>
        </w:rPr>
        <w:t>具身智能、自动驾驶、国防 / 工业 AI 合计占 16.1%，且事件数达 6 起，资金已从"人形机器人"这一单一叙事扩展到海洋机器人、水下机器人、无人机等特种场景。这一扩散趋势如果在后续窗口继续，可能形成新的细分赛道集群。</w:t>
      </w:r>
    </w:p>
    <w:p w14:paraId="6BDEE539">
      <w:pPr>
        <w:pStyle w:val="000005"/>
        <w:keepNext w:val="1"/>
        <w:keepLines w:val="1"/>
        <w:shd w:val="clear" w:fill="1a237e"/>
        <w:spacing w:before="600" w:beforeAutospacing="1" w:after="240" w:afterAutospacing="1" w:line="384"/>
        <w:jc w:val="left"/>
        <w:outlineLvl w:val="1"/>
        <w:rPr>
          <w:color w:val="ffffff"/>
          <w:sz w:val="32"/>
          <w:szCs w:val="32"/>
        </w:rPr>
      </w:pPr>
      <w:bookmarkStart w:id="15" w:name="section-6"/>
      <w:r>
        <w:rPr>
          <w:rFonts w:hint="eastAsia" w:ascii="SimSun" w:hAnsi="SimSun" w:eastAsia="SimSun" w:cs="SimSun"/>
          <w:b w:val="1"/>
          <w:color w:val="ffffff"/>
          <w:sz w:val="26"/>
        </w:rPr>
        <w:t>五、数据说明与局限</w:t>
      </w:r>
      <w:bookmarkEnd w:id="15"/>
    </w:p>
    <w:p w14:paraId="6847D0FD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数据来源与采集方式。</w:t>
      </w:r>
      <w:r>
        <w:rPr>
          <w:rFonts w:hint="eastAsia" w:ascii="SimSun" w:hAnsi="SimSun" w:eastAsia="SimSun" w:cs="SimSun"/>
          <w:color w:val="212121"/>
          <w:sz w:val="18"/>
        </w:rPr>
        <w:t>数据来源为网页检索（Web Search）与浏览器页面采集（Agent Browser）两条通道，采集时间为 2026 年 10 月 15 日 08:30 至 08:55（GMT+8），覆盖区间为 2026 年 8 月 6 日至 10 月 14 日，共 27 起事件、20 个有披露的日期、69 天。</w:t>
      </w:r>
    </w:p>
    <w:p w14:paraId="719566CD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折算口径。</w:t>
      </w:r>
      <w:r>
        <w:rPr>
          <w:rFonts w:hint="eastAsia" w:ascii="SimSun" w:hAnsi="SimSun" w:eastAsia="SimSun" w:cs="SimSun"/>
          <w:color w:val="212121"/>
          <w:sz w:val="18"/>
        </w:rPr>
        <w:t>原始金额涉及三种货币，人民币按 1 美元兑 6.88 元折算，港元按 1 美元兑 7.8 港元折算，其余按原始美元金额计。</w:t>
      </w:r>
    </w:p>
    <w:p w14:paraId="3765D086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金额口径的不统一。</w:t>
      </w:r>
      <w:r>
        <w:rPr>
          <w:rFonts w:hint="eastAsia" w:ascii="SimSun" w:hAnsi="SimSun" w:eastAsia="SimSun" w:cs="SimSun"/>
          <w:color w:val="212121"/>
          <w:sz w:val="18"/>
        </w:rPr>
        <w:t>样本包含股权融资、债务融资（Waymo 30 亿美元）、上市公司配售与可转债（智谱约 50 亿美元、联发科 35 亿美元）等不同性质的资金，各类工具的偿付顺序、稀释效应与成本结构差异显著，横向加总仅用于观察量级，不构成同口径比较。</w:t>
      </w:r>
    </w:p>
    <w:p w14:paraId="2B2CCCF9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三项主要局限。</w:t>
      </w:r>
      <w:r>
        <w:rPr>
          <w:rFonts w:hint="eastAsia" w:ascii="SimSun" w:hAnsi="SimSun" w:eastAsia="SimSun" w:cs="SimSun"/>
          <w:color w:val="212121"/>
          <w:sz w:val="18"/>
        </w:rPr>
        <w:t>第一，两套数据的采集范围不对等——静态数据是 12 家标杆企业的定向样本、覆盖 2024 全年，实时数据是约 2.3 个月的公开信息扫描，因此总量与频率类指标不可直接比较。第二，存在"未采集到"与"未发生"的混淆风险，静态数据集中的 11 家企业在本次窗口内没有出现记录，仅代表未被采集到。第三，结构类结论对超大型交易敏感，本次最大单笔占总额 30.0%，相关占比结论需结合剔除口径一并解读。</w:t>
      </w:r>
    </w:p>
    <w:p w14:paraId="6BC6B66D">
      <w:pPr>
        <w:spacing w:after="180" w:line="384"/>
        <w:jc w:val="both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18"/>
        </w:rPr>
        <w:t>可信度分级。</w:t>
      </w:r>
      <w:r>
        <w:rPr>
          <w:rFonts w:hint="eastAsia" w:ascii="SimSun" w:hAnsi="SimSun" w:eastAsia="SimSun" w:cs="SimSun"/>
          <w:color w:val="212121"/>
          <w:sz w:val="18"/>
        </w:rPr>
        <w:t>3 条记录有官方公告或上市公司披露支撑，可信度最高；23 条来自公开媒体报道，可信度中等，其中金额与投资方信息可能存在后续修正；1 条（DeepSeek）为媒体转述、未经企业确认，引用时应标注为待证实。</w:t>
      </w:r>
    </w:p>
    <w:p w14:paraId="05F05E21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7A775A0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A6E1A1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5" w:semiHidden="1" w:unhideWhenUsed="1"/>
    <w:lsdException w:name="heading 2" w:uiPriority="9" w:semiHidden="1" w:unhideWhenUsed="1" w:qFormat="1"/>
    <w:lsdException w:name="Normal Indent" w:semiHidden="1" w:unhideWhenUsed="1"/>
    <w:lsdException w:name="Hyperlink" w:semiHidden="1" w:unhideWhenUsed="1"/>
    <w:lsdException w:name="Body Text Indent 3" w:semiHidden="1" w:unhideWhenUsed="1"/>
    <w:lsdException w:name="Body Text 3" w:semiHidden="1" w:unhideWhenUsed="1"/>
    <w:lsdException w:name="Title" w:uiPriority="10" w:qFormat="1"/>
    <w:lsdException w:name="List Number 4" w:semiHidden="1" w:unhideWhenUsed="1"/>
    <w:lsdException w:name="Body Text Indent" w:semiHidden="1" w:unhideWhenUsed="1"/>
    <w:lsdException w:name="Body Text First Indent" w:semiHidden="1" w:unhideWhenUsed="1"/>
    <w:lsdException w:name="endnote reference" w:semiHidden="1" w:unhideWhenUsed="1"/>
    <w:lsdException w:name="toc 7" w:uiPriority="39" w:semiHidden="1" w:unhideWhenUsed="1"/>
    <w:lsdException w:name="List 5" w:semiHidden="1" w:unhideWhenUsed="1"/>
    <w:lsdException w:name="List 2" w:semiHidden="1" w:unhideWhenUsed="1"/>
    <w:lsdException w:name="Default Paragraph Font" w:uiPriority="1" w:semiHidden="1" w:unhideWhenUsed="1"/>
    <w:lsdException w:name="List Continue" w:semiHidden="1" w:unhideWhenUsed="1"/>
    <w:lsdException w:name="List Continue 5" w:semiHidden="1" w:unhideWhenUsed="1"/>
    <w:lsdException w:name="List Number 3" w:semiHidden="1" w:unhideWhenUsed="1"/>
    <w:lsdException w:name="List Bullet" w:semiHidden="1" w:unhideWhenUsed="1"/>
    <w:lsdException w:name="List 4" w:semiHidden="1" w:unhideWhenUsed="1"/>
    <w:lsdException w:name="List" w:semiHidden="1" w:unhideWhenUsed="1"/>
    <w:lsdException w:name="index heading" w:semiHidden="1" w:unhideWhenUsed="1"/>
    <w:lsdException w:name="caption" w:uiPriority="35" w:semiHidden="1" w:unhideWhenUsed="1" w:qFormat="1"/>
    <w:lsdException w:name="index 1" w:semiHidden="1" w:unhideWhenUsed="1"/>
    <w:lsdException w:name="Body Text" w:semiHidden="1" w:unhideWhenUsed="1"/>
    <w:lsdException w:name="index 9" w:semiHidden="1" w:unhideWhenUsed="1"/>
    <w:lsdException w:name="index 2" w:semiHidden="1" w:unhideWhenUsed="1"/>
    <w:lsdException w:name="toc 5" w:uiPriority="39" w:semiHidden="1" w:unhideWhenUsed="1"/>
    <w:lsdException w:name="toc 3" w:uiPriority="39" w:semiHidden="1" w:unhideWhenUsed="1"/>
    <w:lsdException w:name="table of authorities" w:semiHidden="1" w:unhideWhenUsed="1"/>
    <w:lsdException w:name="toc 8" w:uiPriority="39" w:semiHidden="1" w:unhideWhenUsed="1"/>
    <w:lsdException w:name="List Bullet 3" w:semiHidden="1" w:unhideWhenUsed="1"/>
    <w:lsdException w:name="Subtitle" w:uiPriority="11" w:qFormat="1"/>
    <w:lsdException w:name="heading 7" w:uiPriority="9" w:semiHidden="1" w:unhideWhenUsed="1" w:qFormat="1"/>
    <w:lsdException w:name="List Bullet 5" w:semiHidden="1" w:unhideWhenUsed="1"/>
    <w:lsdException w:name="footnote text" w:semiHidden="1" w:unhideWhenUsed="1"/>
    <w:lsdException w:name="List Continue 3" w:semiHidden="1" w:unhideWhenUsed="1"/>
    <w:lsdException w:name="heading 3" w:uiPriority="9" w:semiHidden="1" w:unhideWhenUsed="1" w:qFormat="1"/>
    <w:lsdException w:name="toc 9" w:uiPriority="39" w:semiHidden="1" w:unhideWhenUsed="1"/>
    <w:lsdException w:name="FollowedHyperlink" w:semiHidden="1" w:unhideWhenUsed="1"/>
    <w:lsdException w:name="endnote text" w:semiHidden="1" w:unhideWhenUsed="1"/>
    <w:lsdException w:name="index 3" w:semiHidden="1" w:unhideWhenUsed="1"/>
    <w:lsdException w:name="footer" w:semiHidden="1" w:unhideWhenUsed="1"/>
    <w:lsdException w:name="Normal" w:uiPriority="0" w:qFormat="1"/>
    <w:lsdException w:name="index 4" w:semiHidden="1" w:unhideWhenUsed="1"/>
    <w:lsdException w:name="index 6" w:semiHidden="1" w:unhideWhenUsed="1"/>
    <w:lsdException w:name="Closing" w:semiHidden="1" w:unhideWhenUsed="1"/>
    <w:lsdException w:name="Body Text Indent 2" w:semiHidden="1" w:unhideWhenUsed="1"/>
    <w:lsdException w:name="Salutation" w:semiHidden="1" w:unhideWhenUsed="1"/>
    <w:lsdException w:name="macro" w:semiHidden="1" w:unhideWhenUsed="1"/>
    <w:lsdException w:name="Block Text" w:semiHidden="1" w:unhideWhenUsed="1"/>
    <w:lsdException w:name="heading 5" w:uiPriority="9" w:semiHidden="1" w:unhideWhenUsed="1" w:qFormat="1"/>
    <w:lsdException w:name="toc 6" w:uiPriority="39" w:semiHidden="1" w:unhideWhenUsed="1"/>
    <w:lsdException w:name="toc 1" w:uiPriority="39" w:semiHidden="1" w:unhideWhenUsed="1"/>
    <w:lsdException w:name="Date" w:semiHidden="1" w:unhideWhenUsed="1"/>
    <w:lsdException w:name="List 3" w:semiHidden="1" w:unhideWhenUsed="1"/>
    <w:lsdException w:name="Note Heading" w:semiHidden="1" w:unhideWhenUsed="1"/>
    <w:lsdException w:name="index 7" w:semiHidden="1" w:unhideWhenUsed="1"/>
    <w:lsdException w:name="Body Text First Indent 2" w:semiHidden="1" w:unhideWhenUsed="1"/>
    <w:lsdException w:name="heading 8" w:uiPriority="9" w:semiHidden="1" w:unhideWhenUsed="1" w:qFormat="1"/>
    <w:lsdException w:name="table of figures" w:semiHidden="1" w:unhideWhenUsed="1"/>
    <w:lsdException w:name="List Bullet 2" w:semiHidden="1" w:unhideWhenUsed="1"/>
    <w:lsdException w:name="toc 4" w:uiPriority="39" w:semiHidden="1" w:unhideWhenUsed="1"/>
    <w:lsdException w:name="List Number 2" w:semiHidden="1" w:unhideWhenUsed="1"/>
    <w:lsdException w:name="line number" w:semiHidden="1" w:unhideWhenUsed="1"/>
    <w:lsdException w:name="List Number" w:semiHidden="1" w:unhideWhenUsed="1"/>
    <w:lsdException w:name="Body Text 2" w:semiHidden="1" w:unhideWhenUsed="1"/>
    <w:lsdException w:name="header" w:semiHidden="1" w:unhideWhenUsed="1"/>
    <w:lsdException w:name="heading 1" w:uiPriority="9" w:qFormat="1"/>
    <w:lsdException w:name="page number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Message Header" w:semiHidden="1" w:unhideWhenUsed="1"/>
    <w:lsdException w:name="index 8" w:semiHidden="1" w:unhideWhenUsed="1"/>
    <w:lsdException w:name="envelope return" w:semiHidden="1" w:unhideWhenUsed="1"/>
    <w:lsdException w:name="annotation text" w:semiHidden="1" w:unhideWhenUsed="1"/>
    <w:lsdException w:name="Strong" w:uiPriority="22" w:qFormat="1"/>
    <w:lsdException w:name="annotation reference" w:semiHidden="1" w:unhideWhenUsed="1"/>
    <w:lsdException w:name="footnote reference" w:semiHidden="1" w:unhideWhenUsed="1"/>
    <w:lsdException w:name="Signature" w:semiHidden="1" w:unhideWhenUsed="1"/>
    <w:lsdException w:name="envelope address" w:semiHidden="1" w:unhideWhenUsed="1"/>
    <w:lsdException w:name="heading 6" w:uiPriority="9" w:semiHidden="1" w:unhideWhenUsed="1" w:qFormat="1"/>
    <w:lsdException w:name="List Bullet 4" w:semiHidden="1" w:unhideWhenUsed="1"/>
    <w:lsdException w:name="toc 2" w:uiPriority="39" w:semiHidden="1" w:unhideWhenUsed="1"/>
    <w:lsdException w:name="List Continue 4" w:semiHidden="1" w:unhideWhenUsed="1"/>
    <w:lsdException w:name="toa heading" w:semiHidden="1" w:unhideWhenUsed="1"/>
    <w:lsdException w:name="List Continue 2" w:semiHidden="1" w:unhideWhenUsed="1"/>
    <w:lsdException w:name="List Number 5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2026-10-15T13:12:24Z</dcterms:created>
  <dcterms:modified xsi:type="dcterms:W3CDTF">2026-10-15T13:12:24Z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"01a13df6aae173d691b426527eb60d72", "ReservedCode1": "", "ContentPropagator": "00119111010856365494821B355", "PropagateID": "01a13df6aae173d691b426527eb60d72", "ReservedCode2": ""}}</vt:lpwstr>
  </property>
</Properties>
</file>