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9EC04">
      <w:pPr>
        <w:pStyle w:val="31"/>
        <w:jc w:val="center"/>
      </w:pPr>
      <w:r>
        <w:rPr>
          <w:rFonts w:hint="eastAsia" w:ascii="微软雅黑" w:hAnsi="微软雅黑" w:eastAsia="微软雅黑" w:cs="微软雅黑"/>
        </w:rPr>
        <w:t>现有方案流程说明</w:t>
      </w:r>
    </w:p>
    <w:p w14:paraId="21830850">
      <w:pPr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利用候选规则与 PPO，为首次出现的状态账户选择分片。模型在 Python 环境离线训练，选定后冻结，在 BlockEmulator 中评估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。</w:t>
      </w:r>
    </w:p>
    <w:p w14:paraId="44959E5B">
      <w:pPr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整体流程：</w:t>
      </w:r>
    </w:p>
    <w:p w14:paraId="5F61F4CF">
      <w:pPr>
        <w:numPr>
          <w:ilvl w:val="0"/>
          <w:numId w:val="7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数据构建与切分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1"/>
          <w:szCs w:val="21"/>
        </w:rPr>
        <w:t>27 台设备的网络流 + 设备位置/链路数据 → 生成区块链交易文件和 sidecar（辅助特征文件）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，训练集 250 万 → 验证集 444,019 → 测试集 200 万，三个窗口不重叠）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</w:p>
    <w:p w14:paraId="45058976">
      <w:pPr>
        <w:numPr>
          <w:ilvl w:val="0"/>
          <w:numId w:val="7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 选择 Top-K、奖励权重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（只用训练集和验证集筛选 Candidate TopK 与奖励权重：先比较 K=6/7/8，再比较几组奖励权重）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</w:p>
    <w:p w14:paraId="414C5623">
      <w:pPr>
        <w:numPr>
          <w:ilvl w:val="0"/>
          <w:numId w:val="7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正式离线训练 PPO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（固定 TopK 和奖励权重后，对 seed 7 / 17 / 27 分别训练 15 个 epoch；每个 epoch 后都在验证集验证并保存 checkpoint）</w:t>
      </w:r>
    </w:p>
    <w:p w14:paraId="0FF9B5DF">
      <w:pPr>
        <w:numPr>
          <w:ilvl w:val="0"/>
          <w:numId w:val="7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从多个 checkpoint 中选最终模型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（根据“跨片率、活跃分片数、热点”形成 Pareto 候选，再按两层约束规则选出每个 seed 的冻结模型）</w:t>
      </w:r>
    </w:p>
    <w:p w14:paraId="51D575D2">
      <w:pPr>
        <w:numPr>
          <w:ilvl w:val="0"/>
          <w:numId w:val="7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 冻结模型验证与系统标定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（先做 Python 独立验证，再在 BlockEmulator 的验证集上检查系统运行并标定统一输入率）</w:t>
      </w:r>
    </w:p>
    <w:p w14:paraId="2B854FCA">
      <w:pPr>
        <w:numPr>
          <w:ilvl w:val="0"/>
          <w:numId w:val="7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最终 BlockEmulator 评估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（测试集负责最终系统评价）</w:t>
      </w:r>
    </w:p>
    <w:p w14:paraId="43F8265D"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一 数据准备与当前状态定义</w:t>
      </w:r>
    </w:p>
    <w:p w14:paraId="3D710056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UNSW 的 27 台 IoT 设备流量经处理得到 4,944,019 条有效记录、76,015 个状态账户。当前状态标识含“设备＋对端/服务＋端口/协议”，同一服务被不同设备访问通常仍形成不同状态。交易文件与 sidecar（逐条特征）对应，按原时间顺序切分：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1469"/>
        <w:gridCol w:w="7229"/>
      </w:tblGrid>
      <w:tr w14:paraId="438FB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4EB14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数据窗口</w:t>
            </w:r>
          </w:p>
        </w:tc>
        <w:tc>
          <w:tcPr>
            <w:tcW w:w="14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C7303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记录数量</w:t>
            </w:r>
          </w:p>
        </w:tc>
        <w:tc>
          <w:tcPr>
            <w:tcW w:w="72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6D33D6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用途</w:t>
            </w:r>
          </w:p>
        </w:tc>
      </w:tr>
      <w:tr w14:paraId="743CD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73FD7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训练集</w:t>
            </w:r>
          </w:p>
        </w:tc>
        <w:tc>
          <w:tcPr>
            <w:tcW w:w="14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D9EA6C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2,500,000</w:t>
            </w:r>
          </w:p>
        </w:tc>
        <w:tc>
          <w:tcPr>
            <w:tcW w:w="72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61EE02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 [0, 2500000)，更新模型参数</w:t>
            </w:r>
          </w:p>
        </w:tc>
      </w:tr>
      <w:tr w14:paraId="02F95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512017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验证集</w:t>
            </w:r>
          </w:p>
        </w:tc>
        <w:tc>
          <w:tcPr>
            <w:tcW w:w="14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BB8FE2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444,019</w:t>
            </w:r>
          </w:p>
        </w:tc>
        <w:tc>
          <w:tcPr>
            <w:tcW w:w="72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D2E39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 [2500000, 2944019)，调参和选模型</w:t>
            </w:r>
          </w:p>
        </w:tc>
      </w:tr>
      <w:tr w14:paraId="2BD1C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C660A2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测试集</w:t>
            </w:r>
          </w:p>
        </w:tc>
        <w:tc>
          <w:tcPr>
            <w:tcW w:w="14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A798D3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2,000,000</w:t>
            </w:r>
          </w:p>
        </w:tc>
        <w:tc>
          <w:tcPr>
            <w:tcW w:w="72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2C21EC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 [2944019, 4944019)，冻结后报告效果</w:t>
            </w:r>
          </w:p>
        </w:tc>
      </w:tr>
    </w:tbl>
    <w:p w14:paraId="5BC884B1">
      <w:pPr>
        <w:spacing w:before="10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设备账户按哈希固定归属分片，优化对象是状态账户的位置。IoT 适配后的实际交易方向为“状态账户 → 本条记录的设备账户”；网关、云端等附加锚点主要提供关系特征。距离和链路特征来自另一数据集的映射，不是原设备网络的直接实测。</w:t>
      </w:r>
    </w:p>
    <w:p w14:paraId="68B913BC">
      <w:pPr>
        <w:spacing w:before="10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当前“状态对象”的定义</w:t>
      </w:r>
    </w:p>
    <w:p w14:paraId="3A0BF683">
      <w:pPr>
        <w:spacing w:before="10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• 状态对象 ≈ 设备 + 通信对端 + 服务/端口 + 协议。</w:t>
      </w:r>
    </w:p>
    <w:p w14:paraId="4D8B7E38">
      <w:pPr>
        <w:spacing w:before="10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• 设备、网关、云端、服务组等作为 anchor（关联锚点），用于描述这个状态对象与哪些实体有关。</w:t>
      </w:r>
    </w:p>
    <w:p w14:paraId="47096101">
      <w:pPr>
        <w:spacing w:before="10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• 当前执行语义中，BlockEmulator 会把状态对象作为交易发送方，把 primary anchor（主要所属设备锚点）作为接收方；其他多锚点主要用于状态特征和候选分片计算。</w:t>
      </w:r>
    </w:p>
    <w:p w14:paraId="236A7ED7"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二 每次首次放置怎样决策</w:t>
      </w:r>
    </w:p>
    <w:p w14:paraId="56FBE4D0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① 读取一批 1,000 条交易。已有状态沿用已选分片；新状态进入候选和 PPO 决策。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② 构造 203 维输入：最近五个窗口的分片交易阶段量与跨片量、关联锚点分布、已放置状态分布及 10 维 IoT 特征等。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③ 规则按“关联得分高、当前压力低”给 16 个分片排序，保留 Top-K，屏蔽其他动作。压力来自已放置状态数及近期阶段量。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④ PPO 从候选中选择一个分片，保存状态位置并更新后续决策信息；该状态在本轮回放中不再迁移。</w:t>
      </w:r>
    </w:p>
    <w:p w14:paraId="45FD35BF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当前 K=7，表示每次允许选择至多 7 个候选分片。旧容量过滤开关为关闭，但候选评分本身仍有负载惩罚。</w:t>
      </w:r>
    </w:p>
    <w:p w14:paraId="6BF29415"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三 怎样开始训练以及怎样选 Top K</w:t>
      </w:r>
    </w:p>
    <w:p w14:paraId="1625ACB0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对每套待比较参数，从初始化的 PPO 模型开始，在训练集上按批顺序回放 15 轮；每轮重置环境和放置表，保留已学到的网络参数。训练时按候选内的策略概率采样动作，将放置动作和奖励存入缓冲区，累计约 1,024 个动作后更新；一次更新进行 4 遍 PPO 优化。</w:t>
      </w:r>
    </w:p>
    <w:p w14:paraId="3F13059E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采用 iot_dense_balanced 奖励：结合动作级关系/负载反馈和批次反馈；批次的跨片、均衡、通信代理、热点项权重分别为 0.55、0.30、0.10、0.05。训练每完成一轮，立即按下一页规则验证并保存模型。</w:t>
      </w:r>
    </w:p>
    <w:p w14:paraId="6800E66F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开发阶段先以 seed7 比较 K=6、7、8，分别训练、验证和选 checkpoint；相应验证跨片率约为 67.87%、66.28%、66.42%，最终采用 K=7。另比较了跨片/均衡权重 0.50/0.35、0.55/0.30、0.60/0.25，选用中间组合后补做 seed17/27，与 seed7 组成三次独立训练。K=7 是本轮开发选择，不代表普遍最优。</w:t>
      </w:r>
    </w:p>
    <w:p w14:paraId="39D13310">
      <w:pPr>
        <w:pStyle w:val="3"/>
        <w:pageBreakBefore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四 每轮验证和 checkpoint 筛选</w:t>
      </w:r>
    </w:p>
    <w:p w14:paraId="24B10A98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checkpoint 是某一训练时刻的模型权重。每轮后，在验证集单独冷启动，以候选内最大概率动作回放，不学习。15 轮各验证一次，末次剩余样本更新后再验证，共记录 16 个候选快照，末次可能与第 15 轮相同。</w:t>
      </w:r>
    </w:p>
    <w:p w14:paraId="344ECE56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先保留 Pareto 候选：去掉在跨片率、阶段热点、平均活跃片数上均不优于另一模型，且至少一项更差的模型。再按以下规则选定一个 checkpoint：</w:t>
      </w:r>
    </w:p>
    <w:p w14:paraId="10E2B943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严格层：</w:t>
      </w:r>
      <w:r>
        <w:rPr>
          <w:rFonts w:hint="eastAsia" w:ascii="微软雅黑" w:hAnsi="微软雅黑" w:eastAsia="微软雅黑" w:cs="微软雅黑"/>
          <w:sz w:val="21"/>
          <w:szCs w:val="21"/>
        </w:rPr>
        <w:t>平均活跃分片数 ≥ 8，且累计阶段热点占比 ≤ 35%；合格模型中先选跨片率最低者，平局再比较热点和活跃片数。</w:t>
      </w:r>
    </w:p>
    <w:p w14:paraId="03308490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容差层：</w:t>
      </w:r>
      <w:r>
        <w:rPr>
          <w:rFonts w:hint="eastAsia" w:ascii="微软雅黑" w:hAnsi="微软雅黑" w:eastAsia="微软雅黑" w:cs="微软雅黑"/>
          <w:sz w:val="21"/>
          <w:szCs w:val="21"/>
        </w:rPr>
        <w:t>仅在严格层没有候选时，允许活跃片数最多不足 5%，即最低 7.6；热点仍须 ≤ 35%。先选活跃片缺口最小者，再选跨片率最低者。两层均不合格则不部署，不直接使用最后一轮或最高标量奖励模型。</w:t>
      </w:r>
    </w:p>
    <w:p w14:paraId="4846203B">
      <w:pPr>
        <w:spacing w:after="60" w:line="252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口径：活跃片按每批负载份额达到 3% 计数，再求均值；阶段热点是最忙片累计处理阶段占总阶段的比例。本片交易计一个阶段，跨片交易计源片和目标片两个阶段。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4118"/>
        <w:gridCol w:w="4579"/>
      </w:tblGrid>
      <w:tr w14:paraId="72144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06DB22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训练种子</w:t>
            </w:r>
          </w:p>
        </w:tc>
        <w:tc>
          <w:tcPr>
            <w:tcW w:w="4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36F0D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最终 checkpoint</w:t>
            </w:r>
          </w:p>
        </w:tc>
        <w:tc>
          <w:tcPr>
            <w:tcW w:w="45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36F9E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选中层级</w:t>
            </w:r>
          </w:p>
        </w:tc>
      </w:tr>
      <w:tr w14:paraId="7EAA0A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EFAB2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seed7</w:t>
            </w:r>
          </w:p>
        </w:tc>
        <w:tc>
          <w:tcPr>
            <w:tcW w:w="4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38F80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第 12 轮验证</w:t>
            </w:r>
          </w:p>
        </w:tc>
        <w:tc>
          <w:tcPr>
            <w:tcW w:w="45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05549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严格层</w:t>
            </w:r>
          </w:p>
        </w:tc>
      </w:tr>
      <w:tr w14:paraId="5587E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F44B6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seed17</w:t>
            </w:r>
          </w:p>
        </w:tc>
        <w:tc>
          <w:tcPr>
            <w:tcW w:w="4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45DF1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第 15 轮后的最终验证</w:t>
            </w:r>
          </w:p>
        </w:tc>
        <w:tc>
          <w:tcPr>
            <w:tcW w:w="45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002405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容差层</w:t>
            </w:r>
          </w:p>
        </w:tc>
      </w:tr>
      <w:tr w14:paraId="0B501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12AF25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seed27</w:t>
            </w:r>
          </w:p>
        </w:tc>
        <w:tc>
          <w:tcPr>
            <w:tcW w:w="4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EAE4E">
            <w:pPr>
              <w:spacing w:after="0" w:line="252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第 5 轮验证</w:t>
            </w:r>
          </w:p>
        </w:tc>
        <w:tc>
          <w:tcPr>
            <w:tcW w:w="45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D52FB">
            <w:pPr>
              <w:spacing w:after="0" w:line="252" w:lineRule="auto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容差层</w:t>
            </w:r>
          </w:p>
        </w:tc>
      </w:tr>
    </w:tbl>
    <w:p w14:paraId="47C72DEE"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五 冻结后再做验证复核</w:t>
      </w:r>
    </w:p>
    <w:p w14:paraId="046B620C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导出部署 .pt 文件，保存选择记录、参数和模型散列。测试集不用于重选 K、权重或 checkpoint。</w:t>
      </w:r>
    </w:p>
    <w:p w14:paraId="780063FA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用独立评估入口重载模型，在同一验证集冷启动复核三项选模指标；再做 BlockEmulator 验证窗口运行，检查身份、模型加载和回退情况。这里仍使用原验证集，不是新增的独立测试数据。</w:t>
      </w:r>
    </w:p>
    <w:p w14:paraId="0AE11660"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六 测试集如何进行系统评估</w:t>
      </w:r>
    </w:p>
    <w:p w14:paraId="52E95ABE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测试窗口冷启动，设备归属固定，状态首次出现仍要选片，不沿用训练或验证的状态位置。Go 构造当前观测与 Top7 候选，调用 Python 冻结模型取最大概率动作，按所选位置路由；关闭在线训练和随机采样。</w:t>
      </w:r>
    </w:p>
    <w:p w14:paraId="419900F8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同片交易在片内经 PBFT 执行；跨片交易通过 Relay 在源片和目标片分阶段完成。主设置为 16 分片、每块最多 1,000 个交易阶段、块间隔 5 秒、输入率 250 笔/秒；另有 300 笔/秒等压力测试，不与 250 的结果混算。</w:t>
      </w:r>
    </w:p>
    <w:p w14:paraId="008FD97B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同窗口、同系统设置下，对照 Hash、Random、MinState、Heuristic、AnchorOnly、NSshard 适配及 Candidate-Only。Candidate-Only直接选候选规则得分最高的分片，用来检验 PPO 增量。TopK0 和 Original SPRING 适配未选出合格模型，只报告训练/验证结论。</w:t>
      </w:r>
    </w:p>
    <w:p w14:paraId="46AD223A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先查交易完成覆盖、重复/遗漏、运行完整性及推理回退，再统计跨片率、平均及 P95/P99 延迟、吞吐，以及总阶段、最忙片绝对阶段量和阶段 Jain。固定输入下吞吐接近 250，不能单独证明服务容量提高。</w:t>
      </w:r>
    </w:p>
    <w:p w14:paraId="3189860C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当前限制：</w:t>
      </w:r>
      <w:r>
        <w:rPr>
          <w:rFonts w:hint="eastAsia" w:ascii="微软雅黑" w:hAnsi="微软雅黑" w:eastAsia="微软雅黑" w:cs="微软雅黑"/>
          <w:sz w:val="21"/>
          <w:szCs w:val="21"/>
        </w:rPr>
        <w:t>多锚点特征不等于多个实际交易对手；旧语义常将状态绑定单台设备，简单跟随规则可能已很强。批次末结束信号和跨批奖励归因仍需核对。</w:t>
      </w:r>
    </w:p>
    <w:p w14:paraId="19021948">
      <w:pPr>
        <w:spacing w:after="60" w:line="252" w:lineRule="auto"/>
        <w:rPr>
          <w:rFonts w:hint="eastAsia" w:ascii="微软雅黑" w:hAnsi="微软雅黑" w:eastAsia="微软雅黑" w:cs="微软雅黑"/>
          <w:sz w:val="21"/>
          <w:szCs w:val="21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893" w:right="1037" w:bottom="864" w:left="1037" w:header="403" w:footer="40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E828B">
    <w:pPr>
      <w:pStyle w:val="24"/>
      <w:jc w:val="center"/>
    </w:pPr>
    <w:r>
      <w:rPr>
        <w:sz w:val="18"/>
      </w:rPr>
      <w:t xml:space="preserve">现有系统流程说明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9A7A2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A7081A"/>
    <w:multiLevelType w:val="singleLevel"/>
    <w:tmpl w:val="C3A7081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6D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9" w:lineRule="auto"/>
    </w:pPr>
    <w:rPr>
      <w:rFonts w:ascii="Calibri" w:hAnsi="Calibri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80" w:after="80"/>
      <w:outlineLvl w:val="0"/>
    </w:pPr>
    <w:rPr>
      <w:rFonts w:asciiTheme="majorHAnsi" w:hAnsiTheme="majorHAnsi" w:eastAsiaTheme="majorEastAsia" w:cstheme="majorBidi"/>
      <w:b/>
      <w:bCs/>
      <w:color w:val="000000"/>
      <w:sz w:val="25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1996</Words>
  <Characters>2452</Characters>
  <Lines>0</Lines>
  <Paragraphs>0</Paragraphs>
  <TotalTime>2</TotalTime>
  <ScaleCrop>false</ScaleCrop>
  <LinksUpToDate>false</LinksUpToDate>
  <CharactersWithSpaces>2615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刘芯语</dc:creator>
  <dc:description>generated by python-docx</dc:description>
  <cp:lastModifiedBy>刘芯语</cp:lastModifiedBy>
  <dcterms:modified xsi:type="dcterms:W3CDTF">2026-09-10T03:07:45Z</dcterms:modified>
  <dc:subject>v1 当前状态语义下的训练验证选模与系统评估流程</dc:subject>
  <dc:title>物联网区块链分片现有方案流程说明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eyJoZGlkIjoiN2MyZDkyNjc1NTM2MjdlNDQ5NjllOTlhMTVkZDhlMGEiLCJ1c2VySWQiOiIxNzI3MTc2MzQ5In0=</vt:lpwstr>
  </property>
  <property fmtid="{D5CDD505-2E9C-101B-9397-08002B2CF9AE}" pid="3" name="KSOProductBuildVer">
    <vt:lpwstr>2052-12.1.0.23542</vt:lpwstr>
  </property>
  <property fmtid="{D5CDD505-2E9C-101B-9397-08002B2CF9AE}" pid="4" name="ICV">
    <vt:lpwstr>E691D7D5BEDA4881909BCEAD358578E8_12</vt:lpwstr>
  </property>
</Properties>
</file>