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9148AC">
      <w:pPr>
        <w:spacing w:line="400" w:lineRule="exact"/>
        <w:ind w:firstLine="0"/>
        <w:jc w:val="center"/>
      </w:pPr>
      <w:bookmarkStart w:id="0" w:name="_Ref528760463"/>
      <w:bookmarkStart w:id="1" w:name="_Toc311948164"/>
      <w:r>
        <w:object>
          <v:shape id="_x0000_i1025" o:spt="75" type="#_x0000_t75" style="height:72.95pt;width:73.8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7C180F88">
      <w:pPr>
        <w:spacing w:line="400" w:lineRule="exact"/>
        <w:ind w:firstLine="0"/>
        <w:jc w:val="center"/>
      </w:pPr>
      <w:r>
        <w:object>
          <v:shape id="_x0000_i1026" o:spt="75" type="#_x0000_t75" style="height:59.85pt;width:226.3pt;" o:ole="t" filled="f" o:preferrelative="t" stroked="f" coordsize="21600,21600">
            <v:path/>
            <v:fill on="f" focussize="0,0"/>
            <v:stroke on="f" joinstyle="miter"/>
            <v:imagedata r:id="rId13" o:title=""/>
            <o:lock v:ext="edit" aspectratio="t"/>
            <w10:wrap type="none"/>
            <w10:anchorlock/>
          </v:shape>
          <o:OLEObject Type="Embed" ProgID="PBrush" ShapeID="_x0000_i1026" DrawAspect="Content" ObjectID="_1468075726" r:id="rId12">
            <o:LockedField>false</o:LockedField>
          </o:OLEObject>
        </w:object>
      </w:r>
    </w:p>
    <w:p w14:paraId="34C43405">
      <w:pPr>
        <w:spacing w:line="400" w:lineRule="exact"/>
        <w:ind w:firstLine="0"/>
      </w:pPr>
    </w:p>
    <w:p w14:paraId="0187E29F">
      <w:pPr>
        <w:spacing w:line="400" w:lineRule="exact"/>
        <w:ind w:firstLineChars="100" w:firstLine="0"/>
        <w:jc w:val="left"/>
        <w:rPr>
          <w:b/>
          <w:bCs/>
          <w:spacing w:val="100"/>
          <w:position w:val="4"/>
          <w:sz w:val="84"/>
        </w:rPr>
      </w:pPr>
      <w:r>
        <w:rPr>
          <w:rFonts w:hint="eastAsia" w:ascii="宋体" w:hAnsi="宋体" w:eastAsia="宋体"/>
          <w:b w:val="0"/>
          <w:bCs/>
          <w:spacing w:val="100"/>
          <w:position w:val="4"/>
          <w:sz w:val="24"/>
        </w:rPr>
        <w:t>硕士学位论文</w:t>
      </w:r>
    </w:p>
    <w:p w14:paraId="60A7614B">
      <w:pPr>
        <w:pStyle w:val="2"/>
        <w:spacing w:before="480" w:after="720" w:line="400" w:lineRule="exact"/>
        <w:ind w:firstLine="0"/>
        <w:jc w:val="left"/>
      </w:pPr>
      <w:r>
        <w:rPr>
          <w:rFonts w:hint="eastAsia" w:ascii="宋体" w:hAnsi="宋体" w:eastAsia="宋体"/>
          <w:b w:val="0"/>
          <w:sz w:val="24"/>
        </w:rPr>
        <w:t>MASTER</w:t>
      </w:r>
      <w:r>
        <w:rPr>
          <w:rFonts w:ascii="宋体" w:hAnsi="宋体" w:eastAsia="宋体"/>
          <w:b w:val="0"/>
          <w:sz w:val="24"/>
        </w:rPr>
        <w:t xml:space="preserve">  DISSERTATION</w:t>
      </w:r>
    </w:p>
    <w:p w14:paraId="35E41AB6">
      <w:pPr>
        <w:spacing w:line="400" w:lineRule="exact"/>
        <w:ind w:firstLine="0"/>
        <w:rPr>
          <w:b/>
          <w:bCs/>
          <w:position w:val="4"/>
          <w:sz w:val="24"/>
        </w:rPr>
      </w:pPr>
    </w:p>
    <w:p w14:paraId="28742BCF">
      <w:pPr>
        <w:spacing w:line="400" w:lineRule="exact"/>
        <w:ind w:firstLine="0"/>
        <w:rPr>
          <w:b/>
          <w:bCs/>
          <w:position w:val="4"/>
          <w:sz w:val="24"/>
        </w:rPr>
      </w:pPr>
    </w:p>
    <w:p w14:paraId="1B70727B">
      <w:pPr>
        <w:spacing w:line="400" w:lineRule="exact"/>
        <w:ind w:firstLine="0"/>
        <w:rPr>
          <w:b/>
          <w:bCs/>
          <w:position w:val="4"/>
          <w:sz w:val="24"/>
        </w:rPr>
      </w:pPr>
    </w:p>
    <w:p w14:paraId="01AF4297">
      <w:pPr>
        <w:spacing w:line="400" w:lineRule="exact"/>
        <w:ind w:firstLine="0"/>
        <w:rPr>
          <w:b/>
          <w:bCs/>
          <w:position w:val="4"/>
          <w:sz w:val="24"/>
        </w:rPr>
      </w:pPr>
    </w:p>
    <w:p w14:paraId="06A8DDB0">
      <w:pPr>
        <w:spacing w:line="400" w:lineRule="exact"/>
        <w:ind w:firstLine="0"/>
        <w:rPr>
          <w:b/>
          <w:bCs/>
          <w:position w:val="4"/>
          <w:sz w:val="24"/>
        </w:rPr>
      </w:pPr>
    </w:p>
    <w:p w14:paraId="4EF74B5A">
      <w:pPr>
        <w:spacing w:line="400" w:lineRule="exact"/>
        <w:ind w:firstLine="0"/>
        <w:rPr>
          <w:b/>
          <w:bCs/>
          <w:position w:val="4"/>
          <w:sz w:val="24"/>
        </w:rPr>
      </w:pPr>
    </w:p>
    <w:p w14:paraId="2619911A">
      <w:pPr>
        <w:spacing w:line="400" w:lineRule="exact"/>
        <w:ind w:firstLine="0"/>
        <w:rPr>
          <w:b/>
          <w:bCs/>
          <w:position w:val="4"/>
          <w:sz w:val="24"/>
        </w:rPr>
      </w:pPr>
    </w:p>
    <w:p w14:paraId="7228AEC2">
      <w:pPr>
        <w:spacing w:line="400" w:lineRule="exact"/>
        <w:ind w:firstLine="0"/>
        <w:rPr>
          <w:b/>
          <w:bCs/>
          <w:position w:val="4"/>
          <w:sz w:val="24"/>
        </w:rPr>
      </w:pPr>
    </w:p>
    <w:p w14:paraId="2AD21401">
      <w:pPr>
        <w:spacing w:line="400" w:lineRule="exact"/>
        <w:ind w:firstLine="0"/>
        <w:rPr>
          <w:b/>
          <w:bCs/>
          <w:position w:val="4"/>
          <w:sz w:val="24"/>
        </w:rPr>
      </w:pPr>
    </w:p>
    <w:p w14:paraId="286FB86B">
      <w:pPr>
        <w:spacing w:line="400" w:lineRule="exact"/>
        <w:ind w:firstLine="0"/>
        <w:rPr>
          <w:b/>
          <w:bCs/>
          <w:position w:val="4"/>
          <w:sz w:val="24"/>
        </w:rPr>
      </w:pPr>
    </w:p>
    <w:p w14:paraId="1E67CAAD">
      <w:pPr>
        <w:spacing w:line="400" w:lineRule="exact"/>
        <w:ind w:firstLine="0"/>
        <w:rPr>
          <w:b/>
          <w:bCs/>
          <w:position w:val="4"/>
          <w:sz w:val="24"/>
        </w:rPr>
      </w:pPr>
    </w:p>
    <w:p w14:paraId="73EDB1BF">
      <w:pPr>
        <w:spacing w:line="400" w:lineRule="exact"/>
        <w:ind w:firstLine="0"/>
        <w:rPr>
          <w:b/>
          <w:bCs/>
          <w:position w:val="4"/>
          <w:sz w:val="24"/>
        </w:rPr>
      </w:pPr>
    </w:p>
    <w:p w14:paraId="2537B5C3">
      <w:pPr>
        <w:spacing w:line="400" w:lineRule="exact"/>
        <w:ind w:firstLine="0"/>
        <w:rPr>
          <w:b/>
          <w:bCs/>
          <w:position w:val="4"/>
          <w:sz w:val="24"/>
        </w:rPr>
      </w:pPr>
    </w:p>
    <w:p w14:paraId="3B85166D">
      <w:pPr>
        <w:spacing w:line="400" w:lineRule="exact"/>
        <w:ind w:left="480" w:leftChars="200" w:firstLineChars="150" w:firstLine="0"/>
        <w:jc w:val="left"/>
        <w:rPr>
          <w:b/>
          <w:bCs/>
          <w:position w:val="4"/>
          <w:sz w:val="24"/>
          <w:u w:val="single"/>
        </w:rPr>
      </w:pPr>
      <w:r>
        <w:rPr>
          <w:rFonts w:hint="eastAsia" w:ascii="宋体" w:hAnsi="宋体" w:eastAsia="宋体"/>
          <w:b w:val="0"/>
          <w:bCs/>
          <w:position w:val="4"/>
          <w:sz w:val="24"/>
        </w:rPr>
        <w:t>论文题目：</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5F494F60">
      <w:pPr>
        <w:spacing w:line="400" w:lineRule="exact"/>
        <w:ind w:firstLine="0"/>
        <w:rPr>
          <w:b/>
          <w:bCs/>
          <w:position w:val="4"/>
          <w:sz w:val="24"/>
        </w:rPr>
      </w:pPr>
    </w:p>
    <w:p w14:paraId="0A58D7F7">
      <w:pPr>
        <w:spacing w:line="400" w:lineRule="exact"/>
        <w:ind w:firstLine="0"/>
        <w:rPr>
          <w:b/>
          <w:bCs/>
          <w:position w:val="4"/>
          <w:sz w:val="24"/>
        </w:rPr>
      </w:pPr>
    </w:p>
    <w:p w14:paraId="0663055E">
      <w:pPr>
        <w:spacing w:line="400" w:lineRule="exact"/>
        <w:ind w:firstLineChars="239" w:firstLine="0"/>
        <w:jc w:val="left"/>
        <w:rPr>
          <w:b/>
          <w:bCs/>
          <w:spacing w:val="40"/>
          <w:position w:val="4"/>
          <w:sz w:val="24"/>
        </w:rPr>
      </w:pPr>
      <w:r>
        <w:rPr>
          <w:rFonts w:hint="eastAsia" w:ascii="宋体" w:hAnsi="宋体" w:eastAsia="宋体"/>
          <w:b w:val="0"/>
          <w:bCs/>
          <w:spacing w:val="30"/>
          <w:position w:val="4"/>
          <w:sz w:val="24"/>
        </w:rPr>
        <w:t>（英文）：</w:t>
      </w:r>
      <w:r>
        <w:rPr>
          <w:rFonts w:ascii="宋体" w:hAnsi="宋体" w:eastAsia="宋体"/>
          <w:b w:val="0"/>
          <w:bCs/>
          <w:spacing w:val="30"/>
          <w:position w:val="4"/>
          <w:sz w:val="24"/>
          <w:u w:val="single"/>
        </w:rPr>
        <w:t xml:space="preserve">            </w:t>
      </w:r>
      <w:r>
        <w:rPr>
          <w:rFonts w:hint="eastAsia" w:ascii="宋体" w:hAnsi="宋体" w:eastAsia="宋体"/>
          <w:b w:val="0"/>
          <w:bCs/>
          <w:spacing w:val="30"/>
          <w:position w:val="4"/>
          <w:sz w:val="24"/>
          <w:u w:val="single"/>
        </w:rPr>
        <w:t xml:space="preserve">      </w:t>
      </w:r>
      <w:r>
        <w:rPr>
          <w:rFonts w:ascii="宋体" w:hAnsi="宋体" w:eastAsia="宋体"/>
          <w:b w:val="0"/>
          <w:bCs/>
          <w:spacing w:val="30"/>
          <w:position w:val="4"/>
          <w:sz w:val="24"/>
          <w:u w:val="single"/>
        </w:rPr>
        <w:t xml:space="preserve">         </w:t>
      </w:r>
    </w:p>
    <w:p w14:paraId="2A8A5E49">
      <w:pPr>
        <w:spacing w:line="400" w:lineRule="exact"/>
        <w:ind w:firstLine="0"/>
        <w:rPr>
          <w:b/>
          <w:bCs/>
          <w:position w:val="4"/>
          <w:sz w:val="24"/>
        </w:rPr>
      </w:pPr>
    </w:p>
    <w:p w14:paraId="444BDF47">
      <w:pPr>
        <w:spacing w:line="400" w:lineRule="exact"/>
        <w:ind w:firstLine="0"/>
        <w:rPr>
          <w:b/>
          <w:bCs/>
          <w:position w:val="4"/>
          <w:sz w:val="24"/>
        </w:rPr>
      </w:pPr>
    </w:p>
    <w:p w14:paraId="2B6D7181">
      <w:pPr>
        <w:spacing w:line="400" w:lineRule="exact"/>
        <w:ind w:left="480" w:leftChars="200" w:firstLineChars="150" w:firstLine="0"/>
        <w:jc w:val="left"/>
        <w:rPr>
          <w:b/>
          <w:bCs/>
          <w:position w:val="4"/>
          <w:sz w:val="24"/>
        </w:rPr>
      </w:pPr>
      <w:r>
        <w:rPr>
          <w:rFonts w:hint="eastAsia" w:ascii="宋体" w:hAnsi="宋体" w:eastAsia="宋体"/>
          <w:b w:val="0"/>
          <w:bCs/>
          <w:position w:val="4"/>
          <w:sz w:val="24"/>
        </w:rPr>
        <w:t>作</w:t>
      </w:r>
      <w:r>
        <w:rPr>
          <w:rFonts w:ascii="宋体" w:hAnsi="宋体" w:eastAsia="宋体"/>
          <w:b w:val="0"/>
          <w:bCs/>
          <w:position w:val="4"/>
          <w:sz w:val="24"/>
        </w:rPr>
        <w:t xml:space="preserve">    </w:t>
      </w:r>
      <w:r>
        <w:rPr>
          <w:rFonts w:hint="eastAsia" w:ascii="宋体" w:hAnsi="宋体" w:eastAsia="宋体"/>
          <w:b w:val="0"/>
          <w:bCs/>
          <w:position w:val="4"/>
          <w:sz w:val="24"/>
        </w:rPr>
        <w:t>者：</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6B78B2C4">
      <w:pPr>
        <w:spacing w:line="400" w:lineRule="exact"/>
        <w:ind w:firstLine="0"/>
        <w:rPr>
          <w:b/>
          <w:bCs/>
          <w:position w:val="4"/>
          <w:sz w:val="24"/>
        </w:rPr>
      </w:pPr>
    </w:p>
    <w:p w14:paraId="1F107675">
      <w:pPr>
        <w:spacing w:line="400" w:lineRule="exact"/>
        <w:ind w:firstLine="0"/>
        <w:rPr>
          <w:b/>
          <w:bCs/>
          <w:position w:val="4"/>
          <w:sz w:val="24"/>
        </w:rPr>
      </w:pPr>
    </w:p>
    <w:p w14:paraId="1C6FD79F">
      <w:pPr>
        <w:spacing w:line="400" w:lineRule="exact"/>
        <w:ind w:left="480" w:leftChars="200" w:firstLineChars="150" w:firstLine="0"/>
        <w:jc w:val="left"/>
        <w:rPr>
          <w:b/>
          <w:bCs/>
          <w:position w:val="4"/>
          <w:sz w:val="24"/>
        </w:rPr>
      </w:pPr>
      <w:r>
        <w:rPr>
          <w:rFonts w:hint="eastAsia" w:ascii="宋体" w:hAnsi="宋体" w:eastAsia="宋体"/>
          <w:b w:val="0"/>
          <w:bCs/>
          <w:position w:val="4"/>
          <w:sz w:val="24"/>
        </w:rPr>
        <w:t>指导教师：</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0618EA10">
      <w:pPr>
        <w:spacing w:line="400" w:lineRule="exact"/>
        <w:ind w:firstLine="0"/>
        <w:rPr>
          <w:b/>
          <w:bCs/>
          <w:position w:val="4"/>
          <w:sz w:val="24"/>
        </w:rPr>
      </w:pPr>
    </w:p>
    <w:p w14:paraId="445BD11F">
      <w:pPr>
        <w:spacing w:line="400" w:lineRule="exact"/>
        <w:ind w:firstLine="0"/>
        <w:rPr>
          <w:b/>
          <w:bCs/>
          <w:position w:val="4"/>
          <w:sz w:val="24"/>
        </w:rPr>
      </w:pPr>
    </w:p>
    <w:p w14:paraId="47C70249">
      <w:pPr>
        <w:spacing w:line="400" w:lineRule="exact"/>
        <w:ind w:firstLine="0"/>
        <w:rPr>
          <w:b/>
          <w:bCs/>
          <w:position w:val="4"/>
          <w:sz w:val="24"/>
        </w:rPr>
      </w:pPr>
    </w:p>
    <w:p w14:paraId="62BB879B">
      <w:pPr>
        <w:spacing w:line="400" w:lineRule="exact"/>
        <w:ind w:left="480" w:leftChars="200" w:firstLine="0"/>
        <w:jc w:val="left"/>
        <w:rPr>
          <w:b/>
          <w:bCs/>
          <w:position w:val="4"/>
          <w:sz w:val="24"/>
        </w:rPr>
      </w:pPr>
      <w:r>
        <w:rPr>
          <w:rFonts w:hint="eastAsia" w:ascii="宋体" w:hAnsi="宋体" w:eastAsia="宋体"/>
          <w:b w:val="0"/>
          <w:bCs/>
          <w:position w:val="4"/>
          <w:sz w:val="24"/>
        </w:rPr>
        <w:t>年</w:t>
      </w:r>
      <w:r>
        <w:rPr>
          <w:rFonts w:ascii="宋体" w:hAnsi="宋体" w:eastAsia="宋体"/>
          <w:b w:val="0"/>
          <w:bCs/>
          <w:position w:val="4"/>
          <w:sz w:val="24"/>
        </w:rPr>
        <w:t xml:space="preserve">   </w:t>
      </w:r>
      <w:r>
        <w:rPr>
          <w:rFonts w:hint="eastAsia" w:ascii="宋体" w:hAnsi="宋体" w:eastAsia="宋体"/>
          <w:b w:val="0"/>
          <w:bCs/>
          <w:position w:val="4"/>
          <w:sz w:val="24"/>
        </w:rPr>
        <w:t xml:space="preserve">  月</w:t>
      </w:r>
      <w:r>
        <w:rPr>
          <w:rFonts w:ascii="宋体" w:hAnsi="宋体" w:eastAsia="宋体"/>
          <w:b w:val="0"/>
          <w:bCs/>
          <w:position w:val="4"/>
          <w:sz w:val="24"/>
        </w:rPr>
        <w:t xml:space="preserve"> </w:t>
      </w:r>
      <w:r>
        <w:rPr>
          <w:rFonts w:hint="eastAsia" w:ascii="宋体" w:hAnsi="宋体" w:eastAsia="宋体"/>
          <w:b w:val="0"/>
          <w:bCs/>
          <w:position w:val="4"/>
          <w:sz w:val="24"/>
        </w:rPr>
        <w:t xml:space="preserve">    </w:t>
      </w:r>
      <w:r>
        <w:rPr>
          <w:rFonts w:ascii="宋体" w:hAnsi="宋体" w:eastAsia="宋体"/>
          <w:b w:val="0"/>
          <w:bCs/>
          <w:position w:val="4"/>
          <w:sz w:val="24"/>
        </w:rPr>
        <w:t xml:space="preserve"> </w:t>
      </w:r>
      <w:r>
        <w:rPr>
          <w:rFonts w:hint="eastAsia" w:ascii="宋体" w:hAnsi="宋体" w:eastAsia="宋体"/>
          <w:b w:val="0"/>
          <w:bCs/>
          <w:position w:val="4"/>
          <w:sz w:val="24"/>
        </w:rPr>
        <w:t>日</w:t>
      </w:r>
    </w:p>
    <w:p w14:paraId="0DE7AAC6">
      <w:pPr>
        <w:spacing w:line="400" w:lineRule="exact"/>
        <w:ind w:firstLine="0"/>
        <w:jc w:val="center"/>
      </w:pPr>
    </w:p>
    <w:p w14:paraId="562AAF60">
      <w:pPr>
        <w:spacing w:line="400" w:lineRule="exact"/>
        <w:ind w:firstLine="0"/>
        <w:jc w:val="center"/>
      </w:pPr>
    </w:p>
    <w:p w14:paraId="1DA44D8A">
      <w:pPr>
        <w:spacing w:line="400" w:lineRule="exact"/>
        <w:ind w:firstLine="0"/>
        <w:jc w:val="center"/>
      </w:pPr>
    </w:p>
    <w:p w14:paraId="3381C0A8">
      <w:pPr>
        <w:spacing w:line="400" w:lineRule="exact"/>
        <w:ind w:firstLine="0"/>
      </w:pPr>
    </w:p>
    <w:tbl>
      <w:tblPr>
        <w:tblStyle w:val="31"/>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847"/>
        <w:gridCol w:w="1314"/>
        <w:gridCol w:w="617"/>
        <w:gridCol w:w="4660"/>
        <w:gridCol w:w="1090"/>
      </w:tblGrid>
      <w:tr w14:paraId="52BEBB2C">
        <w:trPr>
          <w:trHeight w:val="1712" w:hRule="atLeast"/>
        </w:trPr>
        <w:tc>
          <w:tcPr>
            <w:tcW w:w="9184" w:type="dxa"/>
            <w:gridSpan w:val="5"/>
            <w:vAlign w:val="bottom"/>
          </w:tcPr>
          <w:p w14:paraId="2DD6AFC6">
            <w:pPr>
              <w:spacing w:line="400" w:lineRule="exact"/>
              <w:jc w:val="center"/>
            </w:pPr>
            <w:r>
              <w:rPr>
                <w:rFonts w:ascii="宋体" w:hAnsi="宋体" w:eastAsia="宋体"/>
                <w:b w:val="0"/>
                <w:sz w:val="24"/>
              </w:rPr>
              <w:drawing>
                <wp:inline distT="0" distB="0" distL="0" distR="0">
                  <wp:extent cx="2457450" cy="457200"/>
                  <wp:effectExtent l="1905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4"/>
                          <a:srcRect/>
                          <a:stretch>
                            <a:fillRect/>
                          </a:stretch>
                        </pic:blipFill>
                        <pic:spPr>
                          <a:xfrm>
                            <a:off x="0" y="0"/>
                            <a:ext cx="2457450" cy="457200"/>
                          </a:xfrm>
                          <a:prstGeom prst="rect">
                            <a:avLst/>
                          </a:prstGeom>
                          <a:noFill/>
                          <a:ln w="9525">
                            <a:noFill/>
                          </a:ln>
                        </pic:spPr>
                      </pic:pic>
                    </a:graphicData>
                  </a:graphic>
                </wp:inline>
              </w:drawing>
            </w:r>
          </w:p>
          <w:p w14:paraId="35A28BB7">
            <w:pPr>
              <w:spacing w:line="400" w:lineRule="exact"/>
              <w:jc w:val="center"/>
              <w:rPr>
                <w:rFonts w:ascii="黑体" w:eastAsia="黑体"/>
                <w:spacing w:val="80"/>
                <w:sz w:val="52"/>
                <w:szCs w:val="52"/>
              </w:rPr>
            </w:pPr>
            <w:r>
              <w:rPr>
                <w:rFonts w:hint="eastAsia" w:ascii="宋体" w:eastAsia="宋体" w:hAnsi="宋体"/>
                <w:b w:val="0"/>
                <w:spacing w:val="80"/>
                <w:sz w:val="24"/>
                <w:szCs w:val="52"/>
              </w:rPr>
              <w:t>硕士学位论文</w:t>
            </w:r>
          </w:p>
        </w:tc>
      </w:tr>
      <w:tr w14:paraId="2AEDCF5D">
        <w:trPr>
          <w:trHeight w:val="661" w:hRule="atLeast"/>
        </w:trPr>
        <w:tc>
          <w:tcPr>
            <w:tcW w:w="2262" w:type="dxa"/>
            <w:gridSpan w:val="2"/>
          </w:tcPr>
          <w:p w14:paraId="3D894E08">
            <w:pPr>
              <w:spacing w:line="400" w:lineRule="exact"/>
              <w:rPr>
                <w:rFonts w:ascii="宋体" w:hAnsi="宋体"/>
                <w:sz w:val="28"/>
                <w:szCs w:val="28"/>
              </w:rPr>
            </w:pPr>
          </w:p>
        </w:tc>
        <w:tc>
          <w:tcPr>
            <w:tcW w:w="6922" w:type="dxa"/>
            <w:gridSpan w:val="3"/>
          </w:tcPr>
          <w:p w14:paraId="088DD7D6">
            <w:pPr>
              <w:spacing w:line="400" w:lineRule="exact"/>
            </w:pPr>
          </w:p>
        </w:tc>
      </w:tr>
      <w:tr w14:paraId="218B399A">
        <w:trPr>
          <w:trHeight w:val="784" w:hRule="atLeast"/>
        </w:trPr>
        <w:tc>
          <w:tcPr>
            <w:tcW w:w="2262" w:type="dxa"/>
            <w:gridSpan w:val="2"/>
            <w:vAlign w:val="bottom"/>
          </w:tcPr>
          <w:p w14:paraId="0359FCCC">
            <w:pPr>
              <w:spacing w:line="400" w:lineRule="exact"/>
              <w:jc w:val="right"/>
            </w:pPr>
            <w:r>
              <w:rPr>
                <w:rFonts w:hint="eastAsia" w:ascii="宋体" w:hAnsi="宋体" w:eastAsia="宋体"/>
                <w:b w:val="0"/>
                <w:sz w:val="24"/>
                <w:szCs w:val="28"/>
              </w:rPr>
              <w:t>（中文题目）</w:t>
            </w:r>
          </w:p>
        </w:tc>
        <w:tc>
          <w:tcPr>
            <w:tcW w:w="6922" w:type="dxa"/>
            <w:gridSpan w:val="3"/>
            <w:tcBorders>
              <w:bottom w:val="single" w:color="auto" w:sz="4" w:space="0"/>
            </w:tcBorders>
            <w:vAlign w:val="bottom"/>
          </w:tcPr>
          <w:p w14:paraId="04C3C88F">
            <w:pPr>
              <w:spacing w:line="400" w:lineRule="exact"/>
            </w:pPr>
          </w:p>
        </w:tc>
      </w:tr>
      <w:tr w14:paraId="12C02D82">
        <w:trPr>
          <w:trHeight w:val="771" w:hRule="atLeast"/>
        </w:trPr>
        <w:tc>
          <w:tcPr>
            <w:tcW w:w="2262" w:type="dxa"/>
            <w:gridSpan w:val="2"/>
            <w:vAlign w:val="bottom"/>
          </w:tcPr>
          <w:p w14:paraId="05541865">
            <w:pPr>
              <w:spacing w:line="400" w:lineRule="exact"/>
              <w:jc w:val="right"/>
            </w:pPr>
            <w:r>
              <w:rPr>
                <w:rFonts w:hint="eastAsia" w:ascii="宋体" w:hAnsi="宋体" w:eastAsia="宋体"/>
                <w:b w:val="0"/>
                <w:sz w:val="24"/>
                <w:szCs w:val="28"/>
              </w:rPr>
              <w:t>（外文题目）</w:t>
            </w:r>
          </w:p>
        </w:tc>
        <w:tc>
          <w:tcPr>
            <w:tcW w:w="6922" w:type="dxa"/>
            <w:gridSpan w:val="3"/>
            <w:tcBorders>
              <w:top w:val="single" w:color="auto" w:sz="4" w:space="0"/>
              <w:bottom w:val="single" w:color="auto" w:sz="4" w:space="0"/>
            </w:tcBorders>
            <w:vAlign w:val="bottom"/>
          </w:tcPr>
          <w:p w14:paraId="4C736A4E">
            <w:pPr>
              <w:spacing w:line="400" w:lineRule="exact"/>
            </w:pPr>
          </w:p>
        </w:tc>
      </w:tr>
      <w:tr w14:paraId="3AABD216">
        <w:trPr>
          <w:trHeight w:val="2738" w:hRule="atLeast"/>
        </w:trPr>
        <w:tc>
          <w:tcPr>
            <w:tcW w:w="2262" w:type="dxa"/>
            <w:gridSpan w:val="2"/>
          </w:tcPr>
          <w:p w14:paraId="240F200F">
            <w:pPr>
              <w:spacing w:line="400" w:lineRule="exact"/>
            </w:pPr>
          </w:p>
        </w:tc>
        <w:tc>
          <w:tcPr>
            <w:tcW w:w="6922" w:type="dxa"/>
            <w:gridSpan w:val="3"/>
            <w:tcBorders>
              <w:top w:val="single" w:color="auto" w:sz="4" w:space="0"/>
            </w:tcBorders>
          </w:tcPr>
          <w:p w14:paraId="28758DA5">
            <w:pPr>
              <w:spacing w:line="400" w:lineRule="exact"/>
            </w:pPr>
          </w:p>
        </w:tc>
      </w:tr>
      <w:tr w14:paraId="5C463F7E">
        <w:trPr>
          <w:trHeight w:val="666" w:hRule="atLeast"/>
        </w:trPr>
        <w:tc>
          <w:tcPr>
            <w:tcW w:w="888" w:type="dxa"/>
          </w:tcPr>
          <w:p w14:paraId="715AE82D">
            <w:pPr>
              <w:spacing w:line="400" w:lineRule="exact"/>
            </w:pPr>
          </w:p>
        </w:tc>
        <w:tc>
          <w:tcPr>
            <w:tcW w:w="2034" w:type="dxa"/>
            <w:gridSpan w:val="2"/>
            <w:vAlign w:val="bottom"/>
          </w:tcPr>
          <w:p w14:paraId="5E8BD7FA">
            <w:pPr>
              <w:spacing w:line="400" w:lineRule="exact"/>
              <w:jc w:val="right"/>
            </w:pPr>
            <w:r>
              <w:rPr>
                <w:rFonts w:hint="eastAsia" w:ascii="宋体" w:hAnsi="宋体" w:eastAsia="宋体"/>
                <w:b w:val="0"/>
                <w:spacing w:val="42"/>
                <w:sz w:val="24"/>
                <w:szCs w:val="28"/>
              </w:rPr>
              <w:t>作者学号：</w:t>
            </w:r>
          </w:p>
        </w:tc>
        <w:tc>
          <w:tcPr>
            <w:tcW w:w="5106" w:type="dxa"/>
            <w:tcBorders>
              <w:bottom w:val="single" w:color="auto" w:sz="4" w:space="0"/>
            </w:tcBorders>
            <w:vAlign w:val="bottom"/>
          </w:tcPr>
          <w:p w14:paraId="3C349B56">
            <w:pPr>
              <w:spacing w:line="400" w:lineRule="exact"/>
            </w:pPr>
          </w:p>
        </w:tc>
        <w:tc>
          <w:tcPr>
            <w:tcW w:w="1156" w:type="dxa"/>
            <w:vAlign w:val="bottom"/>
          </w:tcPr>
          <w:p w14:paraId="42FDCB00">
            <w:pPr>
              <w:spacing w:line="400" w:lineRule="exact"/>
            </w:pPr>
          </w:p>
        </w:tc>
      </w:tr>
      <w:tr w14:paraId="1710FB33">
        <w:trPr>
          <w:trHeight w:val="680" w:hRule="atLeast"/>
        </w:trPr>
        <w:tc>
          <w:tcPr>
            <w:tcW w:w="888" w:type="dxa"/>
          </w:tcPr>
          <w:p w14:paraId="2AD90DAB">
            <w:pPr>
              <w:spacing w:line="400" w:lineRule="exact"/>
            </w:pPr>
          </w:p>
        </w:tc>
        <w:tc>
          <w:tcPr>
            <w:tcW w:w="2034" w:type="dxa"/>
            <w:gridSpan w:val="2"/>
            <w:vAlign w:val="bottom"/>
          </w:tcPr>
          <w:p w14:paraId="01A31148">
            <w:pPr>
              <w:spacing w:line="400" w:lineRule="exact"/>
              <w:jc w:val="right"/>
            </w:pPr>
            <w:r>
              <w:rPr>
                <w:rFonts w:hint="eastAsia" w:ascii="宋体" w:hAnsi="宋体" w:eastAsia="宋体"/>
                <w:b w:val="0"/>
                <w:spacing w:val="42"/>
                <w:sz w:val="24"/>
                <w:szCs w:val="28"/>
              </w:rPr>
              <w:t>作者姓名：</w:t>
            </w:r>
          </w:p>
        </w:tc>
        <w:tc>
          <w:tcPr>
            <w:tcW w:w="5106" w:type="dxa"/>
            <w:tcBorders>
              <w:top w:val="single" w:color="auto" w:sz="4" w:space="0"/>
              <w:bottom w:val="single" w:color="auto" w:sz="4" w:space="0"/>
            </w:tcBorders>
            <w:vAlign w:val="bottom"/>
          </w:tcPr>
          <w:p w14:paraId="65BC2DF0">
            <w:pPr>
              <w:spacing w:line="400" w:lineRule="exact"/>
            </w:pPr>
          </w:p>
        </w:tc>
        <w:tc>
          <w:tcPr>
            <w:tcW w:w="1156" w:type="dxa"/>
            <w:vAlign w:val="bottom"/>
          </w:tcPr>
          <w:p w14:paraId="1964D525">
            <w:pPr>
              <w:spacing w:line="400" w:lineRule="exact"/>
            </w:pPr>
          </w:p>
        </w:tc>
      </w:tr>
      <w:tr w14:paraId="48E13C4B">
        <w:trPr>
          <w:trHeight w:val="680" w:hRule="atLeast"/>
        </w:trPr>
        <w:tc>
          <w:tcPr>
            <w:tcW w:w="888" w:type="dxa"/>
          </w:tcPr>
          <w:p w14:paraId="06646AF7">
            <w:pPr>
              <w:spacing w:line="400" w:lineRule="exact"/>
            </w:pPr>
          </w:p>
        </w:tc>
        <w:tc>
          <w:tcPr>
            <w:tcW w:w="2034" w:type="dxa"/>
            <w:gridSpan w:val="2"/>
            <w:vAlign w:val="bottom"/>
          </w:tcPr>
          <w:p w14:paraId="751601E8">
            <w:pPr>
              <w:spacing w:line="400" w:lineRule="exact"/>
              <w:jc w:val="right"/>
            </w:pPr>
            <w:r>
              <w:rPr>
                <w:rFonts w:hint="eastAsia" w:ascii="宋体" w:hAnsi="宋体" w:eastAsia="宋体"/>
                <w:b w:val="0"/>
                <w:spacing w:val="42"/>
                <w:sz w:val="24"/>
                <w:szCs w:val="28"/>
              </w:rPr>
              <w:t>所在学院：</w:t>
            </w:r>
          </w:p>
        </w:tc>
        <w:tc>
          <w:tcPr>
            <w:tcW w:w="5106" w:type="dxa"/>
            <w:tcBorders>
              <w:top w:val="single" w:color="auto" w:sz="4" w:space="0"/>
              <w:bottom w:val="single" w:color="auto" w:sz="4" w:space="0"/>
            </w:tcBorders>
            <w:vAlign w:val="bottom"/>
          </w:tcPr>
          <w:p w14:paraId="199DE9B5">
            <w:pPr>
              <w:spacing w:line="400" w:lineRule="exact"/>
            </w:pPr>
          </w:p>
        </w:tc>
        <w:tc>
          <w:tcPr>
            <w:tcW w:w="1156" w:type="dxa"/>
            <w:vAlign w:val="bottom"/>
          </w:tcPr>
          <w:p w14:paraId="0A958687">
            <w:pPr>
              <w:spacing w:line="400" w:lineRule="exact"/>
            </w:pPr>
          </w:p>
        </w:tc>
      </w:tr>
      <w:tr w14:paraId="267C0303">
        <w:trPr>
          <w:trHeight w:val="680" w:hRule="atLeast"/>
        </w:trPr>
        <w:tc>
          <w:tcPr>
            <w:tcW w:w="888" w:type="dxa"/>
          </w:tcPr>
          <w:p w14:paraId="37C796D9">
            <w:pPr>
              <w:spacing w:line="400" w:lineRule="exact"/>
            </w:pPr>
          </w:p>
        </w:tc>
        <w:tc>
          <w:tcPr>
            <w:tcW w:w="2034" w:type="dxa"/>
            <w:gridSpan w:val="2"/>
            <w:vAlign w:val="bottom"/>
          </w:tcPr>
          <w:p w14:paraId="105EC9F9">
            <w:pPr>
              <w:spacing w:line="400" w:lineRule="exact"/>
              <w:jc w:val="right"/>
            </w:pPr>
            <w:r>
              <w:rPr>
                <w:rFonts w:hint="eastAsia" w:ascii="宋体" w:hAnsi="宋体" w:eastAsia="宋体"/>
                <w:b w:val="0"/>
                <w:spacing w:val="42"/>
                <w:sz w:val="24"/>
                <w:szCs w:val="28"/>
              </w:rPr>
              <w:t>专业名称：</w:t>
            </w:r>
          </w:p>
        </w:tc>
        <w:tc>
          <w:tcPr>
            <w:tcW w:w="5106" w:type="dxa"/>
            <w:tcBorders>
              <w:top w:val="single" w:color="auto" w:sz="4" w:space="0"/>
              <w:bottom w:val="single" w:color="auto" w:sz="4" w:space="0"/>
            </w:tcBorders>
            <w:vAlign w:val="bottom"/>
          </w:tcPr>
          <w:p w14:paraId="49FCDCED">
            <w:pPr>
              <w:spacing w:line="400" w:lineRule="exact"/>
            </w:pPr>
          </w:p>
        </w:tc>
        <w:tc>
          <w:tcPr>
            <w:tcW w:w="1156" w:type="dxa"/>
            <w:vAlign w:val="bottom"/>
          </w:tcPr>
          <w:p w14:paraId="70908D50">
            <w:pPr>
              <w:spacing w:line="400" w:lineRule="exact"/>
            </w:pPr>
          </w:p>
        </w:tc>
      </w:tr>
      <w:tr w14:paraId="15E53D5C">
        <w:trPr>
          <w:trHeight w:val="680" w:hRule="atLeast"/>
        </w:trPr>
        <w:tc>
          <w:tcPr>
            <w:tcW w:w="888" w:type="dxa"/>
          </w:tcPr>
          <w:p w14:paraId="6C445797">
            <w:pPr>
              <w:spacing w:line="400" w:lineRule="exact"/>
            </w:pPr>
          </w:p>
        </w:tc>
        <w:tc>
          <w:tcPr>
            <w:tcW w:w="2034" w:type="dxa"/>
            <w:gridSpan w:val="2"/>
            <w:vAlign w:val="bottom"/>
          </w:tcPr>
          <w:p w14:paraId="399D417C">
            <w:pPr>
              <w:spacing w:line="400" w:lineRule="exact"/>
              <w:jc w:val="right"/>
              <w:rPr>
                <w:spacing w:val="42"/>
                <w:sz w:val="28"/>
                <w:szCs w:val="28"/>
              </w:rPr>
            </w:pPr>
            <w:r>
              <w:rPr>
                <w:rFonts w:hint="eastAsia" w:ascii="宋体" w:hAnsi="宋体" w:eastAsia="宋体"/>
                <w:b w:val="0"/>
                <w:spacing w:val="42"/>
                <w:sz w:val="24"/>
                <w:szCs w:val="28"/>
              </w:rPr>
              <w:t>研究方向：</w:t>
            </w:r>
          </w:p>
        </w:tc>
        <w:tc>
          <w:tcPr>
            <w:tcW w:w="5106" w:type="dxa"/>
            <w:tcBorders>
              <w:top w:val="single" w:color="auto" w:sz="4" w:space="0"/>
              <w:bottom w:val="single" w:color="auto" w:sz="4" w:space="0"/>
            </w:tcBorders>
            <w:vAlign w:val="bottom"/>
          </w:tcPr>
          <w:p w14:paraId="382F942D">
            <w:pPr>
              <w:spacing w:line="400" w:lineRule="exact"/>
            </w:pPr>
          </w:p>
        </w:tc>
        <w:tc>
          <w:tcPr>
            <w:tcW w:w="1156" w:type="dxa"/>
            <w:vAlign w:val="bottom"/>
          </w:tcPr>
          <w:p w14:paraId="01A651AB">
            <w:pPr>
              <w:spacing w:line="400" w:lineRule="exact"/>
            </w:pPr>
          </w:p>
        </w:tc>
      </w:tr>
      <w:tr w14:paraId="3D86511A">
        <w:trPr>
          <w:trHeight w:val="680" w:hRule="atLeast"/>
        </w:trPr>
        <w:tc>
          <w:tcPr>
            <w:tcW w:w="888" w:type="dxa"/>
          </w:tcPr>
          <w:p w14:paraId="02836018">
            <w:pPr>
              <w:spacing w:line="400" w:lineRule="exact"/>
            </w:pPr>
          </w:p>
        </w:tc>
        <w:tc>
          <w:tcPr>
            <w:tcW w:w="2034" w:type="dxa"/>
            <w:gridSpan w:val="2"/>
            <w:vAlign w:val="bottom"/>
          </w:tcPr>
          <w:p w14:paraId="038EB13F">
            <w:pPr>
              <w:spacing w:line="400" w:lineRule="exact"/>
              <w:jc w:val="right"/>
            </w:pPr>
            <w:r>
              <w:rPr>
                <w:rFonts w:hint="eastAsia" w:ascii="宋体" w:hAnsi="宋体" w:eastAsia="宋体"/>
                <w:b w:val="0"/>
                <w:spacing w:val="42"/>
                <w:sz w:val="24"/>
                <w:szCs w:val="28"/>
              </w:rPr>
              <w:t>导师姓名：</w:t>
            </w:r>
          </w:p>
        </w:tc>
        <w:tc>
          <w:tcPr>
            <w:tcW w:w="5106" w:type="dxa"/>
            <w:tcBorders>
              <w:top w:val="single" w:color="auto" w:sz="4" w:space="0"/>
              <w:bottom w:val="single" w:color="auto" w:sz="4" w:space="0"/>
            </w:tcBorders>
            <w:vAlign w:val="bottom"/>
          </w:tcPr>
          <w:p w14:paraId="6F458BE3">
            <w:pPr>
              <w:spacing w:line="400" w:lineRule="exact"/>
            </w:pPr>
          </w:p>
        </w:tc>
        <w:tc>
          <w:tcPr>
            <w:tcW w:w="1156" w:type="dxa"/>
            <w:vAlign w:val="bottom"/>
          </w:tcPr>
          <w:p w14:paraId="43C2AA73">
            <w:pPr>
              <w:spacing w:line="400" w:lineRule="exact"/>
            </w:pPr>
          </w:p>
        </w:tc>
      </w:tr>
      <w:tr w14:paraId="6094EBA7">
        <w:trPr>
          <w:trHeight w:val="833" w:hRule="atLeast"/>
        </w:trPr>
        <w:tc>
          <w:tcPr>
            <w:tcW w:w="888" w:type="dxa"/>
          </w:tcPr>
          <w:p w14:paraId="33A8B6DD">
            <w:pPr>
              <w:spacing w:line="400" w:lineRule="exact"/>
            </w:pPr>
          </w:p>
        </w:tc>
        <w:tc>
          <w:tcPr>
            <w:tcW w:w="2034" w:type="dxa"/>
            <w:gridSpan w:val="2"/>
            <w:vAlign w:val="bottom"/>
          </w:tcPr>
          <w:p w14:paraId="03202590">
            <w:pPr>
              <w:spacing w:line="400" w:lineRule="exact"/>
              <w:jc w:val="right"/>
              <w:rPr>
                <w:spacing w:val="42"/>
                <w:sz w:val="28"/>
                <w:szCs w:val="28"/>
              </w:rPr>
            </w:pPr>
            <w:r>
              <w:rPr>
                <w:rFonts w:hint="eastAsia" w:ascii="宋体" w:hAnsi="宋体" w:eastAsia="宋体"/>
                <w:b w:val="0"/>
                <w:sz w:val="24"/>
                <w:szCs w:val="28"/>
              </w:rPr>
              <w:t>论文主题词</w:t>
            </w:r>
            <w:r>
              <w:rPr>
                <w:rFonts w:hint="eastAsia" w:ascii="宋体" w:hAnsi="宋体" w:eastAsia="宋体"/>
                <w:b w:val="0"/>
                <w:spacing w:val="42"/>
                <w:sz w:val="24"/>
                <w:szCs w:val="28"/>
              </w:rPr>
              <w:t>：</w:t>
            </w:r>
          </w:p>
          <w:p w14:paraId="69CD853C">
            <w:pPr>
              <w:spacing w:line="400" w:lineRule="exact"/>
              <w:ind w:right="280"/>
              <w:jc w:val="right"/>
            </w:pPr>
            <w:r>
              <w:rPr>
                <w:rFonts w:hint="eastAsia" w:ascii="宋体" w:hAnsi="宋体" w:eastAsia="宋体"/>
                <w:b w:val="0"/>
                <w:sz w:val="24"/>
                <w:szCs w:val="28"/>
              </w:rPr>
              <w:t>（3—5个）</w:t>
            </w:r>
          </w:p>
        </w:tc>
        <w:tc>
          <w:tcPr>
            <w:tcW w:w="5106" w:type="dxa"/>
            <w:tcBorders>
              <w:top w:val="single" w:color="auto" w:sz="4" w:space="0"/>
              <w:bottom w:val="single" w:color="auto" w:sz="4" w:space="0"/>
            </w:tcBorders>
            <w:vAlign w:val="bottom"/>
          </w:tcPr>
          <w:p w14:paraId="58DDBEBB">
            <w:pPr>
              <w:spacing w:line="400" w:lineRule="exact"/>
            </w:pPr>
          </w:p>
        </w:tc>
        <w:tc>
          <w:tcPr>
            <w:tcW w:w="1156" w:type="dxa"/>
            <w:vAlign w:val="bottom"/>
          </w:tcPr>
          <w:p w14:paraId="4D6A0257">
            <w:pPr>
              <w:spacing w:line="400" w:lineRule="exact"/>
            </w:pPr>
          </w:p>
        </w:tc>
      </w:tr>
      <w:tr w14:paraId="2B13C702">
        <w:trPr>
          <w:trHeight w:val="680" w:hRule="atLeast"/>
        </w:trPr>
        <w:tc>
          <w:tcPr>
            <w:tcW w:w="888" w:type="dxa"/>
          </w:tcPr>
          <w:p w14:paraId="2EDB76D8">
            <w:pPr>
              <w:spacing w:line="400" w:lineRule="exact"/>
            </w:pPr>
          </w:p>
        </w:tc>
        <w:tc>
          <w:tcPr>
            <w:tcW w:w="2034" w:type="dxa"/>
            <w:gridSpan w:val="2"/>
            <w:vAlign w:val="bottom"/>
          </w:tcPr>
          <w:p w14:paraId="041EAE86">
            <w:pPr>
              <w:spacing w:line="400" w:lineRule="exact"/>
              <w:jc w:val="right"/>
            </w:pPr>
            <w:r>
              <w:rPr>
                <w:rFonts w:hint="eastAsia" w:ascii="宋体" w:hAnsi="宋体" w:eastAsia="宋体"/>
                <w:b w:val="0"/>
                <w:spacing w:val="-20"/>
                <w:sz w:val="24"/>
                <w:szCs w:val="28"/>
              </w:rPr>
              <w:t>论文提交日期</w:t>
            </w:r>
            <w:r>
              <w:rPr>
                <w:rFonts w:hint="eastAsia" w:ascii="宋体" w:hAnsi="宋体" w:eastAsia="宋体"/>
                <w:b w:val="0"/>
                <w:spacing w:val="42"/>
                <w:sz w:val="24"/>
                <w:szCs w:val="28"/>
              </w:rPr>
              <w:t>：</w:t>
            </w:r>
          </w:p>
        </w:tc>
        <w:tc>
          <w:tcPr>
            <w:tcW w:w="5106" w:type="dxa"/>
            <w:tcBorders>
              <w:top w:val="single" w:color="auto" w:sz="4" w:space="0"/>
              <w:bottom w:val="single" w:color="auto" w:sz="4" w:space="0"/>
            </w:tcBorders>
            <w:vAlign w:val="bottom"/>
          </w:tcPr>
          <w:p w14:paraId="27C079EA">
            <w:pPr>
              <w:spacing w:line="400" w:lineRule="exact"/>
            </w:pPr>
          </w:p>
        </w:tc>
        <w:tc>
          <w:tcPr>
            <w:tcW w:w="1156" w:type="dxa"/>
            <w:vAlign w:val="bottom"/>
          </w:tcPr>
          <w:p w14:paraId="173DD562">
            <w:pPr>
              <w:spacing w:line="400" w:lineRule="exact"/>
            </w:pPr>
          </w:p>
        </w:tc>
      </w:tr>
    </w:tbl>
    <w:p w14:paraId="3F2005F5">
      <w:pPr>
        <w:spacing w:line="400" w:lineRule="exact"/>
        <w:ind w:firstLine="0"/>
      </w:pPr>
    </w:p>
    <w:p w14:paraId="209650AF">
      <w:pPr>
        <w:spacing w:line="400" w:lineRule="exact"/>
        <w:ind w:firstLine="0"/>
        <w:jc w:val="center"/>
      </w:pPr>
    </w:p>
    <w:p w14:paraId="20138FCB">
      <w:pPr>
        <w:spacing w:line="400" w:lineRule="exact"/>
        <w:ind w:firstLine="0"/>
        <w:jc w:val="center"/>
      </w:pPr>
    </w:p>
    <w:p w14:paraId="716344E1">
      <w:pPr>
        <w:spacing w:line="400" w:lineRule="exact"/>
        <w:ind w:firstLine="0"/>
        <w:jc w:val="center"/>
      </w:pPr>
    </w:p>
    <w:p w14:paraId="306347BE">
      <w:pPr>
        <w:spacing w:line="400" w:lineRule="exact"/>
        <w:ind w:firstLine="0"/>
        <w:rPr>
          <w:b/>
          <w:sz w:val="44"/>
          <w:szCs w:val="44"/>
        </w:rPr>
      </w:pPr>
    </w:p>
    <w:p w14:paraId="3B1EC21B">
      <w:pPr>
        <w:spacing w:line="400" w:lineRule="exact"/>
        <w:ind w:firstLine="0"/>
        <w:jc w:val="left"/>
        <w:rPr>
          <w:b/>
          <w:sz w:val="44"/>
          <w:szCs w:val="44"/>
        </w:rPr>
      </w:pPr>
      <w:r>
        <w:rPr>
          <w:rFonts w:hint="eastAsia" w:ascii="宋体" w:hAnsi="宋体" w:eastAsia="宋体"/>
          <w:b w:val="0"/>
          <w:sz w:val="24"/>
          <w:szCs w:val="44"/>
        </w:rPr>
        <w:t>独 创 性 声 明</w:t>
      </w:r>
    </w:p>
    <w:p w14:paraId="7FFED45F">
      <w:pPr>
        <w:spacing w:line="400" w:lineRule="exact"/>
        <w:ind w:firstLineChars="200" w:firstLine="0"/>
        <w:rPr>
          <w:sz w:val="28"/>
          <w:szCs w:val="28"/>
        </w:rPr>
      </w:pPr>
    </w:p>
    <w:p w14:paraId="3F72BCB9">
      <w:pPr>
        <w:spacing w:line="400" w:lineRule="exact"/>
        <w:ind w:firstLineChars="200" w:firstLine="0"/>
        <w:jc w:val="left"/>
        <w:rPr>
          <w:sz w:val="28"/>
          <w:szCs w:val="28"/>
        </w:rPr>
      </w:pPr>
      <w:r>
        <w:rPr>
          <w:rFonts w:hint="eastAsia" w:ascii="宋体" w:hAnsi="宋体" w:eastAsia="宋体"/>
          <w:b w:val="0"/>
          <w:sz w:val="24"/>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33673131">
      <w:pPr>
        <w:spacing w:line="400" w:lineRule="exact"/>
        <w:ind w:firstLine="0"/>
        <w:rPr>
          <w:sz w:val="28"/>
          <w:szCs w:val="28"/>
        </w:rPr>
      </w:pPr>
    </w:p>
    <w:p w14:paraId="17153550">
      <w:pPr>
        <w:spacing w:line="400" w:lineRule="exact"/>
        <w:ind w:firstLineChars="550" w:firstLine="0"/>
        <w:jc w:val="left"/>
        <w:rPr>
          <w:sz w:val="28"/>
          <w:szCs w:val="28"/>
          <w:u w:val="single"/>
        </w:rPr>
      </w:pPr>
      <w:r>
        <w:rPr>
          <w:rFonts w:hint="eastAsia" w:ascii="宋体" w:hAnsi="宋体" w:eastAsia="宋体"/>
          <w:b w:val="0"/>
          <w:sz w:val="24"/>
          <w:szCs w:val="28"/>
        </w:rPr>
        <w:t>论文作者（签名）：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6AD0749F">
      <w:pPr>
        <w:spacing w:line="400" w:lineRule="exact"/>
        <w:ind w:firstLine="0"/>
        <w:rPr>
          <w:sz w:val="28"/>
          <w:szCs w:val="28"/>
        </w:rPr>
      </w:pPr>
    </w:p>
    <w:p w14:paraId="5530C657">
      <w:pPr>
        <w:spacing w:line="400" w:lineRule="exact"/>
        <w:ind w:firstLine="0"/>
        <w:rPr>
          <w:sz w:val="28"/>
          <w:szCs w:val="28"/>
        </w:rPr>
      </w:pPr>
    </w:p>
    <w:p w14:paraId="7C88CA05">
      <w:pPr>
        <w:spacing w:line="400" w:lineRule="exact"/>
        <w:ind w:firstLine="0"/>
        <w:rPr>
          <w:sz w:val="28"/>
          <w:szCs w:val="28"/>
        </w:rPr>
      </w:pPr>
    </w:p>
    <w:p w14:paraId="193E684B">
      <w:pPr>
        <w:spacing w:line="400" w:lineRule="exact"/>
        <w:ind w:firstLine="0"/>
        <w:rPr>
          <w:sz w:val="28"/>
          <w:szCs w:val="28"/>
        </w:rPr>
      </w:pPr>
    </w:p>
    <w:p w14:paraId="04A29FAE">
      <w:pPr>
        <w:spacing w:line="400" w:lineRule="exact"/>
        <w:ind w:firstLine="0"/>
        <w:rPr>
          <w:sz w:val="28"/>
          <w:szCs w:val="28"/>
        </w:rPr>
      </w:pPr>
    </w:p>
    <w:p w14:paraId="480B0369">
      <w:pPr>
        <w:spacing w:line="400" w:lineRule="exact"/>
        <w:ind w:firstLine="0"/>
        <w:jc w:val="left"/>
        <w:rPr>
          <w:b/>
          <w:sz w:val="44"/>
          <w:szCs w:val="44"/>
        </w:rPr>
      </w:pPr>
      <w:r>
        <w:rPr>
          <w:rFonts w:hint="eastAsia" w:ascii="宋体" w:hAnsi="宋体" w:eastAsia="宋体"/>
          <w:b w:val="0"/>
          <w:sz w:val="24"/>
          <w:szCs w:val="44"/>
        </w:rPr>
        <w:t>关于论文使用授权的说明</w:t>
      </w:r>
    </w:p>
    <w:p w14:paraId="70E8D0FD">
      <w:pPr>
        <w:spacing w:line="400" w:lineRule="exact"/>
        <w:ind w:firstLine="0"/>
        <w:rPr>
          <w:sz w:val="28"/>
          <w:szCs w:val="28"/>
        </w:rPr>
      </w:pPr>
    </w:p>
    <w:p w14:paraId="1DDE75B8">
      <w:pPr>
        <w:spacing w:line="400" w:lineRule="exact"/>
        <w:ind w:firstLineChars="200" w:firstLine="0"/>
        <w:jc w:val="left"/>
        <w:rPr>
          <w:sz w:val="28"/>
          <w:szCs w:val="28"/>
        </w:rPr>
      </w:pPr>
      <w:r>
        <w:rPr>
          <w:rFonts w:hint="eastAsia" w:ascii="宋体" w:hAnsi="宋体" w:eastAsia="宋体"/>
          <w:b w:val="0"/>
          <w:sz w:val="24"/>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35F247CC">
      <w:pPr>
        <w:spacing w:line="400" w:lineRule="exact"/>
        <w:ind w:firstLine="0"/>
        <w:rPr>
          <w:sz w:val="28"/>
          <w:szCs w:val="28"/>
        </w:rPr>
      </w:pPr>
    </w:p>
    <w:p w14:paraId="59533467">
      <w:pPr>
        <w:spacing w:line="400" w:lineRule="exact"/>
        <w:ind w:firstLine="0"/>
        <w:rPr>
          <w:sz w:val="28"/>
          <w:szCs w:val="28"/>
        </w:rPr>
      </w:pPr>
    </w:p>
    <w:p w14:paraId="5F664659">
      <w:pPr>
        <w:spacing w:line="400" w:lineRule="exact"/>
        <w:ind w:firstLineChars="550" w:firstLine="0"/>
        <w:jc w:val="left"/>
        <w:rPr>
          <w:sz w:val="28"/>
          <w:szCs w:val="28"/>
        </w:rPr>
      </w:pPr>
      <w:r>
        <w:rPr>
          <w:rFonts w:hint="eastAsia" w:ascii="宋体" w:hAnsi="宋体" w:eastAsia="宋体"/>
          <w:b w:val="0"/>
          <w:sz w:val="24"/>
          <w:szCs w:val="28"/>
        </w:rPr>
        <w:t>论文作者（签名）：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7E4DF556">
      <w:pPr>
        <w:spacing w:line="400" w:lineRule="exact"/>
        <w:ind w:firstLineChars="550" w:firstLine="0"/>
        <w:jc w:val="left"/>
        <w:rPr>
          <w:sz w:val="28"/>
          <w:szCs w:val="28"/>
          <w:u w:val="single"/>
        </w:rPr>
      </w:pPr>
      <w:r>
        <w:rPr>
          <w:rFonts w:hint="eastAsia" w:ascii="宋体" w:hAnsi="宋体" w:eastAsia="宋体"/>
          <w:b w:val="0"/>
          <w:sz w:val="24"/>
          <w:szCs w:val="28"/>
        </w:rPr>
        <w:t>指导教师（签名）：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7C6C0F3F">
      <w:pPr>
        <w:spacing w:line="400" w:lineRule="exact"/>
        <w:ind w:firstLine="0"/>
        <w:rPr>
          <w:sz w:val="28"/>
          <w:szCs w:val="28"/>
          <w:u w:val="single"/>
        </w:rPr>
      </w:pPr>
    </w:p>
    <w:p w14:paraId="0AC8BA1D">
      <w:pPr>
        <w:spacing w:line="400" w:lineRule="exact"/>
        <w:ind w:firstLine="0"/>
        <w:rPr>
          <w:sz w:val="28"/>
          <w:szCs w:val="28"/>
          <w:u w:val="single"/>
        </w:rPr>
        <w:sectPr>
          <w:footerReference r:id="rId3" w:type="default"/>
          <w:headerReference w:type="default" r:id="rId35"/>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start="1"/>
          <w:cols w:space="720" w:num="1"/>
          <w:docGrid w:linePitch="312" w:charSpace="0"/>
        </w:sectPr>
      </w:pPr>
    </w:p>
    <w:p w14:paraId="67006039">
      <w:pPr>
        <w:pStyle w:val="2"/>
        <w:spacing w:before="480" w:after="720" w:line="400" w:lineRule="exact"/>
        <w:ind w:firstLine="0"/>
        <w:jc w:val="left"/>
        <w:rPr>
          <w:szCs w:val="24"/>
        </w:rPr>
      </w:pPr>
      <w:r>
        <w:rPr>
          <w:rFonts w:hint="eastAsia" w:ascii="宋体" w:hAnsi="宋体" w:eastAsia="宋体"/>
          <w:b w:val="0"/>
          <w:sz w:val="24"/>
          <w:szCs w:val="36"/>
        </w:rPr>
        <w:t>摘 要</w:t>
      </w:r>
      <w:bookmarkEnd w:id="0"/>
      <w:bookmarkEnd w:id="1"/>
    </w:p>
    <w:p w14:paraId="58D1E619">
      <w:pPr>
        <w:spacing w:line="400" w:lineRule="exact"/>
        <w:ind w:firstLineChars="0" w:firstLine="0"/>
        <w:jc w:val="left"/>
        <w:rPr>
          <w:rFonts w:hint="eastAsia"/>
        </w:rPr>
      </w:pPr>
      <w:r>
        <w:rPr>
          <w:rFonts w:hint="eastAsia" w:ascii="宋体" w:hAnsi="宋体" w:eastAsia="宋体"/>
          <w:b w:val="0"/>
          <w:sz w:val="24"/>
        </w:rPr>
        <w:t>在数字经济加速发展、人工智能深度赋能产业转型升级的背景下，人工智能应用层已成为推动技术商业化落地、培育新质生产力和释放产业价值的重要环节。相较于基础层和技术层，应用层更直接面向市场需求，其盈利能力不仅关系到人工智能产业链的可持续发展，也体现了数字技术与实体经济深度融合的实际成效。然而，相关中小企业是否具备稳定盈利能力、不同业务模式下的盈利差异表现如何，以及差异背后的关键机制与现实瓶颈何在，仍缺乏针对性研究。本文以2020—2024年73家A股人工智能应用层中小企业为研究对象，在界定样本边界并区分AI独立产品型与AI业务赋能型企业的基础上，综合运用描述性统计分析、熵权法和杜邦分析法，对样本企业的整体盈利水平、模式差异、驱动机制与优化方向展开研究。研究发现：第一，A股人工智能应用层中小企业整体盈利基础偏弱，且在样本期后段出现明显走弱，表明数字经济背景下人工智能应用企业盈利实现仍面临较强不确定性。第二，从业务模式比较看，AI独立产品型企业的综合盈利能力整体高于AI业务赋能型企业，说明能够将人工智能能力转化为可独立交付、可单独定价的数字产品或服务的企业，更容易在数字经济市场中形成相对稳定的价值实现机制和盈利基础。第三，从盈利形成机制看，销售净利率是解释企业间盈利分化的核心变量，总资产周转率更多反映业务模式差异，权益乘数并非主要决定因素。第四，不同模式的盈利瓶颈具有明显差异</w:t>
      </w:r>
      <w:r>
        <w:rPr>
          <w:rFonts w:hint="eastAsia" w:ascii="宋体" w:hAnsi="宋体" w:eastAsia="宋体"/>
          <w:b w:val="0"/>
          <w:sz w:val="24"/>
          <w:lang w:eastAsia="zh-CN"/>
        </w:rPr>
        <w:t>，</w:t>
      </w:r>
      <w:r>
        <w:rPr>
          <w:rFonts w:hint="eastAsia" w:ascii="宋体" w:hAnsi="宋体" w:eastAsia="宋体"/>
          <w:b w:val="0"/>
          <w:sz w:val="24"/>
        </w:rPr>
        <w:t>AI独立产品型企业主要受制于产品商业化周期较长、研发与市场拓展投入较高以及新旧业务协同不足；AI业务赋能型企业则更多受制于原有主营业务质量、AI嵌入深度、数据要素利用效率及盈利转化能力不足。本文有助于从业务模式视角理解A股人工智能应用层中小企业在数字经济发展进程中的盈利能力分化逻辑，也可为企业优化</w:t>
      </w:r>
      <w:r>
        <w:rPr>
          <w:rFonts w:hint="eastAsia" w:ascii="宋体" w:hAnsi="宋体" w:eastAsia="宋体"/>
          <w:b w:val="0"/>
          <w:sz w:val="24"/>
          <w:lang w:val="en-US" w:eastAsia="zh-CN"/>
        </w:rPr>
        <w:t>人工智能应用落地的</w:t>
      </w:r>
      <w:r>
        <w:rPr>
          <w:rFonts w:hint="eastAsia" w:ascii="宋体" w:hAnsi="宋体" w:eastAsia="宋体"/>
          <w:b w:val="0"/>
          <w:sz w:val="24"/>
        </w:rPr>
        <w:t>商业模式、提升人工智能应用价值转化效率和增强盈利质量提供参考。</w:t>
      </w:r>
    </w:p>
    <w:p w14:paraId="19D434F9">
      <w:pPr>
        <w:spacing w:line="400" w:lineRule="exact"/>
        <w:ind w:firstLineChars="0" w:firstLine="0"/>
        <w:jc w:val="left"/>
        <w:rPr>
          <w:rFonts w:ascii="宋体" w:hAnsi="宋体"/>
          <w:sz w:val="24"/>
          <w:szCs w:val="24"/>
        </w:rPr>
        <w:sectPr>
          <w:headerReference r:id="rId4" w:type="default"/>
          <w:footerReference r:id="rId5" w:type="default"/>
          <w:footnotePr>
            <w:numFmt w:val="decimalEnclosedCircleChinese"/>
          </w:footnotePr>
          <w:pgSz w:w="11906" w:h="16838"/>
          <w:pgMar w:top="2551" w:right="1701" w:bottom="2268" w:left="1984" w:header="1565" w:footer="851" w:gutter="0"/>
          <w:pgBorders>
            <w:top w:val="none" w:sz="0" w:space="0"/>
            <w:left w:val="none" w:sz="0" w:space="0"/>
            <w:bottom w:val="none" w:sz="0" w:space="0"/>
            <w:right w:val="none" w:sz="0" w:space="0"/>
          </w:pgBorders>
          <w:pgNumType w:fmt="upperRoman" w:start="1"/>
          <w:cols w:space="720" w:num="1"/>
          <w:docGrid w:linePitch="312" w:charSpace="0"/>
        </w:sectPr>
      </w:pPr>
      <w:r>
        <w:rPr>
          <w:rFonts w:ascii="宋体" w:hAnsi="宋体" w:eastAsia="宋体"/>
          <w:b w:val="0"/>
          <w:bCs/>
          <w:sz w:val="24"/>
        </w:rPr>
        <w:t>关键词</w:t>
      </w:r>
      <w:r>
        <w:rPr>
          <w:rFonts w:ascii="宋体" w:hAnsi="宋体" w:eastAsia="宋体"/>
          <w:b w:val="0"/>
          <w:sz w:val="24"/>
        </w:rPr>
        <w:t>：人工智能应用层；中小企业；盈利能力；</w:t>
      </w:r>
      <w:r>
        <w:rPr>
          <w:rFonts w:hint="eastAsia" w:ascii="宋体" w:hAnsi="宋体" w:eastAsia="宋体"/>
          <w:b w:val="0"/>
          <w:sz w:val="24"/>
          <w:lang w:val="en-US" w:eastAsia="zh-CN"/>
        </w:rPr>
        <w:t>数字技术</w:t>
      </w:r>
    </w:p>
    <w:p>
      <w:r>
        <w:rPr>
          <w:rFonts w:ascii="宋体" w:hAnsi="宋体" w:eastAsia="宋体"/>
          <w:sz w:val="24"/>
        </w:rPr>
        <w:fldChar w:fldCharType="begin"/>
        <w:instrText xml:space="preserve">TOC \o "1-3" \h \z \u</w:instrText>
        <w:fldChar w:fldCharType="separate"/>
        <w:t>（打开 Word 后右键目录 → 更新域，即可生成当前论文目录和页码）</w:t>
        <w:fldChar w:fldCharType="end"/>
      </w:r>
    </w:p>
    <w:p w14:paraId="2F6D7643">
      <w:pPr>
        <w:pStyle w:val="5"/>
        <w:spacing w:before="0" w:afterLines="0" w:line="400" w:lineRule="exact"/>
        <w:ind w:firstLine="0"/>
        <w:jc w:val="center"/>
        <w:rPr>
          <w:sz w:val="32"/>
          <w:szCs w:val="32"/>
        </w:rPr>
      </w:pPr>
      <w:bookmarkStart w:id="2" w:name="_Ref527627224"/>
      <w:r>
        <w:rPr>
          <w:rFonts w:hint="eastAsia" w:ascii="黑体" w:hAnsi="黑体" w:eastAsia="黑体"/>
          <w:b/>
          <w:sz w:val="32"/>
          <w:szCs w:val="32"/>
        </w:rPr>
        <w:t>目 录</w:t>
      </w:r>
      <w:bookmarkEnd w:id="2"/>
    </w:p>
    <w:p w14:paraId="6B291AB4">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第1章 绪论</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_Toc386921200 \h</w:instrText>
      </w:r>
      <w:r>
        <w:rPr>
          <w:rFonts w:ascii="黑体" w:hAnsi="黑体" w:eastAsia="黑体"/>
          <w:b/>
          <w:sz w:val="36"/>
        </w:rPr>
        <w:fldChar w:fldCharType="separate"/>
      </w:r>
      <w:r>
        <w:rPr>
          <w:rFonts w:ascii="黑体" w:hAnsi="黑体" w:eastAsia="黑体"/>
          <w:b/>
          <w:sz w:val="36"/>
        </w:rPr>
        <w:t>1</w:t>
      </w:r>
      <w:r>
        <w:rPr>
          <w:rFonts w:ascii="黑体" w:hAnsi="黑体" w:eastAsia="黑体"/>
          <w:b/>
          <w:sz w:val="36"/>
        </w:rPr>
        <w:fldChar w:fldCharType="end"/>
      </w:r>
    </w:p>
    <w:p w14:paraId="233D9D51">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第2章 排版算法</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_Toc386921201 \h</w:instrText>
      </w:r>
      <w:r>
        <w:rPr>
          <w:rFonts w:ascii="黑体" w:hAnsi="黑体" w:eastAsia="黑体"/>
          <w:b/>
          <w:sz w:val="36"/>
        </w:rPr>
        <w:fldChar w:fldCharType="separate"/>
      </w:r>
      <w:r>
        <w:rPr>
          <w:rFonts w:ascii="黑体" w:hAnsi="黑体" w:eastAsia="黑体"/>
          <w:b/>
          <w:sz w:val="36"/>
        </w:rPr>
        <w:t>2</w:t>
      </w:r>
      <w:r>
        <w:rPr>
          <w:rFonts w:ascii="黑体" w:hAnsi="黑体" w:eastAsia="黑体"/>
          <w:b/>
          <w:sz w:val="36"/>
        </w:rPr>
        <w:fldChar w:fldCharType="end"/>
      </w:r>
    </w:p>
    <w:p w14:paraId="1C631E40">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2.1 关于目录修改后的排版技巧</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_Toc386921202 \h</w:instrText>
      </w:r>
      <w:r>
        <w:rPr>
          <w:rFonts w:ascii="黑体" w:hAnsi="黑体" w:eastAsia="黑体"/>
          <w:b/>
          <w:sz w:val="28"/>
        </w:rPr>
        <w:fldChar w:fldCharType="separate"/>
      </w:r>
      <w:r>
        <w:rPr>
          <w:rFonts w:ascii="黑体" w:hAnsi="黑体" w:eastAsia="黑体"/>
          <w:b/>
          <w:sz w:val="28"/>
        </w:rPr>
        <w:t>2</w:t>
      </w:r>
      <w:r>
        <w:rPr>
          <w:rFonts w:ascii="黑体" w:hAnsi="黑体" w:eastAsia="黑体"/>
          <w:b/>
          <w:sz w:val="28"/>
        </w:rPr>
        <w:fldChar w:fldCharType="end"/>
      </w:r>
    </w:p>
    <w:p w14:paraId="235FE217">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2.1.1 关于目录的制作和修改</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_Toc386921203 \h</w:instrText>
      </w:r>
      <w:r>
        <w:rPr>
          <w:rFonts w:ascii="黑体" w:hAnsi="黑体" w:eastAsia="黑体"/>
          <w:b/>
          <w:sz w:val="24"/>
        </w:rPr>
        <w:fldChar w:fldCharType="separate"/>
      </w:r>
      <w:r>
        <w:rPr>
          <w:rFonts w:ascii="黑体" w:hAnsi="黑体" w:eastAsia="黑体"/>
          <w:b/>
          <w:sz w:val="24"/>
        </w:rPr>
        <w:t>2</w:t>
      </w:r>
      <w:r>
        <w:rPr>
          <w:rFonts w:ascii="黑体" w:hAnsi="黑体" w:eastAsia="黑体"/>
          <w:b/>
          <w:sz w:val="24"/>
        </w:rPr>
        <w:fldChar w:fldCharType="end"/>
      </w:r>
    </w:p>
    <w:p w14:paraId="0C2233A6">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2.1.2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_Toc386921204 \h</w:instrText>
      </w:r>
      <w:r>
        <w:rPr>
          <w:rFonts w:ascii="黑体" w:hAnsi="黑体" w:eastAsia="黑体"/>
          <w:b/>
          <w:sz w:val="24"/>
        </w:rPr>
        <w:fldChar w:fldCharType="separate"/>
      </w:r>
      <w:r>
        <w:rPr>
          <w:rFonts w:ascii="黑体" w:hAnsi="黑体" w:eastAsia="黑体"/>
          <w:b/>
          <w:sz w:val="24"/>
        </w:rPr>
        <w:t>2</w:t>
      </w:r>
      <w:r>
        <w:rPr>
          <w:rFonts w:ascii="黑体" w:hAnsi="黑体" w:eastAsia="黑体"/>
          <w:b/>
          <w:sz w:val="24"/>
        </w:rPr>
        <w:fldChar w:fldCharType="end"/>
      </w:r>
    </w:p>
    <w:p w14:paraId="5CB82F3B">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2.2 关于图片、表格、公式的解决</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_Toc386921205 \h</w:instrText>
      </w:r>
      <w:r>
        <w:rPr>
          <w:rFonts w:ascii="黑体" w:hAnsi="黑体" w:eastAsia="黑体"/>
          <w:b/>
          <w:sz w:val="28"/>
        </w:rPr>
        <w:fldChar w:fldCharType="separate"/>
      </w:r>
      <w:r>
        <w:rPr>
          <w:rFonts w:ascii="黑体" w:hAnsi="黑体" w:eastAsia="黑体"/>
          <w:b/>
          <w:sz w:val="28"/>
        </w:rPr>
        <w:t>3</w:t>
      </w:r>
      <w:r>
        <w:rPr>
          <w:rFonts w:ascii="黑体" w:hAnsi="黑体" w:eastAsia="黑体"/>
          <w:b/>
          <w:sz w:val="28"/>
        </w:rPr>
        <w:fldChar w:fldCharType="end"/>
      </w:r>
    </w:p>
    <w:p w14:paraId="087A2207">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2.2.1 表格的样式</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_Toc386921206 \h</w:instrText>
      </w:r>
      <w:r>
        <w:rPr>
          <w:rFonts w:ascii="黑体" w:hAnsi="黑体" w:eastAsia="黑体"/>
          <w:b/>
          <w:sz w:val="24"/>
        </w:rPr>
        <w:fldChar w:fldCharType="separate"/>
      </w:r>
      <w:r>
        <w:rPr>
          <w:rFonts w:ascii="黑体" w:hAnsi="黑体" w:eastAsia="黑体"/>
          <w:b/>
          <w:sz w:val="24"/>
        </w:rPr>
        <w:t>3</w:t>
      </w:r>
      <w:r>
        <w:rPr>
          <w:rFonts w:ascii="黑体" w:hAnsi="黑体" w:eastAsia="黑体"/>
          <w:b/>
          <w:sz w:val="24"/>
        </w:rPr>
        <w:fldChar w:fldCharType="end"/>
      </w:r>
    </w:p>
    <w:p w14:paraId="490CE8BE">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2.2.2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_Toc386921207 \h</w:instrText>
      </w:r>
      <w:r>
        <w:rPr>
          <w:rFonts w:ascii="黑体" w:hAnsi="黑体" w:eastAsia="黑体"/>
          <w:b/>
          <w:sz w:val="24"/>
        </w:rPr>
        <w:fldChar w:fldCharType="separate"/>
      </w:r>
      <w:r>
        <w:rPr>
          <w:rFonts w:ascii="黑体" w:hAnsi="黑体" w:eastAsia="黑体"/>
          <w:b/>
          <w:sz w:val="24"/>
        </w:rPr>
        <w:t>4</w:t>
      </w:r>
      <w:r>
        <w:rPr>
          <w:rFonts w:ascii="黑体" w:hAnsi="黑体" w:eastAsia="黑体"/>
          <w:b/>
          <w:sz w:val="24"/>
        </w:rPr>
        <w:fldChar w:fldCharType="end"/>
      </w:r>
    </w:p>
    <w:p w14:paraId="46DC003E">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2.3 页眉和页码的设置</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_Toc386921208 \h</w:instrText>
      </w:r>
      <w:r>
        <w:rPr>
          <w:rFonts w:ascii="黑体" w:hAnsi="黑体" w:eastAsia="黑体"/>
          <w:b/>
          <w:sz w:val="28"/>
        </w:rPr>
        <w:fldChar w:fldCharType="separate"/>
      </w:r>
      <w:r>
        <w:rPr>
          <w:rFonts w:ascii="黑体" w:hAnsi="黑体" w:eastAsia="黑体"/>
          <w:b/>
          <w:sz w:val="28"/>
        </w:rPr>
        <w:t>5</w:t>
      </w:r>
      <w:r>
        <w:rPr>
          <w:rFonts w:ascii="黑体" w:hAnsi="黑体" w:eastAsia="黑体"/>
          <w:b/>
          <w:sz w:val="28"/>
        </w:rPr>
        <w:fldChar w:fldCharType="end"/>
      </w:r>
    </w:p>
    <w:p w14:paraId="49259A91">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2.4 脚注和参考文献上标</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_Toc386921209 \h</w:instrText>
      </w:r>
      <w:r>
        <w:rPr>
          <w:rFonts w:ascii="黑体" w:hAnsi="黑体" w:eastAsia="黑体"/>
          <w:b/>
          <w:sz w:val="28"/>
        </w:rPr>
        <w:fldChar w:fldCharType="separate"/>
      </w:r>
      <w:r>
        <w:rPr>
          <w:rFonts w:ascii="黑体" w:hAnsi="黑体" w:eastAsia="黑体"/>
          <w:b/>
          <w:sz w:val="28"/>
        </w:rPr>
        <w:t>5</w:t>
      </w:r>
      <w:r>
        <w:rPr>
          <w:rFonts w:ascii="黑体" w:hAnsi="黑体" w:eastAsia="黑体"/>
          <w:b/>
          <w:sz w:val="28"/>
        </w:rPr>
        <w:fldChar w:fldCharType="end"/>
      </w:r>
    </w:p>
    <w:p w14:paraId="2D35248E">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2.4.1 脚注和参考文献上标范例</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_Toc386921210 \h</w:instrText>
      </w:r>
      <w:r>
        <w:rPr>
          <w:rFonts w:ascii="黑体" w:hAnsi="黑体" w:eastAsia="黑体"/>
          <w:b/>
          <w:sz w:val="24"/>
        </w:rPr>
        <w:fldChar w:fldCharType="separate"/>
      </w:r>
      <w:r>
        <w:rPr>
          <w:rFonts w:ascii="黑体" w:hAnsi="黑体" w:eastAsia="黑体"/>
          <w:b/>
          <w:sz w:val="24"/>
        </w:rPr>
        <w:t>5</w:t>
      </w:r>
      <w:r>
        <w:rPr>
          <w:rFonts w:ascii="黑体" w:hAnsi="黑体" w:eastAsia="黑体"/>
          <w:b/>
          <w:sz w:val="24"/>
        </w:rPr>
        <w:fldChar w:fldCharType="end"/>
      </w:r>
    </w:p>
    <w:p w14:paraId="160981B8">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2.4.2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_Toc386921211 \h</w:instrText>
      </w:r>
      <w:r>
        <w:rPr>
          <w:rFonts w:ascii="黑体" w:hAnsi="黑体" w:eastAsia="黑体"/>
          <w:b/>
          <w:sz w:val="24"/>
        </w:rPr>
        <w:fldChar w:fldCharType="separate"/>
      </w:r>
      <w:r>
        <w:rPr>
          <w:rFonts w:ascii="黑体" w:hAnsi="黑体" w:eastAsia="黑体"/>
          <w:b/>
          <w:sz w:val="24"/>
        </w:rPr>
        <w:t>5</w:t>
      </w:r>
      <w:r>
        <w:rPr>
          <w:rFonts w:ascii="黑体" w:hAnsi="黑体" w:eastAsia="黑体"/>
          <w:b/>
          <w:sz w:val="24"/>
        </w:rPr>
        <w:fldChar w:fldCharType="end"/>
      </w:r>
    </w:p>
    <w:p w14:paraId="415B97B9">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第3章 PaperYes论文一键排版的概念</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_Toc386921212 \h</w:instrText>
      </w:r>
      <w:r>
        <w:rPr>
          <w:rFonts w:ascii="黑体" w:hAnsi="黑体" w:eastAsia="黑体"/>
          <w:b/>
          <w:sz w:val="36"/>
        </w:rPr>
        <w:fldChar w:fldCharType="separate"/>
      </w:r>
      <w:r>
        <w:rPr>
          <w:rFonts w:ascii="黑体" w:hAnsi="黑体" w:eastAsia="黑体"/>
          <w:b/>
          <w:sz w:val="36"/>
        </w:rPr>
        <w:t>6</w:t>
      </w:r>
      <w:r>
        <w:rPr>
          <w:rFonts w:ascii="黑体" w:hAnsi="黑体" w:eastAsia="黑体"/>
          <w:b/>
          <w:sz w:val="36"/>
        </w:rPr>
        <w:fldChar w:fldCharType="end"/>
      </w:r>
    </w:p>
    <w:p w14:paraId="46916746">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3.1 一键排版的概念</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_Toc386921213 \h</w:instrText>
      </w:r>
      <w:r>
        <w:rPr>
          <w:rFonts w:ascii="黑体" w:hAnsi="黑体" w:eastAsia="黑体"/>
          <w:b/>
          <w:sz w:val="28"/>
        </w:rPr>
        <w:fldChar w:fldCharType="separate"/>
      </w:r>
      <w:r>
        <w:rPr>
          <w:rFonts w:ascii="黑体" w:hAnsi="黑体" w:eastAsia="黑体"/>
          <w:b/>
          <w:sz w:val="28"/>
        </w:rPr>
        <w:t>6</w:t>
      </w:r>
      <w:r>
        <w:rPr>
          <w:rFonts w:ascii="黑体" w:hAnsi="黑体" w:eastAsia="黑体"/>
          <w:b/>
          <w:sz w:val="28"/>
        </w:rPr>
        <w:fldChar w:fldCharType="end"/>
      </w:r>
    </w:p>
    <w:p w14:paraId="539906BE">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3.1.1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_Toc386921214 \h</w:instrText>
      </w:r>
      <w:r>
        <w:rPr>
          <w:rFonts w:ascii="黑体" w:hAnsi="黑体" w:eastAsia="黑体"/>
          <w:b/>
          <w:sz w:val="24"/>
        </w:rPr>
        <w:fldChar w:fldCharType="separate"/>
      </w:r>
      <w:r>
        <w:rPr>
          <w:rFonts w:ascii="黑体" w:hAnsi="黑体" w:eastAsia="黑体"/>
          <w:b/>
          <w:sz w:val="24"/>
        </w:rPr>
        <w:t>6</w:t>
      </w:r>
      <w:r>
        <w:rPr>
          <w:rFonts w:ascii="黑体" w:hAnsi="黑体" w:eastAsia="黑体"/>
          <w:b/>
          <w:sz w:val="24"/>
        </w:rPr>
        <w:fldChar w:fldCharType="end"/>
      </w:r>
    </w:p>
    <w:p w14:paraId="7B0AA6A2">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3.1.2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_Toc386921215 \h</w:instrText>
      </w:r>
      <w:r>
        <w:rPr>
          <w:rFonts w:ascii="黑体" w:hAnsi="黑体" w:eastAsia="黑体"/>
          <w:b/>
          <w:sz w:val="24"/>
        </w:rPr>
        <w:fldChar w:fldCharType="separate"/>
      </w:r>
      <w:r>
        <w:rPr>
          <w:rFonts w:ascii="黑体" w:hAnsi="黑体" w:eastAsia="黑体"/>
          <w:b/>
          <w:sz w:val="24"/>
        </w:rPr>
        <w:t>6</w:t>
      </w:r>
      <w:r>
        <w:rPr>
          <w:rFonts w:ascii="黑体" w:hAnsi="黑体" w:eastAsia="黑体"/>
          <w:b/>
          <w:sz w:val="24"/>
        </w:rPr>
        <w:fldChar w:fldCharType="end"/>
      </w:r>
    </w:p>
    <w:p w14:paraId="19C2C4F8">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3.2 一键排版的概念</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_Toc386921216 \h</w:instrText>
      </w:r>
      <w:r>
        <w:rPr>
          <w:rFonts w:ascii="黑体" w:hAnsi="黑体" w:eastAsia="黑体"/>
          <w:b/>
          <w:sz w:val="28"/>
        </w:rPr>
        <w:fldChar w:fldCharType="separate"/>
      </w:r>
      <w:r>
        <w:rPr>
          <w:rFonts w:ascii="黑体" w:hAnsi="黑体" w:eastAsia="黑体"/>
          <w:b/>
          <w:sz w:val="28"/>
        </w:rPr>
        <w:t>7</w:t>
      </w:r>
      <w:r>
        <w:rPr>
          <w:rFonts w:ascii="黑体" w:hAnsi="黑体" w:eastAsia="黑体"/>
          <w:b/>
          <w:sz w:val="28"/>
        </w:rPr>
        <w:fldChar w:fldCharType="end"/>
      </w:r>
    </w:p>
    <w:p w14:paraId="66A569C3">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3.2.1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_Toc386921217 \h</w:instrText>
      </w:r>
      <w:r>
        <w:rPr>
          <w:rFonts w:ascii="黑体" w:hAnsi="黑体" w:eastAsia="黑体"/>
          <w:b/>
          <w:sz w:val="24"/>
        </w:rPr>
        <w:fldChar w:fldCharType="separate"/>
      </w:r>
      <w:r>
        <w:rPr>
          <w:rFonts w:ascii="黑体" w:hAnsi="黑体" w:eastAsia="黑体"/>
          <w:b/>
          <w:sz w:val="24"/>
        </w:rPr>
        <w:t>7</w:t>
      </w:r>
      <w:r>
        <w:rPr>
          <w:rFonts w:ascii="黑体" w:hAnsi="黑体" w:eastAsia="黑体"/>
          <w:b/>
          <w:sz w:val="24"/>
        </w:rPr>
        <w:fldChar w:fldCharType="end"/>
      </w:r>
    </w:p>
    <w:p w14:paraId="6B1D65D9">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3.2.2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_Toc386921218 \h</w:instrText>
      </w:r>
      <w:r>
        <w:rPr>
          <w:rFonts w:ascii="黑体" w:hAnsi="黑体" w:eastAsia="黑体"/>
          <w:b/>
          <w:sz w:val="24"/>
        </w:rPr>
        <w:fldChar w:fldCharType="separate"/>
      </w:r>
      <w:r>
        <w:rPr>
          <w:rFonts w:ascii="黑体" w:hAnsi="黑体" w:eastAsia="黑体"/>
          <w:b/>
          <w:sz w:val="24"/>
        </w:rPr>
        <w:t>7</w:t>
      </w:r>
      <w:r>
        <w:rPr>
          <w:rFonts w:ascii="黑体" w:hAnsi="黑体" w:eastAsia="黑体"/>
          <w:b/>
          <w:sz w:val="24"/>
        </w:rPr>
        <w:fldChar w:fldCharType="end"/>
      </w:r>
    </w:p>
    <w:p w14:paraId="467775ED">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第4章 总结</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_Toc386921219 \h</w:instrText>
      </w:r>
      <w:r>
        <w:rPr>
          <w:rFonts w:ascii="黑体" w:hAnsi="黑体" w:eastAsia="黑体"/>
          <w:b/>
          <w:sz w:val="36"/>
        </w:rPr>
        <w:fldChar w:fldCharType="separate"/>
      </w:r>
      <w:r>
        <w:rPr>
          <w:rFonts w:ascii="黑体" w:hAnsi="黑体" w:eastAsia="黑体"/>
          <w:b/>
          <w:sz w:val="36"/>
        </w:rPr>
        <w:t>8</w:t>
      </w:r>
      <w:r>
        <w:rPr>
          <w:rFonts w:ascii="黑体" w:hAnsi="黑体" w:eastAsia="黑体"/>
          <w:b/>
          <w:sz w:val="36"/>
        </w:rPr>
        <w:fldChar w:fldCharType="end"/>
      </w:r>
    </w:p>
    <w:p w14:paraId="6E0B9F19">
      <w:pPr>
        <w:pStyle w:val="20"/>
        <w:tabs>
          <w:tab w:val="right" w:leader="dot" w:pos="8210"/>
        </w:tabs>
        <w:spacing w:line="400" w:lineRule="exact"/>
        <w:ind w:firstLine="0"/>
        <w:jc w:val="left"/>
        <w:rPr>
          <w:rFonts w:cs="Times New Roman"/>
          <w:sz w:val="24"/>
          <w:szCs w:val="22"/>
        </w:rPr>
      </w:pPr>
      <w:r>
        <w:rPr>
          <w:rStyle w:val="38"/>
          <w:rFonts w:hint="eastAsia" w:ascii="宋体" w:hAnsi="宋体" w:eastAsia="宋体"/>
          <w:b w:val="0"/>
          <w:color w:val="auto"/>
          <w:sz w:val="24"/>
          <w:szCs w:val="28"/>
          <w:u w:val="none"/>
        </w:rPr>
        <w:t>参考文献</w:t>
      </w:r>
      <w:r>
        <w:rPr>
          <w:rFonts w:ascii="宋体" w:hAnsi="宋体" w:eastAsia="宋体"/>
          <w:b w:val="0"/>
          <w:sz w:val="24"/>
        </w:rPr>
        <w:tab/>
      </w:r>
      <w:r>
        <w:rPr>
          <w:rFonts w:ascii="宋体" w:hAnsi="宋体" w:eastAsia="宋体"/>
          <w:b w:val="0"/>
          <w:sz w:val="24"/>
        </w:rPr>
        <w:fldChar w:fldCharType="begin"/>
      </w:r>
      <w:r>
        <w:rPr>
          <w:rFonts w:ascii="宋体" w:hAnsi="宋体" w:eastAsia="宋体"/>
          <w:b w:val="0"/>
          <w:sz w:val="24"/>
        </w:rPr>
        <w:instrText xml:space="preserve"> PAGEREF _Toc311948173 \h </w:instrText>
      </w:r>
      <w:r>
        <w:rPr>
          <w:rFonts w:ascii="宋体" w:hAnsi="宋体" w:eastAsia="宋体"/>
          <w:b w:val="0"/>
          <w:sz w:val="24"/>
        </w:rPr>
        <w:fldChar w:fldCharType="separate"/>
      </w:r>
      <w:r>
        <w:rPr>
          <w:rFonts w:ascii="宋体" w:hAnsi="宋体" w:eastAsia="宋体"/>
          <w:b w:val="0"/>
          <w:sz w:val="24"/>
        </w:rPr>
        <w:t>9</w:t>
      </w:r>
      <w:r>
        <w:rPr>
          <w:rFonts w:ascii="宋体" w:hAnsi="宋体" w:eastAsia="宋体"/>
          <w:b w:val="0"/>
          <w:sz w:val="24"/>
        </w:rPr>
        <w:fldChar w:fldCharType="end"/>
      </w:r>
    </w:p>
    <w:p w14:paraId="10D086DD">
      <w:pPr>
        <w:pStyle w:val="20"/>
        <w:tabs>
          <w:tab w:val="right" w:leader="dot" w:pos="8210"/>
        </w:tabs>
        <w:spacing w:line="400" w:lineRule="exact"/>
        <w:ind w:firstLine="0"/>
        <w:jc w:val="left"/>
        <w:rPr>
          <w:rFonts w:cs="Times New Roman"/>
          <w:sz w:val="24"/>
          <w:szCs w:val="22"/>
        </w:rPr>
      </w:pPr>
      <w:r>
        <w:rPr>
          <w:rStyle w:val="38"/>
          <w:rFonts w:hint="eastAsia" w:ascii="宋体" w:hAnsi="宋体" w:eastAsia="宋体"/>
          <w:b w:val="0"/>
          <w:color w:val="auto"/>
          <w:sz w:val="24"/>
          <w:szCs w:val="28"/>
          <w:u w:val="none"/>
        </w:rPr>
        <w:t>致谢</w:t>
      </w:r>
      <w:r>
        <w:rPr>
          <w:rFonts w:ascii="宋体" w:hAnsi="宋体" w:eastAsia="宋体"/>
          <w:b w:val="0"/>
          <w:sz w:val="24"/>
        </w:rPr>
        <w:tab/>
      </w:r>
      <w:r>
        <w:rPr>
          <w:rFonts w:ascii="宋体" w:hAnsi="宋体" w:eastAsia="宋体"/>
          <w:b w:val="0"/>
          <w:sz w:val="24"/>
        </w:rPr>
        <w:fldChar w:fldCharType="begin"/>
      </w:r>
      <w:r>
        <w:rPr>
          <w:rFonts w:ascii="宋体" w:hAnsi="宋体" w:eastAsia="宋体"/>
          <w:b w:val="0"/>
          <w:sz w:val="24"/>
        </w:rPr>
        <w:instrText xml:space="preserve"> PAGEREF _Toc311948175 \h </w:instrText>
      </w:r>
      <w:r>
        <w:rPr>
          <w:rFonts w:ascii="宋体" w:hAnsi="宋体" w:eastAsia="宋体"/>
          <w:b w:val="0"/>
          <w:sz w:val="24"/>
        </w:rPr>
        <w:fldChar w:fldCharType="separate"/>
      </w:r>
      <w:r>
        <w:rPr>
          <w:rFonts w:ascii="宋体" w:hAnsi="宋体" w:eastAsia="宋体"/>
          <w:b w:val="0"/>
          <w:sz w:val="24"/>
        </w:rPr>
        <w:t>10</w:t>
      </w:r>
      <w:r>
        <w:rPr>
          <w:rFonts w:ascii="宋体" w:hAnsi="宋体" w:eastAsia="宋体"/>
          <w:b w:val="0"/>
          <w:sz w:val="24"/>
        </w:rPr>
        <w:fldChar w:fldCharType="end"/>
      </w:r>
    </w:p>
    <w:p w14:paraId="60A31600">
      <w:pPr>
        <w:spacing w:line="400" w:lineRule="exact"/>
        <w:ind w:firstLine="0"/>
      </w:pPr>
    </w:p>
    <w:p w14:paraId="6AA15AD3">
      <w:pPr>
        <w:spacing w:line="400" w:lineRule="exact"/>
        <w:ind w:firstLine="0"/>
        <w:sectPr>
          <w:headerReference r:id="rId6" w:type="default"/>
          <w:footerReference r:id="rId7" w:type="default"/>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p>
    <w:p w14:paraId="6CA1406E">
      <w:pPr>
        <w:pStyle w:val="5"/>
        <w:spacing w:before="0" w:afterLines="0" w:line="400" w:lineRule="exact"/>
        <w:ind w:firstLine="0"/>
        <w:jc w:val="left"/>
        <w:rPr>
          <w:sz w:val="32"/>
          <w:szCs w:val="32"/>
        </w:rPr>
      </w:pPr>
      <w:bookmarkStart w:id="3" w:name="_Toc410226489"/>
      <w:bookmarkStart w:id="4" w:name="_Ref528761165"/>
      <w:bookmarkStart w:id="5" w:name="_Toc410210563"/>
      <w:bookmarkStart w:id="6" w:name="_Toc410207940"/>
      <w:bookmarkStart w:id="7" w:name="_Toc397870940"/>
      <w:bookmarkStart w:id="8" w:name="_Toc410211478"/>
      <w:bookmarkStart w:id="9" w:name="_Toc410227362"/>
      <w:bookmarkStart w:id="10" w:name="_Toc400786697"/>
      <w:bookmarkStart w:id="11" w:name="_Toc410209572"/>
      <w:bookmarkStart w:id="12" w:name="_Toc483659990"/>
      <w:bookmarkStart w:id="13" w:name="_Toc410218058"/>
      <w:bookmarkStart w:id="14" w:name="_Toc410226935"/>
      <w:bookmarkStart w:id="15" w:name="_Toc410214062"/>
      <w:r>
        <w:rPr>
          <w:rFonts w:ascii="宋体" w:hAnsi="宋体" w:eastAsia="宋体"/>
          <w:b w:val="0"/>
          <w:sz w:val="24"/>
          <w:szCs w:val="32"/>
        </w:rPr>
        <w:t>图录</w:t>
      </w:r>
      <w:bookmarkEnd w:id="3"/>
      <w:bookmarkEnd w:id="4"/>
      <w:bookmarkEnd w:id="5"/>
      <w:bookmarkEnd w:id="6"/>
      <w:bookmarkEnd w:id="7"/>
      <w:bookmarkEnd w:id="8"/>
      <w:bookmarkEnd w:id="9"/>
      <w:bookmarkEnd w:id="10"/>
      <w:bookmarkEnd w:id="11"/>
      <w:bookmarkEnd w:id="12"/>
      <w:bookmarkEnd w:id="13"/>
      <w:bookmarkEnd w:id="14"/>
      <w:bookmarkEnd w:id="15"/>
    </w:p>
    <w:p w14:paraId="1E0A2D1A">
      <w:pPr>
        <w:pStyle w:val="24"/>
        <w:tabs>
          <w:tab w:val="right" w:leader="dot" w:pos="8364"/>
        </w:tabs>
        <w:spacing w:line="400" w:lineRule="exact"/>
        <w:ind w:firstLine="0"/>
        <w:jc w:val="left"/>
        <w:rPr>
          <w:rFonts w:eastAsia="黑体"/>
          <w:sz w:val="28"/>
        </w:rPr>
      </w:pPr>
      <w:r>
        <w:rPr>
          <w:rFonts w:hint="eastAsia" w:eastAsia="宋体" w:ascii="宋体" w:hAnsi="宋体"/>
          <w:b w:val="0"/>
          <w:sz w:val="24"/>
        </w:rPr>
        <w:t>图2-1 自动生成目录的步骤</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_Toc389623300 \h</w:instrText>
      </w:r>
      <w:r>
        <w:rPr>
          <w:rFonts w:eastAsia="宋体" w:ascii="宋体" w:hAnsi="宋体"/>
          <w:b w:val="0"/>
          <w:sz w:val="24"/>
        </w:rPr>
        <w:fldChar w:fldCharType="separate"/>
      </w:r>
      <w:r>
        <w:rPr>
          <w:rFonts w:eastAsia="宋体" w:ascii="宋体" w:hAnsi="宋体"/>
          <w:b w:val="0"/>
          <w:sz w:val="24"/>
        </w:rPr>
        <w:t>2</w:t>
      </w:r>
      <w:r>
        <w:rPr>
          <w:rFonts w:eastAsia="宋体" w:ascii="宋体" w:hAnsi="宋体"/>
          <w:b w:val="0"/>
          <w:sz w:val="24"/>
        </w:rPr>
        <w:fldChar w:fldCharType="end"/>
      </w:r>
    </w:p>
    <w:p w14:paraId="556438A4">
      <w:pPr>
        <w:pStyle w:val="24"/>
        <w:tabs>
          <w:tab w:val="right" w:leader="dot" w:pos="8364"/>
        </w:tabs>
        <w:spacing w:line="400" w:lineRule="exact"/>
        <w:ind w:firstLine="0"/>
        <w:jc w:val="left"/>
        <w:rPr>
          <w:rFonts w:eastAsia="黑体"/>
          <w:sz w:val="28"/>
        </w:rPr>
      </w:pPr>
      <w:r>
        <w:rPr>
          <w:rFonts w:hint="eastAsia" w:eastAsia="宋体" w:ascii="宋体" w:hAnsi="宋体"/>
          <w:b w:val="0"/>
          <w:sz w:val="24"/>
        </w:rPr>
        <w:t>图2-2 选择具体的样式</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_Toc389623301 \h</w:instrText>
      </w:r>
      <w:r>
        <w:rPr>
          <w:rFonts w:eastAsia="宋体" w:ascii="宋体" w:hAnsi="宋体"/>
          <w:b w:val="0"/>
          <w:sz w:val="24"/>
        </w:rPr>
        <w:fldChar w:fldCharType="separate"/>
      </w:r>
      <w:r>
        <w:rPr>
          <w:rFonts w:eastAsia="宋体" w:ascii="宋体" w:hAnsi="宋体"/>
          <w:b w:val="0"/>
          <w:sz w:val="24"/>
        </w:rPr>
        <w:t>3</w:t>
      </w:r>
      <w:r>
        <w:rPr>
          <w:rFonts w:eastAsia="宋体" w:ascii="宋体" w:hAnsi="宋体"/>
          <w:b w:val="0"/>
          <w:sz w:val="24"/>
        </w:rPr>
        <w:fldChar w:fldCharType="end"/>
      </w:r>
    </w:p>
    <w:p w14:paraId="6242B5F2">
      <w:pPr>
        <w:spacing w:line="400" w:lineRule="exact"/>
        <w:ind w:firstLine="0"/>
      </w:pPr>
    </w:p>
    <w:p w14:paraId="20D50691">
      <w:pPr>
        <w:spacing w:line="400" w:lineRule="exact"/>
        <w:ind w:firstLine="0"/>
        <w:sectPr>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p>
    <w:p w14:paraId="762D34DD">
      <w:pPr>
        <w:pStyle w:val="5"/>
        <w:spacing w:before="0" w:afterLines="0" w:line="400" w:lineRule="exact"/>
        <w:ind w:firstLine="0"/>
        <w:jc w:val="left"/>
        <w:rPr>
          <w:sz w:val="32"/>
          <w:szCs w:val="32"/>
        </w:rPr>
      </w:pPr>
      <w:bookmarkStart w:id="16" w:name="_Toc410226936"/>
      <w:bookmarkStart w:id="17" w:name="_Toc400786698"/>
      <w:bookmarkStart w:id="18" w:name="_Toc410210564"/>
      <w:bookmarkStart w:id="19" w:name="_Ref528764430"/>
      <w:bookmarkStart w:id="20" w:name="_Toc410226490"/>
      <w:bookmarkStart w:id="21" w:name="_Toc410227363"/>
      <w:bookmarkStart w:id="22" w:name="_Toc410218059"/>
      <w:bookmarkStart w:id="23" w:name="_Toc410207941"/>
      <w:bookmarkStart w:id="24" w:name="_Toc483659991"/>
      <w:bookmarkStart w:id="25" w:name="_Toc410214063"/>
      <w:bookmarkStart w:id="26" w:name="_Toc410211479"/>
      <w:bookmarkStart w:id="27" w:name="_Toc397870941"/>
      <w:bookmarkStart w:id="28" w:name="_Toc410209573"/>
      <w:r>
        <w:rPr>
          <w:rFonts w:ascii="宋体" w:hAnsi="宋体" w:eastAsia="宋体"/>
          <w:b w:val="0"/>
          <w:sz w:val="24"/>
          <w:szCs w:val="32"/>
        </w:rPr>
        <w:t>表录</w:t>
      </w:r>
      <w:bookmarkEnd w:id="16"/>
      <w:bookmarkEnd w:id="17"/>
      <w:bookmarkEnd w:id="18"/>
      <w:bookmarkEnd w:id="19"/>
      <w:bookmarkEnd w:id="20"/>
      <w:bookmarkEnd w:id="21"/>
      <w:bookmarkEnd w:id="22"/>
      <w:bookmarkEnd w:id="23"/>
      <w:bookmarkEnd w:id="24"/>
      <w:bookmarkEnd w:id="25"/>
      <w:bookmarkEnd w:id="26"/>
      <w:bookmarkEnd w:id="27"/>
      <w:bookmarkEnd w:id="28"/>
    </w:p>
    <w:p w14:paraId="09DE09FC">
      <w:pPr>
        <w:pStyle w:val="24"/>
        <w:tabs>
          <w:tab w:val="right" w:leader="dot" w:pos="8364"/>
        </w:tabs>
        <w:spacing w:line="400" w:lineRule="exact"/>
        <w:ind w:firstLine="0"/>
        <w:jc w:val="left"/>
        <w:sectPr>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r>
        <w:rPr>
          <w:rFonts w:hint="eastAsia" w:eastAsia="宋体" w:ascii="宋体" w:hAnsi="宋体"/>
          <w:b w:val="0"/>
          <w:sz w:val="24"/>
        </w:rPr>
        <w:t>表2-1 表格的样式</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_Toc389624500 \h</w:instrText>
      </w:r>
      <w:r>
        <w:rPr>
          <w:rFonts w:eastAsia="宋体" w:ascii="宋体" w:hAnsi="宋体"/>
          <w:b w:val="0"/>
          <w:sz w:val="24"/>
        </w:rPr>
        <w:fldChar w:fldCharType="separate"/>
      </w:r>
      <w:r>
        <w:rPr>
          <w:rFonts w:eastAsia="宋体" w:ascii="宋体" w:hAnsi="宋体"/>
          <w:b w:val="0"/>
          <w:sz w:val="24"/>
        </w:rPr>
        <w:t>4</w:t>
      </w:r>
      <w:r>
        <w:rPr>
          <w:rFonts w:eastAsia="宋体" w:ascii="宋体" w:hAnsi="宋体"/>
          <w:b w:val="0"/>
          <w:sz w:val="24"/>
        </w:rPr>
        <w:fldChar w:fldCharType="end"/>
      </w:r>
    </w:p>
    <w:p w14:paraId="0B857CC4">
      <w:pPr>
        <w:spacing w:line="400" w:lineRule="exact"/>
        <w:ind w:firstLine="0"/>
      </w:pPr>
    </w:p>
    <w:p w14:paraId="30EF2462">
      <w:pPr>
        <w:pStyle w:val="2"/>
        <w:numPr>
          <w:ilvl w:val="0"/>
          <w:numId w:val="2"/>
        </w:numPr>
        <w:bidi w:val="0"/>
        <w:spacing w:line="400" w:lineRule="exact"/>
        <w:ind w:firstLine="0"/>
        <w:jc w:val="left"/>
        <w:rPr>
          <w:rFonts w:hint="default"/>
          <w:lang w:val="en-US" w:eastAsia="zh-CN"/>
        </w:rPr>
      </w:pPr>
      <w:r>
        <w:rPr>
          <w:rFonts w:hint="eastAsia" w:ascii="宋体" w:hAnsi="宋体" w:eastAsia="宋体"/>
          <w:b w:val="0"/>
          <w:sz w:val="24"/>
          <w:lang w:val="en-US" w:eastAsia="zh-CN"/>
        </w:rPr>
        <w:t>绪论</w:t>
      </w:r>
    </w:p>
    <w:p w14:paraId="0DE0F5BF">
      <w:pPr>
        <w:pStyle w:val="3"/>
        <w:numPr>
          <w:ilvl w:val="1"/>
          <w:numId w:val="3"/>
        </w:numPr>
        <w:bidi w:val="0"/>
        <w:spacing w:line="400" w:lineRule="exact"/>
        <w:ind w:firstLine="0"/>
        <w:jc w:val="left"/>
        <w:rPr>
          <w:rFonts w:hint="default"/>
          <w:lang w:val="en-US" w:eastAsia="zh-CN"/>
        </w:rPr>
      </w:pPr>
      <w:r>
        <w:rPr>
          <w:rFonts w:hint="default" w:ascii="宋体" w:hAnsi="宋体" w:eastAsia="宋体"/>
          <w:b w:val="0"/>
          <w:sz w:val="24"/>
          <w:lang w:val="en-US" w:eastAsia="zh-CN"/>
        </w:rPr>
        <w:t>研究背景、</w:t>
      </w:r>
      <w:r>
        <w:rPr>
          <w:rFonts w:hint="eastAsia" w:ascii="宋体" w:hAnsi="宋体" w:eastAsia="宋体"/>
          <w:b w:val="0"/>
          <w:sz w:val="24"/>
          <w:lang w:val="en-US" w:eastAsia="zh-CN"/>
        </w:rPr>
        <w:t>问题</w:t>
      </w:r>
      <w:r>
        <w:rPr>
          <w:rFonts w:hint="default" w:ascii="宋体" w:hAnsi="宋体" w:eastAsia="宋体"/>
          <w:b w:val="0"/>
          <w:sz w:val="24"/>
          <w:lang w:val="en-US" w:eastAsia="zh-CN"/>
        </w:rPr>
        <w:t>和意义</w:t>
      </w:r>
    </w:p>
    <w:p w14:paraId="2D55A168">
      <w:pPr>
        <w:pStyle w:val="4"/>
        <w:numPr>
          <w:ilvl w:val="2"/>
          <w:numId w:val="3"/>
        </w:numPr>
        <w:bidi w:val="0"/>
        <w:spacing w:line="400" w:lineRule="exact"/>
        <w:ind w:firstLine="0"/>
        <w:jc w:val="left"/>
        <w:rPr>
          <w:rFonts w:hint="default"/>
          <w:lang w:val="en-US" w:eastAsia="zh-CN"/>
        </w:rPr>
      </w:pPr>
      <w:r>
        <w:rPr>
          <w:rFonts w:hint="default" w:ascii="宋体" w:hAnsi="宋体" w:eastAsia="宋体"/>
          <w:b w:val="0"/>
          <w:sz w:val="24"/>
          <w:lang w:val="en-US" w:eastAsia="zh-CN"/>
        </w:rPr>
        <w:t>研究背景</w:t>
      </w:r>
    </w:p>
    <w:p w14:paraId="532FB6F8">
      <w:pPr>
        <w:numPr>
          <w:ilvl w:val="0"/>
          <w:numId w:val="0"/>
        </w:numPr>
        <w:spacing w:line="400" w:lineRule="exact"/>
        <w:ind w:leftChars="0" w:firstLineChars="0" w:firstLine="0"/>
        <w:jc w:val="left"/>
        <w:rPr>
          <w:rFonts w:hint="eastAsia"/>
          <w:lang w:val="en-US" w:eastAsia="zh-CN"/>
        </w:rPr>
      </w:pPr>
      <w:r>
        <w:rPr>
          <w:rFonts w:hint="default" w:ascii="宋体" w:hAnsi="宋体" w:eastAsia="宋体"/>
          <w:b w:val="0"/>
          <w:sz w:val="24"/>
          <w:lang w:val="en-US" w:eastAsia="zh-CN"/>
        </w:rPr>
        <w:t>人工智能已经由单点技术突破逐步演进为带动产业组织方式、资源配置方式与价值创造方式变革的关键力量。2017年国务院印发《新一代人工智能发展规划》，首次从国家战略层面明确提出要把人工智能打造为引领新一轮科技革命和产业变革的战略性技术，并部署了技术创新、产业发展与融合应用的总体路径</w:t>
      </w:r>
      <w:r>
        <w:rPr>
          <w:rFonts w:hint="default" w:ascii="宋体" w:hAnsi="宋体" w:eastAsia="宋体"/>
          <w:b w:val="0"/>
          <w:sz w:val="24"/>
          <w:vertAlign w:val="superscript"/>
          <w:lang w:val="en-US" w:eastAsia="zh-CN"/>
        </w:rPr>
        <w:t>[1]</w:t>
      </w:r>
      <w:r>
        <w:rPr>
          <w:rFonts w:hint="default" w:ascii="宋体" w:hAnsi="宋体" w:eastAsia="宋体"/>
          <w:b w:val="0"/>
          <w:sz w:val="24"/>
          <w:lang w:val="en-US" w:eastAsia="zh-CN"/>
        </w:rPr>
        <w:t>。进入生成式人工智能快速演进阶段后，人工智能的政策重心进一步由“技术储备”转向“场景落地”和“价值创造”。2024年，“人工智能+”首次被写入政府工作报告，标志着人工智能与产业深度融合已上升为宏观政策的重要行动方向</w:t>
      </w:r>
      <w:r>
        <w:rPr>
          <w:rFonts w:hint="default" w:ascii="宋体" w:hAnsi="宋体" w:eastAsia="宋体"/>
          <w:b w:val="0"/>
          <w:sz w:val="24"/>
          <w:vertAlign w:val="superscript"/>
          <w:lang w:val="en-US" w:eastAsia="zh-CN"/>
        </w:rPr>
        <w:t>[2]</w:t>
      </w:r>
      <w:r>
        <w:rPr>
          <w:rFonts w:hint="default" w:ascii="宋体" w:hAnsi="宋体" w:eastAsia="宋体"/>
          <w:b w:val="0"/>
          <w:sz w:val="24"/>
          <w:lang w:val="en-US" w:eastAsia="zh-CN"/>
        </w:rPr>
        <w:t>；2025年政府工作报告继续强调要“持续推进‘人工智能+’行动”，表明人工智能正由政策倡议转向持续性制度安排与产业实践</w:t>
      </w:r>
      <w:r>
        <w:rPr>
          <w:rFonts w:hint="default" w:ascii="宋体" w:hAnsi="宋体" w:eastAsia="宋体"/>
          <w:b w:val="0"/>
          <w:sz w:val="24"/>
          <w:vertAlign w:val="superscript"/>
          <w:lang w:val="en-US" w:eastAsia="zh-CN"/>
        </w:rPr>
        <w:t>[3]</w:t>
      </w:r>
      <w:r>
        <w:rPr>
          <w:rFonts w:hint="default" w:ascii="宋体" w:hAnsi="宋体" w:eastAsia="宋体"/>
          <w:b w:val="0"/>
          <w:sz w:val="24"/>
          <w:lang w:val="en-US" w:eastAsia="zh-CN"/>
        </w:rPr>
        <w:t>。与此同时，国家发展改革委在《关于深入实施“人工智能+”行动的意见》回答记者问题中进一步指出，人工智能已经从试验探索迈向价值创造阶段，正在对经济社会各领域产生系统性影响</w:t>
      </w:r>
      <w:r>
        <w:rPr>
          <w:rFonts w:hint="default" w:ascii="宋体" w:hAnsi="宋体" w:eastAsia="宋体"/>
          <w:b w:val="0"/>
          <w:sz w:val="24"/>
          <w:vertAlign w:val="superscript"/>
          <w:lang w:val="en-US" w:eastAsia="zh-CN"/>
        </w:rPr>
        <w:t>[4]</w:t>
      </w:r>
      <w:r>
        <w:rPr>
          <w:rFonts w:hint="default" w:ascii="宋体" w:hAnsi="宋体" w:eastAsia="宋体"/>
          <w:b w:val="0"/>
          <w:sz w:val="24"/>
          <w:lang w:val="en-US" w:eastAsia="zh-CN"/>
        </w:rPr>
        <w:t>。这些政策信号共同说明，人工智能发展已不再局限于基础研究或局部试点，而是进入了以应用扩散、商业化转化和产业组织重构为特征的新阶段。</w:t>
      </w:r>
    </w:p>
    <w:p w14:paraId="489B24C8">
      <w:pPr>
        <w:numPr>
          <w:ilvl w:val="0"/>
          <w:numId w:val="0"/>
        </w:numPr>
        <w:spacing w:line="400" w:lineRule="exact"/>
        <w:ind w:leftChars="0" w:firstLineChars="0" w:firstLine="0"/>
        <w:jc w:val="left"/>
        <w:rPr>
          <w:rFonts w:hint="default"/>
          <w:lang w:val="en-US" w:eastAsia="zh-CN"/>
        </w:rPr>
      </w:pPr>
      <w:r>
        <w:rPr>
          <w:rFonts w:hint="default" w:ascii="宋体" w:hAnsi="宋体" w:eastAsia="宋体"/>
          <w:b w:val="0"/>
          <w:sz w:val="24"/>
          <w:lang w:val="en-US" w:eastAsia="zh-CN"/>
        </w:rPr>
        <w:t>在这一新阶段中，人工智能应用层的重要性显著上升。相较于芯片、算力、基础模型等基础层环节，应用层直接面向行业场景与终端需求，更容易体现人工智能的现实生产力转化能力。无论是智能营销、智能内容生成、智能客服、智能设计、智能运维，还是面向教育、医疗、传媒、零售、工业服务等领域的行业解决方案，人工智能应用层企业都承担着将算法能力转化为产品、服务与收入的关键任务。斯坦福大学发布的《2024 AI Index Report》显示，人工智能在全球范围内正持续向更广泛的行业应用和企业经营活动渗透，技术进步、资本投入与场景扩展相互强化</w:t>
      </w:r>
      <w:r>
        <w:rPr>
          <w:rFonts w:hint="default" w:ascii="宋体" w:hAnsi="宋体" w:eastAsia="宋体"/>
          <w:b w:val="0"/>
          <w:sz w:val="24"/>
          <w:vertAlign w:val="superscript"/>
          <w:lang w:val="en-US" w:eastAsia="zh-CN"/>
        </w:rPr>
        <w:t>[5]</w:t>
      </w:r>
      <w:r>
        <w:rPr>
          <w:rFonts w:hint="default" w:ascii="宋体" w:hAnsi="宋体" w:eastAsia="宋体"/>
          <w:b w:val="0"/>
          <w:sz w:val="24"/>
          <w:lang w:val="en-US" w:eastAsia="zh-CN"/>
        </w:rPr>
        <w:t>。麦肯锡《The State of AI in Early 2024》、德勤《State of Generative AI in the Enterprise: Now decides next》以及IDC关于生成式AI的系列研究亦表明，企业对人工智能的使用已由局部试点逐步走向嵌入式经营应用，企业竞争不再只取决于是否拥有AI，而更取决于能否将AI能力有效嵌入主营业务、形成可持续的价值创造机制</w:t>
      </w:r>
      <w:r>
        <w:rPr>
          <w:rFonts w:hint="default" w:ascii="宋体" w:hAnsi="宋体" w:eastAsia="宋体"/>
          <w:b w:val="0"/>
          <w:sz w:val="24"/>
          <w:vertAlign w:val="superscript"/>
          <w:lang w:val="en-US" w:eastAsia="zh-CN"/>
        </w:rPr>
        <w:t>[6][7][8]</w:t>
      </w:r>
      <w:r>
        <w:rPr>
          <w:rFonts w:hint="default" w:ascii="宋体" w:hAnsi="宋体" w:eastAsia="宋体"/>
          <w:b w:val="0"/>
          <w:sz w:val="24"/>
          <w:lang w:val="en-US" w:eastAsia="zh-CN"/>
        </w:rPr>
        <w:t>。这意味着，应用层企业已成为检验人工智能从技术可行到商业可行最直接的观察窗口。</w:t>
      </w:r>
    </w:p>
    <w:p w14:paraId="4ACA8AAA">
      <w:pPr>
        <w:numPr>
          <w:ilvl w:val="0"/>
          <w:numId w:val="0"/>
        </w:numPr>
        <w:spacing w:line="400" w:lineRule="exact"/>
        <w:ind w:leftChars="0" w:firstLineChars="0" w:firstLine="0"/>
        <w:jc w:val="left"/>
        <w:rPr>
          <w:rFonts w:hint="eastAsia"/>
          <w:lang w:val="en-US" w:eastAsia="zh-CN"/>
        </w:rPr>
      </w:pPr>
      <w:r>
        <w:rPr>
          <w:rFonts w:hint="default" w:ascii="宋体" w:hAnsi="宋体" w:eastAsia="宋体"/>
          <w:b w:val="0"/>
          <w:sz w:val="24"/>
          <w:lang w:val="en-US" w:eastAsia="zh-CN"/>
        </w:rPr>
        <w:t>然而，人工智能应用层企业的高关注度并不自动意味着高盈利能力。尤其是中小企业，往往同时承担着技术迭代快、产品验证周期长、客户培育成本高与融资约束强等多重压力。一方面，中小企业更具灵活性，更容易围绕细分场景形成创新产品或快速试错，因此在人工智能应用落地中具有天然优势；另一方面，中小企业规模较小、资本缓冲有限、市场议价能力较弱，一旦收入兑现慢于研发投入和市场扩张速度，就容易出现技术活跃但利润承压的结构性问题。工业和信息化部在《中小企业数字化赋能专项行动方案（2025—2027年）》解读中明确指出，数字化转型已经成为中小企业生存与发展的“必答题”，这实际上意味着中小企业既面临技术升级机遇，也面临经营模式重构和盈利模式重塑压力</w:t>
      </w:r>
      <w:r>
        <w:rPr>
          <w:rFonts w:hint="default" w:ascii="宋体" w:hAnsi="宋体" w:eastAsia="宋体"/>
          <w:b w:val="0"/>
          <w:sz w:val="24"/>
          <w:vertAlign w:val="superscript"/>
          <w:lang w:val="en-US" w:eastAsia="zh-CN"/>
        </w:rPr>
        <w:t>[9]</w:t>
      </w:r>
      <w:r>
        <w:rPr>
          <w:rFonts w:hint="default" w:ascii="宋体" w:hAnsi="宋体" w:eastAsia="宋体"/>
          <w:b w:val="0"/>
          <w:sz w:val="24"/>
          <w:lang w:val="en-US" w:eastAsia="zh-CN"/>
        </w:rPr>
        <w:t>。</w:t>
      </w:r>
    </w:p>
    <w:p w14:paraId="292D9F6F">
      <w:pPr>
        <w:numPr>
          <w:ilvl w:val="0"/>
          <w:numId w:val="0"/>
        </w:numPr>
        <w:spacing w:line="400" w:lineRule="exact"/>
        <w:ind w:leftChars="0" w:firstLineChars="0" w:firstLine="0"/>
        <w:jc w:val="left"/>
        <w:rPr>
          <w:rFonts w:hint="eastAsia"/>
          <w:lang w:val="en-US" w:eastAsia="zh-CN"/>
        </w:rPr>
      </w:pPr>
      <w:r>
        <w:rPr>
          <w:rFonts w:ascii="宋体" w:hAnsi="宋体" w:eastAsia="宋体" w:cs="宋体"/>
          <w:b w:val="0"/>
          <w:kern w:val="0"/>
          <w:sz w:val="24"/>
          <w:szCs w:val="24"/>
          <w:lang w:val="en-US" w:eastAsia="zh-CN" w:bidi="ar"/>
        </w:rPr>
        <w:t>中小企业作为人工智能技术创新与应用落地的重要主体，其盈利能力不仅关系到企业自身的可持续生存，也直接影响我国人工智能产业链的稳定性与创新活力。因此，在人工智能加速扩散的背景下，系统分析应用层中小企业的盈利能力，既具有企业经营层面的现实价值，也有助于把握</w:t>
      </w:r>
      <w:r>
        <w:rPr>
          <w:rFonts w:hint="eastAsia" w:ascii="宋体" w:hAnsi="宋体" w:eastAsia="宋体"/>
          <w:b w:val="0"/>
          <w:sz w:val="24"/>
          <w:lang w:val="en-US" w:eastAsia="zh-CN"/>
        </w:rPr>
        <w:t>人工智能从技术热点走向产业常态的真实难点。</w:t>
      </w:r>
    </w:p>
    <w:p w14:paraId="0D532E49">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从资本市场与产业结构角度看，A股人工智能应用层企业具有特殊研究意义。A股市场中的人工智能企业兼具技术成长性、财务透明度与行业分化性三重特征：一方面，上市公司年报、分部收入、财务报表和市场信息为盈利研究提供了较为完整的数据基础；另一方面，A股人工智能企业并非集中于某一单一行业，而是分布于传媒、软件服务、营销服务、工业、教育、智慧城市、数字内容与企业服务等多个场景，能够较为充分地体现应用层企业的异质性。</w:t>
      </w:r>
    </w:p>
    <w:p w14:paraId="72ECB56C">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综上所述，人工智能应用层中小企业已成为观察人工智能商业化落地与产业价值实现的重要切入点，但其盈利能力是否稳健、何种业务模式更具盈利优势、关键瓶颈究竟何在，仍有待系统研究。基于此，本文以A股人工智能应用层中小企业为研究对象，围绕其整体盈利水平、分布特征、模式差异及瓶颈来源展开分析，以期为人工智能应用层中小企业的经营优化与产业政策完善提供参考。</w:t>
      </w:r>
    </w:p>
    <w:p w14:paraId="0D602782">
      <w:pPr>
        <w:numPr>
          <w:ilvl w:val="0"/>
          <w:numId w:val="0"/>
        </w:numPr>
        <w:spacing w:line="400" w:lineRule="exact"/>
        <w:ind w:leftChars="0" w:firstLineChars="0" w:firstLine="0"/>
        <w:rPr>
          <w:rFonts w:hint="eastAsia"/>
          <w:lang w:val="en-US" w:eastAsia="zh-CN"/>
        </w:rPr>
      </w:pPr>
    </w:p>
    <w:p w14:paraId="5D52D21A">
      <w:pPr>
        <w:bidi w:val="0"/>
        <w:spacing w:line="400" w:lineRule="exact"/>
        <w:ind w:firstLine="0"/>
      </w:pPr>
    </w:p>
    <w:p w14:paraId="2F915DA3">
      <w:pPr>
        <w:keepNext w:val="0"/>
        <w:keepLines w:val="0"/>
        <w:widowControl/>
        <w:suppressLineNumbers w:val="0"/>
        <w:spacing w:line="400" w:lineRule="exact"/>
        <w:ind w:firstLine="0"/>
      </w:pPr>
    </w:p>
    <w:p w14:paraId="0EDB5F1C">
      <w:pPr>
        <w:keepNext w:val="0"/>
        <w:keepLines w:val="0"/>
        <w:widowControl/>
        <w:suppressLineNumbers w:val="0"/>
        <w:spacing w:line="400" w:lineRule="exact"/>
        <w:ind w:firstLine="0"/>
      </w:pPr>
    </w:p>
    <w:p w14:paraId="2C43591D">
      <w:pPr>
        <w:keepNext w:val="0"/>
        <w:keepLines w:val="0"/>
        <w:widowControl/>
        <w:suppressLineNumbers w:val="0"/>
        <w:spacing w:line="400" w:lineRule="exact"/>
        <w:ind w:firstLine="0"/>
      </w:pPr>
    </w:p>
    <w:p w14:paraId="147201E6">
      <w:pPr>
        <w:keepNext w:val="0"/>
        <w:keepLines w:val="0"/>
        <w:widowControl/>
        <w:suppressLineNumbers w:val="0"/>
        <w:spacing w:line="400" w:lineRule="exact"/>
        <w:ind w:firstLine="0"/>
      </w:pPr>
    </w:p>
    <w:p w14:paraId="14DA7A67">
      <w:pPr>
        <w:keepNext w:val="0"/>
        <w:keepLines w:val="0"/>
        <w:widowControl/>
        <w:suppressLineNumbers w:val="0"/>
        <w:spacing w:line="400" w:lineRule="exact"/>
        <w:ind w:firstLine="0"/>
      </w:pPr>
    </w:p>
    <w:p w14:paraId="5E6E4683">
      <w:pPr>
        <w:keepNext w:val="0"/>
        <w:keepLines w:val="0"/>
        <w:widowControl/>
        <w:suppressLineNumbers w:val="0"/>
        <w:spacing w:line="400" w:lineRule="exact"/>
        <w:ind w:firstLine="0"/>
      </w:pPr>
    </w:p>
    <w:p w14:paraId="3200ACB6">
      <w:pPr>
        <w:keepNext w:val="0"/>
        <w:keepLines w:val="0"/>
        <w:widowControl/>
        <w:suppressLineNumbers w:val="0"/>
        <w:spacing w:line="400" w:lineRule="exact"/>
        <w:ind w:firstLine="0"/>
      </w:pPr>
    </w:p>
    <w:p w14:paraId="0531F964">
      <w:pPr>
        <w:keepNext w:val="0"/>
        <w:keepLines w:val="0"/>
        <w:widowControl/>
        <w:suppressLineNumbers w:val="0"/>
        <w:spacing w:line="400" w:lineRule="exact"/>
        <w:ind w:firstLine="0"/>
        <w:rPr>
          <w:rFonts w:hint="eastAsia"/>
          <w:lang w:val="en-US" w:eastAsia="zh-CN"/>
        </w:rPr>
      </w:pPr>
    </w:p>
    <w:p w14:paraId="5EF428D2">
      <w:pPr>
        <w:pStyle w:val="4"/>
        <w:numPr>
          <w:ilvl w:val="2"/>
          <w:numId w:val="3"/>
        </w:numPr>
        <w:bidi w:val="0"/>
        <w:spacing w:line="400" w:lineRule="exact"/>
        <w:ind w:firstLine="0"/>
        <w:jc w:val="left"/>
        <w:rPr>
          <w:rFonts w:hint="eastAsia"/>
          <w:lang w:val="en-US" w:eastAsia="zh-CN"/>
        </w:rPr>
      </w:pPr>
      <w:r>
        <w:rPr>
          <w:rFonts w:hint="eastAsia" w:ascii="宋体" w:hAnsi="宋体" w:eastAsia="宋体"/>
          <w:b w:val="0"/>
          <w:sz w:val="24"/>
          <w:lang w:val="en-US" w:eastAsia="zh-CN"/>
        </w:rPr>
        <w:t>研究问题</w:t>
      </w:r>
    </w:p>
    <w:p w14:paraId="41295F98">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现有研究虽然已经从商业模式、资源禀赋、技术扩散、资本市场定价和新质生产力等多个角度讨论人工智能企业发展问题，但针对A股人工智能应用层中小企业盈利能力的系统研究仍显不足。一方面，许多研究更关注人工智能是否提升企业绩效，</w:t>
      </w:r>
      <w:r>
        <w:rPr>
          <w:rFonts w:hint="eastAsia" w:ascii="宋体" w:hAnsi="宋体" w:eastAsia="宋体"/>
          <w:b w:val="0"/>
          <w:bCs/>
          <w:color w:val="0000FF"/>
          <w:sz w:val="24"/>
          <w:lang w:val="en-US" w:eastAsia="zh-CN"/>
        </w:rPr>
        <w:t>而较少回答人工智能应用层中小企业为何盈利分化明显</w:t>
      </w:r>
      <w:r>
        <w:rPr>
          <w:rFonts w:hint="eastAsia" w:ascii="宋体" w:hAnsi="宋体" w:eastAsia="宋体"/>
          <w:b w:val="0"/>
          <w:sz w:val="24"/>
          <w:lang w:val="en-US" w:eastAsia="zh-CN"/>
        </w:rPr>
        <w:t>；另一方面，既有研究多停留在单一指标、单一时期或单一案例层面，对收入、成本、费用、周转与资本结构等盈利影响因素缺乏一体化分析。</w:t>
      </w:r>
    </w:p>
    <w:p w14:paraId="234934E9">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此外，已有研究在方法上也存在一定局限。若仅依赖单个利润率或收益率指标，难以全面反映企业盈利能力；若仅进行横截面比较，则难以识别典型企业盈利差异的形成过程与具体盈利瓶颈；若仅采用案例分析方法，虽然可以深入剖析个体企业的经营逻辑，却又难以从整体上把握样本企业的普遍规律与分布格局。对于A股人工智能应用层中小企业这一兼具行业新兴性、模式多样性和财务波动性的研究对象而言，更合理的研究路径应当是将全样本横向评价与典型样本纵向分解结合起来：前者用于识别总体盈利水平、分布特征及不同模式企业的相对优势，后者用于揭示盈利差异的内在驱动机制与瓶颈来源。在这一意义上，如何将描述性统计分析、熵权法综合评价与杜邦分析法有机衔接起来，也构成了本文研究设计需要回应的重要问题。</w:t>
      </w:r>
    </w:p>
    <w:p w14:paraId="2B762C3E">
      <w:pPr>
        <w:numPr>
          <w:ilvl w:val="0"/>
          <w:numId w:val="0"/>
        </w:numPr>
        <w:spacing w:line="400" w:lineRule="exact"/>
        <w:ind w:leftChars="0" w:firstLineChars="0" w:firstLine="0"/>
        <w:jc w:val="left"/>
        <w:rPr>
          <w:rFonts w:hint="eastAsia"/>
          <w:color w:val="0000FF"/>
          <w:lang w:val="en-US" w:eastAsia="zh-CN"/>
        </w:rPr>
      </w:pPr>
      <w:r>
        <w:rPr>
          <w:rFonts w:hint="eastAsia" w:ascii="宋体" w:hAnsi="宋体" w:eastAsia="宋体"/>
          <w:b w:val="0"/>
          <w:sz w:val="24"/>
          <w:lang w:val="en-US" w:eastAsia="zh-CN"/>
        </w:rPr>
        <w:t>鉴于此，本文将围绕A股人工智能应用层中小企业盈利能力这一核心主题展开研究，试图立足人工智能产业由技术突破走向场景落地、由概念驱动走向价值创造的现实背景，从人工智能应用层的特征出发，系统考察其盈利水平、模式差异与关键瓶颈的表现特征及内在逻辑，从而为企业经营优化、业务模式选择与相关产业政策完善提供较为系统的理论参考与经验依据。</w:t>
      </w:r>
    </w:p>
    <w:p w14:paraId="2EEB773D">
      <w:pPr>
        <w:numPr>
          <w:ilvl w:val="0"/>
          <w:numId w:val="0"/>
        </w:numPr>
        <w:spacing w:line="400" w:lineRule="exact"/>
        <w:ind w:leftChars="0" w:firstLineChars="0" w:firstLine="0"/>
        <w:jc w:val="left"/>
        <w:rPr>
          <w:rFonts w:hint="eastAsia"/>
          <w:color w:val="auto"/>
          <w:lang w:val="en-US" w:eastAsia="zh-CN"/>
        </w:rPr>
      </w:pPr>
      <w:r>
        <w:rPr>
          <w:rFonts w:hint="eastAsia" w:ascii="宋体" w:hAnsi="宋体" w:eastAsia="宋体"/>
          <w:b w:val="0"/>
          <w:color w:val="auto"/>
          <w:sz w:val="24"/>
          <w:lang w:val="en-US" w:eastAsia="zh-CN"/>
        </w:rPr>
        <w:t>本文从总体特征、模式差异、形成机制与优化路径四个层面，对A股人工智能应用层中小企业的盈利能力展开系统分析。具体而言，文章首先从人工智能应用层的特征出发，梳理其所处的政策环境、竞争格局与应用落地现状，为后续分析提供背景；随后对样本企业的整体盈利水平与分布特征进行刻画，并在此基础上比较不同业务模式下企业盈利能力的相对差异；进一步结合收入、成本、费用、周转与资本结构等经营环节，对典型样本的盈利形成机制与瓶颈来源进行拆解；最后归纳不同模式企业盈利能力的主要约束，并提出相应的优化思路。</w:t>
      </w:r>
    </w:p>
    <w:p w14:paraId="48B0A68F">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具体而言，本文围绕以下三个问题展开研究。</w:t>
      </w:r>
    </w:p>
    <w:p w14:paraId="4B018894">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第一，A股人工智能应用层中小企业的整体盈利水平与分布特征如何？从ROA、ROE、净利率等结果性指标出发，并结合收入规模、成本率、费用率等经营结构指标，对样本企业的盈利水平、中位数特征、离散程度、头尾分化与阶段波动进行刻画，以回答该类企业总体上“盈利处于什么水平、分化程度有多大、稳定性如何”这一基础性问题。</w:t>
      </w:r>
    </w:p>
    <w:p w14:paraId="607A4F28">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第二，在样本期内，何种业务模式具有更高的盈利水平与更强的盈利稳健性？为回答这一问题，本文将运用熵权法构建盈利能力综合评价体系，对不同业务模式企业进行横向比较，以识别人工智能应用商业化过程中更具相对盈利优势的模式类型，并为后续典型样本的选取提供依据。</w:t>
      </w:r>
    </w:p>
    <w:p w14:paraId="5F624F7F">
      <w:pPr>
        <w:numPr>
          <w:ilvl w:val="0"/>
          <w:numId w:val="0"/>
        </w:numPr>
        <w:spacing w:line="400" w:lineRule="exact"/>
        <w:ind w:leftChars="0" w:firstLineChars="0" w:firstLine="0"/>
        <w:jc w:val="left"/>
        <w:rPr>
          <w:rFonts w:hint="eastAsia"/>
          <w:color w:val="auto"/>
          <w:lang w:val="en-US" w:eastAsia="zh-CN"/>
        </w:rPr>
      </w:pPr>
      <w:r>
        <w:rPr>
          <w:rFonts w:hint="eastAsia" w:eastAsia="宋体" w:ascii="宋体" w:hAnsi="宋体"/>
          <w:b w:val="0"/>
          <w:color w:val="auto"/>
          <w:sz w:val="24"/>
          <w:lang w:val="en-US" w:eastAsia="zh-CN"/>
        </w:rPr>
        <w:t>第三，不同业务模式的盈利瓶颈是什么，应如何改善？在识别模式差异的基础上，对典型样本借助杜邦分析法对净资产收益率的驱动机制进行分解，从盈利空间、资产效率与杠杆结构等层面归纳各模式企业的核心瓶颈，并提出差异化改进思路。</w:t>
      </w:r>
    </w:p>
    <w:p w14:paraId="18ADAB21">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总体而言，上述研究问题分别从总体特征、模式差异、形成机制与优化路径四个层面展开，构成了“</w:t>
      </w:r>
      <w:r>
        <w:rPr>
          <w:rFonts w:hint="eastAsia" w:ascii="宋体" w:hAnsi="宋体" w:eastAsia="宋体" w:cs="宋体"/>
          <w:b w:val="0"/>
          <w:kern w:val="0"/>
          <w:sz w:val="24"/>
          <w:szCs w:val="24"/>
          <w:lang w:val="en-US" w:eastAsia="zh-CN" w:bidi="ar"/>
        </w:rPr>
        <w:t>人工智能应用层特征分析—应用层中小企业整体画像分析—熵权法横向评价—杜邦分析纵向分解—问题归纳与对策建议</w:t>
      </w:r>
      <w:r>
        <w:rPr>
          <w:rFonts w:ascii="宋体" w:hAnsi="宋体" w:eastAsia="宋体" w:cs="宋体"/>
          <w:b w:val="0"/>
          <w:kern w:val="0"/>
          <w:sz w:val="24"/>
          <w:szCs w:val="24"/>
          <w:lang w:val="en-US" w:eastAsia="zh-CN" w:bidi="ar"/>
        </w:rPr>
        <w:t>”的研究主线。通过对这些问题的系统回答，本文力图更深入地揭示A股人工智能应用层中小企业盈利能力的现实表现、差异来源及改善方向</w:t>
      </w:r>
      <w:r>
        <w:rPr>
          <w:rFonts w:hint="eastAsia" w:ascii="宋体" w:hAnsi="宋体" w:eastAsia="宋体" w:cs="宋体"/>
          <w:b w:val="0"/>
          <w:kern w:val="0"/>
          <w:sz w:val="24"/>
          <w:szCs w:val="24"/>
          <w:lang w:val="en-US" w:eastAsia="zh-CN" w:bidi="ar"/>
        </w:rPr>
        <w:t>，为</w:t>
      </w:r>
      <w:r>
        <w:rPr>
          <w:rFonts w:ascii="宋体" w:hAnsi="宋体" w:eastAsia="宋体" w:cs="宋体"/>
          <w:b w:val="0"/>
          <w:kern w:val="0"/>
          <w:sz w:val="24"/>
          <w:szCs w:val="24"/>
          <w:lang w:val="en-US" w:eastAsia="zh-CN" w:bidi="ar"/>
        </w:rPr>
        <w:t>人工智能应用层中小</w:t>
      </w:r>
      <w:r>
        <w:rPr>
          <w:rFonts w:hint="eastAsia" w:ascii="宋体" w:hAnsi="宋体" w:eastAsia="宋体" w:cs="宋体"/>
          <w:b w:val="0"/>
          <w:kern w:val="0"/>
          <w:sz w:val="24"/>
          <w:szCs w:val="24"/>
          <w:lang w:val="en-US" w:eastAsia="zh-CN" w:bidi="ar"/>
        </w:rPr>
        <w:t>企业的经营优化、业务模式调整和相关政策制定提供参考依据。</w:t>
      </w:r>
    </w:p>
    <w:p w14:paraId="581E2000">
      <w:pPr>
        <w:pStyle w:val="4"/>
        <w:numPr>
          <w:ilvl w:val="2"/>
          <w:numId w:val="3"/>
        </w:numPr>
        <w:bidi w:val="0"/>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研究意义</w:t>
      </w:r>
    </w:p>
    <w:p w14:paraId="0D5D6351">
      <w:pPr>
        <w:spacing w:line="400" w:lineRule="exact"/>
        <w:ind w:firstLineChars="0" w:firstLine="0"/>
        <w:jc w:val="left"/>
        <w:rPr>
          <w:rFonts w:hint="eastAsia" w:eastAsia="宋体"/>
          <w:lang w:val="en-US" w:eastAsia="zh-CN"/>
        </w:rPr>
      </w:pPr>
      <w:r>
        <w:rPr>
          <w:rFonts w:hint="eastAsia" w:ascii="宋体" w:hAnsi="宋体" w:eastAsia="宋体"/>
          <w:b w:val="0"/>
          <w:color w:val="auto"/>
          <w:sz w:val="24"/>
          <w:lang w:val="en-US" w:eastAsia="zh-CN"/>
        </w:rPr>
        <w:t>从理论意义看，本文有助于丰富人工智能企业研究、中小企业研究和盈利能力研究的交叉领域。首先，本文在研究对象上对现有研究进行了细化。已有文献多关注AI创业企业、AI采纳型组织，或从产业升级、创新绩效等角度讨论人工智能的经济效应，而对A股人工智能应用层中小企业这一细分群体关注相对有限。本文聚焦该类企业，有助于拓展人工智能企业研究的微观对象范围。其次，本文从盈利能力视角切入，对现有偏重技术赋能、创新效应和企业估值的研究形成补充，将研究进一步延伸到人工智能嵌入企业经营后能否转化为稳定利润和持续回报这一层面。最后，本文尝试将熵权法与杜邦分析法结合起来，既比较不同业务模式的盈利差异，又分析盈利能力变化的具体来源，从而为人工智能应用层企业盈利能力研究提供一定的方法补充。</w:t>
      </w:r>
    </w:p>
    <w:p w14:paraId="097271FF">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从实践意义看，本研究对于完善我国人工智能产业体系、推动数字经济高质量发展具有重要现实意义。“人工智能+”已连续三年写入政府工作报告，表明人工智能与实体经济深度融合已成为持续推进的重要政策方向</w:t>
      </w:r>
      <w:r>
        <w:rPr>
          <w:rFonts w:hint="eastAsia" w:eastAsia="宋体" w:ascii="宋体" w:hAnsi="宋体"/>
          <w:b w:val="0"/>
          <w:sz w:val="24"/>
          <w:vertAlign w:val="superscript"/>
          <w:lang w:val="en-US" w:eastAsia="zh-CN"/>
        </w:rPr>
        <w:t>[2][3]</w:t>
      </w:r>
      <w:r>
        <w:rPr>
          <w:rFonts w:hint="eastAsia" w:eastAsia="宋体" w:ascii="宋体" w:hAnsi="宋体"/>
          <w:b w:val="0"/>
          <w:sz w:val="24"/>
          <w:lang w:val="en-US" w:eastAsia="zh-CN"/>
        </w:rPr>
        <w:t>。人工智能应用层中小企业作为相关产业发展的重要市场主体，既承担着技术落地与场景创新的重要功能，也是推动人工智能由技术优势转化为产业优势的重要力量。因此，系统考察A股人工智能应用层中小企业的盈利能力，不仅有助于揭示其盈利现状，也有助于识别其商业化落地过程中的现实约束与关键瓶颈，进而为企业经营优化、产业资源配置和相关政策完善提供实践依据。</w:t>
      </w:r>
    </w:p>
    <w:p w14:paraId="0CB1078E">
      <w:pPr>
        <w:spacing w:line="400" w:lineRule="exact"/>
        <w:ind w:firstLineChars="0" w:firstLine="0"/>
        <w:jc w:val="left"/>
        <w:rPr>
          <w:rFonts w:hint="eastAsia"/>
          <w:lang w:val="en-US" w:eastAsia="zh-CN"/>
        </w:rPr>
      </w:pPr>
      <w:r>
        <w:rPr>
          <w:rFonts w:hint="eastAsia" w:eastAsia="宋体" w:ascii="宋体" w:hAnsi="宋体"/>
          <w:b w:val="0"/>
          <w:sz w:val="24"/>
          <w:lang w:val="en-US" w:eastAsia="zh-CN"/>
        </w:rPr>
        <w:t>具体而言，本文对企业、投资者和政策制定者均具有一定的现实参考价值。对于企业而言，研究成果可为人工智能应用层中小企业优化业务模式、改善经营结构和提升持续盈利能力提供参考。对于投资者而言，本文有助于增强其对人工智能应用层企业盈利、业务模式特征与商业可行性的识别能力。</w:t>
      </w:r>
      <w:r>
        <w:rPr>
          <w:rFonts w:hint="eastAsia" w:ascii="宋体" w:hAnsi="宋体" w:eastAsia="宋体"/>
          <w:b w:val="0"/>
          <w:sz w:val="24"/>
          <w:lang w:val="en-US" w:eastAsia="zh-CN"/>
        </w:rPr>
        <w:t>对于政府和监管部门而言，本文亦可为其制定和完善相关政策提供理论支撑，为构建更加包容与可持续的人工智能产业生态体系提供决策支持。</w:t>
      </w:r>
    </w:p>
    <w:p w14:paraId="2E637920">
      <w:pPr>
        <w:pStyle w:val="3"/>
        <w:bidi w:val="0"/>
        <w:spacing w:line="400" w:lineRule="exact"/>
        <w:ind w:firstLine="0"/>
        <w:jc w:val="left"/>
        <w:rPr>
          <w:rFonts w:hint="eastAsia"/>
        </w:rPr>
      </w:pPr>
      <w:r>
        <w:rPr>
          <w:rFonts w:hint="eastAsia" w:ascii="黑体" w:hAnsi="黑体" w:eastAsia="黑体"/>
          <w:b/>
          <w:sz w:val="28"/>
        </w:rPr>
        <w:t>1.</w:t>
      </w:r>
      <w:r>
        <w:rPr>
          <w:rFonts w:hint="eastAsia" w:ascii="黑体" w:hAnsi="黑体" w:eastAsia="黑体"/>
          <w:b/>
          <w:sz w:val="28"/>
          <w:lang w:val="en-US" w:eastAsia="zh-CN"/>
        </w:rPr>
        <w:t>2</w:t>
      </w:r>
      <w:r>
        <w:rPr>
          <w:rFonts w:hint="eastAsia" w:ascii="黑体" w:hAnsi="黑体" w:eastAsia="黑体"/>
          <w:b/>
          <w:sz w:val="28"/>
        </w:rPr>
        <w:t>研究内容和方法</w:t>
      </w:r>
    </w:p>
    <w:p w14:paraId="04B7BF8E">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1.2.1 研究内容</w:t>
      </w:r>
    </w:p>
    <w:p w14:paraId="5677550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本文总共包括七章内容，具体的内容如下。</w:t>
      </w:r>
    </w:p>
    <w:p w14:paraId="728C1F45">
      <w:pPr>
        <w:pStyle w:val="2"/>
        <w:spacing w:line="400" w:lineRule="exact"/>
        <w:ind w:firstLineChars="0" w:firstLine="0"/>
        <w:jc w:val="center"/>
        <w:rPr>
          <w:rFonts w:hint="eastAsia"/>
          <w:lang w:val="en-US" w:eastAsia="zh-CN"/>
        </w:rPr>
      </w:pPr>
      <w:r>
        <w:rPr>
          <w:rFonts w:hint="eastAsia" w:ascii="黑体" w:hAnsi="黑体" w:eastAsia="黑体"/>
          <w:b/>
          <w:sz w:val="36"/>
          <w:lang w:val="en-US" w:eastAsia="zh-CN"/>
        </w:rPr>
        <w:t>第一章是绪论。首先，介绍了本文的研究背景。其次，根据文献空白与数字经济实践背景提出关键的三个研究问题。再次，明确了本文的研究意义，包括理论意义与实践意义。然后，阐述了本文的主要研究内容和研究方法，最后，阐明了本研究的主要创新点。</w:t>
      </w:r>
    </w:p>
    <w:p w14:paraId="68AAF35B">
      <w:pPr>
        <w:pStyle w:val="2"/>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ascii="黑体" w:hAnsi="黑体" w:eastAsia="黑体" w:cs="宋体"/>
          <w:b/>
          <w:kern w:val="0"/>
          <w:sz w:val="36"/>
          <w:szCs w:val="24"/>
          <w:lang w:val="en-US" w:eastAsia="zh-CN" w:bidi="ar"/>
        </w:rPr>
        <w:t>第二章为文献综述及理论基础。</w:t>
      </w:r>
      <w:r>
        <w:rPr>
          <w:rFonts w:hint="eastAsia" w:ascii="黑体" w:hAnsi="黑体" w:eastAsia="黑体" w:cs="宋体"/>
          <w:b/>
          <w:color w:val="auto"/>
          <w:kern w:val="0"/>
          <w:sz w:val="36"/>
          <w:szCs w:val="24"/>
          <w:lang w:val="en-US" w:eastAsia="zh-CN" w:bidi="ar"/>
        </w:rPr>
        <w:t>首先，对人工智能应用层相关研究、人工智能中小企业相关研究以及企业盈利能力评价方法相关研究进行系统梳理。其次，在总结国内外已有研究成果的基础上，归纳现有研究在研究对象、研究视角与研究方法上的不足。最后，形成本文的研究评述，为后续章节的展开提供理论支撑与文献依据。</w:t>
      </w:r>
    </w:p>
    <w:p w14:paraId="39DE5068">
      <w:pPr>
        <w:pStyle w:val="2"/>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hint="eastAsia" w:ascii="黑体" w:hAnsi="黑体" w:eastAsia="黑体" w:cs="宋体"/>
          <w:b/>
          <w:kern w:val="0"/>
          <w:sz w:val="36"/>
          <w:szCs w:val="24"/>
          <w:lang w:val="en-US" w:eastAsia="zh-CN" w:bidi="ar"/>
        </w:rPr>
        <w:t>第三章为相关概念界定和数据介绍。本章首先界定人工智能应用层与中小企业的基本内涵。其次，介绍样本区间、数据来源与筛选逻辑，说明如何结合企业年报主营业务分项披露、AI业务文本信息及公开资料完成样本筛选。</w:t>
      </w:r>
    </w:p>
    <w:p w14:paraId="297229E2">
      <w:pPr>
        <w:pStyle w:val="2"/>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hint="eastAsia" w:ascii="黑体" w:hAnsi="黑体" w:eastAsia="黑体" w:cs="宋体"/>
          <w:b/>
          <w:kern w:val="0"/>
          <w:sz w:val="36"/>
          <w:szCs w:val="24"/>
          <w:lang w:val="en-US" w:eastAsia="zh-CN" w:bidi="ar"/>
        </w:rPr>
        <w:t>第四章为A股人工智能应用层中小企业概况。本章首先从政策环境、发展现状与竞争格局三个方面概述人工智能应用层特征。其次，对样本企业的分类情况、行业分布与人工智能应用落地现状进行描述。再次，从样本企业整体盈利水平、盈利分布特征以及收入结构、成本结构与费用结构等方面，对样本企业的财务状况进行总体画像，以揭示行业盈利基础、分化特征与主要压力来源。</w:t>
      </w:r>
    </w:p>
    <w:p w14:paraId="0E9B4961">
      <w:pPr>
        <w:pStyle w:val="2"/>
        <w:keepNext w:val="0"/>
        <w:keepLines w:val="0"/>
        <w:widowControl/>
        <w:suppressLineNumbers w:val="0"/>
        <w:spacing w:line="400" w:lineRule="exact"/>
        <w:ind w:firstLineChars="0" w:firstLine="0"/>
        <w:jc w:val="center"/>
        <w:rPr>
          <w:rFonts w:hint="default" w:ascii="宋体" w:hAnsi="宋体" w:eastAsia="宋体" w:cs="宋体"/>
          <w:kern w:val="0"/>
          <w:sz w:val="24"/>
          <w:szCs w:val="24"/>
          <w:lang w:val="en-US" w:eastAsia="zh-CN" w:bidi="ar"/>
        </w:rPr>
      </w:pPr>
      <w:r>
        <w:rPr>
          <w:rFonts w:hint="default" w:ascii="黑体" w:hAnsi="黑体" w:eastAsia="黑体" w:cs="宋体"/>
          <w:b/>
          <w:kern w:val="0"/>
          <w:sz w:val="36"/>
          <w:szCs w:val="24"/>
          <w:lang w:val="en-US" w:eastAsia="zh-CN" w:bidi="ar"/>
        </w:rPr>
        <w:t>第五章为A股人工智能应用层中小企业盈利能力分析。本章首先基于熵权法构建盈利能力综合评价体系，对全样本企业进行横向比较，并对AI</w:t>
      </w:r>
      <w:r>
        <w:rPr>
          <w:rFonts w:hint="eastAsia" w:ascii="黑体" w:hAnsi="黑体" w:eastAsia="黑体" w:cs="宋体"/>
          <w:b/>
          <w:kern w:val="0"/>
          <w:sz w:val="36"/>
          <w:szCs w:val="24"/>
          <w:lang w:val="en-US" w:eastAsia="zh-CN" w:bidi="ar"/>
        </w:rPr>
        <w:t>独立</w:t>
      </w:r>
      <w:r>
        <w:rPr>
          <w:rFonts w:hint="default" w:ascii="黑体" w:hAnsi="黑体" w:eastAsia="黑体" w:cs="宋体"/>
          <w:b/>
          <w:kern w:val="0"/>
          <w:sz w:val="36"/>
          <w:szCs w:val="24"/>
          <w:lang w:val="en-US" w:eastAsia="zh-CN" w:bidi="ar"/>
        </w:rPr>
        <w:t>产品型与AI</w:t>
      </w:r>
      <w:r>
        <w:rPr>
          <w:rFonts w:hint="eastAsia" w:ascii="黑体" w:hAnsi="黑体" w:eastAsia="黑体" w:cs="宋体"/>
          <w:b/>
          <w:kern w:val="0"/>
          <w:sz w:val="36"/>
          <w:szCs w:val="24"/>
          <w:lang w:val="en-US" w:eastAsia="zh-CN" w:bidi="ar"/>
        </w:rPr>
        <w:t>业务</w:t>
      </w:r>
      <w:r>
        <w:rPr>
          <w:rFonts w:hint="default" w:ascii="黑体" w:hAnsi="黑体" w:eastAsia="黑体" w:cs="宋体"/>
          <w:b/>
          <w:kern w:val="0"/>
          <w:sz w:val="36"/>
          <w:szCs w:val="24"/>
          <w:lang w:val="en-US" w:eastAsia="zh-CN" w:bidi="ar"/>
        </w:rPr>
        <w:t>赋能型两类企业的综合得分、均值水平与波动差异进行分析，以识别样本期内整体盈利表现相对更优的业务模式。其次，在熵权法结果基础上，按不同业务模式选取高、中、低盈利企业作为典型样本，运用杜邦分析法从净资产收益率、销售净利率、总资产周转率与权益乘数等维度开展纵向剖析，进一步识别企业盈利能力差异的具体来源。最后，在横向比较与纵向分解的基础上，总结不同业务模式企业在盈利能力方面存在的主要问题与瓶颈。</w:t>
      </w:r>
    </w:p>
    <w:p w14:paraId="045603D0">
      <w:pPr>
        <w:pStyle w:val="2"/>
        <w:spacing w:line="400" w:lineRule="exact"/>
        <w:ind w:firstLineChars="0" w:firstLine="0"/>
        <w:jc w:val="center"/>
        <w:rPr>
          <w:rFonts w:hint="default" w:eastAsia="宋体"/>
          <w:color w:val="0000FF"/>
          <w:lang w:val="en-US" w:eastAsia="zh-CN"/>
        </w:rPr>
      </w:pPr>
      <w:r>
        <w:rPr>
          <w:rFonts w:hint="default" w:eastAsia="黑体" w:ascii="黑体" w:hAnsi="黑体"/>
          <w:b/>
          <w:color w:val="0000FF"/>
          <w:sz w:val="36"/>
          <w:lang w:val="en-US" w:eastAsia="zh-CN"/>
        </w:rPr>
        <w:t>第六章为A股人工智能应用层中小企业盈利能力提升对策。本章针对前文识别出的盈利问题，分别从提升AI业务变现能力、优化盈利结构、合理控制研发与销售费用、优化业务结构、提高资金周转效率以及增强核心技术竞争力等方面提出有针对性的改进建议，以增强研究结论的实践价值。</w:t>
      </w:r>
    </w:p>
    <w:p w14:paraId="1DD67D12">
      <w:pPr>
        <w:pStyle w:val="2"/>
        <w:keepNext w:val="0"/>
        <w:keepLines w:val="0"/>
        <w:widowControl/>
        <w:suppressLineNumbers w:val="0"/>
        <w:spacing w:line="400" w:lineRule="exact"/>
        <w:ind w:firstLineChars="0" w:firstLine="0"/>
        <w:jc w:val="center"/>
        <w:rPr>
          <w:rFonts w:hint="default" w:ascii="宋体" w:hAnsi="宋体" w:eastAsia="宋体" w:cs="宋体"/>
          <w:color w:val="auto"/>
          <w:kern w:val="0"/>
          <w:sz w:val="24"/>
          <w:szCs w:val="24"/>
          <w:lang w:val="en-US" w:eastAsia="zh-CN" w:bidi="ar"/>
        </w:rPr>
      </w:pPr>
      <w:r>
        <w:rPr>
          <w:rFonts w:hint="default" w:ascii="黑体" w:hAnsi="黑体" w:eastAsia="黑体" w:cs="宋体"/>
          <w:b/>
          <w:color w:val="auto"/>
          <w:kern w:val="0"/>
          <w:sz w:val="36"/>
          <w:szCs w:val="24"/>
          <w:lang w:val="en-US" w:eastAsia="zh-CN" w:bidi="ar"/>
        </w:rPr>
        <w:t>第七章为结语。本章首先对全文研究结论进行系统总结，归纳A股人工智能应用层中小企业盈利能力的总体特征、模式差异与关键影响因素。其次，说明本文在样本口径、指标选择与研究方法上的局限性，并在此基础上提出未来可进一步拓展的研究方向。</w:t>
      </w:r>
    </w:p>
    <w:p w14:paraId="683ABAD2">
      <w:pPr>
        <w:keepNext w:val="0"/>
        <w:keepLines w:val="0"/>
        <w:widowControl/>
        <w:suppressLineNumbers w:val="0"/>
        <w:spacing w:line="400" w:lineRule="exact"/>
        <w:ind w:firstLine="0"/>
        <w:jc w:val="left"/>
        <w:rPr>
          <w:rFonts w:hint="default" w:ascii="宋体" w:hAnsi="宋体" w:eastAsia="宋体" w:cs="宋体"/>
          <w:color w:val="auto"/>
          <w:kern w:val="0"/>
          <w:sz w:val="24"/>
          <w:szCs w:val="24"/>
          <w:lang w:val="en-US" w:eastAsia="zh-CN" w:bidi="ar"/>
        </w:rPr>
      </w:pPr>
    </w:p>
    <w:p w14:paraId="64380F3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1.2.2 研究方法</w:t>
      </w:r>
    </w:p>
    <w:p w14:paraId="4C6E38C6">
      <w:pPr>
        <w:spacing w:line="400" w:lineRule="exact"/>
        <w:ind w:firstLineChars="0" w:firstLine="0"/>
        <w:jc w:val="left"/>
        <w:rPr>
          <w:rFonts w:hint="default"/>
          <w:lang w:val="en-US" w:eastAsia="zh-CN"/>
        </w:rPr>
      </w:pPr>
      <w:r>
        <w:rPr>
          <w:rFonts w:hint="default" w:ascii="宋体" w:hAnsi="宋体" w:eastAsia="宋体"/>
          <w:b w:val="0"/>
          <w:sz w:val="24"/>
          <w:lang w:val="en-US" w:eastAsia="zh-CN"/>
        </w:rPr>
        <w:t>结合研究对象特征与研究问题，本文主要采用以下方法。</w:t>
      </w:r>
    </w:p>
    <w:p w14:paraId="36F8DED9">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一，文献研究法。本文围绕人工智能应用层、人工智能企业商业模式、中小企业数字化转型、企业盈利能力评价以及熵权法、杜邦分析法等内容，系统梳理政策文件、行业报告与学术论文，明确研究背景、研究空白与方法依据。通过文献研究法，本文得以在已有成果基础上明确本研究的切入点。</w:t>
      </w:r>
    </w:p>
    <w:p w14:paraId="318D1134">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二，财务指标体系构建与描述性统计分析。盈利能力并非单一利润率指标可以完整反映，而需要综合考虑盈利水平、运营效率与盈利质量。基于此，本文在构建指标体系时引入ROA、ROE、毛利率、净利率等指标，并利用描述性统计、分位数分析、箱线图与趋势图等方式，对行业总体盈利结构进行刻画。这一方法有助于在开展综合评价前，先把握样本企业盈利能力的</w:t>
      </w:r>
      <w:r>
        <w:rPr>
          <w:rFonts w:hint="eastAsia" w:ascii="宋体" w:hAnsi="宋体" w:eastAsia="宋体"/>
          <w:b w:val="0"/>
          <w:sz w:val="24"/>
          <w:lang w:val="en-US" w:eastAsia="zh-CN"/>
        </w:rPr>
        <w:t>整体现状</w:t>
      </w:r>
      <w:r>
        <w:rPr>
          <w:rFonts w:hint="default" w:ascii="宋体" w:hAnsi="宋体" w:eastAsia="宋体"/>
          <w:b w:val="0"/>
          <w:sz w:val="24"/>
          <w:lang w:val="en-US" w:eastAsia="zh-CN"/>
        </w:rPr>
        <w:t>与</w:t>
      </w:r>
      <w:r>
        <w:rPr>
          <w:rFonts w:hint="eastAsia" w:ascii="宋体" w:hAnsi="宋体" w:eastAsia="宋体"/>
          <w:b w:val="0"/>
          <w:sz w:val="24"/>
          <w:lang w:val="en-US" w:eastAsia="zh-CN"/>
        </w:rPr>
        <w:t>分布特征</w:t>
      </w:r>
      <w:r>
        <w:rPr>
          <w:rFonts w:hint="default" w:ascii="宋体" w:hAnsi="宋体" w:eastAsia="宋体"/>
          <w:b w:val="0"/>
          <w:sz w:val="24"/>
          <w:lang w:val="en-US" w:eastAsia="zh-CN"/>
        </w:rPr>
        <w:t>。</w:t>
      </w:r>
    </w:p>
    <w:p w14:paraId="6822B0A3">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三，熵权法。相较于层次分析法等依赖主观判断的赋权方法，熵权法的权重来源于样本数据本身所反映的信息离散度，具有较强的客观性和可重复性。Yoon的研究表明，熵权法能够有效用于多指标综合评价中的权重确定</w:t>
      </w:r>
      <w:r>
        <w:rPr>
          <w:rFonts w:hint="default" w:ascii="宋体" w:hAnsi="宋体" w:eastAsia="宋体"/>
          <w:b w:val="0"/>
          <w:sz w:val="24"/>
          <w:vertAlign w:val="superscript"/>
          <w:lang w:val="en-US" w:eastAsia="zh-CN"/>
        </w:rPr>
        <w:t>[10]</w:t>
      </w:r>
      <w:r>
        <w:rPr>
          <w:rFonts w:hint="default" w:ascii="宋体" w:hAnsi="宋体" w:eastAsia="宋体"/>
          <w:b w:val="0"/>
          <w:sz w:val="24"/>
          <w:lang w:val="en-US" w:eastAsia="zh-CN"/>
        </w:rPr>
        <w:t>。在本文中，熵权法主要用于全样本企业盈利能力横向比较，其核心逻辑是：先对指标进行无量纲化处理，再依据指标信息熵与差异系数确定权重，进而计算企业综合盈利得分。该方法适合处理人工智能应用层企业多维盈利表现并存、不同指标量纲差异明显的研究情境。</w:t>
      </w:r>
    </w:p>
    <w:p w14:paraId="18D8EB03">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第四，杜邦分析法。杜邦分析法以净资产收益率为核心，将其分解为销售净利率、总资产周转率和权益乘数，从而把企业盈利问题转化为利润生成能力、资产运用效率和资本结构安排三个层面的系统分析</w:t>
      </w:r>
      <w:r>
        <w:rPr>
          <w:rFonts w:hint="default" w:ascii="宋体" w:hAnsi="宋体" w:eastAsia="宋体"/>
          <w:b w:val="0"/>
          <w:sz w:val="24"/>
          <w:vertAlign w:val="superscript"/>
          <w:lang w:val="en-US" w:eastAsia="zh-CN"/>
        </w:rPr>
        <w:t>[11]</w:t>
      </w:r>
      <w:r>
        <w:rPr>
          <w:rFonts w:hint="default" w:ascii="宋体" w:hAnsi="宋体" w:eastAsia="宋体"/>
          <w:b w:val="0"/>
          <w:sz w:val="24"/>
          <w:lang w:val="en-US" w:eastAsia="zh-CN"/>
        </w:rPr>
        <w:t>。对人工智能应用层中小企业而言，仅知道ROE高低并不足以解释其盈利差异，必须进一步辨明差异究竟来自毛利与净利空间、资产周转速度，还是杠杆水平。因而，本文在典型样本部分采用杜邦分析法，以揭示不同业务模式企业盈利好坏的具体成因与瓶颈所在。</w:t>
      </w:r>
    </w:p>
    <w:p w14:paraId="6187C9BF">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第五，比较分析法</w:t>
      </w:r>
      <w:r>
        <w:rPr>
          <w:rFonts w:hint="eastAsia" w:ascii="宋体" w:hAnsi="宋体" w:eastAsia="宋体"/>
          <w:b w:val="0"/>
          <w:sz w:val="24"/>
          <w:lang w:val="en-US" w:eastAsia="zh-CN"/>
        </w:rPr>
        <w:t>与</w:t>
      </w:r>
      <w:r>
        <w:rPr>
          <w:rFonts w:hint="default" w:ascii="宋体" w:hAnsi="宋体" w:eastAsia="宋体"/>
          <w:b w:val="0"/>
          <w:sz w:val="24"/>
          <w:lang w:val="en-US" w:eastAsia="zh-CN"/>
        </w:rPr>
        <w:t>案例</w:t>
      </w:r>
      <w:r>
        <w:rPr>
          <w:rFonts w:hint="eastAsia" w:ascii="宋体" w:hAnsi="宋体" w:eastAsia="宋体"/>
          <w:b w:val="0"/>
          <w:sz w:val="24"/>
          <w:lang w:val="en-US" w:eastAsia="zh-CN"/>
        </w:rPr>
        <w:t>研究</w:t>
      </w:r>
      <w:r>
        <w:rPr>
          <w:rFonts w:hint="default" w:ascii="宋体" w:hAnsi="宋体" w:eastAsia="宋体"/>
          <w:b w:val="0"/>
          <w:sz w:val="24"/>
          <w:lang w:val="en-US" w:eastAsia="zh-CN"/>
        </w:rPr>
        <w:t>法。考虑到AI独立产品型与AI业务赋能型企业在商业模式、收入结构、研发投入以及客户关系等方面具有明显差异，本文将比较分析与案例研究相结合，并将分类比较贯穿于研究全过程：一是在全样本层面对不同模式企业的盈利表现进行横向比较，二是在典型样本层面选取代表性企业</w:t>
      </w:r>
      <w:r>
        <w:rPr>
          <w:rFonts w:hint="eastAsia" w:ascii="宋体" w:hAnsi="宋体" w:eastAsia="宋体"/>
          <w:b w:val="0"/>
          <w:sz w:val="24"/>
          <w:lang w:val="en-US" w:eastAsia="zh-CN"/>
        </w:rPr>
        <w:t>作为案例</w:t>
      </w:r>
      <w:r>
        <w:rPr>
          <w:rFonts w:hint="default" w:ascii="宋体" w:hAnsi="宋体" w:eastAsia="宋体"/>
          <w:b w:val="0"/>
          <w:sz w:val="24"/>
          <w:lang w:val="en-US" w:eastAsia="zh-CN"/>
        </w:rPr>
        <w:t>，围绕其盈利能力及相关约束展开深入剖析。通过上述方法结合，增强研究结论的针对性、解释力与可操作性。</w:t>
      </w:r>
    </w:p>
    <w:p w14:paraId="1E52D91F">
      <w:pPr>
        <w:spacing w:line="400" w:lineRule="exact"/>
        <w:ind w:firstLineChars="0" w:firstLine="0"/>
        <w:jc w:val="left"/>
        <w:rPr>
          <w:rFonts w:hint="default"/>
          <w:lang w:val="en-US" w:eastAsia="zh-CN"/>
        </w:rPr>
      </w:pPr>
      <w:r>
        <w:rPr>
          <w:rFonts w:hint="default" w:ascii="宋体" w:hAnsi="宋体" w:eastAsia="宋体"/>
          <w:b w:val="0"/>
          <w:sz w:val="24"/>
          <w:lang w:val="en-US" w:eastAsia="zh-CN"/>
        </w:rPr>
        <w:t>为使研究内容与研究问题更加对应，本文将核心研究问题、研究内容与研究方法归纳如表1-1所示。</w:t>
      </w:r>
    </w:p>
    <w:p w14:paraId="66FC0CEE">
      <w:pPr>
        <w:numPr>
          <w:ilvl w:val="0"/>
          <w:numId w:val="0"/>
        </w:numPr>
        <w:spacing w:line="400" w:lineRule="exact"/>
        <w:ind w:firstLine="0"/>
        <w:jc w:val="left"/>
        <w:rPr>
          <w:rFonts w:hint="default"/>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1</w:t>
      </w:r>
      <w:r>
        <w:rPr>
          <w:rFonts w:hint="eastAsia" w:eastAsia="宋体" w:ascii="宋体" w:hAnsi="宋体"/>
          <w:b w:val="0"/>
          <w:sz w:val="24"/>
          <w:szCs w:val="21"/>
        </w:rPr>
        <w:t>-1 研究问题、研究内容与研究方法对应关系</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368"/>
        <w:gridCol w:w="2913"/>
        <w:gridCol w:w="2059"/>
      </w:tblGrid>
      <w:tr w14:paraId="60512D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8C766F">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研究问题</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47E0E5">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研究内容</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6CD33374">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主要方法</w:t>
            </w:r>
          </w:p>
        </w:tc>
      </w:tr>
      <w:tr w14:paraId="3AA8175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5B42DA82">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当前A股人工智能应用层中小企业整体盈利水平与分布特征如何</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431FBB50">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盈利水平、收入规模、成本率、费用率、分布特征分析</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36B3E185">
            <w:pPr>
              <w:spacing w:line="400" w:lineRule="exact"/>
              <w:ind w:right="-58" w:rightChars="-24"/>
              <w:jc w:val="center"/>
              <w:rPr>
                <w:rFonts w:hint="default" w:eastAsia="宋体"/>
                <w:szCs w:val="21"/>
                <w:lang w:val="en-US"/>
              </w:rPr>
            </w:pPr>
            <w:r>
              <w:rPr>
                <w:rFonts w:hint="default" w:eastAsia="宋体" w:ascii="宋体" w:hAnsi="宋体"/>
                <w:b w:val="0"/>
                <w:sz w:val="24"/>
                <w:szCs w:val="21"/>
                <w:lang w:val="en-US" w:eastAsia="zh-CN"/>
              </w:rPr>
              <w:t>描述性统计</w:t>
            </w:r>
            <w:r>
              <w:rPr>
                <w:rFonts w:hint="eastAsia" w:eastAsia="宋体" w:ascii="宋体" w:hAnsi="宋体"/>
                <w:b w:val="0"/>
                <w:sz w:val="24"/>
                <w:szCs w:val="21"/>
                <w:lang w:val="en-US" w:eastAsia="zh-CN"/>
              </w:rPr>
              <w:t>分析</w:t>
            </w:r>
          </w:p>
        </w:tc>
      </w:tr>
      <w:tr w14:paraId="3744440F">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1F788980">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哪类业务模式在样本期内更具盈利优势和稳健性</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57E9666">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AI</w:t>
            </w:r>
            <w:r>
              <w:rPr>
                <w:rFonts w:hint="eastAsia" w:eastAsia="宋体" w:ascii="宋体" w:hAnsi="宋体"/>
                <w:b w:val="0"/>
                <w:sz w:val="24"/>
                <w:szCs w:val="21"/>
                <w:lang w:val="en-US" w:eastAsia="zh-CN"/>
              </w:rPr>
              <w:t>独立</w:t>
            </w:r>
            <w:r>
              <w:rPr>
                <w:rFonts w:hint="default" w:eastAsia="宋体" w:ascii="宋体" w:hAnsi="宋体"/>
                <w:b w:val="0"/>
                <w:sz w:val="24"/>
                <w:szCs w:val="21"/>
                <w:lang w:val="en-US" w:eastAsia="zh-CN"/>
              </w:rPr>
              <w:t>产品型AI</w:t>
            </w:r>
            <w:r>
              <w:rPr>
                <w:rFonts w:hint="eastAsia" w:eastAsia="宋体" w:ascii="宋体" w:hAnsi="宋体"/>
                <w:b w:val="0"/>
                <w:sz w:val="24"/>
                <w:szCs w:val="21"/>
                <w:lang w:val="en-US" w:eastAsia="zh-CN"/>
              </w:rPr>
              <w:t>业务</w:t>
            </w:r>
            <w:r>
              <w:rPr>
                <w:rFonts w:hint="default" w:eastAsia="宋体" w:ascii="宋体" w:hAnsi="宋体"/>
                <w:b w:val="0"/>
                <w:sz w:val="24"/>
                <w:szCs w:val="21"/>
                <w:lang w:val="en-US" w:eastAsia="zh-CN"/>
              </w:rPr>
              <w:t>赋能型企业横向比较</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0C273F1D">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熵权法</w:t>
            </w:r>
          </w:p>
        </w:tc>
      </w:tr>
      <w:tr w14:paraId="070198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EA652B2">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不同业务模式的盈利瓶颈是什么，如何改善</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7B8669B7">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典型样本深度剖析与对策归纳</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1A2B1B09">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杜邦分析法、比较分析法</w:t>
            </w:r>
            <w:r>
              <w:rPr>
                <w:rFonts w:hint="eastAsia" w:eastAsia="宋体" w:ascii="宋体" w:hAnsi="宋体"/>
                <w:b w:val="0"/>
                <w:sz w:val="24"/>
                <w:szCs w:val="21"/>
                <w:lang w:val="en-US" w:eastAsia="zh-CN"/>
              </w:rPr>
              <w:t>、</w:t>
            </w:r>
            <w:r>
              <w:rPr>
                <w:rFonts w:hint="default" w:eastAsia="宋体" w:ascii="宋体" w:hAnsi="宋体"/>
                <w:b w:val="0"/>
                <w:sz w:val="24"/>
                <w:szCs w:val="21"/>
                <w:lang w:val="en-US" w:eastAsia="zh-CN"/>
              </w:rPr>
              <w:t>案例研究法</w:t>
            </w:r>
          </w:p>
        </w:tc>
      </w:tr>
    </w:tbl>
    <w:p w14:paraId="4F7D0E63">
      <w:pPr>
        <w:numPr>
          <w:numId w:val="0"/>
        </w:numPr>
        <w:spacing w:line="400" w:lineRule="exact"/>
        <w:ind w:leftChars="0" w:firstLine="0"/>
        <w:rPr>
          <w:rFonts w:hint="eastAsia"/>
          <w:lang w:val="en-US" w:eastAsia="zh-CN"/>
        </w:rPr>
      </w:pPr>
    </w:p>
    <w:p w14:paraId="589A73D5">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 xml:space="preserve"> 1.3 创新点</w:t>
      </w:r>
    </w:p>
    <w:p w14:paraId="588DC0C8">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与现有研究相比，本文的创新之处主要体现在以下三个方面。</w:t>
      </w:r>
    </w:p>
    <w:p w14:paraId="67FC3D50">
      <w:pPr>
        <w:numPr>
          <w:ilvl w:val="0"/>
          <w:numId w:val="4"/>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研究对象的细分创新。现有研究往往将人工智能企业作为整体进行讨论，或者更偏向基础层、平台层、初创企业或宏观层面的人工智能经济效应分析。本文则将研究对象具体限定为A股人工智能应用层中小企业，并在样本识别中引入中小企业划型标准、主营业务分项披露与AI业务文本识别，突出研究对象的细分性、现实性与可比性。</w:t>
      </w:r>
    </w:p>
    <w:p w14:paraId="24B402A7">
      <w:pPr>
        <w:numPr>
          <w:ilvl w:val="0"/>
          <w:numId w:val="4"/>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研究框架的集成创新。本文不是简单比较利润率高低，而是将“人工智能应用层特征分析—整体盈利画像—熵权法横向比较—杜邦分析法纵向分解”串联起来，形成从宏观分布到微观机制的递进式分析框架。该框架既能揭示全样本现状、盈利格局与模式差异，又能深入识别典型企业盈利特征背后的具体成因，从而提升研究的系统性。</w:t>
      </w:r>
    </w:p>
    <w:p w14:paraId="6391D013">
      <w:pPr>
        <w:numPr>
          <w:ilvl w:val="0"/>
          <w:numId w:val="4"/>
        </w:numPr>
        <w:spacing w:line="400" w:lineRule="exact"/>
        <w:ind w:left="0" w:leftChars="0" w:firstLineChars="0" w:firstLine="0"/>
        <w:jc w:val="left"/>
        <w:rPr>
          <w:rFonts w:hint="default"/>
          <w:lang w:val="en-US" w:eastAsia="zh-CN"/>
        </w:rPr>
      </w:pPr>
      <w:r>
        <w:rPr>
          <w:rFonts w:hint="eastAsia" w:ascii="宋体" w:hAnsi="宋体" w:eastAsia="宋体"/>
          <w:b w:val="0"/>
          <w:sz w:val="24"/>
          <w:lang w:val="en-US" w:eastAsia="zh-CN"/>
        </w:rPr>
        <w:t>业务模式与盈利机制的结合创新。本文将AI独立产品型与AI业务赋能型作为核心分类维度，并将其贯穿于盈利能力评价、典型样本分析与问题归纳全过程。通过将业务模式差异与盈利机制分析相结合，本文不仅能够识别何种模式具有更高的盈利水平与更强的盈利稳健性，还能够进一步揭示不同模式企业盈利瓶颈的主要表现及其形成逻辑，从而增强研究结论的针对性和实践价值。</w:t>
      </w:r>
    </w:p>
    <w:p w14:paraId="5670693E">
      <w:pPr>
        <w:pStyle w:val="2"/>
        <w:numPr>
          <w:ilvl w:val="0"/>
          <w:numId w:val="5"/>
        </w:numPr>
        <w:spacing w:before="480" w:after="720" w:line="400" w:lineRule="exact"/>
        <w:ind w:firstLine="0"/>
        <w:jc w:val="left"/>
        <w:rPr>
          <w:rFonts w:hint="eastAsia"/>
          <w:szCs w:val="30"/>
        </w:rPr>
      </w:pPr>
      <w:r>
        <w:rPr>
          <w:rFonts w:hint="eastAsia" w:ascii="宋体" w:hAnsi="宋体" w:eastAsia="宋体"/>
          <w:b w:val="0"/>
          <w:sz w:val="24"/>
          <w:szCs w:val="30"/>
        </w:rPr>
        <w:t>文献综述</w:t>
      </w:r>
    </w:p>
    <w:p w14:paraId="6EBD183E">
      <w:pPr>
        <w:pStyle w:val="3"/>
        <w:bidi w:val="0"/>
        <w:spacing w:line="400" w:lineRule="exact"/>
        <w:ind w:firstLine="0"/>
        <w:jc w:val="left"/>
        <w:rPr>
          <w:rFonts w:hint="eastAsia"/>
        </w:rPr>
      </w:pPr>
      <w:r>
        <w:rPr>
          <w:rFonts w:hint="eastAsia" w:ascii="黑体" w:hAnsi="黑体" w:eastAsia="黑体"/>
          <w:b/>
          <w:sz w:val="28"/>
        </w:rPr>
        <w:t>2.1 人工智能应用层相关研究</w:t>
      </w:r>
    </w:p>
    <w:p w14:paraId="620D18F7">
      <w:pPr>
        <w:pStyle w:val="4"/>
        <w:bidi w:val="0"/>
        <w:spacing w:line="400" w:lineRule="exact"/>
        <w:ind w:firstLine="0"/>
        <w:jc w:val="left"/>
        <w:rPr>
          <w:rFonts w:hint="eastAsia"/>
        </w:rPr>
      </w:pPr>
      <w:r>
        <w:rPr>
          <w:rFonts w:hint="eastAsia" w:ascii="黑体" w:hAnsi="黑体" w:eastAsia="黑体"/>
          <w:b/>
          <w:sz w:val="24"/>
        </w:rPr>
        <w:t>2.1.1 应用层定义的研究综述</w:t>
      </w:r>
    </w:p>
    <w:p w14:paraId="0FE78EB6">
      <w:pPr>
        <w:numPr>
          <w:ilvl w:val="0"/>
          <w:numId w:val="0"/>
        </w:numPr>
        <w:spacing w:line="400" w:lineRule="exact"/>
        <w:ind w:firstLineChars="0" w:firstLine="0"/>
        <w:jc w:val="left"/>
        <w:rPr>
          <w:rFonts w:hint="eastAsia"/>
        </w:rPr>
      </w:pPr>
      <w:r>
        <w:rPr>
          <w:rFonts w:hint="eastAsia" w:ascii="宋体" w:hAnsi="宋体" w:eastAsia="宋体"/>
          <w:b w:val="0"/>
          <w:sz w:val="24"/>
        </w:rPr>
        <w:t>从人工智能产业链的视角出发，已有研究普遍将人工智能产业划分为三个层次：底层的基础层、中间的技术层以及上层的应用层</w:t>
      </w:r>
      <w:r>
        <w:rPr>
          <w:rFonts w:hint="eastAsia" w:ascii="宋体" w:hAnsi="宋体" w:eastAsia="宋体"/>
          <w:b w:val="0"/>
          <w:sz w:val="24"/>
          <w:vertAlign w:val="superscript"/>
        </w:rPr>
        <w:t>[12][13]</w:t>
      </w:r>
      <w:r>
        <w:rPr>
          <w:rFonts w:hint="eastAsia" w:ascii="宋体" w:hAnsi="宋体" w:eastAsia="宋体"/>
          <w:b w:val="0"/>
          <w:sz w:val="24"/>
        </w:rPr>
        <w:t>。其中，应用层通常被视为人工智能产业价值实现与商业化落地的关键环节，其核心特征在于：以具体行业需求与业务场景为牵引，将一种或多种AI技术进行工程化集成并形成可交付的产品、系统或解决方案。围绕应用层的界定，杨锡怡等</w:t>
      </w:r>
      <w:r>
        <w:rPr>
          <w:rFonts w:hint="eastAsia" w:ascii="宋体" w:hAnsi="宋体" w:eastAsia="宋体"/>
          <w:b w:val="0"/>
          <w:sz w:val="24"/>
          <w:vertAlign w:val="superscript"/>
        </w:rPr>
        <w:t>[14]</w:t>
      </w:r>
      <w:r>
        <w:rPr>
          <w:rFonts w:hint="eastAsia" w:ascii="宋体" w:hAnsi="宋体" w:eastAsia="宋体"/>
          <w:b w:val="0"/>
          <w:sz w:val="24"/>
        </w:rPr>
        <w:t>指出，应用层是人工智能产业的延伸，通过集成一类或多类人工智能技术，面向特定应用场景需求形成软硬件产品或解决方案，典型领域包括零售、金融、电商服务、安保、教育与医疗等。徐文伟等</w:t>
      </w:r>
      <w:r>
        <w:rPr>
          <w:rFonts w:hint="eastAsia" w:ascii="宋体" w:hAnsi="宋体" w:eastAsia="宋体"/>
          <w:b w:val="0"/>
          <w:sz w:val="24"/>
          <w:vertAlign w:val="superscript"/>
        </w:rPr>
        <w:t>[15]</w:t>
      </w:r>
      <w:r>
        <w:rPr>
          <w:rFonts w:hint="eastAsia" w:ascii="宋体" w:hAnsi="宋体" w:eastAsia="宋体"/>
          <w:b w:val="0"/>
          <w:sz w:val="24"/>
        </w:rPr>
        <w:t>进一步强调应用层的场景专用性，认为应用层是面向特定产业与场景专门研发的产品与服务，是AI产业从技术供给走向行业渗透的自然延伸。</w:t>
      </w:r>
    </w:p>
    <w:p w14:paraId="33532C38">
      <w:pPr>
        <w:pStyle w:val="4"/>
        <w:bidi w:val="0"/>
        <w:spacing w:line="400" w:lineRule="exact"/>
        <w:ind w:firstLine="0"/>
        <w:jc w:val="left"/>
        <w:rPr>
          <w:rFonts w:hint="eastAsia"/>
        </w:rPr>
      </w:pPr>
      <w:r>
        <w:rPr>
          <w:rFonts w:hint="eastAsia" w:ascii="黑体" w:hAnsi="黑体" w:eastAsia="黑体"/>
          <w:b/>
          <w:sz w:val="24"/>
        </w:rPr>
        <w:t>2.1.2 应用层分类的研究综述</w:t>
      </w:r>
    </w:p>
    <w:p w14:paraId="3C16BA81">
      <w:pPr>
        <w:numPr>
          <w:ilvl w:val="0"/>
          <w:numId w:val="0"/>
        </w:numPr>
        <w:spacing w:line="400" w:lineRule="exact"/>
        <w:ind w:firstLineChars="0" w:firstLine="0"/>
        <w:jc w:val="left"/>
        <w:rPr>
          <w:rFonts w:hint="eastAsia"/>
        </w:rPr>
      </w:pPr>
      <w:r>
        <w:rPr>
          <w:rFonts w:hint="eastAsia" w:ascii="宋体" w:hAnsi="宋体" w:eastAsia="宋体"/>
          <w:b w:val="0"/>
          <w:sz w:val="24"/>
        </w:rPr>
        <w:t>在应用层分类方面，现有研究大致形成了三条主线：按行业场景分类、按技术特征分类、按产业角色分类。第一类是行业导向的分类框架，常以医疗、金融、制造、零售等为代表行业，将AI在不同领域中的应用任务与价值点进行归纳；例如李晓理等</w:t>
      </w:r>
      <w:r>
        <w:rPr>
          <w:rFonts w:hint="eastAsia" w:ascii="宋体" w:hAnsi="宋体" w:eastAsia="宋体"/>
          <w:b w:val="0"/>
          <w:sz w:val="24"/>
          <w:vertAlign w:val="superscript"/>
        </w:rPr>
        <w:t>[16]</w:t>
      </w:r>
      <w:r>
        <w:rPr>
          <w:rFonts w:hint="eastAsia" w:ascii="宋体" w:hAnsi="宋体" w:eastAsia="宋体"/>
          <w:b w:val="0"/>
          <w:sz w:val="24"/>
        </w:rPr>
        <w:t>讨论了人工智能在医疗保健、金融、制造业与零售业四大关键领域的应用。第二类是技术特征导向的分类框架，更关注AI能力与内容模态差异；如Sengar等（2025）</w:t>
      </w:r>
      <w:r>
        <w:rPr>
          <w:rFonts w:hint="eastAsia" w:ascii="宋体" w:hAnsi="宋体" w:eastAsia="宋体"/>
          <w:b w:val="0"/>
          <w:sz w:val="24"/>
          <w:vertAlign w:val="superscript"/>
        </w:rPr>
        <w:t>[17]</w:t>
      </w:r>
      <w:r>
        <w:rPr>
          <w:rFonts w:hint="eastAsia" w:ascii="宋体" w:hAnsi="宋体" w:eastAsia="宋体"/>
          <w:b w:val="0"/>
          <w:sz w:val="24"/>
        </w:rPr>
        <w:t>对生成式人工智能进行综述，按技术与生成对象将应用归纳为图像转换、视频合成与生成、自然语言处理、知识图谱生成以及跨学科应用等类型。第三类是产业角色分类框架，强调应用主体在产业生态中的位置差异；例如安同良等</w:t>
      </w:r>
      <w:r>
        <w:rPr>
          <w:rFonts w:hint="eastAsia" w:ascii="宋体" w:hAnsi="宋体" w:eastAsia="宋体"/>
          <w:b w:val="0"/>
          <w:sz w:val="24"/>
          <w:vertAlign w:val="superscript"/>
        </w:rPr>
        <w:t>[18]</w:t>
      </w:r>
      <w:r>
        <w:rPr>
          <w:rFonts w:hint="eastAsia" w:ascii="宋体" w:hAnsi="宋体" w:eastAsia="宋体"/>
          <w:b w:val="0"/>
          <w:sz w:val="24"/>
        </w:rPr>
        <w:t>基于网络拓扑结构的Jaccard相似度算法对知识节点聚类，将人工智能应用划分为行业应用型技术与平台型技术两类，从而揭示垂直行业落地与通用应用之间的结构性区别。</w:t>
      </w:r>
    </w:p>
    <w:p w14:paraId="4B61A081">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2.1.3人工智能应用层的研究综述</w:t>
      </w:r>
    </w:p>
    <w:p w14:paraId="7EC71F2F">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围绕人工智能应用层的既有研究，大体可以归纳为三个相互衔接的方向：一是从技术扩散与产业分工视角讨论人工智能由基础层向</w:t>
      </w:r>
      <w:r>
        <w:rPr>
          <w:rFonts w:hint="eastAsia" w:ascii="宋体" w:hAnsi="宋体" w:eastAsia="宋体"/>
          <w:b w:val="0"/>
          <w:sz w:val="24"/>
          <w:lang w:val="en-US" w:eastAsia="zh-CN"/>
        </w:rPr>
        <w:t>应用</w:t>
      </w:r>
      <w:r>
        <w:rPr>
          <w:rFonts w:hint="default" w:ascii="宋体" w:hAnsi="宋体" w:eastAsia="宋体"/>
          <w:b w:val="0"/>
          <w:sz w:val="24"/>
          <w:lang w:val="en-US" w:eastAsia="zh-CN"/>
        </w:rPr>
        <w:t>层渗透的机制；二是从价值创造与商业化视角分析应用层企业如何将算法能力转化为产品、服务与收入；三是从资本市场与产业竞争视角考察应用层企业在估值、资源获取和市场地位上的结构性差异。总体来看，国内研究更强调人工智能对产业升级、新质生产力形成以及行业融合的推动作用，国外研究则更关注人工智能在企业层面的商业模式配置、应用落地逻辑以及组织实施障碍。</w:t>
      </w:r>
    </w:p>
    <w:p w14:paraId="3FC000DB">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首先，从技术扩散与产业分工角度看，国内研究普遍将人工智能视为推动数字经济与实体经济深度融合的重要通用技术。张龙鹏、张双志（2020）指出，人工智能通过促进技术创新和产业协同，对产业融合发展具有重要推动作用</w:t>
      </w:r>
      <w:r>
        <w:rPr>
          <w:rFonts w:hint="default" w:ascii="宋体" w:hAnsi="宋体" w:eastAsia="宋体"/>
          <w:b w:val="0"/>
          <w:sz w:val="24"/>
          <w:vertAlign w:val="superscript"/>
          <w:lang w:val="en-US" w:eastAsia="zh-CN"/>
        </w:rPr>
        <w:t>[19]</w:t>
      </w:r>
      <w:r>
        <w:rPr>
          <w:rFonts w:hint="default" w:ascii="宋体" w:hAnsi="宋体" w:eastAsia="宋体"/>
          <w:b w:val="0"/>
          <w:sz w:val="24"/>
          <w:lang w:val="en-US" w:eastAsia="zh-CN"/>
        </w:rPr>
        <w:t>。高雪松、黄蕴华和王斌（2024）基于专利数据进一步发现，生成式人工智能技术栈的演进呈现出由底层模型能力向场景端应用延展的趋势，说明应用层并非孤立存在，而是建立在算法、数据和算力供给逐步成熟的基础之上</w:t>
      </w:r>
      <w:r>
        <w:rPr>
          <w:rFonts w:hint="default" w:ascii="宋体" w:hAnsi="宋体" w:eastAsia="宋体"/>
          <w:b w:val="0"/>
          <w:sz w:val="24"/>
          <w:vertAlign w:val="superscript"/>
          <w:lang w:val="en-US" w:eastAsia="zh-CN"/>
        </w:rPr>
        <w:t>[20]</w:t>
      </w:r>
      <w:r>
        <w:rPr>
          <w:rFonts w:hint="default" w:ascii="宋体" w:hAnsi="宋体" w:eastAsia="宋体"/>
          <w:b w:val="0"/>
          <w:sz w:val="24"/>
          <w:lang w:val="en-US" w:eastAsia="zh-CN"/>
        </w:rPr>
        <w:t>。何新江、王钦鹏和杨铭杰（2025）、徐红丹和王玖河（2025）、何元浪和袁健红（2025）则从新质生产力角度论证了人工智能对企业创新效率、资源配置效率与价值创造方式的重塑作用</w:t>
      </w:r>
      <w:r>
        <w:rPr>
          <w:rFonts w:hint="default" w:ascii="宋体" w:hAnsi="宋体" w:eastAsia="宋体"/>
          <w:b w:val="0"/>
          <w:sz w:val="24"/>
          <w:vertAlign w:val="superscript"/>
          <w:lang w:val="en-US" w:eastAsia="zh-CN"/>
        </w:rPr>
        <w:t>[21][22][23]</w:t>
      </w:r>
      <w:r>
        <w:rPr>
          <w:rFonts w:hint="default" w:ascii="宋体" w:hAnsi="宋体" w:eastAsia="宋体"/>
          <w:b w:val="0"/>
          <w:sz w:val="24"/>
          <w:lang w:val="en-US" w:eastAsia="zh-CN"/>
        </w:rPr>
        <w:t>。这类研究揭示了人工智能应用层研究的宏观逻辑，即应用层企业之所以重要，不仅因为其贴近市场需求，更因为其承担着将技术潜能转化为现实生产力的关键任务。</w:t>
      </w:r>
    </w:p>
    <w:p w14:paraId="16423741">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其次，从价值创造与商业化路径角度看，现有研究已经开始意识到，不同层级人工智能企业的盈利逻辑并不一致，应用层企业尤其依赖场景适配、客户验证和产品服务化能力。张玥、段丙蕾和卢海（2024）从资本市场估值差异出发，发现基础层与应用层AI企业在成长预期、定价逻辑和价值实现方式上存在显著差别，应用层企业的价值更依赖具体业务场景、收入兑现能力以及商业模式的可持续性</w:t>
      </w:r>
      <w:r>
        <w:rPr>
          <w:rFonts w:hint="default" w:ascii="宋体" w:hAnsi="宋体" w:eastAsia="宋体"/>
          <w:b w:val="0"/>
          <w:sz w:val="24"/>
          <w:vertAlign w:val="superscript"/>
          <w:lang w:val="en-US" w:eastAsia="zh-CN"/>
        </w:rPr>
        <w:t>[24]</w:t>
      </w:r>
      <w:r>
        <w:rPr>
          <w:rFonts w:hint="default" w:ascii="宋体" w:hAnsi="宋体" w:eastAsia="宋体"/>
          <w:b w:val="0"/>
          <w:sz w:val="24"/>
          <w:lang w:val="en-US" w:eastAsia="zh-CN"/>
        </w:rPr>
        <w:t>。结合Weber等（2022）对AI创业企业商业模式的分类可以进一步看到，应用层企业往往需要在技术可行性与客户支付意愿之间反复磨合，其竞争优势并不单纯来自模型性能，而更来自对行业流程的理解和对业务痛点的嵌入式应用优化</w:t>
      </w:r>
      <w:r>
        <w:rPr>
          <w:rFonts w:hint="default" w:ascii="宋体" w:hAnsi="宋体" w:eastAsia="宋体"/>
          <w:b w:val="0"/>
          <w:sz w:val="24"/>
          <w:vertAlign w:val="superscript"/>
          <w:lang w:val="en-US" w:eastAsia="zh-CN"/>
        </w:rPr>
        <w:t>[25]</w:t>
      </w:r>
      <w:r>
        <w:rPr>
          <w:rFonts w:hint="default" w:ascii="宋体" w:hAnsi="宋体" w:eastAsia="宋体"/>
          <w:b w:val="0"/>
          <w:sz w:val="24"/>
          <w:lang w:val="en-US" w:eastAsia="zh-CN"/>
        </w:rPr>
        <w:t>。与国内研究侧重“人工智能能否赋能企业”不同，Huang和Rust（2021）从营销战略视角提出，人工智能的商业价值要通过市场研究、战略制定与营销行动三阶段才能真正释放，这意味着应用层企业的核心并非拥有AI本身，而是能否把AI嵌入可交易、可复制、可扩展的经营流程</w:t>
      </w:r>
      <w:r>
        <w:rPr>
          <w:rFonts w:hint="default" w:ascii="宋体" w:hAnsi="宋体" w:eastAsia="宋体"/>
          <w:b w:val="0"/>
          <w:sz w:val="24"/>
          <w:vertAlign w:val="superscript"/>
          <w:lang w:val="en-US" w:eastAsia="zh-CN"/>
        </w:rPr>
        <w:t>[26]</w:t>
      </w:r>
      <w:r>
        <w:rPr>
          <w:rFonts w:hint="default" w:ascii="宋体" w:hAnsi="宋体" w:eastAsia="宋体"/>
          <w:b w:val="0"/>
          <w:sz w:val="24"/>
          <w:lang w:val="en-US" w:eastAsia="zh-CN"/>
        </w:rPr>
        <w:t>。</w:t>
      </w:r>
    </w:p>
    <w:p w14:paraId="23F2BACF">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再次，从产业竞争与经营约束角度看，现有研究对应用层企业的判断并不完全一致。一类研究强调应用层企业靠近客户与场景，因此更容易形成商业化闭环和收入转化；另一类研究则认为，应用层企业由于底层技术门槛相对较低、平台依附性较强，反而更容易陷入同质化竞争和利润压缩。Brynjolfsson、Rock和Syverson（2017）指出，人工智能作为通用技术，其经济绩效释放往往存在明显的实施滞后与配套创新滞后</w:t>
      </w:r>
      <w:r>
        <w:rPr>
          <w:rFonts w:hint="default" w:ascii="宋体" w:hAnsi="宋体" w:eastAsia="宋体"/>
          <w:b w:val="0"/>
          <w:sz w:val="24"/>
          <w:vertAlign w:val="superscript"/>
          <w:lang w:val="en-US" w:eastAsia="zh-CN"/>
        </w:rPr>
        <w:t>[27]</w:t>
      </w:r>
      <w:r>
        <w:rPr>
          <w:rFonts w:hint="default" w:ascii="宋体" w:hAnsi="宋体" w:eastAsia="宋体"/>
          <w:b w:val="0"/>
          <w:sz w:val="24"/>
          <w:lang w:val="en-US" w:eastAsia="zh-CN"/>
        </w:rPr>
        <w:t>。Davenport和Ronanki（2018）进一步从企业实践层面提出，AI项目真正创造价值通常不是通过一次性颠覆，而是通过流程自动化、数据洞察与客户互动的渐进积累来实现</w:t>
      </w:r>
      <w:r>
        <w:rPr>
          <w:rFonts w:hint="default" w:ascii="宋体" w:hAnsi="宋体" w:eastAsia="宋体"/>
          <w:b w:val="0"/>
          <w:sz w:val="24"/>
          <w:vertAlign w:val="superscript"/>
          <w:lang w:val="en-US" w:eastAsia="zh-CN"/>
        </w:rPr>
        <w:t>[28]</w:t>
      </w:r>
      <w:r>
        <w:rPr>
          <w:rFonts w:hint="default" w:ascii="宋体" w:hAnsi="宋体" w:eastAsia="宋体"/>
          <w:b w:val="0"/>
          <w:sz w:val="24"/>
          <w:lang w:val="en-US" w:eastAsia="zh-CN"/>
        </w:rPr>
        <w:t>。由此可见，关于应用层企业的既有研究虽然已经从技术潜力推进到商业化落地，但对于应用层企业在不同所有制背景、资本市场约束和企业规模条件下的盈利表现差异，仍缺乏更细颗粒度的经验分析。</w:t>
      </w:r>
    </w:p>
    <w:p w14:paraId="48282E61">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综合而言，人工智能应用层研究已经形成了“宏观赋能</w:t>
      </w:r>
      <w:r>
        <w:rPr>
          <w:rFonts w:hint="eastAsia" w:ascii="宋体" w:hAnsi="宋体" w:eastAsia="宋体"/>
          <w:b w:val="0"/>
          <w:sz w:val="24"/>
          <w:lang w:val="en-US" w:eastAsia="zh-CN"/>
        </w:rPr>
        <w:t>分析</w:t>
      </w:r>
      <w:r>
        <w:rPr>
          <w:rFonts w:hint="default" w:ascii="宋体" w:hAnsi="宋体" w:eastAsia="宋体"/>
          <w:b w:val="0"/>
          <w:sz w:val="24"/>
          <w:lang w:val="en-US" w:eastAsia="zh-CN"/>
        </w:rPr>
        <w:t>—微观商业转化—现实经营约束”三条主线，但仍存在两点不足：一是研究对象多停留在“应用层企业”或“AI企业”的宽泛层面，对A股上市中小企业这一兼具财务透明性与</w:t>
      </w:r>
      <w:r>
        <w:rPr>
          <w:rFonts w:hint="eastAsia" w:ascii="宋体" w:hAnsi="宋体" w:eastAsia="宋体"/>
          <w:b w:val="0"/>
          <w:sz w:val="24"/>
          <w:lang w:val="en-US" w:eastAsia="zh-CN"/>
        </w:rPr>
        <w:t>盈利</w:t>
      </w:r>
      <w:r>
        <w:rPr>
          <w:rFonts w:hint="default" w:ascii="宋体" w:hAnsi="宋体" w:eastAsia="宋体"/>
          <w:b w:val="0"/>
          <w:sz w:val="24"/>
          <w:lang w:val="en-US" w:eastAsia="zh-CN"/>
        </w:rPr>
        <w:t>压力的群体关注不足；二是较多研究讨论的是效率提升、创新效应和估值表现，而直接以盈利能力及其来源为中心的研究仍相对有限。这为本文聚焦A股人工智能应用层中小企业盈利能力提供了明确的文献切入点。</w:t>
      </w:r>
    </w:p>
    <w:p w14:paraId="4F1ABA3F">
      <w:pPr>
        <w:pStyle w:val="3"/>
        <w:bidi w:val="0"/>
        <w:spacing w:line="400" w:lineRule="exact"/>
        <w:ind w:firstLine="0"/>
        <w:jc w:val="left"/>
        <w:rPr>
          <w:rFonts w:hint="eastAsia"/>
        </w:rPr>
      </w:pPr>
      <w:r>
        <w:rPr>
          <w:rFonts w:hint="eastAsia" w:ascii="黑体" w:hAnsi="黑体" w:eastAsia="黑体"/>
          <w:b/>
          <w:sz w:val="28"/>
        </w:rPr>
        <w:t>2.2 人工智能中小企业相关研究</w:t>
      </w:r>
    </w:p>
    <w:p w14:paraId="1A6EDA25">
      <w:pPr>
        <w:spacing w:line="400" w:lineRule="exact"/>
        <w:ind w:firstLineChars="0" w:firstLine="0"/>
        <w:jc w:val="left"/>
        <w:rPr>
          <w:rFonts w:hint="eastAsia"/>
        </w:rPr>
      </w:pPr>
      <w:r>
        <w:rPr>
          <w:rFonts w:hint="eastAsia" w:ascii="宋体" w:hAnsi="宋体" w:eastAsia="宋体"/>
          <w:b w:val="0"/>
          <w:sz w:val="24"/>
        </w:rPr>
        <w:t>围绕人工智能中小企业的研究，当前国内外文献主要集中于商业模式、关键资源约束与成长扩张机制三个方面。从整体脉络看，国外研究更偏向将AI创业企业视为数字创业和技术创业的一种特殊形态，强调其在数据、算法、组织和融资上的资源组合逻辑；国内研究则更多从数字化转型、科技创新、中小企业成长与政策支持等视角，讨论人工智能如何影响中小企业竞争力与发展质量。</w:t>
      </w:r>
    </w:p>
    <w:p w14:paraId="6CBA7F0D">
      <w:pPr>
        <w:spacing w:line="400" w:lineRule="exact"/>
        <w:ind w:firstLineChars="0" w:firstLine="0"/>
        <w:jc w:val="left"/>
        <w:rPr>
          <w:rFonts w:hint="eastAsia"/>
        </w:rPr>
      </w:pPr>
      <w:r>
        <w:rPr>
          <w:rFonts w:hint="eastAsia" w:ascii="宋体" w:hAnsi="宋体" w:eastAsia="宋体"/>
          <w:b w:val="0"/>
          <w:sz w:val="24"/>
        </w:rPr>
        <w:t>在商业模式研究方面，Weber等（2022）以100家AI初创企业为样本构建了较有代表性的商业模式分类框架，将AI初创企业概括为“AI驱动产品提供者”“AI开发促进者”“数据分析提供者”和“深度技术研究者”四类模式</w:t>
      </w:r>
      <w:r>
        <w:rPr>
          <w:rFonts w:hint="eastAsia" w:ascii="宋体" w:hAnsi="宋体" w:eastAsia="宋体"/>
          <w:b w:val="0"/>
          <w:sz w:val="24"/>
          <w:vertAlign w:val="superscript"/>
        </w:rPr>
        <w:t>[25]</w:t>
      </w:r>
      <w:r>
        <w:rPr>
          <w:rFonts w:hint="eastAsia" w:ascii="宋体" w:hAnsi="宋体" w:eastAsia="宋体"/>
          <w:b w:val="0"/>
          <w:sz w:val="24"/>
        </w:rPr>
        <w:t>。该研究的重要贡献在于指出，AI企业之间的差异并不只是技术水平差异，更体现在价值主张、数据来源、收入机制与客户关系结构等商业模式要素的组合差异上。李晓华、李纪珍、高旭东等（2025）则从双案例研究出发，强调人工智能企业的商业模式创新并非单点创新，而是认知框架驱动下多要素协同重构的结果</w:t>
      </w:r>
      <w:r>
        <w:rPr>
          <w:rFonts w:hint="eastAsia" w:ascii="宋体" w:hAnsi="宋体" w:eastAsia="宋体"/>
          <w:b w:val="0"/>
          <w:sz w:val="24"/>
          <w:vertAlign w:val="superscript"/>
        </w:rPr>
        <w:t>[29]</w:t>
      </w:r>
      <w:r>
        <w:rPr>
          <w:rFonts w:hint="eastAsia" w:ascii="宋体" w:hAnsi="宋体" w:eastAsia="宋体"/>
          <w:b w:val="0"/>
          <w:sz w:val="24"/>
        </w:rPr>
        <w:t>。两类研究在结论上具有一致性，即AI企业不能仅以是否使用人工智能来划分优劣，而应进一步识别其AI能力是形成独立产品、嵌入既有业务，还是仅停留在局部功能优化阶段。不过，两类研究也存在差异：国外文献更重视模式本身如何组织价值创造，国内文献则更强调模式如何服务于产业升级与企业转型。</w:t>
      </w:r>
    </w:p>
    <w:p w14:paraId="3F66B9CB">
      <w:pPr>
        <w:spacing w:line="400" w:lineRule="exact"/>
        <w:ind w:firstLineChars="0" w:firstLine="0"/>
        <w:jc w:val="left"/>
        <w:rPr>
          <w:rFonts w:hint="eastAsia"/>
        </w:rPr>
      </w:pPr>
      <w:r>
        <w:rPr>
          <w:rFonts w:hint="eastAsia" w:ascii="宋体" w:hAnsi="宋体" w:eastAsia="宋体"/>
          <w:b w:val="0"/>
          <w:sz w:val="24"/>
        </w:rPr>
        <w:t>在关键资源约束研究方面，数据、算力、人才与资本被广泛认为是AI中小企业生存与扩张的核心资源。Bessen等（2022）通过研究AI初创企业发现，专有训练数据与后续融资增长之间存在显著正相关关系，表明数据并不仅仅是技术训练原料，更是企业构筑竞争优势和融资故事的重要资产</w:t>
      </w:r>
      <w:r>
        <w:rPr>
          <w:rFonts w:hint="eastAsia" w:ascii="宋体" w:hAnsi="宋体" w:eastAsia="宋体"/>
          <w:b w:val="0"/>
          <w:sz w:val="24"/>
          <w:vertAlign w:val="superscript"/>
        </w:rPr>
        <w:t>[30]</w:t>
      </w:r>
      <w:r>
        <w:rPr>
          <w:rFonts w:hint="eastAsia" w:ascii="宋体" w:hAnsi="宋体" w:eastAsia="宋体"/>
          <w:b w:val="0"/>
          <w:sz w:val="24"/>
        </w:rPr>
        <w:t>。Schulte-Althoff、Fürstenau和Lee（2021）进一步从扩张视角提出，AI初创企业在收入扩张上更接近服务型企业而非平台型企业，但其融资规模对组织规模呈现更强的超线性增长，这说明其成长过程可能更多依赖持续服务能力，而不是快速平台扩张</w:t>
      </w:r>
      <w:r>
        <w:rPr>
          <w:rFonts w:hint="eastAsia" w:ascii="宋体" w:hAnsi="宋体" w:eastAsia="宋体"/>
          <w:b w:val="0"/>
          <w:sz w:val="24"/>
          <w:vertAlign w:val="superscript"/>
        </w:rPr>
        <w:t>[31]</w:t>
      </w:r>
      <w:r>
        <w:rPr>
          <w:rFonts w:hint="eastAsia" w:ascii="宋体" w:hAnsi="宋体" w:eastAsia="宋体"/>
          <w:b w:val="0"/>
          <w:sz w:val="24"/>
        </w:rPr>
        <w:t>。相关研究表明，AI中小企业虽然具有较强的技术灵活性和场景适应性，但在成长过程中往往更依赖关键资源积累，其扩张路径也未必具有典型平台企业的高规模经济特征。</w:t>
      </w:r>
    </w:p>
    <w:p w14:paraId="1B06322F">
      <w:pPr>
        <w:spacing w:line="400" w:lineRule="exact"/>
        <w:ind w:firstLineChars="0" w:firstLine="0"/>
        <w:jc w:val="left"/>
        <w:rPr>
          <w:rFonts w:hint="eastAsia"/>
        </w:rPr>
      </w:pPr>
      <w:r>
        <w:rPr>
          <w:rFonts w:hint="eastAsia" w:ascii="宋体" w:hAnsi="宋体" w:eastAsia="宋体"/>
          <w:b w:val="0"/>
          <w:sz w:val="24"/>
        </w:rPr>
        <w:t>在组织采纳与成长障碍研究方面，现有文献普遍认为AI中小企业或AI采纳型中小企业面临的不只是技术问题，而是技术、组织和环境因素共同作用的结果。Alsheibani、Cheung和Messom（2019）基于TOE框架发现，企业推进AI采纳的障碍主要包括商业案例不清晰、组织支持不足、能力储备不匹配和外部环境不确定性</w:t>
      </w:r>
      <w:r>
        <w:rPr>
          <w:rFonts w:hint="eastAsia" w:ascii="宋体" w:hAnsi="宋体" w:eastAsia="宋体"/>
          <w:b w:val="0"/>
          <w:sz w:val="24"/>
          <w:vertAlign w:val="superscript"/>
        </w:rPr>
        <w:t>[32]</w:t>
      </w:r>
      <w:r>
        <w:rPr>
          <w:rFonts w:hint="eastAsia" w:ascii="宋体" w:hAnsi="宋体" w:eastAsia="宋体"/>
          <w:b w:val="0"/>
          <w:sz w:val="24"/>
        </w:rPr>
        <w:t>。Rai、Constantinides和Sarker（2019）从数字平台与人机协同视角指出，人工智能的经营价值释放往往依赖新的组织流程、平台关系和治理结构，而非简单的技术上线</w:t>
      </w:r>
      <w:r>
        <w:rPr>
          <w:rFonts w:hint="eastAsia" w:ascii="宋体" w:hAnsi="宋体" w:eastAsia="宋体"/>
          <w:b w:val="0"/>
          <w:sz w:val="24"/>
          <w:vertAlign w:val="superscript"/>
        </w:rPr>
        <w:t>[33]</w:t>
      </w:r>
      <w:r>
        <w:rPr>
          <w:rFonts w:hint="eastAsia" w:ascii="宋体" w:hAnsi="宋体" w:eastAsia="宋体"/>
          <w:b w:val="0"/>
          <w:sz w:val="24"/>
        </w:rPr>
        <w:t>。Chalmers等（2021）则将AI置于创业研究语境，认为AI既可能降低机会识别和资源配置成本，也可能通过平台化和数据集中的方式挤压传统中小企业的生存空间</w:t>
      </w:r>
      <w:r>
        <w:rPr>
          <w:rFonts w:hint="eastAsia" w:ascii="宋体" w:hAnsi="宋体" w:eastAsia="宋体"/>
          <w:b w:val="0"/>
          <w:sz w:val="24"/>
          <w:vertAlign w:val="superscript"/>
        </w:rPr>
        <w:t>[34]</w:t>
      </w:r>
      <w:r>
        <w:rPr>
          <w:rFonts w:hint="eastAsia" w:ascii="宋体" w:hAnsi="宋体" w:eastAsia="宋体"/>
          <w:b w:val="0"/>
          <w:sz w:val="24"/>
        </w:rPr>
        <w:t>。由此可见，关于人工智能中小企业的研究并不存在单向乐观结论，而是逐渐形成了灵活性优势与资源劣势并存的基本认识，即中小企业更容易在细分场景中快速试错，但也更容易因数据积累不足、市场议价能力有限和融资压力较大而难以跨越盈利门槛。</w:t>
      </w:r>
    </w:p>
    <w:p w14:paraId="7D523F92">
      <w:pPr>
        <w:spacing w:line="400" w:lineRule="exact"/>
        <w:ind w:firstLineChars="0" w:firstLine="0"/>
        <w:jc w:val="left"/>
        <w:rPr>
          <w:rFonts w:hint="eastAsia"/>
        </w:rPr>
      </w:pPr>
      <w:r>
        <w:rPr>
          <w:rFonts w:hint="eastAsia" w:ascii="宋体" w:hAnsi="宋体" w:eastAsia="宋体"/>
          <w:b w:val="0"/>
          <w:sz w:val="24"/>
        </w:rPr>
        <w:t>国内相关研究在这一问题上的推进，主要体现在人工智能赋能中小企业数字化转型与竞争力提升的讨论上。中国信通院（2024）和工信部相关政策解读均指出，中小企业数字化转型已成为其生存与发展的必答题，而AI则是推动其提升效率、拓展场景和改造商业模式的重要工具</w:t>
      </w:r>
      <w:r>
        <w:rPr>
          <w:rFonts w:hint="eastAsia" w:ascii="宋体" w:hAnsi="宋体" w:eastAsia="宋体"/>
          <w:b w:val="0"/>
          <w:sz w:val="24"/>
          <w:vertAlign w:val="superscript"/>
        </w:rPr>
        <w:t>[35][9]</w:t>
      </w:r>
      <w:r>
        <w:rPr>
          <w:rFonts w:hint="eastAsia" w:ascii="宋体" w:hAnsi="宋体" w:eastAsia="宋体"/>
          <w:b w:val="0"/>
          <w:sz w:val="24"/>
        </w:rPr>
        <w:t>。何新江等（2025）的实证研究表明，人工智能对企业新质生产力和创新效率存在显著促进作用</w:t>
      </w:r>
      <w:r>
        <w:rPr>
          <w:rFonts w:hint="eastAsia" w:ascii="宋体" w:hAnsi="宋体" w:eastAsia="宋体"/>
          <w:b w:val="0"/>
          <w:sz w:val="24"/>
          <w:vertAlign w:val="superscript"/>
        </w:rPr>
        <w:t>[21]</w:t>
      </w:r>
      <w:r>
        <w:rPr>
          <w:rFonts w:hint="eastAsia" w:ascii="宋体" w:hAnsi="宋体" w:eastAsia="宋体"/>
          <w:b w:val="0"/>
          <w:sz w:val="24"/>
        </w:rPr>
        <w:t>。总体而言，国内研究对于人工智能促进中小企业创新和发展的积极作用已有较多讨论，但对其盈利形成机制、利润率变动逻辑等分析仍相对不足。</w:t>
      </w:r>
    </w:p>
    <w:p w14:paraId="7CCE57A6">
      <w:pPr>
        <w:spacing w:line="400" w:lineRule="exact"/>
        <w:ind w:firstLineChars="0" w:firstLine="0"/>
        <w:jc w:val="left"/>
        <w:rPr>
          <w:rFonts w:hint="eastAsia"/>
        </w:rPr>
      </w:pPr>
      <w:r>
        <w:rPr>
          <w:rFonts w:hint="eastAsia" w:ascii="宋体" w:hAnsi="宋体" w:eastAsia="宋体"/>
          <w:b w:val="0"/>
          <w:sz w:val="24"/>
        </w:rPr>
        <w:t>总体</w:t>
      </w:r>
      <w:r>
        <w:rPr>
          <w:rFonts w:hint="eastAsia" w:ascii="宋体" w:hAnsi="宋体" w:eastAsia="宋体"/>
          <w:b w:val="0"/>
          <w:sz w:val="24"/>
          <w:lang w:val="en-US" w:eastAsia="zh-CN"/>
        </w:rPr>
        <w:t>来看</w:t>
      </w:r>
      <w:r>
        <w:rPr>
          <w:rFonts w:hint="eastAsia" w:ascii="宋体" w:hAnsi="宋体" w:eastAsia="宋体"/>
          <w:b w:val="0"/>
          <w:sz w:val="24"/>
        </w:rPr>
        <w:t>，人工智能中小企业研究已经较为充分地揭示了商业模式差异、资源约束和成长障碍，但仍存在三点空缺：其一，研究对象多聚焦初创企业、独角兽企业或一般中小企业，缺少针对A股人工智能应用层中小企业这一特定群体的系统研究；其二，研究结论多停留在成长性</w:t>
      </w:r>
      <w:r>
        <w:rPr>
          <w:rFonts w:hint="eastAsia" w:ascii="宋体" w:hAnsi="宋体" w:eastAsia="宋体"/>
          <w:b w:val="0"/>
          <w:sz w:val="24"/>
          <w:lang w:eastAsia="zh-CN"/>
        </w:rPr>
        <w:t>、</w:t>
      </w:r>
      <w:r>
        <w:rPr>
          <w:rFonts w:hint="eastAsia" w:ascii="宋体" w:hAnsi="宋体" w:eastAsia="宋体"/>
          <w:b w:val="0"/>
          <w:sz w:val="24"/>
        </w:rPr>
        <w:t>创新性或扩张性层面，对盈利能力这一更能反映可持续经营质量的维度关注不足；其三，现有研究虽已讨论资源禀赋与模式差异，但很少进一步回答这些差异如何通过收入、成本、费用、周转效率和资本结构传导到盈利结果。上述不足构成了本文进一步展开研究的重要依据。</w:t>
      </w:r>
    </w:p>
    <w:p w14:paraId="706E8453">
      <w:pPr>
        <w:pStyle w:val="3"/>
        <w:bidi w:val="0"/>
        <w:spacing w:line="400" w:lineRule="exact"/>
        <w:ind w:firstLine="0"/>
        <w:jc w:val="left"/>
        <w:rPr>
          <w:rFonts w:hint="eastAsia"/>
        </w:rPr>
      </w:pPr>
      <w:r>
        <w:rPr>
          <w:rFonts w:hint="eastAsia" w:ascii="黑体" w:hAnsi="黑体" w:eastAsia="黑体"/>
          <w:b/>
          <w:sz w:val="28"/>
        </w:rPr>
        <w:t>2.3 企业盈利评估方法相关研究</w:t>
      </w:r>
    </w:p>
    <w:p w14:paraId="0BBA76DB">
      <w:pPr>
        <w:numPr>
          <w:ilvl w:val="0"/>
          <w:numId w:val="0"/>
        </w:numPr>
        <w:spacing w:line="400" w:lineRule="exact"/>
        <w:ind w:firstLineChars="0" w:firstLine="0"/>
        <w:jc w:val="left"/>
        <w:rPr>
          <w:rFonts w:hint="eastAsia"/>
        </w:rPr>
      </w:pPr>
      <w:r>
        <w:rPr>
          <w:rFonts w:hint="eastAsia" w:ascii="宋体" w:hAnsi="宋体" w:eastAsia="宋体"/>
          <w:b w:val="0"/>
          <w:sz w:val="24"/>
        </w:rPr>
        <w:t>人工智能应用层中小企业盈利本质离不开企业绩效评估的通用框架。为深入分析人工智能应用层中小企业的盈利能力，有必要回顾现有企业盈利能力评估方法的研究进展，以为针对 AI 企业的盈利分析提供理论参考。</w:t>
      </w:r>
    </w:p>
    <w:p w14:paraId="1BA2CC1D">
      <w:pPr>
        <w:pStyle w:val="4"/>
        <w:bidi w:val="0"/>
        <w:spacing w:line="400" w:lineRule="exact"/>
        <w:ind w:firstLine="0"/>
        <w:jc w:val="left"/>
        <w:rPr>
          <w:rFonts w:hint="eastAsia"/>
        </w:rPr>
      </w:pPr>
      <w:r>
        <w:rPr>
          <w:rFonts w:hint="eastAsia" w:ascii="黑体" w:hAnsi="黑体" w:eastAsia="黑体"/>
          <w:b/>
          <w:sz w:val="24"/>
        </w:rPr>
        <w:t>2.2.1 盈利能力指标的研究综述</w:t>
      </w:r>
    </w:p>
    <w:p w14:paraId="57144712">
      <w:pPr>
        <w:numPr>
          <w:ilvl w:val="0"/>
          <w:numId w:val="0"/>
        </w:numPr>
        <w:spacing w:line="400" w:lineRule="exact"/>
        <w:ind w:firstLineChars="0" w:firstLine="0"/>
        <w:jc w:val="left"/>
        <w:rPr>
          <w:rFonts w:hint="eastAsia"/>
          <w:sz w:val="24"/>
          <w:szCs w:val="24"/>
        </w:rPr>
      </w:pPr>
      <w:r>
        <w:rPr>
          <w:rFonts w:hint="eastAsia" w:ascii="宋体" w:hAnsi="宋体" w:eastAsia="宋体"/>
          <w:b w:val="0"/>
          <w:sz w:val="24"/>
          <w:szCs w:val="24"/>
        </w:rPr>
        <w:t>净资产收益率、成本费用率和总资产报酬率是早期我国学者用来评价企业盈利能力的指标，他们选择用销售净利率、销售毛利率、资产净利率、净资产收益率作为分析上市公司是否盈利能力的依据（董明志，2000；李宝仁、王振蓉，2003）</w:t>
      </w:r>
      <w:r>
        <w:rPr>
          <w:rFonts w:hint="eastAsia" w:ascii="宋体" w:hAnsi="宋体" w:eastAsia="宋体"/>
          <w:b w:val="0"/>
          <w:sz w:val="24"/>
          <w:szCs w:val="24"/>
          <w:vertAlign w:val="superscript"/>
        </w:rPr>
        <w:t>[36][37]</w:t>
      </w:r>
      <w:r>
        <w:rPr>
          <w:rFonts w:hint="eastAsia" w:ascii="宋体" w:hAnsi="宋体" w:eastAsia="宋体"/>
          <w:b w:val="0"/>
          <w:sz w:val="24"/>
          <w:szCs w:val="24"/>
        </w:rPr>
        <w:t>。与此同时，部分学者将盈利能力指标的重点放在了现金流量领域。例如，段翠莲（2012）将企业的营销能力、收现能力以及成本费用的控制能力作为分析企业是否盈利的指标</w:t>
      </w:r>
      <w:r>
        <w:rPr>
          <w:rFonts w:hint="eastAsia" w:ascii="宋体" w:hAnsi="宋体" w:eastAsia="宋体"/>
          <w:b w:val="0"/>
          <w:sz w:val="24"/>
          <w:szCs w:val="24"/>
          <w:vertAlign w:val="superscript"/>
        </w:rPr>
        <w:t>[38]</w:t>
      </w:r>
      <w:r>
        <w:rPr>
          <w:rFonts w:hint="eastAsia" w:ascii="宋体" w:hAnsi="宋体" w:eastAsia="宋体"/>
          <w:b w:val="0"/>
          <w:sz w:val="24"/>
          <w:szCs w:val="24"/>
        </w:rPr>
        <w:t>。同时，也有学者提出在考察企业能否盈利时，应当重点关注企业的销售现金比率、盈余现金保障倍数、应收账款周转率等指标（王芳，2009）</w:t>
      </w:r>
      <w:r>
        <w:rPr>
          <w:rFonts w:hint="eastAsia" w:ascii="宋体" w:hAnsi="宋体" w:eastAsia="宋体"/>
          <w:b w:val="0"/>
          <w:sz w:val="24"/>
          <w:szCs w:val="24"/>
          <w:vertAlign w:val="superscript"/>
        </w:rPr>
        <w:t>[39]</w:t>
      </w:r>
      <w:r>
        <w:rPr>
          <w:rFonts w:hint="eastAsia" w:ascii="宋体" w:hAnsi="宋体" w:eastAsia="宋体"/>
          <w:b w:val="0"/>
          <w:sz w:val="24"/>
          <w:szCs w:val="24"/>
        </w:rPr>
        <w:t>。</w:t>
      </w:r>
    </w:p>
    <w:p w14:paraId="022AEB71">
      <w:pPr>
        <w:pStyle w:val="4"/>
        <w:bidi w:val="0"/>
        <w:spacing w:line="400" w:lineRule="exact"/>
        <w:ind w:firstLine="0"/>
        <w:jc w:val="left"/>
        <w:rPr>
          <w:rFonts w:hint="eastAsia"/>
        </w:rPr>
      </w:pPr>
      <w:r>
        <w:rPr>
          <w:rFonts w:hint="eastAsia" w:ascii="黑体" w:hAnsi="黑体" w:eastAsia="黑体"/>
          <w:b/>
          <w:sz w:val="24"/>
        </w:rPr>
        <w:t>2.2.2 盈利能力评价方法的研究综述</w:t>
      </w:r>
    </w:p>
    <w:p w14:paraId="3D83F36D">
      <w:pPr>
        <w:numPr>
          <w:ilvl w:val="0"/>
          <w:numId w:val="0"/>
        </w:numPr>
        <w:spacing w:line="400" w:lineRule="exact"/>
        <w:ind w:firstLineChars="0" w:firstLine="0"/>
        <w:jc w:val="left"/>
        <w:rPr>
          <w:rFonts w:hint="eastAsia"/>
        </w:rPr>
      </w:pPr>
      <w:r>
        <w:rPr>
          <w:rFonts w:hint="eastAsia" w:ascii="宋体" w:hAnsi="宋体" w:eastAsia="宋体"/>
          <w:b w:val="0"/>
          <w:sz w:val="24"/>
        </w:rPr>
        <w:t>早期我国学者对于盈利能力的评价研究主要从企业实际的经营情况以及管理水平等方面入手。例如，莫生红、李明伟（2008）运用层次分析法建立了上市公司盈利能力的综合评价模型，通过动态分析公司多年来的F值，对公司的财务发展状况进行评价，并对未来的发展作出相应的预测</w:t>
      </w:r>
      <w:r>
        <w:rPr>
          <w:rFonts w:hint="eastAsia" w:ascii="宋体" w:hAnsi="宋体" w:eastAsia="宋体"/>
          <w:b w:val="0"/>
          <w:sz w:val="24"/>
          <w:vertAlign w:val="superscript"/>
        </w:rPr>
        <w:t>[40]</w:t>
      </w:r>
      <w:r>
        <w:rPr>
          <w:rFonts w:hint="eastAsia" w:ascii="宋体" w:hAnsi="宋体" w:eastAsia="宋体"/>
          <w:b w:val="0"/>
          <w:sz w:val="24"/>
        </w:rPr>
        <w:t>。近年来，我国学者利用因子分析法评价上市企业盈利能力。陈鑫子（2019）以互联网企业为研究对象，构建互联网上市企业盈利能力评价体系，对互联网企业的盈利能力从不同的维度进行测量，最终选择顾客资源、科技研发及人才管理等角度对互联网公司的盈利能力进行分析，并提出相应的改进意见</w:t>
      </w:r>
      <w:r>
        <w:rPr>
          <w:rFonts w:hint="eastAsia" w:ascii="宋体" w:hAnsi="宋体" w:eastAsia="宋体"/>
          <w:b w:val="0"/>
          <w:sz w:val="24"/>
          <w:vertAlign w:val="superscript"/>
        </w:rPr>
        <w:t>[41]</w:t>
      </w:r>
      <w:r>
        <w:rPr>
          <w:rFonts w:hint="eastAsia" w:ascii="宋体" w:hAnsi="宋体" w:eastAsia="宋体"/>
          <w:b w:val="0"/>
          <w:sz w:val="24"/>
        </w:rPr>
        <w:t>。随着人工智能技术的快速发展，越来越多学者开始使用人工智能技术进行盈利能力评估，李剑锋、李一军、祁威（2005）利用模糊聚类分析方法，根据财务指标，对十大上市钢铁公司进行了聚类分析</w:t>
      </w:r>
      <w:r>
        <w:rPr>
          <w:rFonts w:hint="eastAsia" w:ascii="宋体" w:hAnsi="宋体" w:eastAsia="宋体"/>
          <w:b w:val="0"/>
          <w:sz w:val="24"/>
          <w:vertAlign w:val="superscript"/>
        </w:rPr>
        <w:t>[42]</w:t>
      </w:r>
      <w:r>
        <w:rPr>
          <w:rFonts w:hint="eastAsia" w:ascii="宋体" w:hAnsi="宋体" w:eastAsia="宋体"/>
          <w:b w:val="0"/>
          <w:sz w:val="24"/>
        </w:rPr>
        <w:t>；徐汪洋（2024）依托主成分分析算法将包括净利润率、总资产报酬率在内的6个代表盈利能力的指标进行整合，提炼形成经营获利能力指标和投资获利能力指标，以及一个直观简洁的盈利能力综合评价指标</w:t>
      </w:r>
      <w:r>
        <w:rPr>
          <w:rFonts w:hint="eastAsia" w:ascii="宋体" w:hAnsi="宋体" w:eastAsia="宋体"/>
          <w:b w:val="0"/>
          <w:sz w:val="24"/>
          <w:vertAlign w:val="superscript"/>
        </w:rPr>
        <w:t>[43]</w:t>
      </w:r>
      <w:r>
        <w:rPr>
          <w:rFonts w:hint="eastAsia" w:ascii="宋体" w:hAnsi="宋体" w:eastAsia="宋体"/>
          <w:b w:val="0"/>
          <w:sz w:val="24"/>
        </w:rPr>
        <w:t>。</w:t>
      </w:r>
    </w:p>
    <w:p w14:paraId="1C559E2B">
      <w:pPr>
        <w:numPr>
          <w:ilvl w:val="0"/>
          <w:numId w:val="0"/>
        </w:numPr>
        <w:spacing w:line="400" w:lineRule="exact"/>
        <w:ind w:firstLineChars="0" w:firstLine="0"/>
        <w:jc w:val="left"/>
        <w:rPr>
          <w:rFonts w:hint="eastAsia"/>
        </w:rPr>
      </w:pPr>
      <w:r>
        <w:rPr>
          <w:rFonts w:hint="eastAsia" w:ascii="宋体" w:hAnsi="宋体" w:eastAsia="宋体"/>
          <w:b w:val="0"/>
          <w:sz w:val="24"/>
          <w:lang w:val="en-US" w:eastAsia="zh-CN"/>
        </w:rPr>
        <w:t>然而</w:t>
      </w:r>
      <w:r>
        <w:rPr>
          <w:rFonts w:hint="eastAsia" w:ascii="宋体" w:hAnsi="宋体" w:eastAsia="宋体"/>
          <w:b w:val="0"/>
          <w:sz w:val="24"/>
        </w:rPr>
        <w:t>，现有盈利能力评价文献在人工智能企业研究中的适用性仍存在两方面不足。一方面，既有研究更多围绕传统制造业、互联网企业或一般上市公司展开，对人工智能应用层中小企业这一细分群体考虑不足。另一方面，现有研究往往在综合评价和</w:t>
      </w:r>
      <w:r>
        <w:rPr>
          <w:rFonts w:hint="eastAsia" w:ascii="宋体" w:hAnsi="宋体" w:eastAsia="宋体"/>
          <w:b w:val="0"/>
          <w:sz w:val="24"/>
          <w:lang w:val="en-US" w:eastAsia="zh-CN"/>
        </w:rPr>
        <w:t>机制</w:t>
      </w:r>
      <w:r>
        <w:rPr>
          <w:rFonts w:hint="eastAsia" w:ascii="宋体" w:hAnsi="宋体" w:eastAsia="宋体"/>
          <w:b w:val="0"/>
          <w:sz w:val="24"/>
        </w:rPr>
        <w:t>分解之间二选一</w:t>
      </w:r>
      <w:r>
        <w:rPr>
          <w:rFonts w:hint="eastAsia" w:ascii="宋体" w:hAnsi="宋体" w:eastAsia="宋体"/>
          <w:b w:val="0"/>
          <w:sz w:val="24"/>
          <w:lang w:eastAsia="zh-CN"/>
        </w:rPr>
        <w:t>，</w:t>
      </w:r>
      <w:r>
        <w:rPr>
          <w:rFonts w:hint="eastAsia" w:ascii="宋体" w:hAnsi="宋体" w:eastAsia="宋体"/>
          <w:b w:val="0"/>
          <w:sz w:val="24"/>
          <w:lang w:val="en-US" w:eastAsia="zh-CN"/>
        </w:rPr>
        <w:t>即</w:t>
      </w:r>
      <w:r>
        <w:rPr>
          <w:rFonts w:hint="eastAsia" w:ascii="宋体" w:hAnsi="宋体" w:eastAsia="宋体"/>
          <w:b w:val="0"/>
          <w:sz w:val="24"/>
        </w:rPr>
        <w:t>要么停留于横截面排序，要么聚焦少量</w:t>
      </w:r>
      <w:r>
        <w:rPr>
          <w:rFonts w:hint="eastAsia" w:ascii="宋体" w:hAnsi="宋体" w:eastAsia="宋体"/>
          <w:b w:val="0"/>
          <w:sz w:val="24"/>
          <w:lang w:val="en-US" w:eastAsia="zh-CN"/>
        </w:rPr>
        <w:t>案例</w:t>
      </w:r>
      <w:r>
        <w:rPr>
          <w:rFonts w:hint="eastAsia" w:ascii="宋体" w:hAnsi="宋体" w:eastAsia="宋体"/>
          <w:b w:val="0"/>
          <w:sz w:val="24"/>
        </w:rPr>
        <w:t>分析，缺乏将全样本横向比较与典型样本纵向分解相结合的研究设计。对于本文所要回答的</w:t>
      </w:r>
      <w:r>
        <w:rPr>
          <w:rFonts w:hint="eastAsia" w:ascii="宋体" w:hAnsi="宋体" w:eastAsia="宋体"/>
          <w:b w:val="0"/>
          <w:sz w:val="24"/>
          <w:lang w:val="en-US" w:eastAsia="zh-CN"/>
        </w:rPr>
        <w:t>研究</w:t>
      </w:r>
      <w:r>
        <w:rPr>
          <w:rFonts w:hint="eastAsia" w:ascii="宋体" w:hAnsi="宋体" w:eastAsia="宋体"/>
          <w:b w:val="0"/>
          <w:sz w:val="24"/>
        </w:rPr>
        <w:t>问题而言，仅使用单一方法难以充分回答。因此，本文拟在借鉴既有盈利能力评价研究成果的基础上，采用熵权法横向比较</w:t>
      </w:r>
      <w:r>
        <w:rPr>
          <w:rFonts w:hint="eastAsia" w:ascii="宋体" w:hAnsi="宋体" w:eastAsia="宋体"/>
          <w:b w:val="0"/>
          <w:sz w:val="24"/>
          <w:lang w:val="en-US" w:eastAsia="zh-CN"/>
        </w:rPr>
        <w:t>结合</w:t>
      </w:r>
      <w:r>
        <w:rPr>
          <w:rFonts w:hint="eastAsia" w:ascii="宋体" w:hAnsi="宋体" w:eastAsia="宋体"/>
          <w:b w:val="0"/>
          <w:sz w:val="24"/>
        </w:rPr>
        <w:t>杜邦分析法纵向分解的组合路径，以增强研究结论的系统性与解释力。</w:t>
      </w:r>
    </w:p>
    <w:p w14:paraId="18D0C860">
      <w:pPr>
        <w:pStyle w:val="3"/>
        <w:bidi w:val="0"/>
        <w:spacing w:line="400" w:lineRule="exact"/>
        <w:ind w:firstLine="0"/>
        <w:jc w:val="left"/>
        <w:rPr>
          <w:rFonts w:hint="eastAsia"/>
        </w:rPr>
      </w:pPr>
      <w:r>
        <w:rPr>
          <w:rFonts w:hint="eastAsia" w:ascii="黑体" w:hAnsi="黑体" w:eastAsia="黑体"/>
          <w:b/>
          <w:sz w:val="28"/>
        </w:rPr>
        <w:t>2.4 文献述评</w:t>
      </w:r>
    </w:p>
    <w:p w14:paraId="6BCD279F">
      <w:pPr>
        <w:spacing w:line="400" w:lineRule="exact"/>
        <w:ind w:firstLineChars="0" w:firstLine="0"/>
        <w:jc w:val="left"/>
        <w:rPr>
          <w:rFonts w:hint="eastAsia"/>
        </w:rPr>
      </w:pPr>
      <w:r>
        <w:rPr>
          <w:rFonts w:hint="eastAsia" w:ascii="宋体" w:hAnsi="宋体" w:eastAsia="宋体"/>
          <w:b w:val="0"/>
          <w:sz w:val="24"/>
          <w:lang w:val="en-US" w:eastAsia="zh-CN"/>
        </w:rPr>
        <w:t>结合</w:t>
      </w:r>
      <w:r>
        <w:rPr>
          <w:rFonts w:hint="eastAsia" w:ascii="宋体" w:hAnsi="宋体" w:eastAsia="宋体"/>
          <w:b w:val="0"/>
          <w:sz w:val="24"/>
        </w:rPr>
        <w:t>上述文献，国内外关于人工智能应用层、人工智能中小企业以及盈利能力评价方法的研究已经为本文提供了较为扎实的理论基础，但在研究对象、研究视角和研究方法上仍然存在明显的可拓展空间。</w:t>
      </w:r>
    </w:p>
    <w:p w14:paraId="67A35048">
      <w:pPr>
        <w:spacing w:line="400" w:lineRule="exact"/>
        <w:ind w:firstLineChars="0" w:firstLine="0"/>
        <w:jc w:val="left"/>
        <w:rPr>
          <w:rFonts w:hint="eastAsia"/>
        </w:rPr>
      </w:pPr>
      <w:r>
        <w:rPr>
          <w:rFonts w:hint="eastAsia" w:ascii="宋体" w:hAnsi="宋体" w:eastAsia="宋体"/>
          <w:b w:val="0"/>
          <w:sz w:val="24"/>
        </w:rPr>
        <w:t>从研究对象看，国外研究更多聚焦AI初创企业、数字创业企业和AI采纳型组织，关注其商业模式、扩张逻辑、数据资源和组织障碍；国内研究则更多关注人工智能对产业升级、新质生产力和企业创新绩效的赋能效应</w:t>
      </w:r>
      <w:r>
        <w:rPr>
          <w:rFonts w:hint="eastAsia" w:ascii="宋体" w:hAnsi="宋体" w:eastAsia="宋体"/>
          <w:b w:val="0"/>
          <w:sz w:val="24"/>
          <w:lang w:val="en-US" w:eastAsia="zh-CN"/>
        </w:rPr>
        <w:t>等</w:t>
      </w:r>
      <w:r>
        <w:rPr>
          <w:rFonts w:hint="eastAsia" w:ascii="宋体" w:hAnsi="宋体" w:eastAsia="宋体"/>
          <w:b w:val="0"/>
          <w:sz w:val="24"/>
        </w:rPr>
        <w:t>。两类研究共同说明，人工智能并非单纯的技术变量，而是一种会重塑企业价值创造方式和竞争结构的通用技术。然而，无论是国外对AI创业企业的讨论，还是国内对AI赋能效应和估值差异的研究，都较少将研究对象进一步限定在A股人工智能应用层中小企业这一兼具应用层属性、中小企业属性和财务可识别性的细分群体上。</w:t>
      </w:r>
    </w:p>
    <w:p w14:paraId="14F1F431">
      <w:pPr>
        <w:spacing w:line="400" w:lineRule="exact"/>
        <w:ind w:firstLineChars="0" w:firstLine="0"/>
        <w:jc w:val="left"/>
        <w:rPr>
          <w:rFonts w:hint="eastAsia"/>
        </w:rPr>
      </w:pPr>
      <w:r>
        <w:rPr>
          <w:rFonts w:hint="eastAsia" w:ascii="宋体" w:hAnsi="宋体" w:eastAsia="宋体"/>
          <w:b w:val="0"/>
          <w:sz w:val="24"/>
        </w:rPr>
        <w:t>从研究视角看，现有文献已经从商业模式、资源禀赋、组织采纳、估值表现和技术赋能等多个角度展开分析，但对盈利能力的关注仍不足。国外文献虽然较为敏锐地识别了AI创业企业在数据、算力、人才和融资上的关键约束，但对企业最终能否跨越盈利门槛、不同模式的利润形成差异何在，讨论仍不充分。国内文献则更多强调人工智能促进新质生产力、创新绩效和产业升级的正向作用，对应用层企业尤其是中小企业的利润</w:t>
      </w:r>
      <w:r>
        <w:rPr>
          <w:rFonts w:hint="eastAsia" w:ascii="宋体" w:hAnsi="宋体" w:eastAsia="宋体"/>
          <w:b w:val="0"/>
          <w:sz w:val="24"/>
          <w:lang w:val="en-US" w:eastAsia="zh-CN"/>
        </w:rPr>
        <w:t>压力</w:t>
      </w:r>
      <w:r>
        <w:rPr>
          <w:rFonts w:hint="eastAsia" w:ascii="宋体" w:hAnsi="宋体" w:eastAsia="宋体"/>
          <w:b w:val="0"/>
          <w:sz w:val="24"/>
        </w:rPr>
        <w:t>、成本费用刚性等现实</w:t>
      </w:r>
      <w:r>
        <w:rPr>
          <w:rFonts w:hint="eastAsia" w:ascii="宋体" w:hAnsi="宋体" w:eastAsia="宋体"/>
          <w:b w:val="0"/>
          <w:sz w:val="24"/>
          <w:lang w:val="en-US" w:eastAsia="zh-CN"/>
        </w:rPr>
        <w:t>盈利</w:t>
      </w:r>
      <w:r>
        <w:rPr>
          <w:rFonts w:hint="eastAsia" w:ascii="宋体" w:hAnsi="宋体" w:eastAsia="宋体"/>
          <w:b w:val="0"/>
          <w:sz w:val="24"/>
        </w:rPr>
        <w:t>问题关注较少。因此，现有研究在技术赋能与经营结果之间仍存在一定</w:t>
      </w:r>
      <w:r>
        <w:rPr>
          <w:rFonts w:hint="eastAsia" w:ascii="宋体" w:hAnsi="宋体" w:eastAsia="宋体"/>
          <w:b w:val="0"/>
          <w:sz w:val="24"/>
          <w:lang w:val="en-US" w:eastAsia="zh-CN"/>
        </w:rPr>
        <w:t>可拓展深化空间</w:t>
      </w:r>
      <w:r>
        <w:rPr>
          <w:rFonts w:hint="eastAsia" w:ascii="宋体" w:hAnsi="宋体" w:eastAsia="宋体"/>
          <w:b w:val="0"/>
          <w:sz w:val="24"/>
        </w:rPr>
        <w:t>。</w:t>
      </w:r>
    </w:p>
    <w:p w14:paraId="3D5D6C9E">
      <w:pPr>
        <w:spacing w:line="400" w:lineRule="exact"/>
        <w:ind w:firstLineChars="0" w:firstLine="0"/>
        <w:jc w:val="left"/>
        <w:rPr>
          <w:rFonts w:hint="eastAsia"/>
        </w:rPr>
      </w:pPr>
      <w:r>
        <w:rPr>
          <w:rFonts w:hint="eastAsia" w:ascii="宋体" w:hAnsi="宋体" w:eastAsia="宋体"/>
          <w:b w:val="0"/>
          <w:sz w:val="24"/>
        </w:rPr>
        <w:t>从研究方法看，既有成果主要存在三类局限。第一，部分研究停留于单项财务指标或一般绩效指标比较，难以全面揭示盈利能力的多维特征。第二，部分研究虽然采用综合评价方法，但多止于横向排序，缺乏对盈利</w:t>
      </w:r>
      <w:r>
        <w:rPr>
          <w:rFonts w:hint="eastAsia" w:ascii="宋体" w:hAnsi="宋体" w:eastAsia="宋体"/>
          <w:b w:val="0"/>
          <w:sz w:val="24"/>
          <w:lang w:val="en-US" w:eastAsia="zh-CN"/>
        </w:rPr>
        <w:t>瓶颈</w:t>
      </w:r>
      <w:r>
        <w:rPr>
          <w:rFonts w:hint="eastAsia" w:ascii="宋体" w:hAnsi="宋体" w:eastAsia="宋体"/>
          <w:b w:val="0"/>
          <w:sz w:val="24"/>
        </w:rPr>
        <w:t>形成机制的进一步剖析。第三，案例研究虽能深入解释个别企业的经营逻辑，</w:t>
      </w:r>
      <w:r>
        <w:rPr>
          <w:rFonts w:hint="eastAsia" w:ascii="宋体" w:hAnsi="宋体" w:eastAsia="宋体"/>
          <w:b w:val="0"/>
          <w:sz w:val="24"/>
          <w:lang w:val="en-US" w:eastAsia="zh-CN"/>
        </w:rPr>
        <w:t>但对</w:t>
      </w:r>
      <w:r>
        <w:rPr>
          <w:rFonts w:hint="eastAsia" w:ascii="宋体" w:hAnsi="宋体" w:eastAsia="宋体"/>
          <w:b w:val="0"/>
          <w:sz w:val="24"/>
        </w:rPr>
        <w:t>行业整体分布特征与模式差异的揭示相对有限。</w:t>
      </w:r>
    </w:p>
    <w:p w14:paraId="5DF66FC4">
      <w:pPr>
        <w:spacing w:line="400" w:lineRule="exact"/>
        <w:ind w:firstLineChars="0" w:firstLine="0"/>
        <w:jc w:val="left"/>
        <w:rPr>
          <w:rFonts w:hint="eastAsia"/>
        </w:rPr>
      </w:pPr>
      <w:r>
        <w:rPr>
          <w:rFonts w:hint="eastAsia" w:ascii="宋体" w:hAnsi="宋体" w:eastAsia="宋体"/>
          <w:b w:val="0"/>
          <w:sz w:val="24"/>
        </w:rPr>
        <w:t>基于此，本文认为，现有研究至少存在以下三个值得进一步推进的空白。其一，关于人工智能应用层企业的研究，尚缺少将研究对象具体聚焦到A股中小上市企业并结合财务数据展开的系统分析。其二，关于人工智能中小企业的研究，现有文献更多关注成长、创新与资源约束，对盈利能力这一反映商业可持续性的核心维度研究不足。其三，关于盈利能力研究的方法应用，结合人工智能应用层企业的特点，将熵权法的横向综合评价与杜邦分析法的纵向分解有效联结起来</w:t>
      </w:r>
      <w:r>
        <w:rPr>
          <w:rFonts w:hint="eastAsia" w:ascii="宋体" w:hAnsi="宋体" w:eastAsia="宋体"/>
          <w:b w:val="0"/>
          <w:sz w:val="24"/>
          <w:lang w:val="en-US" w:eastAsia="zh-CN"/>
        </w:rPr>
        <w:t>的文献仍较少见</w:t>
      </w:r>
      <w:r>
        <w:rPr>
          <w:rFonts w:hint="eastAsia" w:ascii="宋体" w:hAnsi="宋体" w:eastAsia="宋体"/>
          <w:b w:val="0"/>
          <w:sz w:val="24"/>
        </w:rPr>
        <w:t>。</w:t>
      </w:r>
    </w:p>
    <w:p w14:paraId="1AD1429C">
      <w:pPr>
        <w:spacing w:line="400" w:lineRule="exact"/>
        <w:ind w:firstLineChars="0" w:firstLine="0"/>
        <w:jc w:val="left"/>
        <w:rPr>
          <w:rFonts w:hint="eastAsia"/>
        </w:rPr>
      </w:pPr>
      <w:r>
        <w:rPr>
          <w:rFonts w:hint="eastAsia" w:ascii="宋体" w:hAnsi="宋体" w:eastAsia="宋体"/>
          <w:b w:val="0"/>
          <w:sz w:val="24"/>
        </w:rPr>
        <w:t>因此，本文将以A股人工智能应用层中小企业为研究对象，在已有文献基础上形成以下研究推进路径</w:t>
      </w:r>
      <w:r>
        <w:rPr>
          <w:rFonts w:hint="eastAsia" w:ascii="宋体" w:hAnsi="宋体" w:eastAsia="宋体"/>
          <w:b w:val="0"/>
          <w:sz w:val="24"/>
          <w:lang w:eastAsia="zh-CN"/>
        </w:rPr>
        <w:t>。</w:t>
      </w:r>
      <w:r>
        <w:rPr>
          <w:rFonts w:hint="eastAsia" w:ascii="宋体" w:hAnsi="宋体" w:eastAsia="宋体"/>
          <w:b w:val="0"/>
          <w:sz w:val="24"/>
        </w:rPr>
        <w:t>首先，基于同花顺AI应用概念股和中小企业</w:t>
      </w:r>
      <w:r>
        <w:rPr>
          <w:rFonts w:hint="eastAsia" w:ascii="宋体" w:hAnsi="宋体" w:eastAsia="宋体"/>
          <w:b w:val="0"/>
          <w:sz w:val="24"/>
          <w:lang w:val="en-US" w:eastAsia="zh-CN"/>
        </w:rPr>
        <w:t>划分</w:t>
      </w:r>
      <w:r>
        <w:rPr>
          <w:rFonts w:hint="eastAsia" w:ascii="宋体" w:hAnsi="宋体" w:eastAsia="宋体"/>
          <w:b w:val="0"/>
          <w:sz w:val="24"/>
        </w:rPr>
        <w:t>标准识别研究样本，并结合年报业务披露与公开资料，将企业划分为AI独立产品型和AI业务赋能型两类；其次，构建</w:t>
      </w:r>
      <w:r>
        <w:rPr>
          <w:rFonts w:hint="eastAsia" w:ascii="宋体" w:hAnsi="宋体" w:eastAsia="宋体"/>
          <w:b w:val="0"/>
          <w:sz w:val="24"/>
          <w:lang w:val="en-US" w:eastAsia="zh-CN"/>
        </w:rPr>
        <w:t>盈利能力</w:t>
      </w:r>
      <w:r>
        <w:rPr>
          <w:rFonts w:hint="eastAsia" w:ascii="宋体" w:hAnsi="宋体" w:eastAsia="宋体"/>
          <w:b w:val="0"/>
          <w:sz w:val="24"/>
        </w:rPr>
        <w:t>综合评价指标体系，利用熵权法识别不同业务模式的盈利表现差异；再次，基于横向比较结果选取典型样本，运用杜邦分析法对净资产收益率、销售净利率、总资产周转率和权益乘数进行纵向分解，</w:t>
      </w:r>
      <w:r>
        <w:rPr>
          <w:rFonts w:hint="eastAsia" w:ascii="宋体" w:hAnsi="宋体" w:eastAsia="宋体"/>
          <w:b w:val="0"/>
          <w:sz w:val="24"/>
          <w:lang w:val="en-US" w:eastAsia="zh-CN"/>
        </w:rPr>
        <w:t>分析归纳</w:t>
      </w:r>
      <w:r>
        <w:rPr>
          <w:rFonts w:hint="eastAsia" w:ascii="宋体" w:hAnsi="宋体" w:eastAsia="宋体"/>
          <w:b w:val="0"/>
          <w:sz w:val="24"/>
        </w:rPr>
        <w:t>不同业务模式的主要盈利瓶颈，并提出更具针对性的改进对策。这样的研究设计既回应了现有文献在研究对象和方法上的不足，也与本文题目、摘要和后续实证章节形成了较为紧密的逻辑衔接。</w:t>
      </w:r>
    </w:p>
    <w:p w14:paraId="7703A81E">
      <w:pPr>
        <w:spacing w:line="400" w:lineRule="exact"/>
        <w:ind w:firstLine="0"/>
        <w:rPr>
          <w:rFonts w:hint="eastAsia"/>
        </w:rPr>
      </w:pPr>
    </w:p>
    <w:p w14:paraId="7D00CAB4">
      <w:pPr>
        <w:pStyle w:val="2"/>
        <w:bidi w:val="0"/>
        <w:spacing w:line="400" w:lineRule="exact"/>
        <w:ind w:firstLine="0"/>
        <w:jc w:val="center"/>
        <w:rPr>
          <w:rFonts w:hint="default" w:eastAsia="黑体"/>
          <w:lang w:val="en-US" w:eastAsia="zh-CN"/>
        </w:rPr>
      </w:pPr>
      <w:r>
        <w:rPr>
          <w:rFonts w:hint="eastAsia" w:ascii="黑体" w:hAnsi="黑体" w:eastAsia="黑体"/>
          <w:b/>
          <w:sz w:val="36"/>
          <w:lang w:val="en-US" w:eastAsia="zh-CN"/>
        </w:rPr>
        <w:t xml:space="preserve">第三章 </w:t>
      </w:r>
      <w:r>
        <w:rPr>
          <w:rFonts w:hint="eastAsia" w:ascii="黑体" w:hAnsi="黑体" w:eastAsia="黑体"/>
          <w:b/>
          <w:sz w:val="36"/>
        </w:rPr>
        <w:t>相关概念</w:t>
      </w:r>
      <w:r>
        <w:rPr>
          <w:rFonts w:hint="eastAsia" w:ascii="黑体" w:hAnsi="黑体" w:eastAsia="黑体"/>
          <w:b/>
          <w:sz w:val="36"/>
          <w:lang w:val="en-US" w:eastAsia="zh-CN"/>
        </w:rPr>
        <w:t>界定</w:t>
      </w:r>
      <w:r>
        <w:rPr>
          <w:rFonts w:hint="eastAsia" w:ascii="黑体" w:hAnsi="黑体" w:eastAsia="黑体"/>
          <w:b/>
          <w:sz w:val="36"/>
        </w:rPr>
        <w:t>和</w:t>
      </w:r>
      <w:r>
        <w:rPr>
          <w:rFonts w:hint="eastAsia" w:ascii="黑体" w:hAnsi="黑体" w:eastAsia="黑体"/>
          <w:b/>
          <w:sz w:val="36"/>
          <w:lang w:val="en-US" w:eastAsia="zh-CN"/>
        </w:rPr>
        <w:t>数据描述</w:t>
      </w:r>
    </w:p>
    <w:p w14:paraId="332A4C2D">
      <w:pPr>
        <w:pStyle w:val="3"/>
        <w:bidi w:val="0"/>
        <w:spacing w:line="400" w:lineRule="exact"/>
        <w:ind w:firstLine="0"/>
        <w:jc w:val="left"/>
        <w:rPr>
          <w:rFonts w:hint="eastAsia" w:eastAsia="黑体"/>
          <w:lang w:val="en-US" w:eastAsia="zh-CN"/>
        </w:rPr>
      </w:pPr>
      <w:r>
        <w:rPr>
          <w:rFonts w:hint="eastAsia" w:ascii="黑体" w:hAnsi="黑体" w:eastAsia="黑体"/>
          <w:b/>
          <w:sz w:val="28"/>
        </w:rPr>
        <w:t>3.1人工智能应</w:t>
      </w:r>
      <w:r>
        <w:rPr>
          <w:rFonts w:hint="eastAsia" w:ascii="黑体" w:hAnsi="黑体" w:eastAsia="黑体"/>
          <w:b/>
          <w:sz w:val="28"/>
          <w:lang w:val="en-US" w:eastAsia="zh-CN"/>
        </w:rPr>
        <w:t>用层</w:t>
      </w:r>
    </w:p>
    <w:p w14:paraId="132C4DA4">
      <w:pPr>
        <w:spacing w:line="400" w:lineRule="exact"/>
        <w:ind w:firstLineChars="0" w:firstLine="0"/>
        <w:jc w:val="left"/>
        <w:rPr>
          <w:rFonts w:hint="eastAsia" w:eastAsia="宋体"/>
          <w:lang w:val="en-US" w:eastAsia="zh-CN"/>
        </w:rPr>
      </w:pPr>
      <w:r>
        <w:rPr>
          <w:rFonts w:hint="eastAsia" w:ascii="宋体" w:hAnsi="宋体" w:eastAsia="宋体"/>
          <w:b w:val="0"/>
          <w:sz w:val="24"/>
          <w:lang w:val="en-US" w:eastAsia="zh-CN"/>
        </w:rPr>
        <w:t>为使人工智能应用层的概念界定更为清晰，有必要先对人工智能产业链的基本结构进行梳理。总体而言，人工智能产业链可概括为上游基础层—中游技术模型层—下游应用层三大环节，各环节分工明确且相互耦合，共同构成从底层资源供给到场景落地变现的完整生态。产业链各层级人工智能企业的具体范围</w:t>
      </w:r>
      <w:r>
        <w:rPr>
          <w:rFonts w:hint="eastAsia" w:ascii="宋体" w:hAnsi="宋体" w:eastAsia="宋体"/>
          <w:b w:val="0"/>
          <w:sz w:val="24"/>
        </w:rPr>
        <w:t>如</w:t>
      </w:r>
      <w:r>
        <w:rPr>
          <w:rFonts w:hint="eastAsia" w:ascii="宋体" w:hAnsi="宋体" w:eastAsia="宋体"/>
          <w:b w:val="0"/>
          <w:sz w:val="24"/>
          <w:lang w:val="en-US" w:eastAsia="zh-CN"/>
        </w:rPr>
        <w:t>表3</w:t>
      </w:r>
      <w:r>
        <w:rPr>
          <w:rFonts w:hint="eastAsia" w:ascii="宋体" w:hAnsi="宋体" w:eastAsia="宋体"/>
          <w:b w:val="0"/>
          <w:sz w:val="24"/>
        </w:rPr>
        <w:t>-1 所示</w:t>
      </w:r>
      <w:r>
        <w:rPr>
          <w:rFonts w:hint="eastAsia" w:ascii="宋体" w:hAnsi="宋体" w:eastAsia="宋体"/>
          <w:b w:val="0"/>
          <w:sz w:val="24"/>
          <w:lang w:eastAsia="zh-CN"/>
        </w:rPr>
        <w:t>。</w:t>
      </w:r>
    </w:p>
    <w:p w14:paraId="711C883D">
      <w:pPr>
        <w:numPr>
          <w:ilvl w:val="0"/>
          <w:numId w:val="0"/>
        </w:numPr>
        <w:spacing w:line="400" w:lineRule="exact"/>
        <w:ind w:firstLineChars="0" w:firstLine="0"/>
        <w:jc w:val="left"/>
        <w:rPr>
          <w:rFonts w:hint="eastAsia"/>
        </w:rPr>
      </w:pPr>
      <w:r>
        <w:rPr>
          <w:rFonts w:hint="eastAsia" w:ascii="宋体" w:hAnsi="宋体" w:eastAsia="宋体"/>
          <w:b w:val="0"/>
          <w:sz w:val="24"/>
        </w:rPr>
        <w:t>第一是</w:t>
      </w:r>
      <w:r>
        <w:rPr>
          <w:rFonts w:hint="eastAsia" w:ascii="宋体" w:hAnsi="宋体" w:eastAsia="宋体"/>
          <w:b w:val="0"/>
          <w:sz w:val="24"/>
          <w:lang w:val="en-US" w:eastAsia="zh-CN"/>
        </w:rPr>
        <w:t>上</w:t>
      </w:r>
      <w:r>
        <w:rPr>
          <w:rFonts w:hint="eastAsia" w:ascii="宋体" w:hAnsi="宋体" w:eastAsia="宋体"/>
          <w:b w:val="0"/>
          <w:sz w:val="24"/>
        </w:rPr>
        <w:t>游基础层</w:t>
      </w:r>
      <w:r>
        <w:rPr>
          <w:rFonts w:hint="eastAsia" w:ascii="宋体" w:hAnsi="宋体" w:eastAsia="宋体"/>
          <w:b w:val="0"/>
          <w:sz w:val="24"/>
          <w:lang w:eastAsia="zh-CN"/>
        </w:rPr>
        <w:t>。</w:t>
      </w:r>
      <w:r>
        <w:rPr>
          <w:rFonts w:hint="eastAsia" w:ascii="宋体" w:hAnsi="宋体" w:eastAsia="宋体"/>
          <w:b w:val="0"/>
          <w:sz w:val="24"/>
        </w:rPr>
        <w:t xml:space="preserve">主要包括数据平台和算力支持，数据平台提供数据搜集、加工直到应用的全流程数据服务，算力支持包括AI芯片、AI服务器等核心设备。 </w:t>
      </w:r>
    </w:p>
    <w:p w14:paraId="2122D136">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第二是</w:t>
      </w:r>
      <w:r>
        <w:rPr>
          <w:rFonts w:hint="eastAsia" w:ascii="宋体" w:hAnsi="宋体" w:eastAsia="宋体"/>
          <w:b w:val="0"/>
          <w:sz w:val="24"/>
        </w:rPr>
        <w:t>中游技术</w:t>
      </w:r>
      <w:r>
        <w:rPr>
          <w:rFonts w:hint="eastAsia" w:ascii="宋体" w:hAnsi="宋体" w:eastAsia="宋体"/>
          <w:b w:val="0"/>
          <w:sz w:val="24"/>
          <w:lang w:val="en-US" w:eastAsia="zh-CN"/>
        </w:rPr>
        <w:t>模型</w:t>
      </w:r>
      <w:r>
        <w:rPr>
          <w:rFonts w:hint="eastAsia" w:ascii="宋体" w:hAnsi="宋体" w:eastAsia="宋体"/>
          <w:b w:val="0"/>
          <w:sz w:val="24"/>
        </w:rPr>
        <w:t>层</w:t>
      </w:r>
      <w:r>
        <w:rPr>
          <w:rFonts w:hint="eastAsia" w:ascii="宋体" w:hAnsi="宋体" w:eastAsia="宋体"/>
          <w:b w:val="0"/>
          <w:sz w:val="24"/>
          <w:lang w:eastAsia="zh-CN"/>
        </w:rPr>
        <w:t>。中游技术层包含算法框架、模型训练与部署平台等核心技术，并且着重于通用大模型的开发与优化。与下游应用层不同，该层的算法技术与模型能力强调其通用性、可迁移性与</w:t>
      </w:r>
      <w:r>
        <w:rPr>
          <w:rFonts w:hint="eastAsia" w:ascii="宋体" w:hAnsi="宋体" w:eastAsia="宋体"/>
          <w:b w:val="0"/>
          <w:sz w:val="24"/>
          <w:lang w:val="en-US" w:eastAsia="zh-CN"/>
        </w:rPr>
        <w:t>泛化</w:t>
      </w:r>
      <w:r>
        <w:rPr>
          <w:rFonts w:hint="eastAsia" w:ascii="宋体" w:hAnsi="宋体" w:eastAsia="宋体"/>
          <w:b w:val="0"/>
          <w:sz w:val="24"/>
          <w:lang w:eastAsia="zh-CN"/>
        </w:rPr>
        <w:t>性。其核心功能在于将上游的算力与数据资源转化为可复用、具有强大泛化能力的技术，进而向下游应用提供通用的基座大模型或技术能力。因此，中游层在产业链中扮演着承上启下的桥梁角色。</w:t>
      </w:r>
      <w:r>
        <w:rPr>
          <w:rFonts w:hint="eastAsia" w:ascii="宋体" w:hAnsi="宋体" w:eastAsia="宋体"/>
          <w:b w:val="0"/>
          <w:sz w:val="24"/>
          <w:lang w:val="en-US" w:eastAsia="zh-CN"/>
        </w:rPr>
        <w:t>其中，人工智能技术包含自然语言处理、计算机视觉、多模态、大模型技术等。通用大模型通常指在海量、多样化的文本及多模态数据上进行预训练的深度神经网络模型。相较于面向单一任务训练的专用模型，通用大模型通过预训练获得较强的通用表征能力和泛化能力，并可通过提示工程、微调或检索增强等方式迁移到下游不同领域与任务中，实现如文本理解与生成、信息抽取、问答、推理、多模态对齐等多类能力。典型的通用大模型包括GPT系列、Claude系列、通义千问系列、DeepSeek等，这些模型展示了在各类语言理解与生成、推理和多模态任务中的强大的泛化表现。</w:t>
      </w:r>
    </w:p>
    <w:p w14:paraId="0E59AB5B">
      <w:pPr>
        <w:numPr>
          <w:ilvl w:val="0"/>
          <w:numId w:val="0"/>
        </w:numPr>
        <w:spacing w:line="400" w:lineRule="exact"/>
        <w:ind w:firstLineChars="0" w:firstLine="0"/>
        <w:jc w:val="left"/>
        <w:rPr>
          <w:rFonts w:hint="eastAsia"/>
          <w:lang w:eastAsia="zh-CN"/>
        </w:rPr>
      </w:pPr>
      <w:r>
        <w:rPr>
          <w:rFonts w:hint="eastAsia" w:ascii="宋体" w:hAnsi="宋体" w:eastAsia="宋体"/>
          <w:b w:val="0"/>
          <w:sz w:val="24"/>
          <w:lang w:val="en-US" w:eastAsia="zh-CN"/>
        </w:rPr>
        <w:t>第三是</w:t>
      </w:r>
      <w:r>
        <w:rPr>
          <w:rFonts w:hint="eastAsia" w:ascii="宋体" w:hAnsi="宋体" w:eastAsia="宋体"/>
          <w:b w:val="0"/>
          <w:sz w:val="24"/>
        </w:rPr>
        <w:t>下游应用层</w:t>
      </w:r>
      <w:r>
        <w:rPr>
          <w:rFonts w:hint="eastAsia" w:ascii="宋体" w:hAnsi="宋体" w:eastAsia="宋体"/>
          <w:b w:val="0"/>
          <w:sz w:val="24"/>
          <w:lang w:eastAsia="zh-CN"/>
        </w:rPr>
        <w:t>。指的是人工智能技术或通用大模型在具体行业和场景中的商业化应用，是人工智能技术最终落地并实现价值变现的关键环节。下游应用层的应用形式多样，既包括医疗、金融、零售、工业、</w:t>
      </w:r>
      <w:r>
        <w:rPr>
          <w:rFonts w:hint="eastAsia" w:ascii="宋体" w:hAnsi="宋体" w:eastAsia="宋体"/>
          <w:b w:val="0"/>
          <w:sz w:val="24"/>
          <w:lang w:val="en-US" w:eastAsia="zh-CN"/>
        </w:rPr>
        <w:t>教育</w:t>
      </w:r>
      <w:r>
        <w:rPr>
          <w:rFonts w:hint="eastAsia" w:ascii="宋体" w:hAnsi="宋体" w:eastAsia="宋体"/>
          <w:b w:val="0"/>
          <w:sz w:val="24"/>
          <w:lang w:eastAsia="zh-CN"/>
        </w:rPr>
        <w:t>等行业类应用，也包括智能驾驶、智能穿戴、智能机器人等终端</w:t>
      </w:r>
      <w:r>
        <w:rPr>
          <w:rFonts w:hint="eastAsia" w:ascii="宋体" w:hAnsi="宋体" w:eastAsia="宋体"/>
          <w:b w:val="0"/>
          <w:sz w:val="24"/>
          <w:lang w:val="en-US" w:eastAsia="zh-CN"/>
        </w:rPr>
        <w:t>应用</w:t>
      </w:r>
      <w:r>
        <w:rPr>
          <w:rFonts w:hint="eastAsia" w:ascii="宋体" w:hAnsi="宋体" w:eastAsia="宋体"/>
          <w:b w:val="0"/>
          <w:sz w:val="24"/>
          <w:lang w:eastAsia="zh-CN"/>
        </w:rPr>
        <w:t>。</w:t>
      </w:r>
    </w:p>
    <w:p w14:paraId="4EC481A4">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本文采用同花顺AI应用概念股的定义来界定AI应用层，具体指将AI技术与具体场景结合，通过AI算法模型对数据进行分析、推理、决策或生成，以实现特定功能、解决实际问题的技术落地形式。</w:t>
      </w:r>
    </w:p>
    <w:p w14:paraId="0D5B31D3">
      <w:pPr>
        <w:numPr>
          <w:ilvl w:val="0"/>
          <w:numId w:val="0"/>
        </w:numPr>
        <w:spacing w:line="400" w:lineRule="exact"/>
        <w:ind w:firstLine="0"/>
        <w:jc w:val="left"/>
        <w:rPr>
          <w:rFonts w:hint="eastAsia" w:eastAsia="宋体"/>
          <w:sz w:val="21"/>
          <w:szCs w:val="21"/>
          <w:lang w:val="en-US" w:eastAsia="zh-CN"/>
        </w:rPr>
      </w:pPr>
      <w:r>
        <w:rPr>
          <w:rFonts w:hint="eastAsia" w:eastAsia="宋体" w:ascii="宋体" w:hAnsi="宋体"/>
          <w:b w:val="0"/>
          <w:sz w:val="24"/>
          <w:szCs w:val="21"/>
        </w:rPr>
        <w:t>表</w:t>
      </w:r>
      <w:r>
        <w:rPr>
          <w:rFonts w:hint="eastAsia" w:ascii="宋体" w:hAnsi="宋体" w:eastAsia="宋体"/>
          <w:b w:val="0"/>
          <w:sz w:val="24"/>
          <w:szCs w:val="21"/>
          <w:lang w:val="en-US" w:eastAsia="zh-CN"/>
        </w:rPr>
        <w:t>3</w:t>
      </w:r>
      <w:r>
        <w:rPr>
          <w:rFonts w:hint="eastAsia" w:eastAsia="宋体" w:ascii="宋体" w:hAnsi="宋体"/>
          <w:b w:val="0"/>
          <w:sz w:val="24"/>
          <w:szCs w:val="21"/>
        </w:rPr>
        <w:t>-1 人工智能企业的分类</w:t>
      </w:r>
    </w:p>
    <w:tbl>
      <w:tblPr>
        <w:tblStyle w:val="31"/>
        <w:tblpPr w:leftFromText="180" w:rightFromText="180" w:vertAnchor="text" w:horzAnchor="page" w:tblpXSpec="center" w:tblpY="250"/>
        <w:tblOverlap w:val="never"/>
        <w:tblW w:w="7524"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931"/>
        <w:gridCol w:w="1575"/>
        <w:gridCol w:w="4018"/>
      </w:tblGrid>
      <w:tr w14:paraId="4BA3C504">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2D4E7047">
            <w:pPr>
              <w:spacing w:line="400" w:lineRule="exact"/>
              <w:ind w:right="-58" w:rightChars="-24"/>
              <w:jc w:val="center"/>
              <w:rPr>
                <w:rFonts w:hint="eastAsia"/>
                <w:szCs w:val="21"/>
                <w:lang w:val="en-US" w:eastAsia="zh-CN"/>
              </w:rPr>
            </w:pPr>
            <w:r>
              <w:rPr>
                <w:rFonts w:hint="default" w:ascii="宋体" w:hAnsi="宋体" w:eastAsia="宋体"/>
                <w:b w:val="0"/>
                <w:sz w:val="24"/>
                <w:szCs w:val="21"/>
                <w:lang w:val="en-US" w:eastAsia="zh-CN"/>
              </w:rPr>
              <w:t>产业链环节</w:t>
            </w:r>
          </w:p>
        </w:tc>
        <w:tc>
          <w:tcPr>
            <w:tcW w:w="1575" w:type="dxa"/>
            <w:shd w:val="clear" w:color="auto" w:fill="auto"/>
            <w:tcMar>
              <w:top w:w="40" w:type="dxa"/>
              <w:left w:w="60" w:type="dxa"/>
              <w:bottom w:w="40" w:type="dxa"/>
              <w:right w:w="60" w:type="dxa"/>
            </w:tcMar>
            <w:vAlign w:val="top"/>
          </w:tcPr>
          <w:p w14:paraId="3C423E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核心组成部分</w:t>
            </w:r>
          </w:p>
        </w:tc>
        <w:tc>
          <w:tcPr>
            <w:tcW w:w="4018" w:type="dxa"/>
            <w:shd w:val="clear" w:color="auto" w:fill="auto"/>
            <w:tcMar>
              <w:top w:w="40" w:type="dxa"/>
              <w:left w:w="60" w:type="dxa"/>
              <w:bottom w:w="40" w:type="dxa"/>
              <w:right w:w="60" w:type="dxa"/>
            </w:tcMar>
            <w:vAlign w:val="top"/>
          </w:tcPr>
          <w:p w14:paraId="4B797D1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国内</w:t>
            </w:r>
            <w:r>
              <w:rPr>
                <w:rFonts w:hint="eastAsia" w:ascii="宋体" w:hAnsi="宋体" w:eastAsia="宋体"/>
                <w:b w:val="0"/>
                <w:sz w:val="24"/>
                <w:szCs w:val="21"/>
                <w:lang w:val="en-US" w:eastAsia="zh-CN"/>
              </w:rPr>
              <w:t>外</w:t>
            </w:r>
            <w:r>
              <w:rPr>
                <w:rFonts w:hint="default" w:ascii="宋体" w:hAnsi="宋体" w:eastAsia="宋体"/>
                <w:b w:val="0"/>
                <w:sz w:val="24"/>
                <w:szCs w:val="21"/>
                <w:lang w:val="en-US" w:eastAsia="zh-CN"/>
              </w:rPr>
              <w:t>代</w:t>
            </w:r>
            <w:r>
              <w:rPr>
                <w:rFonts w:hint="eastAsia" w:ascii="宋体" w:hAnsi="宋体" w:eastAsia="宋体"/>
                <w:b w:val="0"/>
                <w:sz w:val="24"/>
                <w:szCs w:val="21"/>
                <w:lang w:val="en-US" w:eastAsia="zh-CN"/>
              </w:rPr>
              <w:t>表</w:t>
            </w:r>
            <w:r>
              <w:rPr>
                <w:rFonts w:hint="default" w:ascii="宋体" w:hAnsi="宋体" w:eastAsia="宋体"/>
                <w:b w:val="0"/>
                <w:sz w:val="24"/>
                <w:szCs w:val="21"/>
                <w:lang w:val="en-US" w:eastAsia="zh-CN"/>
              </w:rPr>
              <w:t>股票</w:t>
            </w:r>
          </w:p>
        </w:tc>
      </w:tr>
      <w:tr w14:paraId="0C351B32">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3047EE5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上游基础层</w:t>
            </w:r>
          </w:p>
        </w:tc>
        <w:tc>
          <w:tcPr>
            <w:tcW w:w="1575" w:type="dxa"/>
            <w:shd w:val="clear" w:color="auto" w:fill="auto"/>
            <w:tcMar>
              <w:top w:w="40" w:type="dxa"/>
              <w:left w:w="60" w:type="dxa"/>
              <w:bottom w:w="40" w:type="dxa"/>
              <w:right w:w="60" w:type="dxa"/>
            </w:tcMar>
            <w:vAlign w:val="top"/>
          </w:tcPr>
          <w:p w14:paraId="7FF64D0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算力</w:t>
            </w:r>
            <w:r>
              <w:rPr>
                <w:rFonts w:hint="eastAsia" w:ascii="宋体" w:hAnsi="宋体" w:eastAsia="宋体"/>
                <w:b w:val="0"/>
                <w:sz w:val="24"/>
                <w:szCs w:val="21"/>
                <w:lang w:val="en-US" w:eastAsia="zh-CN"/>
              </w:rPr>
              <w:t>支持</w:t>
            </w:r>
          </w:p>
        </w:tc>
        <w:tc>
          <w:tcPr>
            <w:tcW w:w="4018" w:type="dxa"/>
            <w:shd w:val="clear" w:color="auto" w:fill="auto"/>
            <w:tcMar>
              <w:top w:w="40" w:type="dxa"/>
              <w:left w:w="60" w:type="dxa"/>
              <w:bottom w:w="40" w:type="dxa"/>
              <w:right w:w="60" w:type="dxa"/>
            </w:tcMar>
            <w:vAlign w:val="top"/>
          </w:tcPr>
          <w:p w14:paraId="7F06314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寒武纪(688256)、英伟达(NVDA)</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亚马逊(AMZN)</w:t>
            </w:r>
          </w:p>
        </w:tc>
      </w:tr>
      <w:tr w14:paraId="2F45EC7B">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62A6E761">
            <w:pPr>
              <w:spacing w:line="400" w:lineRule="exact"/>
              <w:ind w:right="-58" w:rightChars="-24"/>
              <w:jc w:val="center"/>
              <w:rPr>
                <w:rFonts w:hint="default"/>
                <w:szCs w:val="21"/>
                <w:lang w:val="en-US" w:eastAsia="zh-CN"/>
              </w:rPr>
            </w:pPr>
          </w:p>
        </w:tc>
        <w:tc>
          <w:tcPr>
            <w:tcW w:w="1575" w:type="dxa"/>
            <w:shd w:val="clear" w:color="auto" w:fill="auto"/>
            <w:tcMar>
              <w:top w:w="40" w:type="dxa"/>
              <w:left w:w="60" w:type="dxa"/>
              <w:bottom w:w="40" w:type="dxa"/>
              <w:right w:w="60" w:type="dxa"/>
            </w:tcMar>
            <w:vAlign w:val="top"/>
          </w:tcPr>
          <w:p w14:paraId="2805F6D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数据与存储</w:t>
            </w:r>
          </w:p>
        </w:tc>
        <w:tc>
          <w:tcPr>
            <w:tcW w:w="4018" w:type="dxa"/>
            <w:shd w:val="clear" w:color="auto" w:fill="auto"/>
            <w:tcMar>
              <w:top w:w="40" w:type="dxa"/>
              <w:left w:w="60" w:type="dxa"/>
              <w:bottom w:w="40" w:type="dxa"/>
              <w:right w:w="60" w:type="dxa"/>
            </w:tcMar>
            <w:vAlign w:val="top"/>
          </w:tcPr>
          <w:p w14:paraId="6F5BF94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易华录(300212)</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MongoDB(MDB)</w:t>
            </w:r>
          </w:p>
        </w:tc>
      </w:tr>
      <w:tr w14:paraId="322E069A">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529773C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中游技术模型层</w:t>
            </w:r>
          </w:p>
        </w:tc>
        <w:tc>
          <w:tcPr>
            <w:tcW w:w="1575" w:type="dxa"/>
            <w:shd w:val="clear" w:color="auto" w:fill="auto"/>
            <w:tcMar>
              <w:top w:w="40" w:type="dxa"/>
              <w:left w:w="60" w:type="dxa"/>
              <w:bottom w:w="40" w:type="dxa"/>
              <w:right w:w="60" w:type="dxa"/>
            </w:tcMar>
            <w:vAlign w:val="top"/>
          </w:tcPr>
          <w:p w14:paraId="1C5A25F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算法与模型</w:t>
            </w:r>
          </w:p>
        </w:tc>
        <w:tc>
          <w:tcPr>
            <w:tcW w:w="4018" w:type="dxa"/>
            <w:shd w:val="clear" w:color="auto" w:fill="auto"/>
            <w:tcMar>
              <w:top w:w="40" w:type="dxa"/>
              <w:left w:w="60" w:type="dxa"/>
              <w:bottom w:w="40" w:type="dxa"/>
              <w:right w:w="60" w:type="dxa"/>
            </w:tcMar>
            <w:vAlign w:val="top"/>
          </w:tcPr>
          <w:p w14:paraId="53AD3DD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阿里巴巴(BABA.N)</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OpenAI(未上市)、Anthropic(未上市)</w:t>
            </w:r>
          </w:p>
        </w:tc>
      </w:tr>
      <w:tr w14:paraId="0B2C588C">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7D11A36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下游应用层</w:t>
            </w:r>
          </w:p>
        </w:tc>
        <w:tc>
          <w:tcPr>
            <w:tcW w:w="1575" w:type="dxa"/>
            <w:shd w:val="clear" w:color="auto" w:fill="auto"/>
            <w:tcMar>
              <w:top w:w="40" w:type="dxa"/>
              <w:left w:w="60" w:type="dxa"/>
              <w:bottom w:w="40" w:type="dxa"/>
              <w:right w:w="60" w:type="dxa"/>
            </w:tcMar>
            <w:vAlign w:val="top"/>
          </w:tcPr>
          <w:p w14:paraId="0A9FC82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行业应用</w:t>
            </w:r>
          </w:p>
        </w:tc>
        <w:tc>
          <w:tcPr>
            <w:tcW w:w="4018" w:type="dxa"/>
            <w:shd w:val="clear" w:color="auto" w:fill="auto"/>
            <w:tcMar>
              <w:top w:w="40" w:type="dxa"/>
              <w:left w:w="60" w:type="dxa"/>
              <w:bottom w:w="40" w:type="dxa"/>
              <w:right w:w="60" w:type="dxa"/>
            </w:tcMar>
            <w:vAlign w:val="top"/>
          </w:tcPr>
          <w:p w14:paraId="163980C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AI+金融：同花顺(300033)</w:t>
            </w:r>
          </w:p>
          <w:p w14:paraId="2C7E88F7">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AI+医疗：卫宁健康(300253)</w:t>
            </w:r>
          </w:p>
          <w:p w14:paraId="00C0AC1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AI+教育：世纪天鸿(300654)</w:t>
            </w:r>
          </w:p>
          <w:p w14:paraId="67D2143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AI+设计：Figma(FGMA)</w:t>
            </w:r>
          </w:p>
          <w:p w14:paraId="3836E7C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AI+编程：Anysphere(Cursor)</w:t>
            </w:r>
          </w:p>
          <w:p w14:paraId="1E05B82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AI+搜索：Perplexity AI(未上市)</w:t>
            </w:r>
          </w:p>
        </w:tc>
      </w:tr>
      <w:tr w14:paraId="217AF5C7">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469B1BD0">
            <w:pPr>
              <w:spacing w:line="400" w:lineRule="exact"/>
              <w:ind w:right="-58" w:rightChars="-24"/>
              <w:jc w:val="center"/>
              <w:rPr>
                <w:rFonts w:hint="default"/>
                <w:szCs w:val="21"/>
              </w:rPr>
            </w:pPr>
          </w:p>
        </w:tc>
        <w:tc>
          <w:tcPr>
            <w:tcW w:w="1575" w:type="dxa"/>
            <w:shd w:val="clear" w:color="auto" w:fill="auto"/>
            <w:tcMar>
              <w:top w:w="40" w:type="dxa"/>
              <w:left w:w="60" w:type="dxa"/>
              <w:bottom w:w="40" w:type="dxa"/>
              <w:right w:w="60" w:type="dxa"/>
            </w:tcMar>
            <w:vAlign w:val="top"/>
          </w:tcPr>
          <w:p w14:paraId="336656B9">
            <w:pPr>
              <w:spacing w:line="400" w:lineRule="exact"/>
              <w:ind w:right="-58" w:rightChars="-24"/>
              <w:jc w:val="center"/>
              <w:rPr>
                <w:rFonts w:hint="default"/>
                <w:szCs w:val="21"/>
              </w:rPr>
            </w:pPr>
            <w:r>
              <w:rPr>
                <w:rFonts w:hint="eastAsia" w:ascii="宋体" w:hAnsi="宋体" w:eastAsia="宋体"/>
                <w:b w:val="0"/>
                <w:sz w:val="24"/>
                <w:szCs w:val="21"/>
                <w:lang w:val="en-US" w:eastAsia="zh-CN"/>
              </w:rPr>
              <w:t>终端应用</w:t>
            </w:r>
          </w:p>
        </w:tc>
        <w:tc>
          <w:tcPr>
            <w:tcW w:w="4018" w:type="dxa"/>
            <w:shd w:val="clear" w:color="auto" w:fill="auto"/>
            <w:tcMar>
              <w:top w:w="40" w:type="dxa"/>
              <w:left w:w="60" w:type="dxa"/>
              <w:bottom w:w="40" w:type="dxa"/>
              <w:right w:w="60" w:type="dxa"/>
            </w:tcMar>
            <w:vAlign w:val="top"/>
          </w:tcPr>
          <w:p w14:paraId="2D2ACD54">
            <w:pPr>
              <w:spacing w:line="400" w:lineRule="exact"/>
              <w:ind w:right="-58" w:rightChars="-24"/>
              <w:jc w:val="center"/>
              <w:rPr>
                <w:rFonts w:hint="default"/>
                <w:szCs w:val="21"/>
              </w:rPr>
            </w:pPr>
            <w:r>
              <w:rPr>
                <w:rFonts w:hint="default" w:ascii="宋体" w:hAnsi="宋体" w:eastAsia="宋体"/>
                <w:b w:val="0"/>
                <w:sz w:val="24"/>
                <w:szCs w:val="21"/>
                <w:lang w:val="en-US" w:eastAsia="zh-CN"/>
              </w:rPr>
              <w:t>特斯拉(TSLA)</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汇川技术(300124)</w:t>
            </w:r>
          </w:p>
        </w:tc>
      </w:tr>
    </w:tbl>
    <w:p w14:paraId="020B1286">
      <w:pPr>
        <w:numPr>
          <w:ilvl w:val="0"/>
          <w:numId w:val="0"/>
        </w:numPr>
        <w:spacing w:line="400" w:lineRule="exact"/>
        <w:ind w:firstLine="0"/>
        <w:rPr>
          <w:rFonts w:hint="eastAsia"/>
        </w:rPr>
      </w:pPr>
    </w:p>
    <w:p w14:paraId="13CD3CC0">
      <w:pPr>
        <w:pStyle w:val="3"/>
        <w:bidi w:val="0"/>
        <w:spacing w:line="400" w:lineRule="exact"/>
        <w:ind w:firstLine="0"/>
        <w:jc w:val="left"/>
        <w:rPr>
          <w:rFonts w:hint="eastAsia"/>
          <w:lang w:val="en-US" w:eastAsia="zh-CN"/>
        </w:rPr>
      </w:pPr>
      <w:r>
        <w:rPr>
          <w:rFonts w:hint="eastAsia" w:ascii="黑体" w:hAnsi="黑体" w:eastAsia="黑体"/>
          <w:b/>
          <w:sz w:val="28"/>
        </w:rPr>
        <w:t>3.</w:t>
      </w:r>
      <w:r>
        <w:rPr>
          <w:rFonts w:hint="eastAsia" w:ascii="黑体" w:hAnsi="黑体" w:eastAsia="黑体"/>
          <w:b/>
          <w:sz w:val="28"/>
          <w:lang w:val="en-US" w:eastAsia="zh-CN"/>
        </w:rPr>
        <w:t>2中小企业</w:t>
      </w:r>
    </w:p>
    <w:p w14:paraId="382FC17C">
      <w:pPr>
        <w:spacing w:line="400" w:lineRule="exact"/>
        <w:ind w:firstLineChars="0" w:firstLine="0"/>
        <w:rPr>
          <w:rFonts w:hint="eastAsia"/>
          <w:lang w:val="en-US" w:eastAsia="zh-CN"/>
        </w:rPr>
      </w:pPr>
    </w:p>
    <w:p w14:paraId="44B8F918">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中小企业是在中华人民共和国境内依法设立、人员及经营规模较小的企业群体，涵盖中型、小型和微型企业三类。我国对中小企业的划分主要依据《中小企业划型标准规定》所确立的框架：国务院相关主管部门在综合考虑从业人员、营业收入与资产总额等规模指标的基础上，并结合不同行业的经营特征与发展差异，形成分行业的判定标准（见表3-2）。在制度层面，国家通过《中华人民共和国中小企业促进法》等法律法规确立支持中小企业发展的政策体系，并围绕税费负担、融资可得性与公共服务供给等关键约束，持续推出减负、融资支持与能力提升等配套措施。同时，“专精特新”等培育机制旨在引导中小企业走向专业化、精细化与创新驱动的发展路径，从而增强其在细分市场中的竞争优势。在数字经济与人工智能等新兴领域，中小企业因组织灵活、试错成本相对较低、创新迭代速度较快，往往更易在特定场景中形成差异化能力，因而成为推动产业创新与技术应用落地的重要主体。</w:t>
      </w:r>
    </w:p>
    <w:p w14:paraId="46615334">
      <w:pPr>
        <w:numPr>
          <w:ilvl w:val="0"/>
          <w:numId w:val="0"/>
        </w:numPr>
        <w:spacing w:line="400" w:lineRule="exact"/>
        <w:ind w:firstLine="0"/>
        <w:jc w:val="left"/>
        <w:rPr>
          <w:rFonts w:hint="eastAsia" w:eastAsia="宋体"/>
          <w:sz w:val="21"/>
          <w:szCs w:val="21"/>
          <w:lang w:val="en-US" w:eastAsia="zh-CN"/>
        </w:rPr>
      </w:pPr>
      <w:r>
        <w:rPr>
          <w:rFonts w:hint="eastAsia" w:eastAsia="宋体" w:ascii="宋体" w:hAnsi="宋体"/>
          <w:b w:val="0"/>
          <w:sz w:val="24"/>
          <w:szCs w:val="21"/>
        </w:rPr>
        <w:t>表</w:t>
      </w:r>
      <w:r>
        <w:rPr>
          <w:rFonts w:hint="eastAsia" w:ascii="宋体" w:hAnsi="宋体" w:eastAsia="宋体"/>
          <w:b w:val="0"/>
          <w:sz w:val="24"/>
          <w:szCs w:val="21"/>
          <w:lang w:val="en-US" w:eastAsia="zh-CN"/>
        </w:rPr>
        <w:t>3</w:t>
      </w:r>
      <w:r>
        <w:rPr>
          <w:rFonts w:hint="eastAsia" w:eastAsia="宋体" w:ascii="宋体" w:hAnsi="宋体"/>
          <w:b w:val="0"/>
          <w:sz w:val="24"/>
          <w:szCs w:val="21"/>
        </w:rPr>
        <w:t>-</w:t>
      </w:r>
      <w:r>
        <w:rPr>
          <w:rFonts w:hint="eastAsia" w:ascii="宋体" w:hAnsi="宋体" w:eastAsia="宋体"/>
          <w:b w:val="0"/>
          <w:sz w:val="24"/>
          <w:szCs w:val="21"/>
          <w:lang w:val="en-US" w:eastAsia="zh-CN"/>
        </w:rPr>
        <w:t>2</w:t>
      </w:r>
      <w:r>
        <w:rPr>
          <w:rFonts w:hint="eastAsia" w:eastAsia="宋体" w:ascii="宋体" w:hAnsi="宋体"/>
          <w:b w:val="0"/>
          <w:sz w:val="24"/>
          <w:szCs w:val="21"/>
        </w:rPr>
        <w:t xml:space="preserve"> 中小企业</w:t>
      </w:r>
      <w:r>
        <w:rPr>
          <w:rFonts w:hint="eastAsia" w:ascii="宋体" w:hAnsi="宋体" w:eastAsia="宋体"/>
          <w:b w:val="0"/>
          <w:sz w:val="24"/>
          <w:szCs w:val="21"/>
          <w:lang w:val="en-US" w:eastAsia="zh-CN"/>
        </w:rPr>
        <w:t>划分</w:t>
      </w:r>
      <w:r>
        <w:rPr>
          <w:rFonts w:hint="eastAsia" w:eastAsia="宋体" w:ascii="宋体" w:hAnsi="宋体"/>
          <w:b w:val="0"/>
          <w:sz w:val="24"/>
          <w:szCs w:val="21"/>
        </w:rPr>
        <w:t>标准表</w:t>
      </w:r>
    </w:p>
    <w:tbl>
      <w:tblPr>
        <w:tblStyle w:val="31"/>
        <w:tblW w:w="7915"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2462"/>
        <w:gridCol w:w="5453"/>
      </w:tblGrid>
      <w:tr w14:paraId="1F4653C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1AF9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行业</w:t>
            </w:r>
          </w:p>
        </w:tc>
        <w:tc>
          <w:tcPr>
            <w:tcW w:w="5453" w:type="dxa"/>
            <w:tcBorders>
              <w:right w:val="single" w:color="CCCCCC" w:sz="8" w:space="0"/>
            </w:tcBorders>
            <w:shd w:val="clear" w:color="auto" w:fill="auto"/>
            <w:tcMar>
              <w:top w:w="40" w:type="dxa"/>
              <w:bottom w:w="40" w:type="dxa"/>
            </w:tcMar>
            <w:vAlign w:val="top"/>
          </w:tcPr>
          <w:p w14:paraId="69C5911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中小企业筛选标准</w:t>
            </w:r>
          </w:p>
        </w:tc>
      </w:tr>
      <w:tr w14:paraId="37F850E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28E7494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农、林、牧、渔业</w:t>
            </w:r>
          </w:p>
        </w:tc>
        <w:tc>
          <w:tcPr>
            <w:tcW w:w="5453" w:type="dxa"/>
            <w:tcBorders>
              <w:right w:val="single" w:color="CCCCCC" w:sz="8" w:space="0"/>
            </w:tcBorders>
            <w:shd w:val="clear" w:color="auto" w:fill="auto"/>
            <w:tcMar>
              <w:top w:w="40" w:type="dxa"/>
              <w:bottom w:w="40" w:type="dxa"/>
            </w:tcMar>
            <w:vAlign w:val="top"/>
          </w:tcPr>
          <w:p w14:paraId="1A423F67">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20000万元</w:t>
            </w:r>
          </w:p>
        </w:tc>
      </w:tr>
      <w:tr w14:paraId="5D82C2F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C5B42F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工业</w:t>
            </w:r>
          </w:p>
        </w:tc>
        <w:tc>
          <w:tcPr>
            <w:tcW w:w="5453" w:type="dxa"/>
            <w:tcBorders>
              <w:right w:val="single" w:color="CCCCCC" w:sz="8" w:space="0"/>
            </w:tcBorders>
            <w:shd w:val="clear" w:color="auto" w:fill="auto"/>
            <w:tcMar>
              <w:top w:w="40" w:type="dxa"/>
              <w:bottom w:w="40" w:type="dxa"/>
            </w:tcMar>
            <w:vAlign w:val="top"/>
          </w:tcPr>
          <w:p w14:paraId="751452D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40000万元</w:t>
            </w:r>
          </w:p>
        </w:tc>
      </w:tr>
      <w:tr w14:paraId="21887CD0">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641151B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建筑业</w:t>
            </w:r>
          </w:p>
        </w:tc>
        <w:tc>
          <w:tcPr>
            <w:tcW w:w="5453" w:type="dxa"/>
            <w:tcBorders>
              <w:right w:val="single" w:color="CCCCCC" w:sz="8" w:space="0"/>
            </w:tcBorders>
            <w:shd w:val="clear" w:color="auto" w:fill="auto"/>
            <w:tcMar>
              <w:top w:w="40" w:type="dxa"/>
              <w:bottom w:w="40" w:type="dxa"/>
            </w:tcMar>
            <w:vAlign w:val="top"/>
          </w:tcPr>
          <w:p w14:paraId="01211C5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80000万元 或 资产总额 &lt; 80000万元</w:t>
            </w:r>
          </w:p>
        </w:tc>
      </w:tr>
      <w:tr w14:paraId="72F3A01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1AC2CA3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批发业</w:t>
            </w:r>
          </w:p>
        </w:tc>
        <w:tc>
          <w:tcPr>
            <w:tcW w:w="5453" w:type="dxa"/>
            <w:tcBorders>
              <w:right w:val="single" w:color="CCCCCC" w:sz="8" w:space="0"/>
            </w:tcBorders>
            <w:shd w:val="clear" w:color="auto" w:fill="auto"/>
            <w:tcMar>
              <w:top w:w="40" w:type="dxa"/>
              <w:bottom w:w="40" w:type="dxa"/>
            </w:tcMar>
            <w:vAlign w:val="top"/>
          </w:tcPr>
          <w:p w14:paraId="0919FDC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200人 或 营业收入 &lt; 40000万元</w:t>
            </w:r>
          </w:p>
        </w:tc>
      </w:tr>
      <w:tr w14:paraId="2C6026BD">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79ED1F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零售业</w:t>
            </w:r>
          </w:p>
        </w:tc>
        <w:tc>
          <w:tcPr>
            <w:tcW w:w="5453" w:type="dxa"/>
            <w:tcBorders>
              <w:right w:val="single" w:color="CCCCCC" w:sz="8" w:space="0"/>
            </w:tcBorders>
            <w:shd w:val="clear" w:color="auto" w:fill="auto"/>
            <w:tcMar>
              <w:top w:w="40" w:type="dxa"/>
              <w:bottom w:w="40" w:type="dxa"/>
            </w:tcMar>
            <w:vAlign w:val="top"/>
          </w:tcPr>
          <w:p w14:paraId="3D8C6DD3">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20000万元</w:t>
            </w:r>
          </w:p>
        </w:tc>
      </w:tr>
      <w:tr w14:paraId="5BBEB49F">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30D19FF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交通运输业</w:t>
            </w:r>
          </w:p>
        </w:tc>
        <w:tc>
          <w:tcPr>
            <w:tcW w:w="5453" w:type="dxa"/>
            <w:tcBorders>
              <w:right w:val="single" w:color="CCCCCC" w:sz="8" w:space="0"/>
            </w:tcBorders>
            <w:shd w:val="clear" w:color="auto" w:fill="auto"/>
            <w:tcMar>
              <w:top w:w="40" w:type="dxa"/>
              <w:bottom w:w="40" w:type="dxa"/>
            </w:tcMar>
            <w:vAlign w:val="top"/>
          </w:tcPr>
          <w:p w14:paraId="4EB1D4C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30000万元</w:t>
            </w:r>
          </w:p>
        </w:tc>
      </w:tr>
      <w:tr w14:paraId="0A23D39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754BB8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仓储业</w:t>
            </w:r>
          </w:p>
        </w:tc>
        <w:tc>
          <w:tcPr>
            <w:tcW w:w="5453" w:type="dxa"/>
            <w:tcBorders>
              <w:right w:val="single" w:color="CCCCCC" w:sz="8" w:space="0"/>
            </w:tcBorders>
            <w:shd w:val="clear" w:color="auto" w:fill="auto"/>
            <w:tcMar>
              <w:top w:w="40" w:type="dxa"/>
              <w:bottom w:w="40" w:type="dxa"/>
            </w:tcMar>
            <w:vAlign w:val="top"/>
          </w:tcPr>
          <w:p w14:paraId="6BF4469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200人 或 营业收入 &lt; 30000万元</w:t>
            </w:r>
          </w:p>
        </w:tc>
      </w:tr>
      <w:tr w14:paraId="5F16B0F7">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D6905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邮政业</w:t>
            </w:r>
          </w:p>
        </w:tc>
        <w:tc>
          <w:tcPr>
            <w:tcW w:w="5453" w:type="dxa"/>
            <w:tcBorders>
              <w:right w:val="single" w:color="CCCCCC" w:sz="8" w:space="0"/>
            </w:tcBorders>
            <w:shd w:val="clear" w:color="auto" w:fill="auto"/>
            <w:tcMar>
              <w:top w:w="40" w:type="dxa"/>
              <w:bottom w:w="40" w:type="dxa"/>
            </w:tcMar>
            <w:vAlign w:val="top"/>
          </w:tcPr>
          <w:p w14:paraId="7413730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30000万元</w:t>
            </w:r>
          </w:p>
        </w:tc>
      </w:tr>
      <w:tr w14:paraId="0CCCBBC8">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0815F4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住宿业</w:t>
            </w:r>
          </w:p>
        </w:tc>
        <w:tc>
          <w:tcPr>
            <w:tcW w:w="5453" w:type="dxa"/>
            <w:tcBorders>
              <w:right w:val="single" w:color="CCCCCC" w:sz="8" w:space="0"/>
            </w:tcBorders>
            <w:shd w:val="clear" w:color="auto" w:fill="auto"/>
            <w:tcMar>
              <w:top w:w="40" w:type="dxa"/>
              <w:bottom w:w="40" w:type="dxa"/>
            </w:tcMar>
            <w:vAlign w:val="top"/>
          </w:tcPr>
          <w:p w14:paraId="0DB1FCA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668CA5B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5CD2230">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餐饮业</w:t>
            </w:r>
          </w:p>
        </w:tc>
        <w:tc>
          <w:tcPr>
            <w:tcW w:w="5453" w:type="dxa"/>
            <w:tcBorders>
              <w:right w:val="single" w:color="CCCCCC" w:sz="8" w:space="0"/>
            </w:tcBorders>
            <w:shd w:val="clear" w:color="auto" w:fill="auto"/>
            <w:tcMar>
              <w:top w:w="40" w:type="dxa"/>
              <w:bottom w:w="40" w:type="dxa"/>
            </w:tcMar>
            <w:vAlign w:val="top"/>
          </w:tcPr>
          <w:p w14:paraId="0B4311C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3CD40D3A">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963163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信息传输业</w:t>
            </w:r>
          </w:p>
        </w:tc>
        <w:tc>
          <w:tcPr>
            <w:tcW w:w="5453" w:type="dxa"/>
            <w:tcBorders>
              <w:right w:val="single" w:color="CCCCCC" w:sz="8" w:space="0"/>
            </w:tcBorders>
            <w:shd w:val="clear" w:color="auto" w:fill="auto"/>
            <w:tcMar>
              <w:top w:w="40" w:type="dxa"/>
              <w:bottom w:w="40" w:type="dxa"/>
            </w:tcMar>
            <w:vAlign w:val="top"/>
          </w:tcPr>
          <w:p w14:paraId="11A4AD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2000人 或 营业收入 &lt; 100000万元</w:t>
            </w:r>
          </w:p>
        </w:tc>
      </w:tr>
      <w:tr w14:paraId="378F6A25">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74275A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软件和信息技术服务业</w:t>
            </w:r>
          </w:p>
        </w:tc>
        <w:tc>
          <w:tcPr>
            <w:tcW w:w="5453" w:type="dxa"/>
            <w:tcBorders>
              <w:right w:val="single" w:color="CCCCCC" w:sz="8" w:space="0"/>
            </w:tcBorders>
            <w:shd w:val="clear" w:color="auto" w:fill="auto"/>
            <w:tcMar>
              <w:top w:w="40" w:type="dxa"/>
              <w:bottom w:w="40" w:type="dxa"/>
            </w:tcMar>
            <w:vAlign w:val="top"/>
          </w:tcPr>
          <w:p w14:paraId="6764DBE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5B258FD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B1F562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房地产开发经营</w:t>
            </w:r>
          </w:p>
        </w:tc>
        <w:tc>
          <w:tcPr>
            <w:tcW w:w="5453" w:type="dxa"/>
            <w:tcBorders>
              <w:right w:val="single" w:color="CCCCCC" w:sz="8" w:space="0"/>
            </w:tcBorders>
            <w:shd w:val="clear" w:color="auto" w:fill="auto"/>
            <w:tcMar>
              <w:top w:w="40" w:type="dxa"/>
              <w:bottom w:w="40" w:type="dxa"/>
            </w:tcMar>
            <w:vAlign w:val="top"/>
          </w:tcPr>
          <w:p w14:paraId="4E4D157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200000万元 或 资产总额 &lt; 10000万元</w:t>
            </w:r>
          </w:p>
        </w:tc>
      </w:tr>
      <w:tr w14:paraId="7878C05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B3552C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物业管理</w:t>
            </w:r>
          </w:p>
        </w:tc>
        <w:tc>
          <w:tcPr>
            <w:tcW w:w="5453" w:type="dxa"/>
            <w:tcBorders>
              <w:right w:val="single" w:color="CCCCCC" w:sz="8" w:space="0"/>
            </w:tcBorders>
            <w:shd w:val="clear" w:color="auto" w:fill="auto"/>
            <w:tcMar>
              <w:top w:w="40" w:type="dxa"/>
              <w:bottom w:w="40" w:type="dxa"/>
            </w:tcMar>
            <w:vAlign w:val="top"/>
          </w:tcPr>
          <w:p w14:paraId="2A93D18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5000万元</w:t>
            </w:r>
          </w:p>
        </w:tc>
      </w:tr>
      <w:tr w14:paraId="2A0D65F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720CA8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租赁和商务服务业</w:t>
            </w:r>
          </w:p>
        </w:tc>
        <w:tc>
          <w:tcPr>
            <w:tcW w:w="5453" w:type="dxa"/>
            <w:tcBorders>
              <w:right w:val="single" w:color="CCCCCC" w:sz="8" w:space="0"/>
            </w:tcBorders>
            <w:shd w:val="clear" w:color="auto" w:fill="auto"/>
            <w:tcMar>
              <w:top w:w="40" w:type="dxa"/>
              <w:bottom w:w="40" w:type="dxa"/>
            </w:tcMar>
            <w:vAlign w:val="top"/>
          </w:tcPr>
          <w:p w14:paraId="1ECE587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资产总额 &lt; 120000万元</w:t>
            </w:r>
          </w:p>
        </w:tc>
      </w:tr>
      <w:tr w14:paraId="590475D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8CF25F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其他未列明行业</w:t>
            </w:r>
          </w:p>
        </w:tc>
        <w:tc>
          <w:tcPr>
            <w:tcW w:w="5453" w:type="dxa"/>
            <w:tcBorders>
              <w:right w:val="single" w:color="CCCCCC" w:sz="8" w:space="0"/>
            </w:tcBorders>
            <w:shd w:val="clear" w:color="auto" w:fill="auto"/>
            <w:tcMar>
              <w:top w:w="40" w:type="dxa"/>
              <w:bottom w:w="40" w:type="dxa"/>
            </w:tcMar>
            <w:vAlign w:val="top"/>
          </w:tcPr>
          <w:p w14:paraId="3498542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w:t>
            </w:r>
          </w:p>
        </w:tc>
      </w:tr>
    </w:tbl>
    <w:p w14:paraId="654630C5">
      <w:pPr>
        <w:spacing w:line="400" w:lineRule="exact"/>
        <w:ind w:firstLine="0"/>
        <w:rPr>
          <w:rFonts w:hint="eastAsia"/>
          <w:lang w:val="en-US" w:eastAsia="zh-CN"/>
        </w:rPr>
      </w:pPr>
    </w:p>
    <w:p w14:paraId="1A97CFDA">
      <w:pPr>
        <w:pStyle w:val="3"/>
        <w:bidi w:val="0"/>
        <w:spacing w:line="400" w:lineRule="exact"/>
        <w:ind w:firstLine="0"/>
        <w:jc w:val="left"/>
        <w:rPr>
          <w:rFonts w:hint="eastAsia"/>
          <w:lang w:val="en-US" w:eastAsia="zh-CN"/>
        </w:rPr>
      </w:pPr>
      <w:r>
        <w:rPr>
          <w:rFonts w:hint="eastAsia" w:ascii="黑体" w:hAnsi="黑体" w:eastAsia="黑体"/>
          <w:b/>
          <w:sz w:val="28"/>
        </w:rPr>
        <w:t>3.</w:t>
      </w:r>
      <w:r>
        <w:rPr>
          <w:rFonts w:hint="eastAsia" w:ascii="黑体" w:hAnsi="黑体" w:eastAsia="黑体"/>
          <w:b/>
          <w:sz w:val="28"/>
          <w:lang w:val="en-US" w:eastAsia="zh-CN"/>
        </w:rPr>
        <w:t>3数据介绍</w:t>
      </w:r>
    </w:p>
    <w:p w14:paraId="5E4667A9">
      <w:pPr>
        <w:spacing w:line="400" w:lineRule="exact"/>
        <w:ind w:firstLineChars="0" w:firstLine="0"/>
        <w:jc w:val="left"/>
        <w:rPr>
          <w:rFonts w:hint="default"/>
          <w:lang w:val="en-US" w:eastAsia="zh-CN"/>
        </w:rPr>
      </w:pPr>
      <w:r>
        <w:rPr>
          <w:rFonts w:hint="eastAsia" w:ascii="宋体" w:hAnsi="宋体" w:eastAsia="宋体"/>
          <w:b w:val="0"/>
          <w:sz w:val="24"/>
          <w:lang w:val="en-US" w:eastAsia="zh-CN"/>
        </w:rPr>
        <w:t>本文的研究对象是A股人工智能应用层中小企业，主要包括在上海证券交易所、深圳证券交易和北京证券交易所上市的所有的A股人工智能应用层中小企业。其中，为了研究上市公司的盈利能力，数据主要从国泰安数据库( China Stock Market and Accounting Research，CSMAR) 、Tushare数据库和同花顺数据库中获得。</w:t>
      </w:r>
    </w:p>
    <w:p w14:paraId="679E3C4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为确保实证分析结论的可靠性、可比性与可复核性，本文在进入指标计算与盈利能力评价之前，首先对研究样本进行系统的筛选与口径校正，构建有效样本集。具体步骤如下。</w:t>
      </w:r>
    </w:p>
    <w:p w14:paraId="3C9DC26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一步，获取AI应用层初始样本池。本文以同花顺AI应用概念板块为起点，使用Python对截至2月1日已被收录的成分股进行批量抓取，获取对应的股票名称与代码，并据此形成AI应用层企业的初始样本池，共计450家。该步骤的目的在于锁定AI应用层候选企业范围，从而保证样本获取的可追溯性。</w:t>
      </w:r>
    </w:p>
    <w:p w14:paraId="514B6F7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步，筛选中小企业。本文中小企业界定依据《中小企业划型标准规定》，该规定采用“分行业—分指标阈值”的划分标准，核心判定维度包括从业人数、营业收入与资产总额等。在完成行业口径对齐后，本文依据《中小企业划型标准规定》中对应行业的阈值要求，分行业对企业规模进行筛选，剔除不满足中小企业划分条件的样本，筛选出有效中小企业样本103家。</w:t>
      </w:r>
    </w:p>
    <w:p w14:paraId="256CA325">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三步，精细筛选AI应用层样本。在样本初筛阶段，采用了同花顺AI应用概念股板块作为初步筛选标准。然而，并非所有企业都能将AI技术转化为实际的商业价值。部分企业虽在宣传与披露中频繁提及AI，但其技术应用可能停留在概念展示、试点探索等层面，尚未在主营业务中形成可识别的收入贡献或价值增益。若不加筛选地纳入此类企业，会在一定程度上引入噪声，削弱样本有效性。因此，本文在完成初筛后，进一步对候选企业开展人工精细化筛选，剔除未能提供充分证据证明AI应用对主营业务产生直接收入影响或价值增益的企业，以提升样本质量并增强研究结论的有效性，以提升样本质量并增强研究结果的稳健性。</w:t>
      </w:r>
    </w:p>
    <w:p w14:paraId="602E4AB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因此，在完成初步筛选后，本文进一步开展人工精细化核查，对候选企业进行逐一审阅与证据比对，以提升样本质量并增强研究结果的稳健性。</w:t>
      </w:r>
    </w:p>
    <w:p w14:paraId="7788457F">
      <w:pPr>
        <w:numPr>
          <w:ilvl w:val="0"/>
          <w:numId w:val="6"/>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资料收集。针对每家候选企业，本文系统整理其2024年度报告全文，并重点梳理管理层讨论与分析、主营业务与产品结构等内容。同时，结合AI应用及其同义词等关键词，各企业检索并收集3-5篇公开可得的外部资料，包括主流财经媒体报道、公司官网及交易所信息披露文件等，以构建可交叉验证的数据库。上述资料用于辅助判断AI应用是否已在企业核心业务中实现实际落地。</w:t>
      </w:r>
    </w:p>
    <w:p w14:paraId="0B5FC29A">
      <w:pPr>
        <w:numPr>
          <w:ilvl w:val="0"/>
          <w:numId w:val="6"/>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为确保样本界定口径一致，本文在精细筛选过程中设定如下筛选标准。凡符合下列情形之一的企业，不纳入有效样本范围：</w:t>
      </w:r>
    </w:p>
    <w:p w14:paraId="2A22E729">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AI应用无法明确对应年报披露的主营业务分项或核心产品，难以建立其与企业主营业务之间的直接联系。</w:t>
      </w:r>
    </w:p>
    <w:p w14:paraId="0BC67270">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AI应用虽与主营业务存在一定关联，但尚未体现为主营产品或服务层面的具体功能或服务内容，仍停留于研发或内部使用阶段。</w:t>
      </w:r>
    </w:p>
    <w:p w14:paraId="14C92B25">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主营业务以人工智能基础设施或底层支持服务为核心的企业，如算力服务、云计算基础平台、数据中心等。</w:t>
      </w:r>
    </w:p>
    <w:p w14:paraId="2FE8EACE">
      <w:pPr>
        <w:numPr>
          <w:ilvl w:val="0"/>
          <w:numId w:val="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例如，根据*ST天择年报披露及公开信息，其人工智能应用业务重点体现为数据与算力相关的基础设施能力，主要用于支撑大模型训练及场景化落地，符合第三条剔除标准；同时，其披露的其他AI相关应用主要表现为组织团队探索AI漫剧制作及应用工具，尚未形成可在主营产品或服务层面清晰落地、可交付的功能或服务。因此，本文将 *ST天择排除在有效样本范围之外。</w:t>
      </w:r>
    </w:p>
    <w:p w14:paraId="0CB96269">
      <w:pPr>
        <w:numPr>
          <w:ilvl w:val="0"/>
          <w:numId w:val="6"/>
        </w:numPr>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本文对每家企业的判定均保留相应证据来源与判定依据，并对存在争议的样本进行复核，以保证样本筛选过程的透明性与一致性。</w:t>
      </w:r>
    </w:p>
    <w:p w14:paraId="3299DD64">
      <w:pPr>
        <w:numPr>
          <w:ilvl w:val="0"/>
          <w:numId w:val="0"/>
        </w:numPr>
        <w:spacing w:line="400" w:lineRule="exact"/>
        <w:ind w:firstLineChars="0" w:firstLine="0"/>
        <w:jc w:val="left"/>
        <w:rPr>
          <w:rFonts w:hint="default"/>
          <w:lang w:val="en-US" w:eastAsia="zh-CN"/>
        </w:rPr>
      </w:pPr>
      <w:r>
        <w:rPr>
          <w:rFonts w:hint="eastAsia" w:eastAsia="宋体" w:ascii="宋体" w:hAnsi="宋体"/>
          <w:b w:val="0"/>
          <w:sz w:val="24"/>
          <w:lang w:val="en-US" w:eastAsia="zh-CN"/>
        </w:rPr>
        <w:t>经过以上三步筛选，本文共获得</w:t>
      </w:r>
      <w:r>
        <w:rPr>
          <w:rFonts w:hint="eastAsia" w:ascii="宋体" w:hAnsi="宋体" w:eastAsia="宋体"/>
          <w:b w:val="0"/>
          <w:sz w:val="24"/>
          <w:lang w:val="en-US" w:eastAsia="zh-CN"/>
        </w:rPr>
        <w:t>73</w:t>
      </w:r>
      <w:r>
        <w:rPr>
          <w:rFonts w:hint="eastAsia" w:eastAsia="宋体" w:ascii="宋体" w:hAnsi="宋体"/>
          <w:b w:val="0"/>
          <w:sz w:val="24"/>
          <w:lang w:val="en-US" w:eastAsia="zh-CN"/>
        </w:rPr>
        <w:t>个AI应用层中小企业样本</w:t>
      </w:r>
      <w:r>
        <w:rPr>
          <w:rFonts w:hint="eastAsia" w:ascii="宋体" w:hAnsi="宋体" w:eastAsia="宋体"/>
          <w:b w:val="0"/>
          <w:sz w:val="24"/>
          <w:lang w:val="en-US" w:eastAsia="zh-CN"/>
        </w:rPr>
        <w:t>。并选取2020-2024年作为盈利能力分析的样本期。</w:t>
      </w:r>
    </w:p>
    <w:p w14:paraId="015568B8">
      <w:pPr>
        <w:numPr>
          <w:ilvl w:val="0"/>
          <w:numId w:val="0"/>
        </w:numPr>
        <w:spacing w:line="400" w:lineRule="exact"/>
        <w:ind w:firstLine="0"/>
        <w:rPr>
          <w:rFonts w:hint="default"/>
          <w:lang w:val="en-US" w:eastAsia="zh-CN"/>
        </w:rPr>
      </w:pPr>
    </w:p>
    <w:p w14:paraId="32348B50">
      <w:pPr>
        <w:pStyle w:val="2"/>
        <w:numPr>
          <w:ilvl w:val="0"/>
          <w:numId w:val="8"/>
        </w:numPr>
        <w:bidi w:val="0"/>
        <w:spacing w:line="400" w:lineRule="exact"/>
        <w:ind w:firstLine="0"/>
        <w:jc w:val="left"/>
        <w:rPr>
          <w:rFonts w:hint="eastAsia"/>
          <w:lang w:val="en-US" w:eastAsia="zh-CN"/>
        </w:rPr>
      </w:pPr>
      <w:r>
        <w:rPr>
          <w:rFonts w:hint="eastAsia" w:ascii="宋体" w:hAnsi="宋体" w:eastAsia="宋体"/>
          <w:b w:val="0"/>
          <w:sz w:val="24"/>
          <w:lang w:val="en-US" w:eastAsia="zh-CN"/>
        </w:rPr>
        <w:t>A股人工智能应用层中小企业概况</w:t>
      </w:r>
    </w:p>
    <w:p w14:paraId="0B2CF5C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系统分析A股人工智能应用层中小企业的盈利能力，本章在行业发展环境的基础上，梳理样本企业的结构分布与业务概况，并对其资产负债结构与收入利润状况进行整体分析，为第四章的盈利能力比较研究提供现实基础。</w:t>
      </w:r>
    </w:p>
    <w:p w14:paraId="126866C5">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4.1 人工智能应用层特征分析</w:t>
      </w:r>
    </w:p>
    <w:p w14:paraId="6A9C8BAD">
      <w:pPr>
        <w:spacing w:line="400" w:lineRule="exact"/>
        <w:ind w:firstLineChars="0" w:firstLine="0"/>
        <w:jc w:val="left"/>
      </w:pPr>
      <w:r>
        <w:rPr>
          <w:rFonts w:ascii="宋体" w:hAnsi="宋体" w:eastAsia="宋体"/>
          <w:b w:val="0"/>
          <w:sz w:val="24"/>
        </w:rPr>
        <w:t>人工智能产业的发展呈现出由基础技术突破向规模化商业落地逐步演进的阶段性特征。早期阶段，产业关注重点集中于算法性能提升、模型规模扩展及算力基础设施建设；随着通用模型能力的成熟与算力资源的普及，技术供给侧能力逐渐趋于稳定，产业竞争焦点开始向应用</w:t>
      </w:r>
      <w:r>
        <w:rPr>
          <w:rFonts w:hint="eastAsia" w:ascii="宋体" w:hAnsi="宋体" w:eastAsia="宋体"/>
          <w:b w:val="0"/>
          <w:sz w:val="24"/>
          <w:lang w:val="en-US" w:eastAsia="zh-CN"/>
        </w:rPr>
        <w:t>层</w:t>
      </w:r>
      <w:r>
        <w:rPr>
          <w:rFonts w:ascii="宋体" w:hAnsi="宋体" w:eastAsia="宋体"/>
          <w:b w:val="0"/>
          <w:sz w:val="24"/>
        </w:rPr>
        <w:t>转化。</w:t>
      </w:r>
      <w:r>
        <w:rPr>
          <w:rFonts w:hint="eastAsia" w:ascii="宋体" w:hAnsi="宋体" w:eastAsia="宋体"/>
          <w:b w:val="0"/>
          <w:sz w:val="24"/>
        </w:rPr>
        <w:t>根据中国信息通信研究院的量化数据，2024年我国人工智能产业规模已超9000亿元，同比增长24%，其中，应用层以5665亿元规模成为产业主体，同比增长13%</w:t>
      </w:r>
    </w:p>
    <w:p w14:paraId="7AA1A621">
      <w:pPr>
        <w:spacing w:line="400" w:lineRule="exact"/>
        <w:ind w:firstLineChars="0" w:firstLine="0"/>
        <w:jc w:val="left"/>
      </w:pPr>
      <w:r>
        <w:rPr>
          <w:rFonts w:ascii="宋体" w:hAnsi="宋体" w:eastAsia="宋体"/>
          <w:b w:val="0"/>
          <w:sz w:val="24"/>
        </w:rPr>
        <w:t>资本流向的变化</w:t>
      </w:r>
      <w:r>
        <w:rPr>
          <w:rFonts w:hint="eastAsia" w:ascii="宋体" w:hAnsi="宋体" w:eastAsia="宋体"/>
          <w:b w:val="0"/>
          <w:sz w:val="24"/>
          <w:lang w:val="en-US" w:eastAsia="zh-CN"/>
        </w:rPr>
        <w:t>也</w:t>
      </w:r>
      <w:r>
        <w:rPr>
          <w:rFonts w:ascii="宋体" w:hAnsi="宋体" w:eastAsia="宋体"/>
          <w:b w:val="0"/>
          <w:sz w:val="24"/>
        </w:rPr>
        <w:t>为这一阶段性转变提供了现实佐证。根据IT桔子数据，截至2025年12月15日，中国人工智能产业全年共发生融资事件772起，其中应用层相关融资事件数量占比超过50%，在细分方向中，AI行业应用类项目占比达43.7%。融资结构的调整反映出资本对产业价值实现路径的重新评估</w:t>
      </w:r>
      <w:r>
        <w:rPr>
          <w:rFonts w:hint="eastAsia" w:ascii="宋体" w:hAnsi="宋体" w:eastAsia="宋体"/>
          <w:b w:val="0"/>
          <w:sz w:val="24"/>
          <w:lang w:eastAsia="zh-CN"/>
        </w:rPr>
        <w:t>，</w:t>
      </w:r>
      <w:r>
        <w:rPr>
          <w:rFonts w:ascii="宋体" w:hAnsi="宋体" w:eastAsia="宋体"/>
          <w:b w:val="0"/>
          <w:sz w:val="24"/>
        </w:rPr>
        <w:t>在基础能力逐步完善之后，能够将人工智能技术嵌入具体行业场景、形成明确商业闭环的应用层企业，成为当前投资关注的重点。</w:t>
      </w:r>
    </w:p>
    <w:p w14:paraId="4C3DAC9B">
      <w:pPr>
        <w:spacing w:line="400" w:lineRule="exact"/>
        <w:ind w:firstLineChars="0" w:firstLine="0"/>
        <w:jc w:val="left"/>
        <w:rPr>
          <w:rFonts w:hint="eastAsia"/>
          <w:lang w:eastAsia="zh-CN"/>
        </w:rPr>
      </w:pPr>
      <w:r>
        <w:rPr>
          <w:rFonts w:hint="eastAsia" w:ascii="宋体" w:hAnsi="宋体" w:eastAsia="宋体"/>
          <w:b w:val="0"/>
          <w:sz w:val="24"/>
        </w:rPr>
        <w:t>在上述行业背景下，本部分从政策环境、发展现状与竞争格局三个维度对人工智能应用层进行分析，为后续A股人工智能应用层中小企业样本研究与盈利研究提供背景支撑</w:t>
      </w:r>
      <w:r>
        <w:rPr>
          <w:rFonts w:hint="eastAsia" w:ascii="宋体" w:hAnsi="宋体" w:eastAsia="宋体"/>
          <w:b w:val="0"/>
          <w:sz w:val="24"/>
          <w:lang w:eastAsia="zh-CN"/>
        </w:rPr>
        <w:t>。</w:t>
      </w:r>
    </w:p>
    <w:p w14:paraId="4528E275">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w:t>
      </w:r>
      <w:r>
        <w:rPr>
          <w:rFonts w:hint="default" w:ascii="黑体" w:hAnsi="黑体" w:eastAsia="黑体"/>
          <w:b/>
          <w:sz w:val="24"/>
          <w:lang w:val="en-US" w:eastAsia="zh-CN"/>
        </w:rPr>
        <w:t>.1.</w:t>
      </w:r>
      <w:r>
        <w:rPr>
          <w:rFonts w:hint="eastAsia" w:ascii="黑体" w:hAnsi="黑体" w:eastAsia="黑体"/>
          <w:b/>
          <w:sz w:val="24"/>
          <w:lang w:val="en-US" w:eastAsia="zh-CN"/>
        </w:rPr>
        <w:t>1 人工智能应用层政策环境</w:t>
      </w:r>
    </w:p>
    <w:p w14:paraId="140FED4B">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中国人工智能应用层的迅速发展离不开政策的支持。</w:t>
      </w:r>
      <w:r>
        <w:rPr>
          <w:rFonts w:hint="default" w:ascii="宋体" w:hAnsi="宋体" w:eastAsia="宋体"/>
          <w:b w:val="0"/>
          <w:sz w:val="24"/>
          <w:lang w:val="en-US" w:eastAsia="zh-CN"/>
        </w:rPr>
        <w:t>2020年至2025年间，政策的核心抓手与导向，已从前期的算力基础设施基建（如“东数西算”工程）与解决“卡脖子”核心技术，</w:t>
      </w:r>
      <w:r>
        <w:rPr>
          <w:rFonts w:hint="eastAsia" w:ascii="宋体" w:hAnsi="宋体" w:eastAsia="宋体"/>
          <w:b w:val="0"/>
          <w:sz w:val="24"/>
          <w:lang w:val="en-US" w:eastAsia="zh-CN"/>
        </w:rPr>
        <w:t>变为</w:t>
      </w:r>
      <w:r>
        <w:rPr>
          <w:rFonts w:hint="default" w:ascii="宋体" w:hAnsi="宋体" w:eastAsia="宋体"/>
          <w:b w:val="0"/>
          <w:sz w:val="24"/>
          <w:lang w:val="en-US" w:eastAsia="zh-CN"/>
        </w:rPr>
        <w:t>应用层面的全场景、深层次落地，</w:t>
      </w:r>
      <w:r>
        <w:rPr>
          <w:rFonts w:hint="eastAsia" w:ascii="宋体" w:hAnsi="宋体" w:eastAsia="宋体"/>
          <w:b w:val="0"/>
          <w:sz w:val="24"/>
          <w:lang w:val="en-US" w:eastAsia="zh-CN"/>
        </w:rPr>
        <w:t>其中的代表性政策</w:t>
      </w:r>
      <w:r>
        <w:rPr>
          <w:rFonts w:hint="default" w:ascii="宋体" w:hAnsi="宋体" w:eastAsia="宋体"/>
          <w:b w:val="0"/>
          <w:sz w:val="24"/>
          <w:lang w:val="en-US" w:eastAsia="zh-CN"/>
        </w:rPr>
        <w:t>即是“人工智能+”行动在全国范围内的展开。</w:t>
      </w:r>
      <w:r>
        <w:rPr>
          <w:rFonts w:hint="eastAsia" w:ascii="宋体" w:hAnsi="宋体" w:eastAsia="宋体"/>
          <w:b w:val="0"/>
          <w:sz w:val="24"/>
          <w:lang w:val="en-US" w:eastAsia="zh-CN"/>
        </w:rPr>
        <w:t>其中，2025年我国围绕“人工智能+”密集出台系列政策，在工业制造、医疗卫生、教育教学、农业与交通等重点行业全面推动人工智能技术融合与应用落地。政策聚焦于释放数据要素价值、构建行业大模型体系、推广智能体应用等方向，泛覆盖与深度赋能的具体目标，旨在以人工智能为核心引擎，驱动相关产业创新升级与高质量发展。</w:t>
      </w:r>
    </w:p>
    <w:p w14:paraId="0FBD8F73">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-1 2025年中国“人工智能+行业”政策汇总</w:t>
      </w:r>
    </w:p>
    <w:tbl>
      <w:tblPr>
        <w:tblStyle w:val="70"/>
        <w:tblW w:w="888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314"/>
        <w:gridCol w:w="3771"/>
        <w:gridCol w:w="3796"/>
      </w:tblGrid>
      <w:tr w14:paraId="5335FEE6">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7">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垂直行业</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8">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lang w:val="en-US" w:eastAsia="zh-CN"/>
              </w:rPr>
              <w:t>政策名称</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A">
            <w:pPr>
              <w:spacing w:line="400" w:lineRule="exact"/>
              <w:ind w:right="-58" w:rightChars="-24"/>
              <w:jc w:val="center"/>
              <w:rPr>
                <w:rFonts w:hint="eastAsia" w:eastAsia="宋体"/>
                <w:szCs w:val="21"/>
                <w:lang w:val="en-US" w:eastAsia="zh-CN"/>
              </w:rPr>
            </w:pPr>
            <w:r>
              <w:rPr>
                <w:rFonts w:hint="eastAsia" w:eastAsia="宋体" w:ascii="宋体" w:hAnsi="宋体"/>
                <w:b w:val="0"/>
                <w:sz w:val="24"/>
                <w:szCs w:val="21"/>
                <w:rtl w:val="0"/>
                <w:lang w:val="en-US" w:eastAsia="zh-CN"/>
              </w:rPr>
              <w:t>主要内容</w:t>
            </w:r>
          </w:p>
        </w:tc>
      </w:tr>
      <w:tr w14:paraId="69C9E2DF">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B">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工业制造</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C">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《工业互联网和人工智能融合赋能行动方案》</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E">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依托工业互联网打造“模型池”，催生面向典型产线场景的工业智能体集群应用</w:t>
            </w:r>
          </w:p>
        </w:tc>
      </w:tr>
      <w:tr w14:paraId="29284219">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F">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医疗卫生</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《关于促进和规范“人工智能+医疗卫生”应用发展的实施意见》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2">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明确了从基层应用、临床诊疗、患者服务、中医药、公共卫生、科研教学等8个方向的24项重点应用部署</w:t>
            </w:r>
          </w:p>
        </w:tc>
      </w:tr>
      <w:tr w14:paraId="6DB2DEC2">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3">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教育教学</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4">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《中小学生成式人工智能使用指南（2025年版）》等</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6">
            <w:pPr>
              <w:spacing w:line="400" w:lineRule="exact"/>
              <w:ind w:right="-58" w:rightChars="-24"/>
              <w:jc w:val="center"/>
              <w:rPr>
                <w:rFonts w:hint="eastAsia" w:eastAsia="宋体"/>
                <w:szCs w:val="21"/>
                <w:lang w:val="en-US" w:eastAsia="zh-CN"/>
              </w:rPr>
            </w:pPr>
            <w:r>
              <w:rPr>
                <w:rFonts w:hint="eastAsia" w:eastAsia="宋体" w:ascii="宋体" w:hAnsi="宋体"/>
                <w:b w:val="0"/>
                <w:sz w:val="24"/>
                <w:szCs w:val="21"/>
                <w:rtl w:val="0"/>
                <w:lang w:val="en-US" w:eastAsia="zh-CN"/>
              </w:rPr>
              <w:t>为生成式AI进入基础教育课堂确立了明确的边界与使用规范</w:t>
            </w:r>
          </w:p>
        </w:tc>
      </w:tr>
      <w:tr w14:paraId="51552A38">
        <w:trPr>
          <w:trHeight w:val="2245" w:hRule="atLeast"/>
        </w:trPr>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7">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lang w:val="en-US" w:eastAsia="zh-CN"/>
              </w:rPr>
              <w:t>交通运输</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8">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《人工智能+交通运输的实施意见》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A">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到2027年，人工智能在交通运输行业典型场景广泛应用，综合交通运输大模型体系落地部署，普及应用一批智能体，人工智能成为引领交通运输创新发展的重要动力</w:t>
            </w:r>
          </w:p>
        </w:tc>
      </w:tr>
    </w:tbl>
    <w:p w14:paraId="5DE373C3">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4.1.2 人工智能</w:t>
      </w:r>
      <w:r>
        <w:rPr>
          <w:rFonts w:hint="default" w:ascii="黑体" w:hAnsi="黑体" w:eastAsia="黑体"/>
          <w:b/>
          <w:sz w:val="24"/>
          <w:lang w:val="en-US" w:eastAsia="zh-CN"/>
        </w:rPr>
        <w:t>应用层</w:t>
      </w:r>
      <w:r>
        <w:rPr>
          <w:rFonts w:hint="eastAsia" w:ascii="黑体" w:hAnsi="黑体" w:eastAsia="黑体"/>
          <w:b/>
          <w:sz w:val="24"/>
          <w:lang w:val="en-US" w:eastAsia="zh-CN"/>
        </w:rPr>
        <w:t>发展现状</w:t>
      </w:r>
    </w:p>
    <w:p w14:paraId="64A6DFA1">
      <w:pPr>
        <w:spacing w:line="400" w:lineRule="exact"/>
        <w:ind w:firstLineChars="0" w:firstLine="0"/>
        <w:jc w:val="left"/>
        <w:rPr>
          <w:rFonts w:hint="default"/>
          <w:lang w:val="en-US" w:eastAsia="zh-CN"/>
        </w:rPr>
      </w:pPr>
      <w:r>
        <w:rPr>
          <w:rFonts w:hint="default" w:ascii="宋体" w:hAnsi="宋体" w:eastAsia="宋体"/>
          <w:b w:val="0"/>
          <w:sz w:val="24"/>
          <w:lang w:val="en-US" w:eastAsia="zh-CN"/>
        </w:rPr>
        <w:t>人工智能的发展经历了多个阶段，每个阶段的技术突破都对行业应用产生了深远影响。早期的人工智能应用主要集中在基于规则的专家系统和数据挖掘方法上，依靠有限的计算能力和数据资源，推动了初步的智能化应用。然而，真正的变革始于深度学习技术的突破，这一技术依赖于大规模数据和强大的计算能力，从而使得人工智能能够在图像识别、语音识别、自然语言处理等领域取得突破性进展。</w:t>
      </w:r>
      <w:r>
        <w:rPr>
          <w:rFonts w:hint="eastAsia" w:ascii="宋体" w:hAnsi="宋体" w:eastAsia="宋体"/>
          <w:b w:val="0"/>
          <w:sz w:val="24"/>
          <w:lang w:val="en-US" w:eastAsia="zh-CN"/>
        </w:rPr>
        <w:t>而后，</w:t>
      </w:r>
      <w:r>
        <w:rPr>
          <w:rFonts w:hint="default" w:ascii="宋体" w:hAnsi="宋体" w:eastAsia="宋体"/>
          <w:b w:val="0"/>
          <w:sz w:val="24"/>
          <w:lang w:val="en-US" w:eastAsia="zh-CN"/>
        </w:rPr>
        <w:t>其发展大体呈现出“算力与平台供给</w:t>
      </w:r>
      <w:r>
        <w:rPr>
          <w:rFonts w:hint="eastAsia" w:ascii="宋体" w:hAnsi="宋体" w:eastAsia="宋体"/>
          <w:b w:val="0"/>
          <w:sz w:val="24"/>
          <w:lang w:val="en-US" w:eastAsia="zh-CN"/>
        </w:rPr>
        <w:t>-生成式大模型</w:t>
      </w:r>
      <w:r>
        <w:rPr>
          <w:rFonts w:hint="default" w:ascii="宋体" w:hAnsi="宋体" w:eastAsia="宋体"/>
          <w:b w:val="0"/>
          <w:sz w:val="24"/>
          <w:lang w:val="en-US" w:eastAsia="zh-CN"/>
        </w:rPr>
        <w:t>成型</w:t>
      </w:r>
      <w:r>
        <w:rPr>
          <w:rFonts w:hint="eastAsia" w:ascii="宋体" w:hAnsi="宋体" w:eastAsia="宋体"/>
          <w:b w:val="0"/>
          <w:sz w:val="24"/>
          <w:lang w:val="en-US" w:eastAsia="zh-CN"/>
        </w:rPr>
        <w:t>-</w:t>
      </w:r>
      <w:r>
        <w:rPr>
          <w:rFonts w:hint="default" w:ascii="宋体" w:hAnsi="宋体" w:eastAsia="宋体"/>
          <w:b w:val="0"/>
          <w:sz w:val="24"/>
          <w:lang w:val="en-US" w:eastAsia="zh-CN"/>
        </w:rPr>
        <w:t>生成式应用爆发</w:t>
      </w:r>
      <w:r>
        <w:rPr>
          <w:rFonts w:hint="eastAsia" w:ascii="宋体" w:hAnsi="宋体" w:eastAsia="宋体"/>
          <w:b w:val="0"/>
          <w:sz w:val="24"/>
          <w:lang w:val="en-US" w:eastAsia="zh-CN"/>
        </w:rPr>
        <w:t>-</w:t>
      </w:r>
      <w:r>
        <w:rPr>
          <w:rFonts w:hint="default" w:ascii="宋体" w:hAnsi="宋体" w:eastAsia="宋体"/>
          <w:b w:val="0"/>
          <w:sz w:val="24"/>
          <w:lang w:val="en-US" w:eastAsia="zh-CN"/>
        </w:rPr>
        <w:t>智能体走向落地”的跃迁</w:t>
      </w:r>
      <w:r>
        <w:rPr>
          <w:rFonts w:hint="eastAsia" w:ascii="宋体" w:hAnsi="宋体" w:eastAsia="宋体"/>
          <w:b w:val="0"/>
          <w:sz w:val="24"/>
          <w:lang w:val="en-US" w:eastAsia="zh-CN"/>
        </w:rPr>
        <w:t>趋势：</w:t>
      </w:r>
      <w:r>
        <w:rPr>
          <w:rFonts w:hint="default" w:ascii="宋体" w:hAnsi="宋体" w:eastAsia="宋体"/>
          <w:b w:val="0"/>
          <w:sz w:val="24"/>
          <w:lang w:val="en-US" w:eastAsia="zh-CN"/>
        </w:rPr>
        <w:t>2012年前后GPU推动深度学习突破、奠定算力基础；2016—2019年云计算与AI平台扩张，使算力与工具链普及并降低企业应用门槛；2020—2021年</w:t>
      </w:r>
      <w:r>
        <w:rPr>
          <w:rFonts w:hint="eastAsia" w:ascii="宋体" w:hAnsi="宋体" w:eastAsia="宋体"/>
          <w:b w:val="0"/>
          <w:sz w:val="24"/>
          <w:lang w:val="en-US" w:eastAsia="zh-CN"/>
        </w:rPr>
        <w:t>企业</w:t>
      </w:r>
      <w:r>
        <w:rPr>
          <w:rFonts w:hint="default" w:ascii="宋体" w:hAnsi="宋体" w:eastAsia="宋体"/>
          <w:b w:val="0"/>
          <w:sz w:val="24"/>
          <w:lang w:val="en-US" w:eastAsia="zh-CN"/>
        </w:rPr>
        <w:t>依托更大规模数据与算力开展预训练，大模型路线加速成熟；2022年底ChatGPT</w:t>
      </w:r>
      <w:r>
        <w:rPr>
          <w:rFonts w:hint="eastAsia" w:ascii="宋体" w:hAnsi="宋体" w:eastAsia="宋体"/>
          <w:b w:val="0"/>
          <w:sz w:val="24"/>
          <w:lang w:val="en-US" w:eastAsia="zh-CN"/>
        </w:rPr>
        <w:t>的发布，引发</w:t>
      </w:r>
      <w:r>
        <w:rPr>
          <w:rFonts w:hint="default" w:ascii="宋体" w:hAnsi="宋体" w:eastAsia="宋体"/>
          <w:b w:val="0"/>
          <w:sz w:val="24"/>
          <w:lang w:val="en-US" w:eastAsia="zh-CN"/>
        </w:rPr>
        <w:t>GenAI在办公、内容、客服等场景</w:t>
      </w:r>
      <w:r>
        <w:rPr>
          <w:rFonts w:hint="eastAsia" w:ascii="宋体" w:hAnsi="宋体" w:eastAsia="宋体"/>
          <w:b w:val="0"/>
          <w:sz w:val="24"/>
          <w:lang w:val="en-US" w:eastAsia="zh-CN"/>
        </w:rPr>
        <w:t>应用的</w:t>
      </w:r>
      <w:r>
        <w:rPr>
          <w:rFonts w:hint="default" w:ascii="宋体" w:hAnsi="宋体" w:eastAsia="宋体"/>
          <w:b w:val="0"/>
          <w:sz w:val="24"/>
          <w:lang w:val="en-US" w:eastAsia="zh-CN"/>
        </w:rPr>
        <w:t>快速渗透；到2024年，AI Agent结合工具调用与工作流编排，开始从生成内容</w:t>
      </w:r>
      <w:r>
        <w:rPr>
          <w:rFonts w:hint="eastAsia" w:ascii="宋体" w:hAnsi="宋体" w:eastAsia="宋体"/>
          <w:b w:val="0"/>
          <w:sz w:val="24"/>
          <w:lang w:val="en-US" w:eastAsia="zh-CN"/>
        </w:rPr>
        <w:t>、</w:t>
      </w:r>
      <w:r>
        <w:rPr>
          <w:rFonts w:hint="default" w:ascii="宋体" w:hAnsi="宋体" w:eastAsia="宋体"/>
          <w:b w:val="0"/>
          <w:sz w:val="24"/>
          <w:lang w:val="en-US" w:eastAsia="zh-CN"/>
        </w:rPr>
        <w:t>辅助决策进一步走向自动执行与闭环优化，推动</w:t>
      </w:r>
      <w:r>
        <w:rPr>
          <w:rFonts w:hint="eastAsia" w:ascii="宋体" w:hAnsi="宋体" w:eastAsia="宋体"/>
          <w:b w:val="0"/>
          <w:sz w:val="24"/>
          <w:lang w:val="en-US" w:eastAsia="zh-CN"/>
        </w:rPr>
        <w:t>人工智能</w:t>
      </w:r>
      <w:r>
        <w:rPr>
          <w:rFonts w:hint="default" w:ascii="宋体" w:hAnsi="宋体" w:eastAsia="宋体"/>
          <w:b w:val="0"/>
          <w:sz w:val="24"/>
          <w:lang w:val="en-US" w:eastAsia="zh-CN"/>
        </w:rPr>
        <w:t>应用进入更深层的业务流程改造阶段</w:t>
      </w:r>
      <w:r>
        <w:rPr>
          <w:rFonts w:hint="eastAsia" w:ascii="宋体" w:hAnsi="宋体" w:eastAsia="宋体"/>
          <w:b w:val="0"/>
          <w:sz w:val="24"/>
          <w:lang w:val="en-US" w:eastAsia="zh-CN"/>
        </w:rPr>
        <w:t>，如今，Agentic AI正迅速获得广泛关注，它能够自主或半自主地运用人工智能技术，在数字或物理环境中感知环境、做出决策、采取行动并达成目标。从被动的人工智能聊天机器人向智能体人工智能的转变，使得人工智能从一个辅助性的角色演变为具有自主决策能力的数字劳动力，标志着组织与人工智能系统交互方式以及从中获取商业价值的方式发生了根本性变化；</w:t>
      </w:r>
      <w:r>
        <w:rPr>
          <w:rFonts w:hint="default" w:ascii="宋体" w:hAnsi="宋体" w:eastAsia="宋体"/>
          <w:b w:val="0"/>
          <w:sz w:val="24"/>
          <w:lang w:val="en-US" w:eastAsia="zh-CN"/>
        </w:rPr>
        <w:t>2025年是多模态模型的全面普及期</w:t>
      </w:r>
      <w:r>
        <w:rPr>
          <w:rFonts w:hint="eastAsia" w:ascii="宋体" w:hAnsi="宋体" w:eastAsia="宋体"/>
          <w:b w:val="0"/>
          <w:sz w:val="24"/>
          <w:lang w:val="en-US" w:eastAsia="zh-CN"/>
        </w:rPr>
        <w:t>，</w:t>
      </w:r>
      <w:r>
        <w:rPr>
          <w:rFonts w:hint="default" w:ascii="宋体" w:hAnsi="宋体" w:eastAsia="宋体"/>
          <w:b w:val="0"/>
          <w:sz w:val="24"/>
          <w:lang w:val="en-US" w:eastAsia="zh-CN"/>
        </w:rPr>
        <w:t>Claude、Gemini等模型已能实时同步处理文本、视频和音频输入</w:t>
      </w:r>
      <w:r>
        <w:rPr>
          <w:rFonts w:hint="eastAsia" w:ascii="宋体" w:hAnsi="宋体" w:eastAsia="宋体"/>
          <w:b w:val="0"/>
          <w:sz w:val="24"/>
          <w:lang w:val="en-US" w:eastAsia="zh-CN"/>
        </w:rPr>
        <w:t>。</w:t>
      </w:r>
      <w:r>
        <w:rPr>
          <w:rFonts w:hint="default" w:ascii="宋体" w:hAnsi="宋体" w:eastAsia="宋体"/>
          <w:b w:val="0"/>
          <w:sz w:val="24"/>
          <w:lang w:val="en-US" w:eastAsia="zh-CN"/>
        </w:rPr>
        <w:t>这种技术环境的进化，直接催生了物理AI和具身智能的爆发</w:t>
      </w:r>
      <w:r>
        <w:rPr>
          <w:rFonts w:hint="eastAsia" w:ascii="宋体" w:hAnsi="宋体" w:eastAsia="宋体"/>
          <w:b w:val="0"/>
          <w:sz w:val="24"/>
          <w:lang w:val="en-US" w:eastAsia="zh-CN"/>
        </w:rPr>
        <w:t>。</w:t>
      </w:r>
      <w:r>
        <w:rPr>
          <w:rFonts w:hint="default" w:ascii="宋体" w:hAnsi="宋体" w:eastAsia="宋体"/>
          <w:b w:val="0"/>
          <w:sz w:val="24"/>
          <w:lang w:val="en-US" w:eastAsia="zh-CN"/>
        </w:rPr>
        <w:t>在制造业，AI不再仅仅运行在服务器上，而是通过视觉模型直接指导中小工厂的机器人进行柔性化生产。中国信息通信技术研究院（CAICT）的数据显示，中国制造业中的AI渗透率已从2024年的</w:t>
      </w:r>
      <w:r>
        <w:rPr>
          <w:rFonts w:hint="eastAsia" w:ascii="宋体" w:hAnsi="宋体" w:eastAsia="宋体"/>
          <w:b w:val="0"/>
          <w:sz w:val="24"/>
          <w:lang w:val="en-US" w:eastAsia="zh-CN"/>
        </w:rPr>
        <w:t>19.9%</w:t>
      </w:r>
      <w:r>
        <w:rPr>
          <w:rFonts w:hint="default" w:ascii="宋体" w:hAnsi="宋体" w:eastAsia="宋体"/>
          <w:b w:val="0"/>
          <w:sz w:val="24"/>
          <w:lang w:val="en-US" w:eastAsia="zh-CN"/>
        </w:rPr>
        <w:t>升至2025年的</w:t>
      </w:r>
      <w:r>
        <w:rPr>
          <w:rFonts w:hint="eastAsia" w:ascii="宋体" w:hAnsi="宋体" w:eastAsia="宋体"/>
          <w:b w:val="0"/>
          <w:sz w:val="24"/>
          <w:lang w:val="en-US" w:eastAsia="zh-CN"/>
        </w:rPr>
        <w:t>25.9%</w:t>
      </w:r>
      <w:r>
        <w:rPr>
          <w:rFonts w:hint="default" w:ascii="宋体" w:hAnsi="宋体" w:eastAsia="宋体"/>
          <w:b w:val="0"/>
          <w:sz w:val="24"/>
          <w:lang w:val="en-US" w:eastAsia="zh-CN"/>
        </w:rPr>
        <w:t>，其中大部分增量来自多模态视觉质检和预测性维护应用。</w:t>
      </w:r>
    </w:p>
    <w:p w14:paraId="636879E2">
      <w:pPr>
        <w:numPr>
          <w:ilvl w:val="0"/>
          <w:numId w:val="0"/>
        </w:numPr>
        <w:spacing w:line="400" w:lineRule="exact"/>
        <w:ind w:firstLine="0"/>
        <w:jc w:val="left"/>
        <w:rPr>
          <w:rFonts w:hint="default" w:eastAsia="宋体"/>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2</w:t>
      </w:r>
      <w:r>
        <w:rPr>
          <w:rFonts w:hint="eastAsia" w:eastAsia="宋体" w:ascii="宋体" w:hAnsi="宋体"/>
          <w:b w:val="0"/>
          <w:sz w:val="24"/>
          <w:szCs w:val="21"/>
        </w:rPr>
        <w:t xml:space="preserve"> 人工智能</w:t>
      </w:r>
      <w:r>
        <w:rPr>
          <w:rFonts w:hint="eastAsia" w:eastAsia="宋体" w:ascii="宋体" w:hAnsi="宋体"/>
          <w:b w:val="0"/>
          <w:sz w:val="24"/>
          <w:szCs w:val="21"/>
          <w:lang w:val="en-US" w:eastAsia="zh-CN"/>
        </w:rPr>
        <w:t>应用阶段表</w:t>
      </w:r>
    </w:p>
    <w:tbl>
      <w:tblPr>
        <w:tblStyle w:val="68"/>
        <w:tblpPr w:leftFromText="180" w:rightFromText="180" w:vertAnchor="text" w:horzAnchor="page" w:tblpX="1096" w:tblpY="264"/>
        <w:tblOverlap w:val="never"/>
        <w:tblW w:w="10346"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Layout w:type="fixed"/>
        <w:tblCellMar>
          <w:top w:w="100" w:type="dxa"/>
          <w:left w:w="100" w:type="dxa"/>
          <w:bottom w:w="100" w:type="dxa"/>
          <w:right w:w="100" w:type="dxa"/>
        </w:tblCellMar>
      </w:tblPr>
      <w:tblGrid>
        <w:gridCol w:w="2153"/>
        <w:gridCol w:w="1764"/>
        <w:gridCol w:w="2328"/>
        <w:gridCol w:w="4101"/>
      </w:tblGrid>
      <w:tr w14:paraId="1370FFC9">
        <w:trPr>
          <w:trHeight w:val="528" w:hRule="atLeast"/>
        </w:trPr>
        <w:tc>
          <w:tcPr>
            <w:tcW w:w="2153" w:type="dxa"/>
            <w:shd w:val="clear" w:color="auto" w:fill="auto"/>
            <w:tcMar>
              <w:top w:w="120" w:type="dxa"/>
              <w:left w:w="180" w:type="dxa"/>
              <w:bottom w:w="120" w:type="dxa"/>
              <w:right w:w="180" w:type="dxa"/>
            </w:tcMar>
            <w:vAlign w:val="top"/>
          </w:tcPr>
          <w:p w14:paraId="1B019A74">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技术演进阶段</w:t>
            </w:r>
          </w:p>
        </w:tc>
        <w:tc>
          <w:tcPr>
            <w:tcW w:w="1764" w:type="dxa"/>
            <w:shd w:val="clear" w:color="auto" w:fill="auto"/>
            <w:tcMar>
              <w:top w:w="120" w:type="dxa"/>
              <w:left w:w="180" w:type="dxa"/>
              <w:bottom w:w="120" w:type="dxa"/>
              <w:right w:w="180" w:type="dxa"/>
            </w:tcMar>
            <w:vAlign w:val="top"/>
          </w:tcPr>
          <w:p w14:paraId="0762C31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核心技术驱动</w:t>
            </w:r>
          </w:p>
        </w:tc>
        <w:tc>
          <w:tcPr>
            <w:tcW w:w="2328" w:type="dxa"/>
            <w:shd w:val="clear" w:color="auto" w:fill="auto"/>
            <w:tcMar>
              <w:top w:w="120" w:type="dxa"/>
              <w:left w:w="180" w:type="dxa"/>
              <w:bottom w:w="120" w:type="dxa"/>
              <w:right w:w="180" w:type="dxa"/>
            </w:tcMar>
            <w:vAlign w:val="top"/>
          </w:tcPr>
          <w:p w14:paraId="22EA155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典型应用场景</w:t>
            </w:r>
          </w:p>
        </w:tc>
        <w:tc>
          <w:tcPr>
            <w:tcW w:w="4101" w:type="dxa"/>
            <w:shd w:val="clear" w:color="auto" w:fill="auto"/>
            <w:tcMar>
              <w:top w:w="120" w:type="dxa"/>
              <w:left w:w="180" w:type="dxa"/>
              <w:bottom w:w="120" w:type="dxa"/>
              <w:right w:w="180" w:type="dxa"/>
            </w:tcMar>
            <w:vAlign w:val="top"/>
          </w:tcPr>
          <w:p w14:paraId="74DB66FA">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商业化落地</w:t>
            </w:r>
            <w:r>
              <w:rPr>
                <w:rFonts w:hint="default" w:eastAsia="宋体" w:ascii="宋体" w:hAnsi="宋体"/>
                <w:b w:val="0"/>
                <w:sz w:val="24"/>
                <w:szCs w:val="21"/>
                <w:rtl w:val="0"/>
                <w:lang w:val="en-US" w:eastAsia="zh-CN"/>
              </w:rPr>
              <w:t>逻辑</w:t>
            </w:r>
          </w:p>
        </w:tc>
      </w:tr>
      <w:tr w14:paraId="123367B1">
        <w:tc>
          <w:tcPr>
            <w:tcW w:w="2153" w:type="dxa"/>
            <w:shd w:val="clear" w:color="auto" w:fill="auto"/>
            <w:tcMar>
              <w:top w:w="120" w:type="dxa"/>
              <w:left w:w="180" w:type="dxa"/>
              <w:bottom w:w="120" w:type="dxa"/>
              <w:right w:w="180" w:type="dxa"/>
            </w:tcMar>
            <w:vAlign w:val="top"/>
          </w:tcPr>
          <w:p w14:paraId="30E6F69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2022</w:t>
            </w:r>
            <w:r>
              <w:rPr>
                <w:rFonts w:hint="eastAsia" w:eastAsia="宋体" w:ascii="宋体" w:hAnsi="宋体"/>
                <w:b w:val="0"/>
                <w:sz w:val="24"/>
                <w:szCs w:val="21"/>
                <w:rtl w:val="0"/>
                <w:lang w:val="en-US" w:eastAsia="zh-CN"/>
              </w:rPr>
              <w:t>年前</w:t>
            </w:r>
            <w:r>
              <w:rPr>
                <w:rFonts w:hint="default" w:eastAsia="宋体" w:ascii="宋体" w:hAnsi="宋体"/>
                <w:b w:val="0"/>
                <w:sz w:val="24"/>
                <w:szCs w:val="21"/>
                <w:rtl w:val="0"/>
                <w:lang w:val="en-US" w:eastAsia="zh-CN"/>
              </w:rPr>
              <w:t>：</w:t>
            </w:r>
          </w:p>
          <w:p w14:paraId="32CE7282">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基础设施与判别式AI</w:t>
            </w:r>
          </w:p>
        </w:tc>
        <w:tc>
          <w:tcPr>
            <w:tcW w:w="1764" w:type="dxa"/>
            <w:shd w:val="clear" w:color="auto" w:fill="auto"/>
            <w:tcMar>
              <w:top w:w="120" w:type="dxa"/>
              <w:left w:w="180" w:type="dxa"/>
              <w:bottom w:w="120" w:type="dxa"/>
              <w:right w:w="180" w:type="dxa"/>
            </w:tcMar>
            <w:vAlign w:val="top"/>
          </w:tcPr>
          <w:p w14:paraId="6870D6F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计算机视觉、</w:t>
            </w:r>
          </w:p>
          <w:p w14:paraId="0C55BB56">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自然语言处理、传统机器学习</w:t>
            </w:r>
          </w:p>
        </w:tc>
        <w:tc>
          <w:tcPr>
            <w:tcW w:w="2328" w:type="dxa"/>
            <w:shd w:val="clear" w:color="auto" w:fill="auto"/>
            <w:tcMar>
              <w:top w:w="120" w:type="dxa"/>
              <w:left w:w="180" w:type="dxa"/>
              <w:bottom w:w="120" w:type="dxa"/>
              <w:right w:w="180" w:type="dxa"/>
            </w:tcMar>
            <w:vAlign w:val="top"/>
          </w:tcPr>
          <w:p w14:paraId="604D958B">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智能安防、人脸识别、城市治理、OCR、工业质检</w:t>
            </w:r>
          </w:p>
        </w:tc>
        <w:tc>
          <w:tcPr>
            <w:tcW w:w="4101" w:type="dxa"/>
            <w:shd w:val="clear" w:color="auto" w:fill="auto"/>
            <w:tcMar>
              <w:top w:w="120" w:type="dxa"/>
              <w:left w:w="180" w:type="dxa"/>
              <w:bottom w:w="120" w:type="dxa"/>
              <w:right w:w="180" w:type="dxa"/>
            </w:tcMar>
            <w:vAlign w:val="top"/>
          </w:tcPr>
          <w:p w14:paraId="5CDECDCD">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以感知与识别为核心，通过软硬件一体化或定制化项目实现商业变现，依赖特定场景的高质量标注数据。</w:t>
            </w:r>
          </w:p>
        </w:tc>
      </w:tr>
      <w:tr w14:paraId="3A8CA493">
        <w:tc>
          <w:tcPr>
            <w:tcW w:w="2153" w:type="dxa"/>
            <w:shd w:val="clear" w:color="auto" w:fill="auto"/>
            <w:tcMar>
              <w:top w:w="120" w:type="dxa"/>
              <w:left w:w="180" w:type="dxa"/>
              <w:bottom w:w="120" w:type="dxa"/>
              <w:right w:w="180" w:type="dxa"/>
            </w:tcMar>
            <w:vAlign w:val="top"/>
          </w:tcPr>
          <w:p w14:paraId="38C65EA1">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2022-2024</w:t>
            </w:r>
            <w:r>
              <w:rPr>
                <w:rFonts w:hint="default" w:eastAsia="宋体" w:ascii="宋体" w:hAnsi="宋体"/>
                <w:b w:val="0"/>
                <w:sz w:val="24"/>
                <w:szCs w:val="21"/>
                <w:rtl w:val="0"/>
                <w:lang w:val="en-US" w:eastAsia="zh-CN"/>
              </w:rPr>
              <w:t>：</w:t>
            </w:r>
          </w:p>
          <w:p w14:paraId="075B5495">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生成式AI</w:t>
            </w:r>
          </w:p>
        </w:tc>
        <w:tc>
          <w:tcPr>
            <w:tcW w:w="1764" w:type="dxa"/>
            <w:shd w:val="clear" w:color="auto" w:fill="auto"/>
            <w:tcMar>
              <w:top w:w="120" w:type="dxa"/>
              <w:left w:w="180" w:type="dxa"/>
              <w:bottom w:w="120" w:type="dxa"/>
              <w:right w:w="180" w:type="dxa"/>
            </w:tcMar>
            <w:vAlign w:val="top"/>
          </w:tcPr>
          <w:p w14:paraId="2FF9448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大语言模型、</w:t>
            </w:r>
          </w:p>
          <w:p w14:paraId="35A4C1A6">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多模态生成模型</w:t>
            </w:r>
          </w:p>
        </w:tc>
        <w:tc>
          <w:tcPr>
            <w:tcW w:w="2328" w:type="dxa"/>
            <w:shd w:val="clear" w:color="auto" w:fill="auto"/>
            <w:tcMar>
              <w:top w:w="120" w:type="dxa"/>
              <w:left w:w="180" w:type="dxa"/>
              <w:bottom w:w="120" w:type="dxa"/>
              <w:right w:w="180" w:type="dxa"/>
            </w:tcMar>
            <w:vAlign w:val="top"/>
          </w:tcPr>
          <w:p w14:paraId="7422040F">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智能客服、知识库问答、内容创作（文生图、文生视频）</w:t>
            </w:r>
          </w:p>
        </w:tc>
        <w:tc>
          <w:tcPr>
            <w:tcW w:w="4101" w:type="dxa"/>
            <w:shd w:val="clear" w:color="auto" w:fill="auto"/>
            <w:tcMar>
              <w:top w:w="120" w:type="dxa"/>
              <w:left w:w="180" w:type="dxa"/>
              <w:bottom w:w="120" w:type="dxa"/>
              <w:right w:w="180" w:type="dxa"/>
            </w:tcMar>
            <w:vAlign w:val="top"/>
          </w:tcPr>
          <w:p w14:paraId="784225A7">
            <w:pPr>
              <w:keepNext w:val="0"/>
              <w:keepLines w:val="0"/>
              <w:widowControl/>
              <w:suppressLineNumbers w:val="0"/>
              <w:spacing w:line="400" w:lineRule="exact"/>
              <w:jc w:val="left"/>
              <w:rPr>
                <w:rFonts w:hint="default" w:eastAsia="宋体"/>
                <w:szCs w:val="21"/>
                <w:lang w:val="en-US" w:eastAsia="zh-CN"/>
              </w:rPr>
            </w:pPr>
            <w:r>
              <w:rPr>
                <w:rFonts w:hint="default" w:eastAsia="宋体" w:ascii="宋体" w:hAnsi="宋体"/>
                <w:b w:val="0"/>
                <w:sz w:val="24"/>
                <w:szCs w:val="21"/>
                <w:rtl w:val="0"/>
                <w:lang w:val="en-US" w:eastAsia="zh-CN"/>
              </w:rPr>
              <w:t>以内容生成与知识</w:t>
            </w:r>
            <w:r>
              <w:rPr>
                <w:rFonts w:hint="eastAsia" w:eastAsia="宋体" w:ascii="宋体" w:hAnsi="宋体"/>
                <w:b w:val="0"/>
                <w:sz w:val="24"/>
                <w:szCs w:val="21"/>
                <w:rtl w:val="0"/>
                <w:lang w:val="en-US" w:eastAsia="zh-CN"/>
              </w:rPr>
              <w:t>理解</w:t>
            </w:r>
            <w:r>
              <w:rPr>
                <w:rFonts w:hint="default" w:eastAsia="宋体" w:ascii="宋体" w:hAnsi="宋体"/>
                <w:b w:val="0"/>
                <w:sz w:val="24"/>
                <w:szCs w:val="21"/>
                <w:rtl w:val="0"/>
                <w:lang w:val="en-US" w:eastAsia="zh-CN"/>
              </w:rPr>
              <w:t>为核心，大幅降低知识密集型工作的成本，</w:t>
            </w:r>
            <w:r>
              <w:rPr>
                <w:rFonts w:ascii="宋体" w:hAnsi="宋体" w:eastAsia="宋体" w:cs="宋体"/>
                <w:b w:val="0"/>
                <w:kern w:val="0"/>
                <w:sz w:val="24"/>
                <w:szCs w:val="24"/>
                <w:lang w:val="en-US" w:eastAsia="zh-CN" w:bidi="ar"/>
              </w:rPr>
              <w:t>商业模式从项目制转向标准化 SaaS 订阅与 API 调用计费，规模化能力显著增强。</w:t>
            </w:r>
          </w:p>
        </w:tc>
      </w:tr>
      <w:tr w14:paraId="56D28A66">
        <w:tc>
          <w:tcPr>
            <w:tcW w:w="2153" w:type="dxa"/>
            <w:shd w:val="clear" w:color="auto" w:fill="auto"/>
            <w:tcMar>
              <w:top w:w="120" w:type="dxa"/>
              <w:left w:w="180" w:type="dxa"/>
              <w:bottom w:w="120" w:type="dxa"/>
              <w:right w:w="180" w:type="dxa"/>
            </w:tcMar>
            <w:vAlign w:val="top"/>
          </w:tcPr>
          <w:p w14:paraId="598B7AEA">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2024-2025</w:t>
            </w:r>
            <w:r>
              <w:rPr>
                <w:rFonts w:hint="default" w:eastAsia="宋体" w:ascii="宋体" w:hAnsi="宋体"/>
                <w:b w:val="0"/>
                <w:sz w:val="24"/>
                <w:szCs w:val="21"/>
                <w:rtl w:val="0"/>
                <w:lang w:val="en-US" w:eastAsia="zh-CN"/>
              </w:rPr>
              <w:t>：</w:t>
            </w:r>
          </w:p>
          <w:p w14:paraId="4BAF1845">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AI Agent与</w:t>
            </w:r>
            <w:r>
              <w:rPr>
                <w:rFonts w:hint="default" w:eastAsia="宋体" w:ascii="宋体" w:hAnsi="宋体"/>
                <w:b w:val="0"/>
                <w:sz w:val="24"/>
                <w:szCs w:val="21"/>
                <w:rtl w:val="0"/>
                <w:lang w:val="en-US" w:eastAsia="zh-CN"/>
              </w:rPr>
              <w:t>Agentic AI</w:t>
            </w:r>
          </w:p>
        </w:tc>
        <w:tc>
          <w:tcPr>
            <w:tcW w:w="1764" w:type="dxa"/>
            <w:shd w:val="clear" w:color="auto" w:fill="auto"/>
            <w:tcMar>
              <w:top w:w="120" w:type="dxa"/>
              <w:left w:w="180" w:type="dxa"/>
              <w:bottom w:w="120" w:type="dxa"/>
              <w:right w:w="180" w:type="dxa"/>
            </w:tcMar>
            <w:vAlign w:val="top"/>
          </w:tcPr>
          <w:p w14:paraId="7CD0CF9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任务规划、工具调用、多智能体协同</w:t>
            </w:r>
            <w:r>
              <w:rPr>
                <w:rFonts w:hint="eastAsia" w:eastAsia="宋体" w:ascii="宋体" w:hAnsi="宋体"/>
                <w:b w:val="0"/>
                <w:sz w:val="24"/>
                <w:szCs w:val="21"/>
                <w:rtl w:val="0"/>
                <w:lang w:val="en-US" w:eastAsia="zh-CN"/>
              </w:rPr>
              <w:t>、长上下文理解、MCP、Agent Skills</w:t>
            </w:r>
          </w:p>
        </w:tc>
        <w:tc>
          <w:tcPr>
            <w:tcW w:w="2328" w:type="dxa"/>
            <w:shd w:val="clear" w:color="auto" w:fill="auto"/>
            <w:tcMar>
              <w:top w:w="120" w:type="dxa"/>
              <w:left w:w="180" w:type="dxa"/>
              <w:bottom w:w="120" w:type="dxa"/>
              <w:right w:w="180" w:type="dxa"/>
            </w:tcMar>
            <w:vAlign w:val="top"/>
          </w:tcPr>
          <w:p w14:paraId="2902197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跨系统任务自动执行、</w:t>
            </w:r>
            <w:r>
              <w:rPr>
                <w:rFonts w:hint="eastAsia" w:eastAsia="宋体" w:ascii="宋体" w:hAnsi="宋体"/>
                <w:b w:val="0"/>
                <w:sz w:val="24"/>
                <w:szCs w:val="21"/>
                <w:rtl w:val="0"/>
                <w:lang w:val="en-US" w:eastAsia="zh-CN"/>
              </w:rPr>
              <w:t>AI编程助手</w:t>
            </w:r>
            <w:r>
              <w:rPr>
                <w:rFonts w:hint="default" w:eastAsia="宋体" w:ascii="宋体" w:hAnsi="宋体"/>
                <w:b w:val="0"/>
                <w:sz w:val="24"/>
                <w:szCs w:val="21"/>
                <w:rtl w:val="0"/>
                <w:lang w:val="en-US" w:eastAsia="zh-CN"/>
              </w:rPr>
              <w:t>、个人全能助手</w:t>
            </w:r>
          </w:p>
        </w:tc>
        <w:tc>
          <w:tcPr>
            <w:tcW w:w="4101" w:type="dxa"/>
            <w:shd w:val="clear" w:color="auto" w:fill="auto"/>
            <w:tcMar>
              <w:top w:w="120" w:type="dxa"/>
              <w:left w:w="180" w:type="dxa"/>
              <w:bottom w:w="120" w:type="dxa"/>
              <w:right w:w="180" w:type="dxa"/>
            </w:tcMar>
            <w:vAlign w:val="top"/>
          </w:tcPr>
          <w:p w14:paraId="5417AD6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以行动与决策为核心，深入业务核心重构企业工作流。商业逻辑从售卖软件转为售卖数字化劳动力。</w:t>
            </w:r>
          </w:p>
        </w:tc>
      </w:tr>
      <w:tr w14:paraId="35B8F315">
        <w:tc>
          <w:tcPr>
            <w:tcW w:w="2153" w:type="dxa"/>
            <w:shd w:val="clear" w:color="auto" w:fill="auto"/>
            <w:tcMar>
              <w:top w:w="120" w:type="dxa"/>
              <w:left w:w="180" w:type="dxa"/>
              <w:bottom w:w="120" w:type="dxa"/>
              <w:right w:w="180" w:type="dxa"/>
            </w:tcMar>
            <w:vAlign w:val="top"/>
          </w:tcPr>
          <w:p w14:paraId="33671E63">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2025年起：物理AI和具身智能</w:t>
            </w:r>
          </w:p>
        </w:tc>
        <w:tc>
          <w:tcPr>
            <w:tcW w:w="1764" w:type="dxa"/>
            <w:shd w:val="clear" w:color="auto" w:fill="auto"/>
            <w:tcMar>
              <w:top w:w="120" w:type="dxa"/>
              <w:left w:w="180" w:type="dxa"/>
              <w:bottom w:w="120" w:type="dxa"/>
              <w:right w:w="180" w:type="dxa"/>
            </w:tcMar>
            <w:vAlign w:val="top"/>
          </w:tcPr>
          <w:p w14:paraId="4DF5EDD4">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vla、多模态大模型、世界模型</w:t>
            </w:r>
          </w:p>
        </w:tc>
        <w:tc>
          <w:tcPr>
            <w:tcW w:w="2328" w:type="dxa"/>
            <w:shd w:val="clear" w:color="auto" w:fill="auto"/>
            <w:tcMar>
              <w:top w:w="120" w:type="dxa"/>
              <w:left w:w="180" w:type="dxa"/>
              <w:bottom w:w="120" w:type="dxa"/>
              <w:right w:w="180" w:type="dxa"/>
            </w:tcMar>
            <w:vAlign w:val="top"/>
          </w:tcPr>
          <w:p w14:paraId="39CF473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通用人形机器人、智能家政服务、医疗手术辅助机器人</w:t>
            </w:r>
          </w:p>
        </w:tc>
        <w:tc>
          <w:tcPr>
            <w:tcW w:w="4101" w:type="dxa"/>
            <w:shd w:val="clear" w:color="auto" w:fill="auto"/>
            <w:tcMar>
              <w:top w:w="120" w:type="dxa"/>
              <w:left w:w="180" w:type="dxa"/>
              <w:bottom w:w="120" w:type="dxa"/>
              <w:right w:w="180" w:type="dxa"/>
            </w:tcMar>
            <w:vAlign w:val="top"/>
          </w:tcPr>
          <w:p w14:paraId="7A7E0C52">
            <w:pPr>
              <w:keepNext w:val="0"/>
              <w:keepLines w:val="0"/>
              <w:widowControl/>
              <w:suppressLineNumbers w:val="0"/>
              <w:spacing w:line="400" w:lineRule="exact"/>
              <w:jc w:val="left"/>
              <w:rPr>
                <w:rFonts w:hint="default" w:eastAsia="宋体"/>
                <w:szCs w:val="21"/>
                <w:rtl w:val="0"/>
                <w:lang w:val="en-US" w:eastAsia="zh-CN"/>
              </w:rPr>
            </w:pPr>
            <w:r>
              <w:rPr>
                <w:rFonts w:hint="default" w:eastAsia="宋体" w:ascii="宋体" w:hAnsi="宋体"/>
                <w:b w:val="0"/>
                <w:sz w:val="24"/>
                <w:szCs w:val="21"/>
                <w:rtl w:val="0"/>
                <w:lang w:val="en-US" w:eastAsia="zh-CN"/>
              </w:rPr>
              <w:t>以交互与物理操作为核心，通过部</w:t>
            </w:r>
            <w:r>
              <w:rPr>
                <w:rFonts w:ascii="宋体" w:hAnsi="宋体" w:eastAsia="宋体" w:cs="宋体"/>
                <w:b w:val="0"/>
                <w:kern w:val="0"/>
                <w:sz w:val="24"/>
                <w:szCs w:val="24"/>
                <w:lang w:val="en-US" w:eastAsia="zh-CN" w:bidi="ar"/>
              </w:rPr>
              <w:t>通过部署具备数字化与具身能力的实体载体</w:t>
            </w:r>
            <w:r>
              <w:rPr>
                <w:rFonts w:hint="default" w:eastAsia="宋体" w:ascii="宋体" w:hAnsi="宋体"/>
                <w:b w:val="0"/>
                <w:sz w:val="24"/>
                <w:szCs w:val="21"/>
                <w:rtl w:val="0"/>
                <w:lang w:val="en-US" w:eastAsia="zh-CN"/>
              </w:rPr>
              <w:t>直接参与生产与服务。商业模式由一次性整机销售</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逐步演进为降低客户前期投入的“机器人即服务（RaaS）”模式，最终发展至按任务完成效果付费新阶段。</w:t>
            </w:r>
          </w:p>
        </w:tc>
      </w:tr>
    </w:tbl>
    <w:p w14:paraId="283EA41B">
      <w:pPr>
        <w:spacing w:line="400" w:lineRule="exact"/>
        <w:ind w:firstLine="0"/>
        <w:rPr>
          <w:rFonts w:hint="eastAsia"/>
          <w:lang w:val="en-US" w:eastAsia="zh-CN"/>
        </w:rPr>
      </w:pPr>
    </w:p>
    <w:p w14:paraId="5E63A1C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在企业层面，人工智能的应用呈现出显著的高普及度与深度分化并存的结构特征。根据麦肯锡2025年发布的人工智能应用现状调研，全球已有近90%的受访企业在至少一个业务职能中实现了人工智能的常态化应用，较上一年度的78%明显提升；同时，83%的企业已开始常态化使用生成式人工智能技术。中国企业在这一轮转型浪潮中表现出较强的推进力度，约45%的受访企业实现了人工智能的规模化或全面部署，高于全球38%的均值，展现出在AI应用深度上的相对领先优势</w:t>
      </w:r>
      <w:r>
        <w:rPr>
          <w:rFonts w:hint="eastAsia" w:ascii="宋体" w:hAnsi="宋体" w:eastAsia="宋体"/>
          <w:b w:val="0"/>
          <w:sz w:val="24"/>
          <w:vertAlign w:val="superscript"/>
          <w:lang w:val="en-US" w:eastAsia="zh-CN"/>
        </w:rPr>
        <w:t>[45]</w:t>
      </w:r>
      <w:r>
        <w:rPr>
          <w:rFonts w:hint="eastAsia" w:ascii="宋体" w:hAnsi="宋体" w:eastAsia="宋体"/>
          <w:b w:val="0"/>
          <w:sz w:val="24"/>
          <w:lang w:val="en-US" w:eastAsia="zh-CN"/>
        </w:rPr>
        <w:t>。</w:t>
      </w:r>
    </w:p>
    <w:p w14:paraId="2B10F8D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然而，在应用广度快速扩张的同时，人工智能在企业内部的渗透深度与商业化成效却呈现明显分化。仅有34%的企业开始利用人工智能深度转型业务，30%的企业正在围绕人工智能重新设计关键流程，而其余近37%的企业只是浅尝辄止地使用人工智能，对底层业务流程几乎没有或根本没有改变</w:t>
      </w:r>
      <w:r>
        <w:rPr>
          <w:rFonts w:hint="eastAsia" w:ascii="宋体" w:hAnsi="宋体" w:eastAsia="宋体"/>
          <w:b w:val="0"/>
          <w:sz w:val="24"/>
          <w:vertAlign w:val="superscript"/>
          <w:lang w:val="en-US" w:eastAsia="zh-CN"/>
        </w:rPr>
        <w:t>[7]</w:t>
      </w:r>
      <w:r>
        <w:rPr>
          <w:rFonts w:hint="eastAsia" w:ascii="宋体" w:hAnsi="宋体" w:eastAsia="宋体"/>
          <w:b w:val="0"/>
          <w:sz w:val="24"/>
          <w:lang w:val="en-US" w:eastAsia="zh-CN"/>
        </w:rPr>
        <w:t>。其中，在企业的具体应用中，人工智能已在效率和生产力方面带来广泛提升；然而，收入增长在很大程度上仍停留在愿景阶段，74%的企业希望未来通过人工智能项目实现收入增长，而目前仅有20%的企业实现了这一目标。就整体财务回报而言，AI应用尚未能显著撬动大多数企业的整体息税折旧摊销前利润（EBIT）。数据显示，仅有39%的受访者认为AI对EBIT产生了某种程度的实质性影响，且在这些企业中，绝大多数表示AI对利润的拉动贡献率仍不足5%</w:t>
      </w:r>
      <w:r>
        <w:rPr>
          <w:rFonts w:hint="eastAsia" w:ascii="宋体" w:hAnsi="宋体" w:eastAsia="宋体"/>
          <w:b w:val="0"/>
          <w:sz w:val="24"/>
          <w:vertAlign w:val="superscript"/>
          <w:lang w:val="en-US" w:eastAsia="zh-CN"/>
        </w:rPr>
        <w:t>[7]</w:t>
      </w:r>
      <w:r>
        <w:rPr>
          <w:rFonts w:hint="eastAsia" w:ascii="宋体" w:hAnsi="宋体" w:eastAsia="宋体"/>
          <w:b w:val="0"/>
          <w:sz w:val="24"/>
          <w:lang w:val="en-US" w:eastAsia="zh-CN"/>
        </w:rPr>
        <w:t>。</w:t>
      </w:r>
    </w:p>
    <w:p w14:paraId="6EE9B484">
      <w:pPr>
        <w:spacing w:line="400" w:lineRule="exact"/>
        <w:ind w:firstLineChars="0" w:firstLine="0"/>
        <w:rPr>
          <w:rFonts w:hint="default"/>
          <w:lang w:val="en-US" w:eastAsia="zh-CN"/>
        </w:rPr>
      </w:pPr>
      <w:r>
        <w:rPr>
          <w:rFonts w:hint="default"/>
          <w:lang w:val="en-US" w:eastAsia="zh-CN"/>
        </w:rPr>
        <w:drawing>
          <wp:inline distT="0" distB="0" distL="114300" distR="114300">
            <wp:extent cx="5384800" cy="2641600"/>
            <wp:effectExtent l="6350" t="6350" r="27305" b="1143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1A3BD30">
      <w:pPr>
        <w:pStyle w:val="6"/>
        <w:spacing w:afterLines="0" w:line="400" w:lineRule="exact"/>
        <w:ind w:firstLine="0"/>
        <w:jc w:val="left"/>
        <w:rPr>
          <w:rFonts w:hint="default" w:eastAsia="宋体"/>
          <w:sz w:val="21"/>
          <w:szCs w:val="21"/>
          <w:lang w:val="en-US" w:eastAsia="zh-CN"/>
        </w:rPr>
      </w:pPr>
      <w:bookmarkStart w:id="29" w:name="_Toc389623301"/>
      <w:r>
        <w:rPr>
          <w:rFonts w:hint="eastAsia" w:eastAsia="宋体" w:ascii="宋体" w:hAnsi="宋体"/>
          <w:b w:val="0"/>
          <w:sz w:val="24"/>
          <w:szCs w:val="21"/>
          <w:lang w:val="en-US" w:eastAsia="zh-CN"/>
        </w:rPr>
        <w:t>数据来源：Deloitte</w:t>
      </w:r>
    </w:p>
    <w:p w14:paraId="5CAD511B">
      <w:pPr>
        <w:pStyle w:val="6"/>
        <w:spacing w:afterLines="0"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1</w:t>
      </w:r>
      <w:r>
        <w:rPr>
          <w:rFonts w:hint="eastAsia" w:eastAsia="宋体" w:ascii="宋体" w:hAnsi="宋体"/>
          <w:b w:val="0"/>
          <w:sz w:val="24"/>
          <w:szCs w:val="21"/>
        </w:rPr>
        <w:t xml:space="preserve"> </w:t>
      </w:r>
      <w:bookmarkEnd w:id="29"/>
      <w:r>
        <w:rPr>
          <w:rFonts w:hint="eastAsia" w:eastAsia="宋体" w:ascii="宋体" w:hAnsi="宋体"/>
          <w:b w:val="0"/>
          <w:sz w:val="24"/>
          <w:szCs w:val="21"/>
          <w:lang w:val="en-US" w:eastAsia="zh-CN"/>
        </w:rPr>
        <w:t>企业</w:t>
      </w:r>
      <w:r>
        <w:rPr>
          <w:rFonts w:hint="eastAsia" w:eastAsia="宋体" w:ascii="宋体" w:hAnsi="宋体"/>
          <w:b w:val="0"/>
          <w:sz w:val="24"/>
          <w:szCs w:val="21"/>
        </w:rPr>
        <w:t>AI效益</w:t>
      </w:r>
      <w:r>
        <w:rPr>
          <w:rFonts w:hint="eastAsia" w:eastAsia="宋体" w:ascii="宋体" w:hAnsi="宋体"/>
          <w:b w:val="0"/>
          <w:sz w:val="24"/>
          <w:szCs w:val="21"/>
          <w:lang w:val="en-US" w:eastAsia="zh-CN"/>
        </w:rPr>
        <w:t>概览图</w:t>
      </w:r>
    </w:p>
    <w:p w14:paraId="2C602DEE">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w:t>
      </w:r>
      <w:r>
        <w:rPr>
          <w:rFonts w:hint="default" w:ascii="黑体" w:hAnsi="黑体" w:eastAsia="黑体"/>
          <w:b/>
          <w:sz w:val="24"/>
          <w:lang w:val="en-US" w:eastAsia="zh-CN"/>
        </w:rPr>
        <w:t>.1.</w:t>
      </w:r>
      <w:r>
        <w:rPr>
          <w:rFonts w:hint="eastAsia" w:ascii="黑体" w:hAnsi="黑体" w:eastAsia="黑体"/>
          <w:b/>
          <w:sz w:val="24"/>
          <w:lang w:val="en-US" w:eastAsia="zh-CN"/>
        </w:rPr>
        <w:t>3</w:t>
      </w:r>
      <w:r>
        <w:rPr>
          <w:rFonts w:hint="default" w:ascii="黑体" w:hAnsi="黑体" w:eastAsia="黑体"/>
          <w:b/>
          <w:sz w:val="24"/>
          <w:lang w:val="en-US" w:eastAsia="zh-CN"/>
        </w:rPr>
        <w:t xml:space="preserve"> 人工智能应用层</w:t>
      </w:r>
      <w:r>
        <w:rPr>
          <w:rFonts w:hint="eastAsia" w:ascii="黑体" w:hAnsi="黑体" w:eastAsia="黑体"/>
          <w:b/>
          <w:sz w:val="24"/>
          <w:lang w:val="en-US" w:eastAsia="zh-CN"/>
        </w:rPr>
        <w:t>竞争格局</w:t>
      </w:r>
    </w:p>
    <w:p w14:paraId="15C6F8F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人工智能应用层的竞争格局已不再是单一的规模比拼，而逐步演化为围绕算力供给能力与垂直场景落地能力展开的综合竞争，中小企业和大型企业在不同领域有各自不同的优劣，见表4-2所示。整体呈现出多极化特征，随着模型能力提升以及工程化工具链逐步成熟，中小企业在人工智能应用层的竞争力正在被市场重新评估，其价值更多取决于垂直行业知识沉淀、交付效率与场景适配能力等因素。</w:t>
      </w:r>
    </w:p>
    <w:p w14:paraId="7F606435">
      <w:pPr>
        <w:numPr>
          <w:ilvl w:val="0"/>
          <w:numId w:val="0"/>
        </w:numPr>
        <w:spacing w:line="400" w:lineRule="exact"/>
        <w:ind w:firstLine="0"/>
        <w:jc w:val="left"/>
        <w:rPr>
          <w:rFonts w:hint="default" w:eastAsia="宋体"/>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3</w:t>
      </w:r>
      <w:r>
        <w:rPr>
          <w:rFonts w:hint="eastAsia" w:eastAsia="宋体" w:ascii="宋体" w:hAnsi="宋体"/>
          <w:b w:val="0"/>
          <w:sz w:val="24"/>
          <w:szCs w:val="21"/>
        </w:rPr>
        <w:t xml:space="preserve"> 人工智能应用层竞争格局</w:t>
      </w:r>
      <w:r>
        <w:rPr>
          <w:rFonts w:hint="eastAsia" w:eastAsia="宋体" w:ascii="宋体" w:hAnsi="宋体"/>
          <w:b w:val="0"/>
          <w:sz w:val="24"/>
          <w:szCs w:val="21"/>
          <w:lang w:val="en-US" w:eastAsia="zh-CN"/>
        </w:rPr>
        <w:t>概览表</w:t>
      </w:r>
    </w:p>
    <w:p w14:paraId="667D704A">
      <w:pPr>
        <w:spacing w:line="400" w:lineRule="exact"/>
        <w:ind w:firstLineChars="0" w:firstLine="0"/>
        <w:rPr>
          <w:rFonts w:hint="eastAsia"/>
          <w:lang w:val="en-US" w:eastAsia="zh-CN"/>
        </w:rPr>
      </w:pPr>
    </w:p>
    <w:tbl>
      <w:tblPr>
        <w:tblStyle w:val="31"/>
        <w:tblW w:w="8710" w:type="dxa"/>
        <w:tblInd w:w="0" w:type="dxa"/>
        <w:tblBorders>
          <w:top w:val="single" w:color="auto" w:sz="4" w:space="0"/>
          <w:left w:val="none" w:color="auto" w:sz="6" w:space="0"/>
          <w:bottom w:val="single" w:color="auto" w:sz="4" w:space="0"/>
          <w:right w:val="none" w:color="auto" w:sz="6"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054"/>
        <w:gridCol w:w="3554"/>
        <w:gridCol w:w="4102"/>
      </w:tblGrid>
      <w:tr w14:paraId="357A1EAD">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DFEC78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维度</w:t>
            </w:r>
          </w:p>
        </w:tc>
        <w:tc>
          <w:tcPr>
            <w:tcW w:w="3554" w:type="dxa"/>
            <w:shd w:val="clear" w:color="auto" w:fill="auto"/>
            <w:tcMar>
              <w:top w:w="40" w:type="dxa"/>
              <w:left w:w="60" w:type="dxa"/>
              <w:bottom w:w="40" w:type="dxa"/>
              <w:right w:w="60" w:type="dxa"/>
            </w:tcMar>
            <w:vAlign w:val="top"/>
          </w:tcPr>
          <w:p w14:paraId="1B9E4F2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 xml:space="preserve">大型企业 </w:t>
            </w:r>
          </w:p>
        </w:tc>
        <w:tc>
          <w:tcPr>
            <w:tcW w:w="4102" w:type="dxa"/>
            <w:shd w:val="clear" w:color="auto" w:fill="auto"/>
            <w:tcMar>
              <w:top w:w="40" w:type="dxa"/>
              <w:bottom w:w="40" w:type="dxa"/>
            </w:tcMar>
            <w:vAlign w:val="top"/>
          </w:tcPr>
          <w:p w14:paraId="5A7C5C9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 xml:space="preserve">中小企业 </w:t>
            </w:r>
          </w:p>
        </w:tc>
      </w:tr>
      <w:tr w14:paraId="241B798F">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E127CE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核心竞争策略</w:t>
            </w:r>
          </w:p>
        </w:tc>
        <w:tc>
          <w:tcPr>
            <w:tcW w:w="3554" w:type="dxa"/>
            <w:shd w:val="clear" w:color="auto" w:fill="auto"/>
            <w:tcMar>
              <w:top w:w="40" w:type="dxa"/>
              <w:left w:w="60" w:type="dxa"/>
              <w:bottom w:w="40" w:type="dxa"/>
              <w:right w:w="60" w:type="dxa"/>
            </w:tcMar>
            <w:vAlign w:val="top"/>
          </w:tcPr>
          <w:p w14:paraId="53580490">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全栈布局与生态嵌入：依托底层算力与模型优势，将AI功能集成至既有产品矩阵。</w:t>
            </w:r>
          </w:p>
        </w:tc>
        <w:tc>
          <w:tcPr>
            <w:tcW w:w="4102" w:type="dxa"/>
            <w:shd w:val="clear" w:color="auto" w:fill="auto"/>
            <w:tcMar>
              <w:top w:w="40" w:type="dxa"/>
              <w:bottom w:w="40" w:type="dxa"/>
            </w:tcMar>
            <w:vAlign w:val="top"/>
          </w:tcPr>
          <w:p w14:paraId="51E30A16">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垂直化与流程驱动：深耕细分场景，通过行业知识沉淀与执行型智能体实现交付闭环。</w:t>
            </w:r>
          </w:p>
        </w:tc>
      </w:tr>
      <w:tr w14:paraId="2D90733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65A7342D">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主要优势</w:t>
            </w:r>
          </w:p>
        </w:tc>
        <w:tc>
          <w:tcPr>
            <w:tcW w:w="3554" w:type="dxa"/>
            <w:shd w:val="clear" w:color="auto" w:fill="auto"/>
            <w:tcMar>
              <w:top w:w="40" w:type="dxa"/>
              <w:left w:w="60" w:type="dxa"/>
              <w:bottom w:w="40" w:type="dxa"/>
              <w:right w:w="60" w:type="dxa"/>
            </w:tcMar>
            <w:vAlign w:val="top"/>
          </w:tcPr>
          <w:p w14:paraId="53A3F9A7">
            <w:pPr>
              <w:numPr>
                <w:ilvl w:val="0"/>
                <w:numId w:val="9"/>
              </w:num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算力与模型：自研大模型及大规模GPU集群，边际成本低，算力供给稳定。</w:t>
            </w:r>
          </w:p>
          <w:p w14:paraId="27D71364">
            <w:pPr>
              <w:numPr>
                <w:ilvl w:val="0"/>
                <w:numId w:val="9"/>
              </w:numPr>
              <w:spacing w:line="400" w:lineRule="exact"/>
              <w:ind w:left="0" w:leftChars="0" w:right="-58" w:rightChars="-24" w:firstLine="0" w:firstLineChars="0"/>
              <w:jc w:val="left"/>
              <w:rPr>
                <w:rFonts w:hint="default" w:eastAsia="宋体"/>
                <w:szCs w:val="21"/>
                <w:rtl w:val="0"/>
                <w:lang w:val="en-US" w:eastAsia="zh-CN"/>
              </w:rPr>
            </w:pPr>
            <w:r>
              <w:rPr>
                <w:rFonts w:hint="default" w:eastAsia="宋体" w:ascii="宋体" w:hAnsi="宋体"/>
                <w:b w:val="0"/>
                <w:sz w:val="24"/>
                <w:szCs w:val="21"/>
                <w:rtl w:val="0"/>
                <w:lang w:val="en-US" w:eastAsia="zh-CN"/>
              </w:rPr>
              <w:t>生态协同：利用庞大用户群</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加速场景验证与获客。</w:t>
            </w:r>
          </w:p>
          <w:p w14:paraId="4CBF7144">
            <w:pPr>
              <w:numPr>
                <w:ilvl w:val="0"/>
                <w:numId w:val="0"/>
              </w:numPr>
              <w:spacing w:line="400" w:lineRule="exact"/>
              <w:ind w:leftChars="0"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3. 人才虹吸：资金实力雄厚，对高薪算法岗位人才吸引力强。</w:t>
            </w:r>
          </w:p>
        </w:tc>
        <w:tc>
          <w:tcPr>
            <w:tcW w:w="4102" w:type="dxa"/>
            <w:shd w:val="clear" w:color="auto" w:fill="auto"/>
            <w:tcMar>
              <w:top w:w="40" w:type="dxa"/>
              <w:bottom w:w="40" w:type="dxa"/>
            </w:tcMar>
            <w:vAlign w:val="top"/>
          </w:tcPr>
          <w:p w14:paraId="078CA29B">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1. 交付效率：团队扁平、响应快；利用Agentic AI等工具降低开发门槛，实现高频迭代。</w:t>
            </w:r>
          </w:p>
          <w:p w14:paraId="223CF370">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2. 行业深耕：掌握特定行业（医疗、法律等）专有数据，构建数据护城河。</w:t>
            </w:r>
          </w:p>
          <w:p w14:paraId="3ACFBD2D">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3. 低沟通成本：组织决策链条短，信息损耗小。</w:t>
            </w:r>
          </w:p>
        </w:tc>
      </w:tr>
      <w:tr w14:paraId="4243A3DB">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3C8C8E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劣势与约束</w:t>
            </w:r>
          </w:p>
        </w:tc>
        <w:tc>
          <w:tcPr>
            <w:tcW w:w="3554" w:type="dxa"/>
            <w:shd w:val="clear" w:color="auto" w:fill="auto"/>
            <w:tcMar>
              <w:top w:w="40" w:type="dxa"/>
              <w:left w:w="60" w:type="dxa"/>
              <w:bottom w:w="40" w:type="dxa"/>
              <w:right w:w="60" w:type="dxa"/>
            </w:tcMar>
            <w:vAlign w:val="top"/>
          </w:tcPr>
          <w:p w14:paraId="6D328B6F">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组织效率瓶颈：决策链条长、跨部门协调成本高，易出现“委托—代理”问题，导致对市场变化响应滞后。</w:t>
            </w:r>
          </w:p>
        </w:tc>
        <w:tc>
          <w:tcPr>
            <w:tcW w:w="4102" w:type="dxa"/>
            <w:shd w:val="clear" w:color="auto" w:fill="auto"/>
            <w:tcMar>
              <w:top w:w="40" w:type="dxa"/>
              <w:bottom w:w="40" w:type="dxa"/>
            </w:tcMar>
            <w:vAlign w:val="top"/>
          </w:tcPr>
          <w:p w14:paraId="173A8507">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资源约束：算力资源与资金储备相对薄弱。</w:t>
            </w:r>
          </w:p>
        </w:tc>
      </w:tr>
      <w:tr w14:paraId="5FDE075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0F17766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价值体现</w:t>
            </w:r>
          </w:p>
        </w:tc>
        <w:tc>
          <w:tcPr>
            <w:tcW w:w="3554" w:type="dxa"/>
            <w:shd w:val="clear" w:color="auto" w:fill="auto"/>
            <w:tcMar>
              <w:top w:w="40" w:type="dxa"/>
              <w:left w:w="60" w:type="dxa"/>
              <w:bottom w:w="40" w:type="dxa"/>
              <w:right w:w="60" w:type="dxa"/>
            </w:tcMar>
            <w:vAlign w:val="top"/>
          </w:tcPr>
          <w:p w14:paraId="5CD8EA77">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技术引领者：主导技术迭代方向，发挥规模化商业落地的路径引领作用。</w:t>
            </w:r>
          </w:p>
        </w:tc>
        <w:tc>
          <w:tcPr>
            <w:tcW w:w="4102" w:type="dxa"/>
            <w:shd w:val="clear" w:color="auto" w:fill="auto"/>
            <w:tcMar>
              <w:top w:w="40" w:type="dxa"/>
              <w:bottom w:w="40" w:type="dxa"/>
            </w:tcMar>
            <w:vAlign w:val="top"/>
          </w:tcPr>
          <w:p w14:paraId="7F9F5908">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新型数字劳动力：在特定工作流中追求“零差错”与深度适配，解决垂直行业痛点。</w:t>
            </w:r>
          </w:p>
        </w:tc>
      </w:tr>
      <w:tr w14:paraId="7A2E1E64">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699C626">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典型代表</w:t>
            </w:r>
          </w:p>
        </w:tc>
        <w:tc>
          <w:tcPr>
            <w:tcW w:w="3554" w:type="dxa"/>
            <w:shd w:val="clear" w:color="auto" w:fill="auto"/>
            <w:tcMar>
              <w:top w:w="40" w:type="dxa"/>
              <w:left w:w="60" w:type="dxa"/>
              <w:bottom w:w="40" w:type="dxa"/>
              <w:right w:w="60" w:type="dxa"/>
            </w:tcMar>
            <w:vAlign w:val="top"/>
          </w:tcPr>
          <w:p w14:paraId="18AD560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覆盖“基础层—技术层—应用层”的纵深布局。</w:t>
            </w:r>
          </w:p>
        </w:tc>
        <w:tc>
          <w:tcPr>
            <w:tcW w:w="4102" w:type="dxa"/>
            <w:shd w:val="clear" w:color="auto" w:fill="auto"/>
            <w:tcMar>
              <w:top w:w="40" w:type="dxa"/>
              <w:bottom w:w="40" w:type="dxa"/>
            </w:tcMar>
            <w:vAlign w:val="top"/>
          </w:tcPr>
          <w:p w14:paraId="4A0026D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如医疗领域的Abridge，深度适配专业医生习惯与监管要求。</w:t>
            </w:r>
          </w:p>
        </w:tc>
      </w:tr>
    </w:tbl>
    <w:p w14:paraId="1E164F0F">
      <w:pPr>
        <w:spacing w:line="400" w:lineRule="exact"/>
        <w:ind w:firstLine="0"/>
        <w:rPr>
          <w:rFonts w:hint="eastAsia"/>
          <w:lang w:val="en-US" w:eastAsia="zh-CN"/>
        </w:rPr>
      </w:pPr>
    </w:p>
    <w:p w14:paraId="4C8FA31C">
      <w:pPr>
        <w:pStyle w:val="4"/>
        <w:bidi w:val="0"/>
        <w:spacing w:line="400" w:lineRule="exact"/>
        <w:ind w:firstLine="0"/>
        <w:jc w:val="left"/>
        <w:rPr>
          <w:rFonts w:hint="eastAsia"/>
          <w:lang w:val="en-US" w:eastAsia="zh-CN"/>
        </w:rPr>
      </w:pPr>
      <w:r>
        <w:rPr>
          <w:rFonts w:hint="default" w:ascii="黑体" w:hAnsi="黑体" w:eastAsia="黑体"/>
          <w:b/>
          <w:sz w:val="24"/>
          <w:lang w:val="en-US" w:eastAsia="zh-CN"/>
        </w:rPr>
        <w:t>4.1.</w:t>
      </w:r>
      <w:r>
        <w:rPr>
          <w:rFonts w:hint="eastAsia" w:ascii="黑体" w:hAnsi="黑体" w:eastAsia="黑体"/>
          <w:b/>
          <w:sz w:val="24"/>
          <w:lang w:val="en-US" w:eastAsia="zh-CN"/>
        </w:rPr>
        <w:t>3</w:t>
      </w:r>
      <w:r>
        <w:rPr>
          <w:rFonts w:hint="default" w:ascii="黑体" w:hAnsi="黑体" w:eastAsia="黑体"/>
          <w:b/>
          <w:sz w:val="24"/>
          <w:lang w:val="en-US" w:eastAsia="zh-CN"/>
        </w:rPr>
        <w:t xml:space="preserve">.1 </w:t>
      </w:r>
      <w:r>
        <w:rPr>
          <w:rFonts w:hint="eastAsia" w:ascii="黑体" w:hAnsi="黑体" w:eastAsia="黑体"/>
          <w:b/>
          <w:sz w:val="24"/>
          <w:lang w:val="en-US" w:eastAsia="zh-CN"/>
        </w:rPr>
        <w:t>大型企业</w:t>
      </w:r>
    </w:p>
    <w:p w14:paraId="35A5D9A8">
      <w:pPr>
        <w:bidi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在2025—2026年的竞争周期中，中国人工智能产业的价值分配呈现出向具备全栈布局能力的大型科技企业进一步集聚的趋势。头部综合型企业通过覆盖基础层—技术层—应用层的纵深布局，形成了较强的技术协同与资源整合能力。以阿里云、腾讯、百度、华为等为代表的企业，不仅在技术迭代方向上具有更强的引领作用，也在 AI 商业化规模落地的节奏与路径上发挥了实质性影响。</w:t>
      </w:r>
    </w:p>
    <w:p w14:paraId="16A54213">
      <w:pPr>
        <w:bidi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总体而言，科技大型企业依托其在基础层与技术层的长期积累，在应用层竞争中具备相对优势，主要体现在以下三个方面。</w:t>
      </w:r>
    </w:p>
    <w:p w14:paraId="50498AB2">
      <w:pPr>
        <w:numPr>
          <w:ilvl w:val="0"/>
          <w:numId w:val="1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算力与模型优势。阿里、腾讯、字节等大型科技企业拥有自研的基础大模型和大规模的GPU集群，可在较低的边际成本下开展训练与推理验证，支持应用层产品的持续迭代，并在一定程度上提升算力供给的稳定性与可持续性。</w:t>
      </w:r>
    </w:p>
    <w:p w14:paraId="7556B53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（2）生态优势。大型企业能够将AI功能较为顺畅地嵌入既有产品矩阵与业务链路，降低销售成本并加速场景验证。例如，腾讯可依托微信生态在社交、办公与支付等场景集成 AI 功能；阿里可结合电商链路优化智能导购与运营效率。这种基于既有用户与场景的应用嵌入机制，有助于较快获取规模化用户反馈，并形成一定的获客与留存优势。</w:t>
      </w:r>
    </w:p>
    <w:p w14:paraId="049D6403">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3）人才优势。当下AI领域高薪招人成了普遍现象，脉脉高聘发布《2025春招职场安全感洞察》显示，在新发岗位量前十的技术岗中，大模型算法工程师（平均月薪68051元）、人工智能工程师（平均月薪60768元）、算法工程师（平均月薪52381元）位列高薪岗位的前三。大型科技企业通常具备更强的资金实力与平台效应，在关键岗位人才的吸引、培养与留存方面更具优势。</w:t>
      </w:r>
    </w:p>
    <w:p w14:paraId="19DFFAE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然而，尽管大型科技企业在算力资源、基础模型能力与平台生态等方面通常具有相对优势，但从信息经济学视角看，其既有组织形态在应用层落地中也可能面临更显著的效率约束。首先，跨部门协调、预算审批与长链条的标准流程带来的沟通与对齐成本上升，使资源配置与关键决策更易出现时间滞后，从而降低对外部需求变化的响应速度。其次，决策链条延长会加剧信息摩擦与委托—代理问题，客户需求在层层传递过程中可能出现信息损耗，且不同层级的考核目标与风险偏好差异也可能导致出现向上负责而非对结果负责的现象发生，从而影响产品迭代的速度、质量与方向。</w:t>
      </w:r>
    </w:p>
    <w:p w14:paraId="36A435C8">
      <w:pPr>
        <w:pStyle w:val="4"/>
        <w:spacing w:line="400" w:lineRule="exact"/>
        <w:ind w:firstLine="0"/>
        <w:jc w:val="left"/>
        <w:rPr>
          <w:rFonts w:hint="eastAsia"/>
          <w:lang w:val="en-US" w:eastAsia="zh-CN"/>
        </w:rPr>
      </w:pPr>
      <w:r>
        <w:rPr>
          <w:rFonts w:hint="eastAsia" w:ascii="黑体" w:hAnsi="黑体" w:eastAsia="黑体"/>
          <w:b/>
          <w:sz w:val="24"/>
          <w:lang w:val="en-US" w:eastAsia="zh-CN"/>
        </w:rPr>
        <w:t>4.1.3.2 中小企业</w:t>
      </w:r>
    </w:p>
    <w:p w14:paraId="3433E1F7">
      <w:pPr>
        <w:spacing w:line="400" w:lineRule="exact"/>
        <w:ind w:firstLineChars="0" w:firstLine="0"/>
        <w:jc w:val="left"/>
        <w:rPr>
          <w:rFonts w:hint="default"/>
          <w:lang w:val="en-US" w:eastAsia="zh-CN"/>
        </w:rPr>
      </w:pPr>
      <w:r>
        <w:rPr>
          <w:rFonts w:hint="default" w:ascii="宋体" w:hAnsi="宋体" w:eastAsia="宋体"/>
          <w:b w:val="0"/>
          <w:sz w:val="24"/>
          <w:lang w:val="en-US" w:eastAsia="zh-CN"/>
        </w:rPr>
        <w:t>在生成式人工智能</w:t>
      </w:r>
      <w:r>
        <w:rPr>
          <w:rFonts w:hint="eastAsia" w:ascii="宋体" w:hAnsi="宋体" w:eastAsia="宋体"/>
          <w:b w:val="0"/>
          <w:sz w:val="24"/>
          <w:lang w:val="en-US" w:eastAsia="zh-CN"/>
        </w:rPr>
        <w:t>以及Agentic AI</w:t>
      </w:r>
      <w:r>
        <w:rPr>
          <w:rFonts w:hint="default" w:ascii="宋体" w:hAnsi="宋体" w:eastAsia="宋体"/>
          <w:b w:val="0"/>
          <w:sz w:val="24"/>
          <w:lang w:val="en-US" w:eastAsia="zh-CN"/>
        </w:rPr>
        <w:t>加速扩散的背景下，中小企业并不必然需要在通用模型层面与大型科技企业直接竞争。更可行的策略是通过垂直化、流程嵌入与特定领域的知识形成可持续的收益与进入壁垒。</w:t>
      </w:r>
      <w:r>
        <w:rPr>
          <w:rFonts w:hint="eastAsia" w:ascii="宋体" w:hAnsi="宋体" w:eastAsia="宋体"/>
          <w:b w:val="0"/>
          <w:sz w:val="24"/>
          <w:lang w:val="en-US" w:eastAsia="zh-CN"/>
        </w:rPr>
        <w:t>中小企业在人工智能应用层的竞争优势可概括如下。</w:t>
      </w:r>
    </w:p>
    <w:p w14:paraId="67EAD168">
      <w:pPr>
        <w:numPr>
          <w:ilvl w:val="0"/>
          <w:numId w:val="11"/>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随着基础大模型与Agent能力持续增强，尤其是2025年编程智能体工具在软件开发中的快速迭代，以及 2026 年以来以OpenClaw为代表的可执行型智能体工具链的出现，使得AI由传统的辅助工具，变为了能够完整实现交付闭环的新型数字劳动力。由此，完成“需求理解—方案设计—开发实现—测试验证—交付运维”的产品门槛在一定程度上被降低，中小企业可以在较少人力投入的条件下提升交付的并行度与迭代频率。与此同时，中小企业的团队结构的小规模扁平化特征，使得其往往具有较高的知识密度，小规模专家团队通过紧密协作与快速反馈提升知识整合效率。这种组织形态能够在一定程度上缩短信息传递链条、降低内部协调成本，并减少需求理解带来的信息摩擦，从而有助于增强其在垂直化应用场景中快速响应需求与持续优化的能力。</w:t>
      </w:r>
    </w:p>
    <w:p w14:paraId="36717A1E">
      <w:pPr>
        <w:numPr>
          <w:ilvl w:val="0"/>
          <w:numId w:val="11"/>
        </w:numPr>
        <w:spacing w:line="400" w:lineRule="exact"/>
        <w:ind w:left="0" w:leftChars="0" w:firstLineChars="0" w:firstLine="0"/>
        <w:jc w:val="left"/>
        <w:rPr>
          <w:rFonts w:hint="default" w:eastAsia="宋体"/>
          <w:lang w:val="en-US" w:eastAsia="zh-CN"/>
        </w:rPr>
      </w:pPr>
      <w:r>
        <w:rPr>
          <w:rFonts w:hint="eastAsia" w:eastAsia="宋体" w:ascii="宋体" w:hAnsi="宋体"/>
          <w:b w:val="0"/>
          <w:sz w:val="24"/>
          <w:lang w:val="en-US" w:eastAsia="zh-CN"/>
        </w:rPr>
        <w:t>深耕行业垂直领域。相较于基础模型强调跨领域通用能力提升，人工智能应用层的竞争更侧重于垂直场景的应用深度。而中小企业由于资源约束更强，使其更易专注于解决特定行业场景中棘手的难题。部分专注于法律、医疗、精密制造等细分场景的中小企业，通过掌握大厂难以获得的行业特有数据，构建了坚实的数据护城河 。它们不追求模型的通用性，而是在特定工作流中追求零差错。例如，在医疗领域，Abridge等公司专注于临床文档自动生成，其采用率在部分顶级医院已接近90%，因为其深度适配了医生的处方习惯和监管合规需求，这是通用助手难以企及的深度。</w:t>
      </w:r>
    </w:p>
    <w:p w14:paraId="60A98621">
      <w:pPr>
        <w:numPr>
          <w:ilvl w:val="0"/>
          <w:numId w:val="0"/>
        </w:numPr>
        <w:spacing w:line="400" w:lineRule="exact"/>
        <w:ind w:left="420" w:leftChars="0" w:firstLine="0"/>
        <w:rPr>
          <w:rFonts w:hint="default" w:eastAsia="宋体"/>
          <w:lang w:val="en-US" w:eastAsia="zh-CN"/>
        </w:rPr>
      </w:pPr>
    </w:p>
    <w:p w14:paraId="0C07CF08">
      <w:pPr>
        <w:numPr>
          <w:ilvl w:val="0"/>
          <w:numId w:val="0"/>
        </w:numPr>
        <w:spacing w:line="400" w:lineRule="exact"/>
        <w:ind w:firstLineChars="0" w:firstLine="0"/>
        <w:jc w:val="left"/>
        <w:rPr>
          <w:rFonts w:hint="default" w:eastAsia="宋体"/>
          <w:lang w:val="en-US" w:eastAsia="zh-CN"/>
        </w:rPr>
      </w:pPr>
      <w:r>
        <w:rPr>
          <w:rFonts w:hint="default" w:eastAsia="宋体" w:ascii="宋体" w:hAnsi="宋体"/>
          <w:b w:val="0"/>
          <w:sz w:val="24"/>
          <w:lang w:val="en-US" w:eastAsia="zh-CN"/>
        </w:rPr>
        <w:t>综上所述，人工智能应用层正处于由生成式大模型向具备任务执行与工具调用能力的智能体，并进一步向具身智能拓展的关键演进阶段。在政策支持与技术底座持续完善的双重驱动下，中国企业</w:t>
      </w:r>
      <w:r>
        <w:rPr>
          <w:rFonts w:hint="eastAsia" w:eastAsia="宋体" w:ascii="宋体" w:hAnsi="宋体"/>
          <w:b w:val="0"/>
          <w:sz w:val="24"/>
          <w:lang w:val="en-US" w:eastAsia="zh-CN"/>
        </w:rPr>
        <w:t>积极推动</w:t>
      </w:r>
      <w:r>
        <w:rPr>
          <w:rFonts w:hint="default" w:eastAsia="宋体" w:ascii="宋体" w:hAnsi="宋体"/>
          <w:b w:val="0"/>
          <w:sz w:val="24"/>
          <w:lang w:val="en-US" w:eastAsia="zh-CN"/>
        </w:rPr>
        <w:t>在人工智能的规模化部署与场景应用。然而，从现实成效看，人工智能应用的价值释放仍呈现阶段性特征</w:t>
      </w:r>
      <w:r>
        <w:rPr>
          <w:rFonts w:hint="eastAsia" w:eastAsia="宋体" w:ascii="宋体" w:hAnsi="宋体"/>
          <w:b w:val="0"/>
          <w:sz w:val="24"/>
          <w:lang w:val="en-US" w:eastAsia="zh-CN"/>
        </w:rPr>
        <w:t>，即</w:t>
      </w:r>
      <w:r>
        <w:rPr>
          <w:rFonts w:hint="default" w:eastAsia="宋体" w:ascii="宋体" w:hAnsi="宋体"/>
          <w:b w:val="0"/>
          <w:sz w:val="24"/>
          <w:lang w:val="en-US" w:eastAsia="zh-CN"/>
        </w:rPr>
        <w:t>效率改善相对明确，而收入增长与利润贡献的稳定实现仍需在商业模式、产品化能力与交付体系上进一步突破。</w:t>
      </w:r>
    </w:p>
    <w:p w14:paraId="1D5304ED">
      <w:pPr>
        <w:numPr>
          <w:ilvl w:val="0"/>
          <w:numId w:val="0"/>
        </w:numPr>
        <w:spacing w:line="400" w:lineRule="exact"/>
        <w:ind w:firstLineChars="0" w:firstLine="0"/>
        <w:jc w:val="left"/>
        <w:rPr>
          <w:rFonts w:hint="default" w:eastAsia="宋体"/>
          <w:lang w:val="en-US" w:eastAsia="zh-CN"/>
        </w:rPr>
      </w:pPr>
      <w:r>
        <w:rPr>
          <w:rFonts w:hint="default" w:eastAsia="宋体" w:ascii="宋体" w:hAnsi="宋体"/>
          <w:b w:val="0"/>
          <w:sz w:val="24"/>
          <w:lang w:val="en-US" w:eastAsia="zh-CN"/>
        </w:rPr>
        <w:t>与此同时，应用层竞争格局呈现明显的多极化特征。大型企业依托算力、基础模型与生态资源，在通用能力建设与规模化落地方面占据</w:t>
      </w:r>
      <w:r>
        <w:rPr>
          <w:rFonts w:hint="eastAsia" w:eastAsia="宋体" w:ascii="宋体" w:hAnsi="宋体"/>
          <w:b w:val="0"/>
          <w:sz w:val="24"/>
          <w:lang w:val="en-US" w:eastAsia="zh-CN"/>
        </w:rPr>
        <w:t>优势</w:t>
      </w:r>
      <w:r>
        <w:rPr>
          <w:rFonts w:hint="default" w:eastAsia="宋体" w:ascii="宋体" w:hAnsi="宋体"/>
          <w:b w:val="0"/>
          <w:sz w:val="24"/>
          <w:lang w:val="en-US" w:eastAsia="zh-CN"/>
        </w:rPr>
        <w:t>地位；</w:t>
      </w:r>
      <w:r>
        <w:rPr>
          <w:rFonts w:hint="eastAsia" w:eastAsia="宋体" w:ascii="宋体" w:hAnsi="宋体"/>
          <w:b w:val="0"/>
          <w:sz w:val="24"/>
          <w:lang w:val="en-US" w:eastAsia="zh-CN"/>
        </w:rPr>
        <w:t>相较之下，</w:t>
      </w:r>
      <w:r>
        <w:rPr>
          <w:rFonts w:hint="default" w:eastAsia="宋体" w:ascii="宋体" w:hAnsi="宋体"/>
          <w:b w:val="0"/>
          <w:sz w:val="24"/>
          <w:lang w:val="en-US" w:eastAsia="zh-CN"/>
        </w:rPr>
        <w:t>中小企业则更可能通过垂直行业知识沉淀、场景适配</w:t>
      </w:r>
      <w:r>
        <w:rPr>
          <w:rFonts w:hint="eastAsia" w:eastAsia="宋体" w:ascii="宋体" w:hAnsi="宋体"/>
          <w:b w:val="0"/>
          <w:sz w:val="24"/>
          <w:lang w:val="en-US" w:eastAsia="zh-CN"/>
        </w:rPr>
        <w:t>深度</w:t>
      </w:r>
      <w:r>
        <w:rPr>
          <w:rFonts w:hint="default" w:eastAsia="宋体" w:ascii="宋体" w:hAnsi="宋体"/>
          <w:b w:val="0"/>
          <w:sz w:val="24"/>
          <w:lang w:val="en-US" w:eastAsia="zh-CN"/>
        </w:rPr>
        <w:t>与敏捷</w:t>
      </w:r>
      <w:r>
        <w:rPr>
          <w:rFonts w:hint="eastAsia" w:eastAsia="宋体" w:ascii="宋体" w:hAnsi="宋体"/>
          <w:b w:val="0"/>
          <w:sz w:val="24"/>
          <w:lang w:val="en-US" w:eastAsia="zh-CN"/>
        </w:rPr>
        <w:t>需求响应</w:t>
      </w:r>
      <w:r>
        <w:rPr>
          <w:rFonts w:hint="default" w:eastAsia="宋体" w:ascii="宋体" w:hAnsi="宋体"/>
          <w:b w:val="0"/>
          <w:sz w:val="24"/>
          <w:lang w:val="en-US" w:eastAsia="zh-CN"/>
        </w:rPr>
        <w:t>能力，在细分</w:t>
      </w:r>
      <w:r>
        <w:rPr>
          <w:rFonts w:hint="eastAsia" w:eastAsia="宋体" w:ascii="宋体" w:hAnsi="宋体"/>
          <w:b w:val="0"/>
          <w:sz w:val="24"/>
          <w:lang w:val="en-US" w:eastAsia="zh-CN"/>
        </w:rPr>
        <w:t>垂直场景</w:t>
      </w:r>
      <w:r>
        <w:rPr>
          <w:rFonts w:hint="default" w:eastAsia="宋体" w:ascii="宋体" w:hAnsi="宋体"/>
          <w:b w:val="0"/>
          <w:sz w:val="24"/>
          <w:lang w:val="en-US" w:eastAsia="zh-CN"/>
        </w:rPr>
        <w:t>中形成差异化竞争</w:t>
      </w:r>
      <w:r>
        <w:rPr>
          <w:rFonts w:hint="eastAsia" w:eastAsia="宋体" w:ascii="宋体" w:hAnsi="宋体"/>
          <w:b w:val="0"/>
          <w:sz w:val="24"/>
          <w:lang w:val="en-US" w:eastAsia="zh-CN"/>
        </w:rPr>
        <w:t>优势</w:t>
      </w:r>
      <w:r>
        <w:rPr>
          <w:rFonts w:hint="default" w:eastAsia="宋体" w:ascii="宋体" w:hAnsi="宋体"/>
          <w:b w:val="0"/>
          <w:sz w:val="24"/>
          <w:lang w:val="en-US" w:eastAsia="zh-CN"/>
        </w:rPr>
        <w:t>。</w:t>
      </w:r>
    </w:p>
    <w:p w14:paraId="554596D4">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4.2 A股人工智能应用层中小企业基本概况</w:t>
      </w:r>
    </w:p>
    <w:p w14:paraId="342CE8F0">
      <w:pPr>
        <w:numPr>
          <w:ilvl w:val="0"/>
          <w:numId w:val="0"/>
        </w:numPr>
        <w:spacing w:line="400" w:lineRule="exact"/>
        <w:ind w:firstLineChars="0" w:firstLine="0"/>
        <w:jc w:val="left"/>
        <w:rPr>
          <w:rFonts w:hint="default"/>
          <w:color w:val="auto"/>
          <w:lang w:val="en-US" w:eastAsia="zh-CN"/>
        </w:rPr>
      </w:pPr>
      <w:r>
        <w:rPr>
          <w:rFonts w:hint="default" w:eastAsia="宋体" w:ascii="宋体" w:hAnsi="宋体"/>
          <w:b w:val="0"/>
          <w:color w:val="auto"/>
          <w:sz w:val="24"/>
          <w:lang w:val="en-US" w:eastAsia="zh-CN"/>
        </w:rPr>
        <w:t>基于</w:t>
      </w:r>
      <w:r>
        <w:rPr>
          <w:rFonts w:hint="eastAsia" w:eastAsia="宋体" w:ascii="宋体" w:hAnsi="宋体"/>
          <w:b w:val="0"/>
          <w:color w:val="auto"/>
          <w:sz w:val="24"/>
          <w:lang w:val="en-US" w:eastAsia="zh-CN"/>
        </w:rPr>
        <w:t>以上背景</w:t>
      </w:r>
      <w:r>
        <w:rPr>
          <w:rFonts w:hint="default" w:eastAsia="宋体" w:ascii="宋体" w:hAnsi="宋体"/>
          <w:b w:val="0"/>
          <w:color w:val="auto"/>
          <w:sz w:val="24"/>
          <w:lang w:val="en-US" w:eastAsia="zh-CN"/>
        </w:rPr>
        <w:t>，</w:t>
      </w:r>
      <w:r>
        <w:rPr>
          <w:rFonts w:hint="eastAsia" w:eastAsia="宋体" w:ascii="宋体" w:hAnsi="宋体"/>
          <w:b w:val="0"/>
          <w:color w:val="auto"/>
          <w:sz w:val="24"/>
          <w:lang w:val="en-US" w:eastAsia="zh-CN"/>
        </w:rPr>
        <w:t>本部分</w:t>
      </w:r>
      <w:r>
        <w:rPr>
          <w:rFonts w:hint="default" w:eastAsia="宋体" w:ascii="宋体" w:hAnsi="宋体"/>
          <w:b w:val="0"/>
          <w:color w:val="auto"/>
          <w:sz w:val="24"/>
          <w:lang w:val="en-US" w:eastAsia="zh-CN"/>
        </w:rPr>
        <w:t>将聚焦A股人工智能应用层中小企业样本，对其</w:t>
      </w:r>
      <w:r>
        <w:rPr>
          <w:rFonts w:hint="eastAsia" w:ascii="宋体" w:hAnsi="宋体" w:eastAsia="宋体"/>
          <w:b w:val="0"/>
          <w:color w:val="auto"/>
          <w:sz w:val="24"/>
          <w:lang w:val="en-US" w:eastAsia="zh-CN"/>
        </w:rPr>
        <w:t>商业化落地模式分类</w:t>
      </w:r>
      <w:r>
        <w:rPr>
          <w:rFonts w:hint="default" w:eastAsia="宋体" w:ascii="宋体" w:hAnsi="宋体"/>
          <w:b w:val="0"/>
          <w:color w:val="auto"/>
          <w:sz w:val="24"/>
          <w:lang w:val="en-US" w:eastAsia="zh-CN"/>
        </w:rPr>
        <w:t>、行业</w:t>
      </w:r>
      <w:r>
        <w:rPr>
          <w:rFonts w:hint="eastAsia" w:ascii="宋体" w:hAnsi="宋体" w:eastAsia="宋体"/>
          <w:b w:val="0"/>
          <w:color w:val="auto"/>
          <w:sz w:val="24"/>
          <w:lang w:val="en-US" w:eastAsia="zh-CN"/>
        </w:rPr>
        <w:t>分布</w:t>
      </w:r>
      <w:r>
        <w:rPr>
          <w:rFonts w:hint="default" w:eastAsia="宋体" w:ascii="宋体" w:hAnsi="宋体"/>
          <w:b w:val="0"/>
          <w:color w:val="auto"/>
          <w:sz w:val="24"/>
          <w:lang w:val="en-US" w:eastAsia="zh-CN"/>
        </w:rPr>
        <w:t>及</w:t>
      </w:r>
      <w:r>
        <w:rPr>
          <w:rFonts w:hint="eastAsia" w:ascii="宋体" w:hAnsi="宋体" w:eastAsia="宋体"/>
          <w:b w:val="0"/>
          <w:color w:val="auto"/>
          <w:sz w:val="24"/>
          <w:lang w:val="en-US" w:eastAsia="zh-CN"/>
        </w:rPr>
        <w:t>人工智能应用落地现状</w:t>
      </w:r>
      <w:r>
        <w:rPr>
          <w:rFonts w:hint="default" w:eastAsia="宋体" w:ascii="宋体" w:hAnsi="宋体"/>
          <w:b w:val="0"/>
          <w:color w:val="auto"/>
          <w:sz w:val="24"/>
          <w:lang w:val="en-US" w:eastAsia="zh-CN"/>
        </w:rPr>
        <w:t>进行描述，为后续盈利能力比较分析奠定样本基础。</w:t>
      </w:r>
    </w:p>
    <w:p w14:paraId="2A51FD76">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4.2.1 企业分类说明</w:t>
      </w:r>
    </w:p>
    <w:p w14:paraId="25473DDD">
      <w:pPr>
        <w:spacing w:line="400" w:lineRule="exact"/>
        <w:ind w:firstLineChars="0" w:firstLine="0"/>
        <w:jc w:val="left"/>
        <w:rPr>
          <w:rFonts w:hint="default"/>
          <w:color w:val="auto"/>
          <w:lang w:val="en-US" w:eastAsia="zh-CN"/>
        </w:rPr>
      </w:pPr>
      <w:r>
        <w:rPr>
          <w:rFonts w:hint="eastAsia" w:ascii="宋体" w:hAnsi="宋体" w:eastAsia="宋体"/>
          <w:b w:val="0"/>
          <w:color w:val="auto"/>
          <w:sz w:val="24"/>
          <w:lang w:val="en-US" w:eastAsia="zh-CN"/>
        </w:rPr>
        <w:t>本文基于对73家代表性人工智能应用层中小企业2024年年度报告及相关公开信息的系统梳理，在充分研读企业主营业务结构、收入确认方式及人工智能应用披露内容的基础上，将其按照人工智能应用的商业化落地模式与业务模式区分为两类，AI独立产品型企业与AI业务赋能型企业。</w:t>
      </w:r>
    </w:p>
    <w:p w14:paraId="4A9002D2">
      <w:pPr>
        <w:spacing w:line="400" w:lineRule="exact"/>
        <w:ind w:firstLineChars="0" w:firstLine="0"/>
        <w:jc w:val="left"/>
        <w:rPr>
          <w:rFonts w:hint="default"/>
          <w:color w:val="auto"/>
          <w:lang w:val="en-US" w:eastAsia="zh-CN"/>
        </w:rPr>
      </w:pPr>
      <w:r>
        <w:rPr>
          <w:rFonts w:hint="eastAsia" w:ascii="宋体" w:hAnsi="宋体" w:eastAsia="宋体"/>
          <w:b w:val="0"/>
          <w:color w:val="auto"/>
          <w:sz w:val="24"/>
          <w:lang w:val="en-US" w:eastAsia="zh-CN"/>
        </w:rPr>
        <w:t>（1）AI独立产品型企业。人工智能能力已形成可对外独立交付或单独确认收入的人工智能产品或服务的企业。在此类企业中，人工智能产品或服务为客户购买的核心对象，其收入通常表现为人工智能产品销售收入、订阅费、系统授权费或算法技术服务费等。</w:t>
      </w:r>
    </w:p>
    <w:p w14:paraId="3502E31B">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2）AI业务赋能型企业。人工智能技术嵌入企业既有主营产品或服务之中，AI应用通过增强产品功能、提升服务质量或改善用户体验等方式提升对外主营产品或服务的市场竞争力，但未形成可对外独立交付或单独确认收入的人工智能产品或服务的企业。</w:t>
      </w:r>
    </w:p>
    <w:p w14:paraId="4FC3D38D">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鉴于人工智能应用具有阶段性特征，部分企业在业务结构上可能呈现过渡性形态。为保证分类口径一致，本文对典型边界情形统一说明如下。</w:t>
      </w:r>
    </w:p>
    <w:p w14:paraId="16B18739">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（1）AI嵌入行业解决方案</w:t>
      </w:r>
    </w:p>
    <w:p w14:paraId="6E558EBE">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若企业在智慧医疗、智能云视频等行业解决方案中深度应用人工智能技术，但收入仍以整体系统或设备销售形式确认，未形成独立人工智能收入分项，则归类为AI业务赋能型企业。</w:t>
      </w:r>
    </w:p>
    <w:p w14:paraId="6A00B152">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（2）自研AI工具服务自身主营业务</w:t>
      </w:r>
    </w:p>
    <w:p w14:paraId="6DA8FBBB">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若企业自研营销Agent、创作工具等人工智能工具，但该工具仅用于自身主营业务生产或服务流程，客户购买的仍为传统服务，则归类为AI业务赋能型。</w:t>
      </w:r>
    </w:p>
    <w:p w14:paraId="4DBFABD1">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（3）AIGC内容生产商业化</w:t>
      </w:r>
    </w:p>
    <w:p w14:paraId="716022F4">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若企业利用人工智能生成小说、漫画、有声书、视频等内容实现变现，但收入来源为内容付费或版权分成，而非AI工具授权或平台订阅，则仍归类为AI业务赋能型。</w:t>
      </w:r>
    </w:p>
    <w:p w14:paraId="610E5313">
      <w:pPr>
        <w:keepNext w:val="0"/>
        <w:keepLines w:val="0"/>
        <w:widowControl/>
        <w:suppressLineNumbers w:val="0"/>
        <w:spacing w:line="400" w:lineRule="exact"/>
        <w:ind w:firstLineChars="0" w:firstLine="0"/>
        <w:jc w:val="left"/>
        <w:rPr>
          <w:rFonts w:ascii="宋体" w:hAnsi="宋体" w:eastAsia="宋体" w:cs="宋体"/>
          <w:color w:val="auto"/>
          <w:kern w:val="0"/>
          <w:sz w:val="24"/>
          <w:szCs w:val="24"/>
          <w:lang w:val="en-US" w:eastAsia="zh-CN" w:bidi="ar"/>
        </w:rPr>
      </w:pPr>
      <w:r>
        <w:rPr>
          <w:rFonts w:hint="eastAsia" w:ascii="宋体" w:hAnsi="宋体" w:eastAsia="宋体"/>
          <w:b w:val="0"/>
          <w:color w:val="auto"/>
          <w:sz w:val="24"/>
          <w:lang w:val="en-US" w:eastAsia="zh-CN"/>
        </w:rPr>
        <w:t>本文基于企业2024年年报披露信息，按照统一判定规则对样本企业进行分类。为降低主观判断偏差，本文对每家企业均保留AI应用披露文本和判定依据记录，并对边界样本进行复核，</w:t>
      </w:r>
      <w:r>
        <w:rPr>
          <w:rFonts w:ascii="宋体" w:hAnsi="宋体" w:eastAsia="宋体" w:cs="宋体"/>
          <w:b w:val="0"/>
          <w:color w:val="auto"/>
          <w:kern w:val="0"/>
          <w:sz w:val="24"/>
          <w:szCs w:val="24"/>
          <w:lang w:val="en-US" w:eastAsia="zh-CN" w:bidi="ar"/>
        </w:rPr>
        <w:t>以确保分类标准的一致性与可追溯性。</w:t>
      </w:r>
    </w:p>
    <w:p w14:paraId="63694E5A">
      <w:pPr>
        <w:keepNext w:val="0"/>
        <w:keepLines w:val="0"/>
        <w:widowControl/>
        <w:suppressLineNumbers w:val="0"/>
        <w:spacing w:line="400" w:lineRule="exact"/>
        <w:ind w:firstLineChars="0" w:firstLine="0"/>
        <w:jc w:val="left"/>
        <w:rPr>
          <w:rFonts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drawing>
          <wp:inline distT="0" distB="0" distL="114300" distR="114300">
            <wp:extent cx="4648200" cy="2616200"/>
            <wp:effectExtent l="6350" t="6350" r="18415" b="2730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C78BAD">
      <w:pPr>
        <w:pStyle w:val="6"/>
        <w:spacing w:afterLines="0" w:line="400" w:lineRule="exact"/>
        <w:ind w:firstLine="0"/>
        <w:jc w:val="left"/>
        <w:rPr>
          <w:rFonts w:hint="default" w:eastAsia="宋体"/>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2</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A股人工智能应用层中小企业样本分类图</w:t>
      </w:r>
    </w:p>
    <w:p w14:paraId="25624C8E">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4.2.2 行业分布</w:t>
      </w:r>
    </w:p>
    <w:p w14:paraId="41645983">
      <w:pPr>
        <w:spacing w:line="400" w:lineRule="exact"/>
        <w:ind w:firstLineChars="0" w:firstLine="0"/>
        <w:jc w:val="left"/>
        <w:rPr>
          <w:rFonts w:hint="default"/>
          <w:lang w:val="en-US" w:eastAsia="zh-CN"/>
        </w:rPr>
      </w:pPr>
      <w:r>
        <w:rPr>
          <w:rFonts w:hint="eastAsia" w:ascii="宋体" w:hAnsi="宋体" w:eastAsia="宋体"/>
          <w:b w:val="0"/>
          <w:sz w:val="24"/>
          <w:lang w:val="en-US" w:eastAsia="zh-CN"/>
        </w:rPr>
        <w:t>首先对A股人工智能应用层中小企业做一个整体的分类和行业分布介绍。</w:t>
      </w:r>
      <w:r>
        <w:rPr>
          <w:rFonts w:hint="default" w:ascii="宋体" w:hAnsi="宋体" w:eastAsia="宋体"/>
          <w:b w:val="0"/>
          <w:sz w:val="24"/>
          <w:lang w:val="en-US" w:eastAsia="zh-CN"/>
        </w:rPr>
        <w:t>根据图4-2，在73家A股人工智能应用层中小企业样本中，AI独立产品型企业38家，占比52.1%；AI业务赋能型企业35家，占比47.9%，两类企业数量整体接近。就行业分布而言，样本企业呈现显著的分层结构：互联网行业占比最高，样本数量达28家</w:t>
      </w:r>
      <w:r>
        <w:rPr>
          <w:rFonts w:hint="eastAsia" w:ascii="宋体" w:hAnsi="宋体" w:eastAsia="宋体"/>
          <w:b w:val="0"/>
          <w:sz w:val="24"/>
          <w:lang w:val="en-US" w:eastAsia="zh-CN"/>
        </w:rPr>
        <w:t>，占比</w:t>
      </w:r>
      <w:r>
        <w:rPr>
          <w:rFonts w:hint="default" w:ascii="宋体" w:hAnsi="宋体" w:eastAsia="宋体"/>
          <w:b w:val="0"/>
          <w:sz w:val="24"/>
          <w:lang w:val="en-US" w:eastAsia="zh-CN"/>
        </w:rPr>
        <w:t>38.4%，构成</w:t>
      </w:r>
      <w:r>
        <w:rPr>
          <w:rFonts w:hint="eastAsia" w:ascii="宋体" w:hAnsi="宋体" w:eastAsia="宋体"/>
          <w:b w:val="0"/>
          <w:sz w:val="24"/>
          <w:lang w:val="en-US" w:eastAsia="zh-CN"/>
        </w:rPr>
        <w:t>人工智能</w:t>
      </w:r>
      <w:r>
        <w:rPr>
          <w:rFonts w:hint="default" w:ascii="宋体" w:hAnsi="宋体" w:eastAsia="宋体"/>
          <w:b w:val="0"/>
          <w:sz w:val="24"/>
          <w:lang w:val="en-US" w:eastAsia="zh-CN"/>
        </w:rPr>
        <w:t>应用层企业的主要聚集</w:t>
      </w:r>
      <w:r>
        <w:rPr>
          <w:rFonts w:hint="eastAsia" w:ascii="宋体" w:hAnsi="宋体" w:eastAsia="宋体"/>
          <w:b w:val="0"/>
          <w:sz w:val="24"/>
          <w:lang w:val="en-US" w:eastAsia="zh-CN"/>
        </w:rPr>
        <w:t>行业</w:t>
      </w:r>
      <w:r>
        <w:rPr>
          <w:rFonts w:hint="default" w:ascii="宋体" w:hAnsi="宋体" w:eastAsia="宋体"/>
          <w:b w:val="0"/>
          <w:sz w:val="24"/>
          <w:lang w:val="en-US" w:eastAsia="zh-CN"/>
        </w:rPr>
        <w:t>；软件服务（9家）与影视音像（8家）处于中部梯队，广告包装、通信设备等行业各约5家；其余行业企业数量多为1–2家。该</w:t>
      </w:r>
      <w:r>
        <w:rPr>
          <w:rFonts w:hint="eastAsia" w:ascii="宋体" w:hAnsi="宋体" w:eastAsia="宋体"/>
          <w:b w:val="0"/>
          <w:sz w:val="24"/>
          <w:lang w:val="en-US" w:eastAsia="zh-CN"/>
        </w:rPr>
        <w:t>行业</w:t>
      </w:r>
      <w:r>
        <w:rPr>
          <w:rFonts w:hint="default" w:ascii="宋体" w:hAnsi="宋体" w:eastAsia="宋体"/>
          <w:b w:val="0"/>
          <w:sz w:val="24"/>
          <w:lang w:val="en-US" w:eastAsia="zh-CN"/>
        </w:rPr>
        <w:t>分布结构呈现较为显著的长尾形态，一方面显示目前进行人工智能应用落地变现的中小企业多集中在互联网与软件服务等数字化基础较强、数据与场景更集中的行业；另一方面根据长尾效应可以得到，当基础模型能力、算力成本与工具链持续优化后，人工智能应用的商业化机会将不再仅由少数头部行业主导，而更可能沿着细分场景在</w:t>
      </w:r>
      <w:r>
        <w:rPr>
          <w:rFonts w:hint="eastAsia" w:ascii="宋体" w:hAnsi="宋体" w:eastAsia="宋体"/>
          <w:b w:val="0"/>
          <w:sz w:val="24"/>
          <w:lang w:val="en-US" w:eastAsia="zh-CN"/>
        </w:rPr>
        <w:t>传统</w:t>
      </w:r>
      <w:r>
        <w:rPr>
          <w:rFonts w:hint="default" w:ascii="宋体" w:hAnsi="宋体" w:eastAsia="宋体"/>
          <w:b w:val="0"/>
          <w:sz w:val="24"/>
          <w:lang w:val="en-US" w:eastAsia="zh-CN"/>
        </w:rPr>
        <w:t>行业中逐步释放</w:t>
      </w:r>
      <w:r>
        <w:rPr>
          <w:rFonts w:hint="eastAsia" w:ascii="宋体" w:hAnsi="宋体" w:eastAsia="宋体"/>
          <w:b w:val="0"/>
          <w:sz w:val="24"/>
          <w:lang w:val="en-US" w:eastAsia="zh-CN"/>
        </w:rPr>
        <w:t>。</w:t>
      </w:r>
    </w:p>
    <w:p w14:paraId="5FD5667D">
      <w:pPr>
        <w:spacing w:line="400" w:lineRule="exact"/>
        <w:ind w:firstLineChars="0" w:firstLine="0"/>
        <w:jc w:val="left"/>
        <w:rPr>
          <w:rFonts w:hint="default"/>
          <w:lang w:val="en-US" w:eastAsia="zh-CN"/>
        </w:rPr>
      </w:pPr>
      <w:r>
        <w:rPr>
          <w:rFonts w:hint="default" w:ascii="宋体" w:hAnsi="宋体" w:eastAsia="宋体"/>
          <w:b w:val="0"/>
          <w:sz w:val="24"/>
          <w:lang w:val="en-US" w:eastAsia="zh-CN"/>
        </w:rPr>
        <w:t>进一步从行业内AI商业化</w:t>
      </w:r>
      <w:r>
        <w:rPr>
          <w:rFonts w:hint="eastAsia" w:ascii="宋体" w:hAnsi="宋体" w:eastAsia="宋体"/>
          <w:b w:val="0"/>
          <w:sz w:val="24"/>
          <w:lang w:val="en-US" w:eastAsia="zh-CN"/>
        </w:rPr>
        <w:t>路径</w:t>
      </w:r>
      <w:r>
        <w:rPr>
          <w:rFonts w:hint="default" w:ascii="宋体" w:hAnsi="宋体" w:eastAsia="宋体"/>
          <w:b w:val="0"/>
          <w:sz w:val="24"/>
          <w:lang w:val="en-US" w:eastAsia="zh-CN"/>
        </w:rPr>
        <w:t>观察，不同行业在产品化与赋能化路径上存在明显差异</w:t>
      </w:r>
      <w:r>
        <w:rPr>
          <w:rFonts w:hint="eastAsia" w:ascii="宋体" w:hAnsi="宋体" w:eastAsia="宋体"/>
          <w:b w:val="0"/>
          <w:sz w:val="24"/>
          <w:lang w:val="en-US" w:eastAsia="zh-CN"/>
        </w:rPr>
        <w:t>，</w:t>
      </w:r>
      <w:r>
        <w:rPr>
          <w:rFonts w:hint="default" w:ascii="宋体" w:hAnsi="宋体" w:eastAsia="宋体"/>
          <w:b w:val="0"/>
          <w:sz w:val="24"/>
          <w:lang w:val="en-US" w:eastAsia="zh-CN"/>
        </w:rPr>
        <w:t>软件服务（8:1）、电器仪表（3:1）与专用机械（2:0）等偏技术与工业属性行业中，AI独立产品型占比相对更高；相较之下，影视音像、广告包装等偏内容传播行业中，AI业务赋能型企业占比更突出</w:t>
      </w:r>
      <w:r>
        <w:rPr>
          <w:rFonts w:hint="eastAsia" w:ascii="宋体" w:hAnsi="宋体" w:eastAsia="宋体"/>
          <w:b w:val="0"/>
          <w:sz w:val="24"/>
          <w:lang w:val="en-US" w:eastAsia="zh-CN"/>
        </w:rPr>
        <w:t>。</w:t>
      </w:r>
      <w:r>
        <w:rPr>
          <w:rFonts w:hint="default" w:ascii="宋体" w:hAnsi="宋体" w:eastAsia="宋体"/>
          <w:b w:val="0"/>
          <w:sz w:val="24"/>
          <w:lang w:val="en-US" w:eastAsia="zh-CN"/>
        </w:rPr>
        <w:t>上述分布特征表明，A股人工智能应用层中小企业的AI商业化形态与行业属性存在一定对应关系</w:t>
      </w:r>
      <w:r>
        <w:rPr>
          <w:rFonts w:hint="eastAsia" w:ascii="宋体" w:hAnsi="宋体" w:eastAsia="宋体"/>
          <w:b w:val="0"/>
          <w:sz w:val="24"/>
          <w:lang w:val="en-US" w:eastAsia="zh-CN"/>
        </w:rPr>
        <w:t>，</w:t>
      </w:r>
      <w:r>
        <w:rPr>
          <w:rFonts w:hint="default" w:ascii="宋体" w:hAnsi="宋体" w:eastAsia="宋体"/>
          <w:b w:val="0"/>
          <w:sz w:val="24"/>
          <w:lang w:val="en-US" w:eastAsia="zh-CN"/>
        </w:rPr>
        <w:t>内容传播与流量运营相关行业更倾向于将AI作为既有业务的效率与体验增强工具，而工业与技术服务相关行业更可能通过产品化路径形成</w:t>
      </w:r>
      <w:r>
        <w:rPr>
          <w:rFonts w:hint="eastAsia" w:ascii="宋体" w:hAnsi="宋体" w:eastAsia="宋体"/>
          <w:b w:val="0"/>
          <w:sz w:val="24"/>
          <w:lang w:val="en-US" w:eastAsia="zh-CN"/>
        </w:rPr>
        <w:t>可</w:t>
      </w:r>
      <w:r>
        <w:rPr>
          <w:rFonts w:hint="default" w:ascii="宋体" w:hAnsi="宋体" w:eastAsia="宋体"/>
          <w:b w:val="0"/>
          <w:sz w:val="24"/>
          <w:lang w:val="en-US" w:eastAsia="zh-CN"/>
        </w:rPr>
        <w:t>独立交付或单独确认收入的人工智能产品或服务</w:t>
      </w:r>
      <w:r>
        <w:rPr>
          <w:rFonts w:hint="eastAsia" w:ascii="宋体" w:hAnsi="宋体" w:eastAsia="宋体"/>
          <w:b w:val="0"/>
          <w:sz w:val="24"/>
          <w:lang w:val="en-US" w:eastAsia="zh-CN"/>
        </w:rPr>
        <w:t>。</w:t>
      </w:r>
    </w:p>
    <w:p w14:paraId="443E1D31">
      <w:pPr>
        <w:spacing w:line="400" w:lineRule="exact"/>
        <w:ind w:firstLine="0"/>
      </w:pPr>
      <w:r>
        <w:drawing>
          <wp:inline distT="0" distB="0" distL="114300" distR="114300">
            <wp:extent cx="5207000" cy="2641600"/>
            <wp:effectExtent l="6350" t="6350" r="6985" b="17145"/>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EFB3F9">
      <w:pPr>
        <w:pStyle w:val="6"/>
        <w:spacing w:afterLines="0" w:line="400" w:lineRule="exact"/>
        <w:ind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3</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A股人工智能应用层中小企业行业分布图</w:t>
      </w:r>
    </w:p>
    <w:p w14:paraId="15D4535F">
      <w:pPr>
        <w:spacing w:line="400" w:lineRule="exact"/>
        <w:ind w:firstLine="0"/>
        <w:rPr>
          <w:rFonts w:hint="default"/>
          <w:lang w:val="en-US" w:eastAsia="zh-CN"/>
        </w:rPr>
      </w:pPr>
    </w:p>
    <w:p w14:paraId="7D8C8BC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4.2.3 人工智能应用落地现状</w:t>
      </w:r>
    </w:p>
    <w:p w14:paraId="7A46AD3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层中小企业的人工智能应用落地方向可总结为AI+营销电商、AI+工业智能、AI+内容IP和AI+知识服务四类，其分布见图4-4。上述分类从应用场景与价值创造环节出发，能够较为系统地呈现样本企业在人工智能应用落地过程中的商业化路径差异。</w:t>
      </w:r>
    </w:p>
    <w:p w14:paraId="74159DD7">
      <w:pPr>
        <w:numPr>
          <w:ilvl w:val="0"/>
          <w:numId w:val="12"/>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AI+营销电商</w:t>
      </w:r>
      <w:r>
        <w:rPr>
          <w:rFonts w:hint="eastAsia" w:ascii="宋体" w:hAnsi="宋体" w:eastAsia="宋体"/>
          <w:b w:val="0"/>
          <w:sz w:val="24"/>
          <w:lang w:val="en-US" w:eastAsia="zh-CN"/>
        </w:rPr>
        <w:br w:type="textWrapping"/>
      </w:r>
      <w:r>
        <w:rPr>
          <w:rFonts w:hint="eastAsia" w:ascii="宋体" w:hAnsi="宋体" w:eastAsia="宋体"/>
          <w:b w:val="0"/>
          <w:sz w:val="24"/>
          <w:lang w:val="en-US" w:eastAsia="zh-CN"/>
        </w:rPr>
        <w:tab/>
      </w:r>
      <w:r>
        <w:rPr>
          <w:rFonts w:hint="eastAsia" w:ascii="宋体" w:hAnsi="宋体" w:eastAsia="宋体"/>
          <w:b w:val="0"/>
          <w:sz w:val="24"/>
          <w:lang w:val="en-US" w:eastAsia="zh-CN"/>
        </w:rPr>
        <w:t>此类人工智能应用落地方向整体高度集中于互联网营销与广告投放、电商SaaS、B2B贸易，以及直播运营等链路。其共同特征是，AI能力主要围绕“流量获取—内容生产—投放优化—转化成交”的闭环展开，将算法能力对准可量化的经营指标，如点击率、转化率、投放ROI等。具体来看，其变现落地呈现出以下特征。</w:t>
      </w:r>
    </w:p>
    <w:p w14:paraId="3C3196E6">
      <w:pPr>
        <w:numPr>
          <w:ilvl w:val="0"/>
          <w:numId w:val="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第一，从内容生产到全链路营销的进化。企业不再满足于单纯的文生图、文生视频的内容创作，天龙集团、福石控股、因赛集团等通过自研AIGC工具矩阵，如“品学·兼优”、“DS AI智链”、“因赛AI”，实现了从创意洞察、多模态素材生成到智能投放、效果回溯的全链路营销自动化。</w:t>
      </w:r>
    </w:p>
    <w:p w14:paraId="19C41CAA">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数字人与短视频结合加快变现。粤传媒、易点天下、捷成股份及ST华扬均将重心压在数字人直播与AI视频剪辑。通过AI数字人替代真人主播、AI一键成片替代专业剪辑，企业在大幅降低运营和人力成本的同时，通过高频的内容产出快速获取流量红利，并逐步探索出成熟的订阅制商业模式。</w:t>
      </w:r>
    </w:p>
    <w:p w14:paraId="29D641DE">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（2）AI+工业智能</w:t>
      </w:r>
    </w:p>
    <w:p w14:paraId="3EB1E036">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此类人工智能应用集中于能源配网、智能制造、智慧交通、物联安防及环保监测等高价值工业场景。</w:t>
      </w:r>
      <w:r>
        <w:rPr>
          <w:rFonts w:ascii="宋体" w:hAnsi="宋体" w:eastAsia="宋体" w:cs="宋体"/>
          <w:b w:val="0"/>
          <w:kern w:val="0"/>
          <w:sz w:val="24"/>
          <w:szCs w:val="24"/>
          <w:lang w:val="en-US" w:eastAsia="zh-CN" w:bidi="ar"/>
        </w:rPr>
        <w:t>其</w:t>
      </w:r>
      <w:r>
        <w:rPr>
          <w:rFonts w:hint="eastAsia" w:ascii="宋体" w:hAnsi="宋体" w:eastAsia="宋体" w:cs="宋体"/>
          <w:b w:val="0"/>
          <w:kern w:val="0"/>
          <w:sz w:val="24"/>
          <w:szCs w:val="24"/>
          <w:lang w:val="en-US" w:eastAsia="zh-CN" w:bidi="ar"/>
        </w:rPr>
        <w:t>人工智能应用的</w:t>
      </w:r>
      <w:r>
        <w:rPr>
          <w:rFonts w:ascii="宋体" w:hAnsi="宋体" w:eastAsia="宋体" w:cs="宋体"/>
          <w:b w:val="0"/>
          <w:kern w:val="0"/>
          <w:sz w:val="24"/>
          <w:szCs w:val="24"/>
          <w:lang w:val="en-US" w:eastAsia="zh-CN" w:bidi="ar"/>
        </w:rPr>
        <w:t>价值实现路径建立</w:t>
      </w:r>
      <w:r>
        <w:rPr>
          <w:rFonts w:hint="eastAsia" w:ascii="宋体" w:hAnsi="宋体" w:eastAsia="宋体" w:cs="宋体"/>
          <w:b w:val="0"/>
          <w:kern w:val="0"/>
          <w:sz w:val="24"/>
          <w:szCs w:val="24"/>
          <w:lang w:val="en-US" w:eastAsia="zh-CN" w:bidi="ar"/>
        </w:rPr>
        <w:t>在于</w:t>
      </w:r>
      <w:r>
        <w:rPr>
          <w:rFonts w:hint="default" w:ascii="宋体" w:hAnsi="宋体" w:eastAsia="宋体"/>
          <w:b w:val="0"/>
          <w:sz w:val="24"/>
          <w:lang w:val="en-US" w:eastAsia="zh-CN"/>
        </w:rPr>
        <w:t>AI与硬件控制器的深度耦合</w:t>
      </w:r>
      <w:r>
        <w:rPr>
          <w:rFonts w:hint="eastAsia" w:ascii="宋体" w:hAnsi="宋体" w:eastAsia="宋体"/>
          <w:b w:val="0"/>
          <w:sz w:val="24"/>
          <w:lang w:val="en-US" w:eastAsia="zh-CN"/>
        </w:rPr>
        <w:t>。其主要商业化路径可归纳为以下三类。</w:t>
      </w:r>
    </w:p>
    <w:p w14:paraId="52497109">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4</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AI+工业智能</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商业化路径表</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2828"/>
        <w:gridCol w:w="3885"/>
      </w:tblGrid>
      <w:tr w14:paraId="5706CE00">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F493610">
            <w:pPr>
              <w:spacing w:line="400" w:lineRule="exact"/>
              <w:ind w:right="-58" w:rightChars="-24"/>
              <w:jc w:val="center"/>
              <w:rPr>
                <w:rFonts w:hint="eastAsia" w:eastAsia="宋体"/>
                <w:szCs w:val="21"/>
                <w:rtl w:val="0"/>
                <w:lang w:val="en-US" w:eastAsia="zh-CN"/>
              </w:rPr>
            </w:pPr>
            <w:r>
              <w:rPr>
                <w:rFonts w:hint="default" w:eastAsia="宋体" w:ascii="宋体" w:hAnsi="宋体"/>
                <w:b w:val="0"/>
                <w:sz w:val="24"/>
                <w:szCs w:val="21"/>
                <w:rtl w:val="0"/>
                <w:lang w:val="en-US" w:eastAsia="zh-CN"/>
              </w:rPr>
              <w:t>变现形态</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A3CAF5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444DAA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6B0059FF">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50D3C15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行业专家模型</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CE566E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美腾科技、佳讯飞鸿、容知日新</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5E2C36A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知煤大师、PHMGPT、轨道大模型。核心是Know-how</w:t>
            </w:r>
            <w:r>
              <w:rPr>
                <w:rFonts w:hint="eastAsia" w:eastAsia="宋体" w:ascii="宋体" w:hAnsi="宋体"/>
                <w:b w:val="0"/>
                <w:sz w:val="24"/>
                <w:szCs w:val="21"/>
                <w:rtl w:val="0"/>
                <w:lang w:val="en-US" w:eastAsia="zh-CN"/>
              </w:rPr>
              <w:t>，即</w:t>
            </w:r>
            <w:r>
              <w:rPr>
                <w:rFonts w:hint="default" w:eastAsia="宋体" w:ascii="宋体" w:hAnsi="宋体"/>
                <w:b w:val="0"/>
                <w:sz w:val="24"/>
                <w:szCs w:val="21"/>
                <w:rtl w:val="0"/>
                <w:lang w:val="en-US" w:eastAsia="zh-CN"/>
              </w:rPr>
              <w:t>行业知识库的参数化。</w:t>
            </w:r>
          </w:p>
        </w:tc>
      </w:tr>
      <w:tr w14:paraId="18A97F15">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93484D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视觉检测与安防</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A3CA27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矩子科技、克来机电、罗普特</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5BAB45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视觉检测设备、AI周界防护</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。核心是复杂环境下的高精度识别。</w:t>
            </w:r>
          </w:p>
        </w:tc>
      </w:tr>
      <w:tr w14:paraId="04E11748">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ADAAEBB">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智能</w:t>
            </w:r>
            <w:r>
              <w:rPr>
                <w:rFonts w:hint="default" w:eastAsia="宋体" w:ascii="宋体" w:hAnsi="宋体"/>
                <w:b w:val="0"/>
                <w:sz w:val="24"/>
                <w:szCs w:val="21"/>
                <w:rtl w:val="0"/>
                <w:lang w:val="en-US" w:eastAsia="zh-CN"/>
              </w:rPr>
              <w:t>终端</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6A9B736">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流金科技</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A26486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导办机器人、AI鼠标</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。核心是提升C端用户的交互体验与流程效率。</w:t>
            </w:r>
          </w:p>
        </w:tc>
      </w:tr>
    </w:tbl>
    <w:p w14:paraId="4D383558">
      <w:pPr>
        <w:keepNext w:val="0"/>
        <w:keepLines w:val="0"/>
        <w:widowControl/>
        <w:suppressLineNumbers w:val="0"/>
        <w:spacing w:line="400" w:lineRule="exact"/>
        <w:ind w:firstLineChars="0" w:firstLine="0"/>
        <w:jc w:val="left"/>
        <w:rPr>
          <w:rFonts w:hint="default"/>
          <w:lang w:val="en-US" w:eastAsia="zh-CN"/>
        </w:rPr>
      </w:pPr>
    </w:p>
    <w:p w14:paraId="530BAC2F">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（3）AI+内容IP</w:t>
      </w:r>
    </w:p>
    <w:p w14:paraId="1566BA2A">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此类人工智能应用以影视、游戏、视觉素材、出版及动漫平台为核心，其盈利能力的提升来源于AI对内容创作边际成本的指数级降低。该类企业将AI深度嵌入创意生成与后期制作链路，其价值增量在于，一是显著缩短制作周期，降低内容生产的边际成本；二是实现IP的跨模态转化，如将文学内容快速生成AI视频或动态漫画，从而延长IP生命周期。</w:t>
      </w:r>
    </w:p>
    <w:p w14:paraId="5127693B">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5</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AI+内容IP</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应用落地表</w:t>
      </w:r>
    </w:p>
    <w:tbl>
      <w:tblPr>
        <w:tblStyle w:val="31"/>
        <w:tblW w:w="9373"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86"/>
        <w:gridCol w:w="2242"/>
        <w:gridCol w:w="5745"/>
      </w:tblGrid>
      <w:tr w14:paraId="3EC71E2A">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FAEEB6E">
            <w:pPr>
              <w:spacing w:line="400" w:lineRule="exact"/>
              <w:ind w:right="-58" w:rightChars="-24"/>
              <w:jc w:val="center"/>
              <w:rPr>
                <w:rFonts w:hint="eastAsia" w:eastAsia="宋体"/>
                <w:szCs w:val="21"/>
                <w:rtl w:val="0"/>
                <w:lang w:val="en-US" w:eastAsia="zh-CN"/>
              </w:rPr>
            </w:pPr>
            <w:r>
              <w:rPr>
                <w:rFonts w:hint="default" w:eastAsia="宋体" w:ascii="宋体" w:hAnsi="宋体"/>
                <w:b w:val="0"/>
                <w:sz w:val="24"/>
                <w:szCs w:val="21"/>
                <w:rtl w:val="0"/>
                <w:lang w:val="en-US" w:eastAsia="zh-CN"/>
              </w:rPr>
              <w:t>类别</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7672F3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73ACF8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07C76DB5">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44C616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交互游戏类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5D6947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游族网络、盛天网络、汤姆猫</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2403D2C7">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通过集成平台（如YOOZOO.AI）缩短</w:t>
            </w:r>
            <w:r>
              <w:rPr>
                <w:rFonts w:hint="eastAsia" w:eastAsia="宋体" w:ascii="宋体" w:hAnsi="宋体"/>
                <w:b w:val="0"/>
                <w:sz w:val="24"/>
                <w:szCs w:val="21"/>
                <w:rtl w:val="0"/>
                <w:lang w:val="en-US" w:eastAsia="zh-CN"/>
              </w:rPr>
              <w:t>游戏</w:t>
            </w:r>
            <w:r>
              <w:rPr>
                <w:rFonts w:hint="default" w:eastAsia="宋体" w:ascii="宋体" w:hAnsi="宋体"/>
                <w:b w:val="0"/>
                <w:sz w:val="24"/>
                <w:szCs w:val="21"/>
                <w:rtl w:val="0"/>
                <w:lang w:val="en-US" w:eastAsia="zh-CN"/>
              </w:rPr>
              <w:t>开发周期；利用AI音乐</w:t>
            </w:r>
            <w:r>
              <w:rPr>
                <w:rFonts w:hint="eastAsia" w:eastAsia="宋体" w:ascii="宋体" w:hAnsi="宋体"/>
                <w:b w:val="0"/>
                <w:sz w:val="24"/>
                <w:szCs w:val="21"/>
                <w:rtl w:val="0"/>
                <w:lang w:val="en-US" w:eastAsia="zh-CN"/>
              </w:rPr>
              <w:t>或</w:t>
            </w:r>
            <w:r>
              <w:rPr>
                <w:rFonts w:hint="default" w:eastAsia="宋体" w:ascii="宋体" w:hAnsi="宋体"/>
                <w:b w:val="0"/>
                <w:sz w:val="24"/>
                <w:szCs w:val="21"/>
                <w:rtl w:val="0"/>
                <w:lang w:val="en-US" w:eastAsia="zh-CN"/>
              </w:rPr>
              <w:t>虚拟社交创造出海增量收入。</w:t>
            </w:r>
          </w:p>
        </w:tc>
      </w:tr>
      <w:tr w14:paraId="3394DE44">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678F388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数字出版类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4BE024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中文在线、掌阅科技</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视觉中国</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79FD49B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将文学IP快速转化为AI漫画</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并实现商业化付费连载；</w:t>
            </w:r>
          </w:p>
        </w:tc>
      </w:tr>
      <w:tr w14:paraId="70640457">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1D92F7F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影视类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213928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华智数媒、新华网、国脉文化</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89AD56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嵌入中短剧脚本生成与后期制作，</w:t>
            </w:r>
            <w:r>
              <w:rPr>
                <w:rFonts w:hint="eastAsia" w:eastAsia="宋体" w:ascii="宋体" w:hAnsi="宋体"/>
                <w:b w:val="0"/>
                <w:sz w:val="24"/>
                <w:szCs w:val="21"/>
                <w:rtl w:val="0"/>
                <w:lang w:val="en-US" w:eastAsia="zh-CN"/>
              </w:rPr>
              <w:t>快速</w:t>
            </w:r>
            <w:r>
              <w:rPr>
                <w:rFonts w:hint="default" w:eastAsia="宋体" w:ascii="宋体" w:hAnsi="宋体"/>
                <w:b w:val="0"/>
                <w:sz w:val="24"/>
                <w:szCs w:val="21"/>
                <w:rtl w:val="0"/>
                <w:lang w:val="en-US" w:eastAsia="zh-CN"/>
              </w:rPr>
              <w:t>降低单片成本；提供AIGC内容审核与数字人标准化产品。</w:t>
            </w:r>
          </w:p>
        </w:tc>
      </w:tr>
    </w:tbl>
    <w:p w14:paraId="5F623652">
      <w:pPr>
        <w:spacing w:line="400" w:lineRule="exact"/>
        <w:ind w:firstLineChars="0" w:firstLine="0"/>
        <w:rPr>
          <w:rFonts w:hint="eastAsia"/>
          <w:lang w:val="en-US" w:eastAsia="zh-CN"/>
        </w:rPr>
      </w:pPr>
    </w:p>
    <w:p w14:paraId="0B9DFC08">
      <w:pPr>
        <w:spacing w:line="400" w:lineRule="exact"/>
        <w:ind w:firstLine="0"/>
        <w:jc w:val="left"/>
        <w:rPr>
          <w:rFonts w:hint="eastAsia"/>
          <w:lang w:val="en-US" w:eastAsia="zh-CN"/>
        </w:rPr>
      </w:pPr>
      <w:r>
        <w:rPr>
          <w:rFonts w:hint="eastAsia" w:ascii="宋体" w:hAnsi="宋体" w:eastAsia="宋体"/>
          <w:b w:val="0"/>
          <w:sz w:val="24"/>
          <w:lang w:val="en-US" w:eastAsia="zh-CN"/>
        </w:rPr>
        <w:t>（4）AI+知识服务</w:t>
      </w:r>
    </w:p>
    <w:p w14:paraId="7EBACEE1">
      <w:pPr>
        <w:spacing w:line="400" w:lineRule="exact"/>
        <w:ind w:firstLineChars="0" w:firstLine="0"/>
        <w:jc w:val="left"/>
        <w:rPr>
          <w:rFonts w:hint="eastAsia"/>
          <w:lang w:val="en-US" w:eastAsia="zh-CN"/>
        </w:rPr>
      </w:pPr>
      <w:r>
        <w:rPr>
          <w:rFonts w:hint="default" w:ascii="宋体" w:hAnsi="宋体" w:eastAsia="宋体"/>
          <w:b w:val="0"/>
          <w:sz w:val="24"/>
          <w:lang w:val="en-US" w:eastAsia="zh-CN"/>
        </w:rPr>
        <w:t>此类</w:t>
      </w:r>
      <w:r>
        <w:rPr>
          <w:rFonts w:hint="eastAsia" w:ascii="宋体" w:hAnsi="宋体" w:eastAsia="宋体"/>
          <w:b w:val="0"/>
          <w:sz w:val="24"/>
          <w:lang w:val="en-US" w:eastAsia="zh-CN"/>
        </w:rPr>
        <w:t>人工智能应用落地场景集中于</w:t>
      </w:r>
      <w:r>
        <w:rPr>
          <w:rFonts w:hint="default" w:ascii="宋体" w:hAnsi="宋体" w:eastAsia="宋体"/>
          <w:b w:val="0"/>
          <w:sz w:val="24"/>
          <w:lang w:val="en-US" w:eastAsia="zh-CN"/>
        </w:rPr>
        <w:t>于工程评估、规划设计、金融科技、法律咨询、教育辅导及行业资讯等知识密集型领域。</w:t>
      </w:r>
      <w:r>
        <w:rPr>
          <w:rFonts w:hint="eastAsia" w:ascii="宋体" w:hAnsi="宋体" w:eastAsia="宋体"/>
          <w:b w:val="0"/>
          <w:sz w:val="24"/>
          <w:lang w:val="en-US" w:eastAsia="zh-CN"/>
        </w:rPr>
        <w:t>其价值实现路径可概括为</w:t>
      </w:r>
      <w:r>
        <w:rPr>
          <w:rFonts w:hint="default" w:ascii="宋体" w:hAnsi="宋体" w:eastAsia="宋体"/>
          <w:b w:val="0"/>
          <w:sz w:val="24"/>
          <w:lang w:val="en-US" w:eastAsia="zh-CN"/>
        </w:rPr>
        <w:t>“行业Know-how + 垂类小模型”。</w:t>
      </w:r>
      <w:r>
        <w:rPr>
          <w:rFonts w:hint="eastAsia" w:ascii="宋体" w:hAnsi="宋体" w:eastAsia="宋体"/>
          <w:b w:val="0"/>
          <w:sz w:val="24"/>
          <w:lang w:val="en-US" w:eastAsia="zh-CN"/>
        </w:rPr>
        <w:t>在此类场景中，人工智能通常以检索增强、逻辑推理与方案生成等能力嵌入专业工作流，将专业知识转化为可服用的模型资产，从而提升信息处理效率，并在一定程度上降低对高资历专业人员的人力依赖。</w:t>
      </w:r>
    </w:p>
    <w:p w14:paraId="711BDC21">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6</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AI+知识服务</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应用落地表</w:t>
      </w:r>
    </w:p>
    <w:tbl>
      <w:tblPr>
        <w:tblStyle w:val="31"/>
        <w:tblW w:w="921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44"/>
        <w:gridCol w:w="1272"/>
        <w:gridCol w:w="2155"/>
        <w:gridCol w:w="4647"/>
      </w:tblGrid>
      <w:tr w14:paraId="4AF5953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46A6106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类别</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CF9245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B48404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 AI 应用形态</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08B5703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453372A8">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70B4B3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数智教育</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ADB8354">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方直科技、世纪天鸿、实达集团</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1FA652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AI学习平板、智能一体机、小鸿助教、AI学伴</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94F476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结合国产算力（昇腾）与大模型，将传统教辅升级为个性化AI家教和教师备课助手</w:t>
            </w:r>
          </w:p>
        </w:tc>
      </w:tr>
      <w:tr w14:paraId="6FD1BD6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0552565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数智政务</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DB69897">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楚天龙、众诚科技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FA4D28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咨询导办机器人、政务垂直模型、政企SaaS平台</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019A380D">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利用虚拟数字人与智能导办代替人工，解决</w:t>
            </w:r>
            <w:r>
              <w:rPr>
                <w:rFonts w:hint="eastAsia" w:eastAsia="宋体" w:ascii="宋体" w:hAnsi="宋体"/>
                <w:b w:val="0"/>
                <w:sz w:val="24"/>
                <w:szCs w:val="21"/>
                <w:rtl w:val="0"/>
                <w:lang w:val="en-US" w:eastAsia="zh-CN"/>
              </w:rPr>
              <w:t>政务</w:t>
            </w:r>
            <w:r>
              <w:rPr>
                <w:rFonts w:hint="default" w:eastAsia="宋体" w:ascii="宋体" w:hAnsi="宋体"/>
                <w:b w:val="0"/>
                <w:sz w:val="24"/>
                <w:szCs w:val="21"/>
                <w:rtl w:val="0"/>
                <w:lang w:val="en-US" w:eastAsia="zh-CN"/>
              </w:rPr>
              <w:t>咨询与审批痛点，助力政务向智能化转型。</w:t>
            </w:r>
          </w:p>
        </w:tc>
      </w:tr>
      <w:tr w14:paraId="0C10D1FD">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A44677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智慧金融</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3F4445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*ST汇科、天利科技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D2ED85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身份识别系统、信贷风控模型、保险服务AI</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65BFEC0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在高合规场景下，利用生物识别与风险算法，解决银行与保险业务中的欺诈预防与效率提升</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问题</w:t>
            </w:r>
            <w:r>
              <w:rPr>
                <w:rFonts w:hint="eastAsia" w:eastAsia="宋体" w:ascii="宋体" w:hAnsi="宋体"/>
                <w:b w:val="0"/>
                <w:sz w:val="24"/>
                <w:szCs w:val="21"/>
                <w:rtl w:val="0"/>
                <w:lang w:val="en-US" w:eastAsia="zh-CN"/>
              </w:rPr>
              <w:t>，助力银行数字化转型。</w:t>
            </w:r>
          </w:p>
        </w:tc>
      </w:tr>
    </w:tbl>
    <w:p w14:paraId="72A46AC0">
      <w:pPr>
        <w:spacing w:line="400" w:lineRule="exact"/>
        <w:ind w:firstLineChars="0" w:firstLine="0"/>
        <w:jc w:val="left"/>
        <w:rPr>
          <w:rFonts w:eastAsia="宋体"/>
        </w:rPr>
      </w:pPr>
      <w:r>
        <w:rPr>
          <w:rFonts w:hint="eastAsia" w:ascii="宋体" w:hAnsi="宋体" w:eastAsia="宋体"/>
          <w:b w:val="0"/>
          <w:sz w:val="24"/>
          <w:lang w:val="en-US" w:eastAsia="zh-CN"/>
        </w:rPr>
        <w:t>为进一步比较不同商业化落地模式下人工智能应用落地方向的分布差异，并</w:t>
      </w:r>
      <w:r>
        <w:rPr>
          <w:rFonts w:ascii="宋体" w:hAnsi="宋体" w:eastAsia="宋体"/>
          <w:b w:val="0"/>
          <w:sz w:val="24"/>
        </w:rPr>
        <w:t>检验“</w:t>
      </w:r>
      <w:r>
        <w:rPr>
          <w:rFonts w:hint="eastAsia" w:ascii="宋体" w:hAnsi="宋体" w:eastAsia="宋体"/>
          <w:b w:val="0"/>
          <w:sz w:val="24"/>
          <w:lang w:val="en-US" w:eastAsia="zh-CN"/>
        </w:rPr>
        <w:t>人工智能应用落地方向</w:t>
      </w:r>
      <w:r>
        <w:rPr>
          <w:rFonts w:ascii="宋体" w:hAnsi="宋体" w:eastAsia="宋体"/>
          <w:b w:val="0"/>
          <w:sz w:val="24"/>
        </w:rPr>
        <w:t>”与“</w:t>
      </w:r>
      <w:r>
        <w:rPr>
          <w:rFonts w:hint="eastAsia" w:ascii="宋体" w:hAnsi="宋体" w:eastAsia="宋体"/>
          <w:b w:val="0"/>
          <w:sz w:val="24"/>
          <w:lang w:val="en-US" w:eastAsia="zh-CN"/>
        </w:rPr>
        <w:t>人工智能应用的商业化落地模式</w:t>
      </w:r>
      <w:r>
        <w:rPr>
          <w:rFonts w:ascii="宋体" w:hAnsi="宋体" w:eastAsia="宋体"/>
          <w:b w:val="0"/>
          <w:sz w:val="24"/>
        </w:rPr>
        <w:t>”之间是否存在统</w:t>
      </w:r>
      <w:r>
        <w:rPr>
          <w:rFonts w:eastAsia="宋体" w:ascii="宋体" w:hAnsi="宋体"/>
          <w:b w:val="0"/>
          <w:sz w:val="24"/>
        </w:rPr>
        <w:t>计意义上的关联关系，本文采用Pearson卡方独立性检验。检验假设设定如下：</w:t>
      </w:r>
    </w:p>
    <w:p w14:paraId="570AD746">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H0：人工智能应用落地方向与人工智能应用的商业化落地模式相互独立。</w:t>
      </w:r>
    </w:p>
    <w:p w14:paraId="6EA11999">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H1：人工智能应用落地方向与人工智能应用的商业化落地模式不独立。</w:t>
      </w:r>
    </w:p>
    <w:p w14:paraId="104EFC84">
      <w:pPr>
        <w:spacing w:line="400" w:lineRule="exact"/>
        <w:ind w:firstLineChars="0" w:firstLine="0"/>
        <w:jc w:val="left"/>
        <w:rPr>
          <w:rFonts w:hint="eastAsia" w:eastAsia="宋体"/>
        </w:rPr>
      </w:pPr>
      <w:r>
        <w:rPr>
          <w:rFonts w:eastAsia="宋体" w:ascii="宋体" w:hAnsi="宋体"/>
          <w:b w:val="0"/>
          <w:sz w:val="24"/>
        </w:rPr>
        <w:t>检验结果显示</w:t>
      </w:r>
      <w:r>
        <w:rPr>
          <w:rFonts w:ascii="宋体" w:hAnsi="宋体" w:eastAsia="宋体"/>
          <w:b w:val="0"/>
          <w:sz w:val="24"/>
        </w:rPr>
        <w:t>χ²(3)</w:t>
      </w:r>
      <w:r>
        <w:rPr>
          <w:rFonts w:eastAsia="宋体" w:ascii="宋体" w:hAnsi="宋体"/>
          <w:b w:val="0"/>
          <w:sz w:val="24"/>
        </w:rPr>
        <w:t>=12.04，p=0.0073</w:t>
      </w:r>
      <w:r>
        <w:rPr>
          <w:rFonts w:hint="eastAsia" w:eastAsia="宋体" w:ascii="宋体" w:hAnsi="宋体"/>
          <w:b w:val="0"/>
          <w:sz w:val="24"/>
          <w:lang w:eastAsia="zh-CN"/>
        </w:rPr>
        <w:t>。</w:t>
      </w:r>
      <w:r>
        <w:rPr>
          <w:rFonts w:eastAsia="宋体" w:ascii="宋体" w:hAnsi="宋体"/>
          <w:b w:val="0"/>
          <w:sz w:val="24"/>
        </w:rPr>
        <w:t>因此，在1%显著性水平下拒绝原假设 H0，表明应用分类与商业化模式之间存在显著关联。</w:t>
      </w:r>
      <w:r>
        <w:rPr>
          <w:rFonts w:hint="eastAsia" w:eastAsia="宋体" w:ascii="宋体" w:hAnsi="宋体"/>
          <w:b w:val="0"/>
          <w:sz w:val="24"/>
        </w:rPr>
        <w:t>为进一步衡量该关联的强度，本文计算效应量 Cramer's V，得到 V=0.406，属于中等偏强水平，说明该结构差异不仅具有统计显著性，也具有一定的实质解释价值。</w:t>
      </w:r>
    </w:p>
    <w:p w14:paraId="52A6DD9F">
      <w:pPr>
        <w:spacing w:line="400" w:lineRule="exact"/>
        <w:ind w:firstLineChars="0" w:firstLine="0"/>
        <w:jc w:val="left"/>
        <w:rPr>
          <w:rFonts w:hint="eastAsia" w:eastAsia="宋体"/>
          <w:lang w:val="en-US" w:eastAsia="zh-CN"/>
        </w:rPr>
      </w:pPr>
      <w:r>
        <w:rPr>
          <w:rFonts w:hint="eastAsia" w:eastAsia="宋体" w:ascii="宋体" w:hAnsi="宋体"/>
          <w:b w:val="0"/>
          <w:sz w:val="24"/>
        </w:rPr>
        <w:t>从贡献结构看，显著性主要来源于两类集中现象：其一，AI+营销电商赛道中</w:t>
      </w:r>
      <w:r>
        <w:rPr>
          <w:rFonts w:hint="eastAsia" w:eastAsia="宋体" w:ascii="宋体" w:hAnsi="宋体"/>
          <w:b w:val="0"/>
          <w:sz w:val="24"/>
          <w:lang w:val="en-US" w:eastAsia="zh-CN"/>
        </w:rPr>
        <w:t>业务</w:t>
      </w:r>
      <w:r>
        <w:rPr>
          <w:rFonts w:hint="eastAsia" w:eastAsia="宋体" w:ascii="宋体" w:hAnsi="宋体"/>
          <w:b w:val="0"/>
          <w:sz w:val="24"/>
        </w:rPr>
        <w:t>赋能型企业占比显著偏高；其二，AI+工业智能与AI+知识服务赛道中独立产品型企业占比显著偏高。</w:t>
      </w:r>
      <w:r>
        <w:rPr>
          <w:rFonts w:hint="eastAsia" w:eastAsia="宋体" w:ascii="宋体" w:hAnsi="宋体"/>
          <w:b w:val="0"/>
          <w:sz w:val="24"/>
          <w:lang w:val="en-US" w:eastAsia="zh-CN"/>
        </w:rPr>
        <w:t>对于AI+工业智能场景，其通常具有较明确的流程边界与可量化的绩效指标，便于将AI能力封装为可交付的系统模块、算法组件或软硬一体方案，并形成相对清晰的计价与验收机制，从而更容易走向产品化交付。就AI+知识服务而言，此类知识密集型场景以“行业知识资产-数据库-模型能力”的组合为核心，AI能力更易被工具化、平台化封装为可复用的专业助手或决策支持系统，进而推动专业化服务的批量交付。相较之下，AI+营销电商赛道，由于其变现模式已经较为成熟，其价值创造更强调对存量业务链路的增益，例如提升投放ROI、转化效率与运营效率，其AI能力通常嵌入既有营销服务或电商运营流程中实现价值兑现，而非独立拆分为单独计价的产品。</w:t>
      </w:r>
    </w:p>
    <w:p w14:paraId="5D4E4925">
      <w:pPr>
        <w:spacing w:line="400" w:lineRule="exact"/>
        <w:ind w:firstLine="0"/>
      </w:pPr>
      <w:r>
        <w:drawing>
          <wp:inline distT="0" distB="0" distL="114300" distR="114300">
            <wp:extent cx="5207000" cy="2895600"/>
            <wp:effectExtent l="6350" t="6350" r="13335" b="1016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0233B38">
      <w:pPr>
        <w:spacing w:line="400" w:lineRule="exact"/>
        <w:ind w:firstLine="0"/>
        <w:rPr>
          <w:rFonts w:hint="eastAsia"/>
          <w:lang w:val="en-US" w:eastAsia="zh-CN"/>
        </w:rPr>
      </w:pPr>
    </w:p>
    <w:p w14:paraId="550B0312">
      <w:pPr>
        <w:pStyle w:val="6"/>
        <w:spacing w:afterLines="0"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4</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人工智能应用落地现状图</w:t>
      </w:r>
    </w:p>
    <w:p w14:paraId="69A5F030">
      <w:pPr>
        <w:pStyle w:val="28"/>
        <w:keepNext w:val="0"/>
        <w:keepLines w:val="0"/>
        <w:widowControl/>
        <w:suppressLineNumbers w:val="0"/>
        <w:spacing w:line="400" w:lineRule="exact"/>
        <w:ind w:firstLineChars="0" w:firstLine="0"/>
        <w:jc w:val="left"/>
        <w:rPr>
          <w:rFonts w:hint="eastAsia"/>
          <w:lang w:val="en-US" w:eastAsia="zh-CN"/>
        </w:rPr>
      </w:pPr>
      <w:r>
        <w:rPr>
          <w:rFonts w:ascii="宋体" w:hAnsi="宋体" w:eastAsia="宋体"/>
          <w:b w:val="0"/>
          <w:sz w:val="24"/>
        </w:rPr>
        <w:t>本</w:t>
      </w:r>
      <w:r>
        <w:rPr>
          <w:rFonts w:hint="eastAsia" w:ascii="宋体" w:hAnsi="宋体" w:eastAsia="宋体"/>
          <w:b w:val="0"/>
          <w:sz w:val="24"/>
          <w:lang w:val="en-US" w:eastAsia="zh-CN"/>
        </w:rPr>
        <w:t>小节</w:t>
      </w:r>
      <w:r>
        <w:rPr>
          <w:rFonts w:ascii="宋体" w:hAnsi="宋体" w:eastAsia="宋体"/>
          <w:b w:val="0"/>
          <w:sz w:val="24"/>
        </w:rPr>
        <w:t>基</w:t>
      </w:r>
      <w:r>
        <w:rPr>
          <w:rFonts w:hint="eastAsia" w:ascii="宋体" w:hAnsi="宋体" w:eastAsia="宋体"/>
          <w:b w:val="0"/>
          <w:sz w:val="24"/>
          <w:lang w:val="en-US" w:eastAsia="zh-CN"/>
        </w:rPr>
        <w:t>于</w:t>
      </w:r>
      <w:r>
        <w:rPr>
          <w:rFonts w:ascii="宋体" w:hAnsi="宋体" w:eastAsia="宋体"/>
          <w:b w:val="0"/>
          <w:sz w:val="24"/>
        </w:rPr>
        <w:t>73家A股人工智能应用层中小企业样本，发现其商业化落地并非单一路径，而是呈现“AI独立产品型”与“AI业务赋能型”两类模式并存的结构。</w:t>
      </w:r>
      <w:r>
        <w:rPr>
          <w:rFonts w:hint="eastAsia" w:ascii="宋体" w:hAnsi="宋体" w:eastAsia="宋体"/>
          <w:b w:val="0"/>
          <w:sz w:val="24"/>
        </w:rPr>
        <w:t>本文首先对样本企业的人工智能应用落地现状进行统计描述，随后通过卡方检验进一步验证</w:t>
      </w:r>
      <w:r>
        <w:rPr>
          <w:rFonts w:hint="eastAsia" w:ascii="宋体" w:hAnsi="宋体" w:eastAsia="宋体"/>
          <w:b w:val="0"/>
          <w:sz w:val="24"/>
          <w:lang w:eastAsia="zh-CN"/>
        </w:rPr>
        <w:t>，</w:t>
      </w:r>
      <w:r>
        <w:rPr>
          <w:rFonts w:hint="eastAsia" w:ascii="宋体" w:hAnsi="宋体" w:eastAsia="宋体"/>
          <w:b w:val="0"/>
          <w:sz w:val="24"/>
          <w:lang w:val="en-US" w:eastAsia="zh-CN"/>
        </w:rPr>
        <w:t>得到</w:t>
      </w:r>
      <w:r>
        <w:rPr>
          <w:rFonts w:hint="eastAsia" w:ascii="宋体" w:hAnsi="宋体" w:eastAsia="宋体"/>
          <w:b w:val="0"/>
          <w:sz w:val="24"/>
        </w:rPr>
        <w:t>不同人工智能应用方向与商业化模式之间存在统计显著且中等偏强的关联关系</w:t>
      </w:r>
      <w:r>
        <w:rPr>
          <w:rFonts w:hint="eastAsia" w:ascii="宋体" w:hAnsi="宋体" w:eastAsia="宋体"/>
          <w:b w:val="0"/>
          <w:sz w:val="24"/>
          <w:lang w:val="en-US" w:eastAsia="zh-CN"/>
        </w:rPr>
        <w:t>的结论</w:t>
      </w:r>
      <w:r>
        <w:rPr>
          <w:rFonts w:hint="eastAsia" w:ascii="宋体" w:hAnsi="宋体" w:eastAsia="宋体"/>
          <w:b w:val="0"/>
          <w:sz w:val="24"/>
          <w:lang w:eastAsia="zh-CN"/>
        </w:rPr>
        <w:t>。</w:t>
      </w:r>
      <w:r>
        <w:rPr>
          <w:rFonts w:hint="eastAsia" w:ascii="宋体" w:hAnsi="宋体" w:eastAsia="宋体"/>
          <w:b w:val="0"/>
          <w:sz w:val="24"/>
          <w:lang w:val="en-US" w:eastAsia="zh-CN"/>
        </w:rPr>
        <w:t>上述</w:t>
      </w:r>
      <w:r>
        <w:rPr>
          <w:rFonts w:ascii="宋体" w:hAnsi="宋体" w:eastAsia="宋体"/>
          <w:b w:val="0"/>
          <w:sz w:val="24"/>
        </w:rPr>
        <w:t>发现</w:t>
      </w:r>
      <w:r>
        <w:rPr>
          <w:rFonts w:hint="eastAsia" w:ascii="宋体" w:hAnsi="宋体" w:eastAsia="宋体"/>
          <w:b w:val="0"/>
          <w:sz w:val="24"/>
        </w:rPr>
        <w:t>为后续盈利能力差异分析提供了清晰的分组基础</w:t>
      </w:r>
      <w:r>
        <w:rPr>
          <w:rFonts w:hint="eastAsia" w:ascii="宋体" w:hAnsi="宋体" w:eastAsia="宋体"/>
          <w:b w:val="0"/>
          <w:sz w:val="24"/>
          <w:lang w:eastAsia="zh-CN"/>
        </w:rPr>
        <w:t>，</w:t>
      </w:r>
      <w:r>
        <w:rPr>
          <w:rFonts w:hint="eastAsia" w:ascii="宋体" w:hAnsi="宋体" w:eastAsia="宋体"/>
          <w:b w:val="0"/>
          <w:sz w:val="24"/>
        </w:rPr>
        <w:t>同时也为企业战略定位、投资评价框架构建及产业支持政策设计提供了可量化的参考依据。</w:t>
      </w:r>
    </w:p>
    <w:p w14:paraId="32FC427D">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4.3 整体盈利能力概览</w:t>
      </w:r>
    </w:p>
    <w:p w14:paraId="00A4BFC4">
      <w:pPr>
        <w:keepNext w:val="0"/>
        <w:keepLines w:val="0"/>
        <w:widowControl/>
        <w:suppressLineNumbers w:val="0"/>
        <w:spacing w:line="400" w:lineRule="exact"/>
        <w:ind w:firstLineChars="0" w:firstLine="0"/>
        <w:jc w:val="left"/>
        <w:rPr>
          <w:rFonts w:hint="default"/>
          <w:lang w:val="en-US" w:eastAsia="zh-CN"/>
        </w:rPr>
      </w:pPr>
      <w:r>
        <w:rPr>
          <w:rFonts w:ascii="宋体" w:hAnsi="宋体" w:eastAsia="宋体" w:cs="宋体"/>
          <w:b w:val="0"/>
          <w:kern w:val="0"/>
          <w:sz w:val="24"/>
          <w:szCs w:val="24"/>
          <w:lang w:val="en-US" w:eastAsia="zh-CN" w:bidi="ar"/>
        </w:rPr>
        <w:t>为刻画A股人工智能应用层中小企业的整体盈利水平及其分布特征，本节选取三项具有代表性的盈利能力指标进行描述性统计分析，分别为净资产收益率（ROE）、总资产净利率（ROA）与营业净利率。上述指标从股东回报、资产使用效率与经营获利能力三个维度反映企业盈利状况，能够较为全面地呈现样本企业的</w:t>
      </w:r>
      <w:r>
        <w:rPr>
          <w:rFonts w:hint="eastAsia" w:ascii="宋体" w:hAnsi="宋体" w:eastAsia="宋体" w:cs="宋体"/>
          <w:b w:val="0"/>
          <w:kern w:val="0"/>
          <w:sz w:val="24"/>
          <w:szCs w:val="24"/>
          <w:lang w:val="en-US" w:eastAsia="zh-CN" w:bidi="ar"/>
        </w:rPr>
        <w:t>整体</w:t>
      </w:r>
      <w:r>
        <w:rPr>
          <w:rFonts w:ascii="宋体" w:hAnsi="宋体" w:eastAsia="宋体" w:cs="宋体"/>
          <w:b w:val="0"/>
          <w:kern w:val="0"/>
          <w:sz w:val="24"/>
          <w:szCs w:val="24"/>
          <w:lang w:val="en-US" w:eastAsia="zh-CN" w:bidi="ar"/>
        </w:rPr>
        <w:t>盈利水平与差异分布。</w:t>
      </w:r>
    </w:p>
    <w:p w14:paraId="45AAD748">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4.3.1 整体盈利水平概览</w:t>
      </w:r>
    </w:p>
    <w:p w14:paraId="4404C8D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如图4-5所示，其通过2020-2024年展示各指标的均值、中位数以及四分位区间（P25–P75），能够在反映人工智能应用层中小企业盈利能力的变化趋势，并刻画样本内部盈利能力差异。</w:t>
      </w:r>
    </w:p>
    <w:p w14:paraId="08A12A06">
      <w:pPr>
        <w:spacing w:line="400" w:lineRule="exact"/>
        <w:ind w:firstLine="0"/>
        <w:rPr>
          <w:rFonts w:hint="eastAsia"/>
          <w:lang w:val="en-US" w:eastAsia="zh-CN"/>
        </w:rPr>
      </w:pPr>
      <w:r>
        <w:rPr>
          <w:rFonts w:hint="eastAsia"/>
          <w:lang w:val="en-US" w:eastAsia="zh-CN"/>
        </w:rPr>
        <w:drawing>
          <wp:inline distT="0" distB="0" distL="114300" distR="114300">
            <wp:extent cx="5208905" cy="1563370"/>
            <wp:effectExtent l="0" t="0" r="0" b="0"/>
            <wp:docPr id="6" name="图片 14" descr="figure_profitability_yearly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figure_profitability_yearly_trends"/>
                    <pic:cNvPicPr>
                      <a:picLocks noChangeAspect="1"/>
                    </pic:cNvPicPr>
                  </pic:nvPicPr>
                  <pic:blipFill>
                    <a:blip r:embed="rId19"/>
                    <a:stretch>
                      <a:fillRect/>
                    </a:stretch>
                  </pic:blipFill>
                  <pic:spPr>
                    <a:xfrm>
                      <a:off x="0" y="0"/>
                      <a:ext cx="5208905" cy="1563370"/>
                    </a:xfrm>
                    <a:prstGeom prst="rect">
                      <a:avLst/>
                    </a:prstGeom>
                    <a:noFill/>
                    <a:ln>
                      <a:noFill/>
                    </a:ln>
                  </pic:spPr>
                </pic:pic>
              </a:graphicData>
            </a:graphic>
          </wp:inline>
        </w:drawing>
      </w:r>
    </w:p>
    <w:p w14:paraId="08951902">
      <w:pPr>
        <w:pStyle w:val="6"/>
        <w:spacing w:afterLines="0" w:line="400" w:lineRule="exact"/>
        <w:ind w:firstLine="0"/>
        <w:jc w:val="left"/>
        <w:rPr>
          <w:rFonts w:hint="default" w:eastAsia="宋体"/>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5</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2020-2024人工智能应用层中小企业整体盈利趋势折线图</w:t>
      </w:r>
    </w:p>
    <w:p w14:paraId="632DA769">
      <w:pPr>
        <w:spacing w:line="400" w:lineRule="exact"/>
        <w:ind w:firstLineChars="0" w:firstLine="0"/>
        <w:rPr>
          <w:rFonts w:hint="eastAsia"/>
          <w:lang w:val="en-US" w:eastAsia="zh-CN"/>
        </w:rPr>
      </w:pPr>
    </w:p>
    <w:p w14:paraId="0C8E14A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从时间趋势看，三项指标在样本期内呈现出较为一致的阶段性变化，2021年前后出现阶段性高点；自2022年起，ROA、ROE与营业净利率的均值与中位数均出现同步回落，且2023—2024年下行趋势延续，尤其在2024年，ROE与营业净利率的均值显著转负，反映出样本中亏损企业对整体平均水平的拖累在后期显著增强。需要强调的是，本节对趋势的表述仅为现象刻画，不涉及对宏观周期、竞争格局或成本冲击等因素的因果归因；相关解释将在后续章节结合综合评价与结构拆解进一步讨论。</w:t>
      </w:r>
    </w:p>
    <w:p w14:paraId="2DF994F8">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从分布形态看，三项指标在后期呈现出明显的均值低于中位数的结构特征，且这一差距在2023—2024年明显扩大。该现象意味着样本分布具有显著偏态，即中位数所代表的典型企业仍保持一定正向盈利能力，但少数企业出现较大幅度亏损，导致均值被显著拉低，形成负向长尾。四分位区间的变化亦显示分化加深，一方面，上四分位（P75）随时间整体下移，表明头部企业的盈利水平也在走弱；另一方面，下四分位（P25）下移速度更快，并在2024年出现更明显的负值，说明低盈利企业的经营压力进一步加大，亏损面或亏损幅度有所扩大。总体而言，样本盈利能力呈现出中枢下移与分化加剧并存的特征。</w:t>
      </w:r>
    </w:p>
    <w:p w14:paraId="7108F6A5">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进一步分别观察三项指标的变化特征，可以更具体地揭示盈利能力下行的表层表现。</w:t>
      </w:r>
    </w:p>
    <w:p w14:paraId="6EA87D30">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首先，ROA反映企业利用资产创造利润的能力。图4-5显示，ROA的中位数在2020—2021年处于相对稳健的正值区间，2022年后明显下移，至2024年已接近低个位数水平；同时，ROA均值在后期转负，表明部分企业的亏损已足以使其资产端总体回报为负。该结果提示样本企业的资产获利能力整体走弱，且尾部企业的亏损扩大对总体平均水平产生显著影响。</w:t>
      </w:r>
    </w:p>
    <w:p w14:paraId="29F99DC7">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其次，ROE反映股东权益的回报水平，其下行幅度更为显著，ROE中位数在2020—2021年相对较高，2022年后下降并在2024年进一步走弱；ROE均值在2023年已接近或略为负值，2024年则出现更明显的负向结果，且下四分位（P25）在2024年大幅下探，显示尾部企业的权益回报恶化更为突出。该现象从结果层面表明，盈利压力在权益端的体现更为显著，后续可结合杜邦分析从销售净利率、资产周转效率与财务杠杆等路径进一步拆解其结构来源。</w:t>
      </w:r>
    </w:p>
    <w:p w14:paraId="1FFA2A51">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再次，营业净利率直接刻画经营层面的利润空间。图4-5显示，营业净利率的中位数在2020—2021年处于较高水平，2022年后逐步下移，至2024年接近低位；均值的波动幅度更大，在后期出现明显转负，说明该指标对极端亏损样本更为敏感。综合来看，经营端利润空间的收缩与亏损尾部的扩大共同推动了资产回报与权益回报的同步走弱。</w:t>
      </w:r>
    </w:p>
    <w:p w14:paraId="2ACD357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4.3.2 盈利分布特征</w:t>
      </w:r>
    </w:p>
    <w:p w14:paraId="5ECA8B39">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考虑到样本盈利指标可能存在偏态分布与极端值，均值容易受到少数异常样本影响，而中位数虽能代表典型企业，但无法反映离群值与分位区间的变化。基于此，本部分将采用箱线图刻画分位区间与离群值，并以直方图展示分布形态，从而更直观地呈现样本盈利能力的分布特征。</w:t>
      </w:r>
    </w:p>
    <w:p w14:paraId="467EC7F2">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ascii="宋体" w:hAnsi="宋体" w:eastAsia="宋体"/>
          <w:b w:val="0"/>
          <w:sz w:val="24"/>
          <w:lang w:val="en-US" w:eastAsia="zh-CN"/>
        </w:rPr>
        <w:t>如图4-6、4-7、4-8，其结果表明，</w:t>
      </w:r>
      <w:r>
        <w:rPr>
          <w:rFonts w:ascii="宋体" w:hAnsi="宋体" w:eastAsia="宋体" w:cs="宋体"/>
          <w:b w:val="0"/>
          <w:kern w:val="0"/>
          <w:sz w:val="24"/>
          <w:szCs w:val="24"/>
          <w:lang w:val="en-US" w:eastAsia="zh-CN" w:bidi="ar"/>
        </w:rPr>
        <w:t>样本盈利能力总体呈现中位数仍为正但</w:t>
      </w:r>
      <w:r>
        <w:rPr>
          <w:rFonts w:hint="eastAsia" w:ascii="宋体" w:hAnsi="宋体" w:eastAsia="宋体" w:cs="宋体"/>
          <w:b w:val="0"/>
          <w:kern w:val="0"/>
          <w:sz w:val="24"/>
          <w:szCs w:val="24"/>
          <w:lang w:val="en-US" w:eastAsia="zh-CN" w:bidi="ar"/>
        </w:rPr>
        <w:t>盈利能力</w:t>
      </w:r>
      <w:r>
        <w:rPr>
          <w:rFonts w:ascii="宋体" w:hAnsi="宋体" w:eastAsia="宋体" w:cs="宋体"/>
          <w:b w:val="0"/>
          <w:kern w:val="0"/>
          <w:sz w:val="24"/>
          <w:szCs w:val="24"/>
          <w:lang w:val="en-US" w:eastAsia="zh-CN" w:bidi="ar"/>
        </w:rPr>
        <w:t>偏低、分布明显负偏态、尾部亏损长尾显著的结构特征，且权益端回报（ROE）的极端波动明显强于资产端回报（ROA）。</w:t>
      </w:r>
    </w:p>
    <w:p w14:paraId="51BF518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首先，图4-6所示ROE箱线图显示，样本ROE的中位数位于零轴上方，说明在合并样本意义下，多数企业的股东回报水平仍保持正值，但整体处于较低区间，反映人工智能应用层中小企业的盈利能力尚未形成广泛的高回报格局。值得关注的是，下侧离群点数量密集且延伸幅度大，形成显著负向长尾，反映部分企业在某些年份出现较大亏损或权益回报显著恶化，从而对均值产生拉低效应并加剧分布偏态。上侧虽存在少量高ROE离群点，表明个别企业在特定年份可实现较高回报，但其数量与影响程度不足以改变总体的负偏态结构。</w:t>
      </w:r>
    </w:p>
    <w:p w14:paraId="1840DBE1">
      <w:pPr>
        <w:spacing w:line="400" w:lineRule="exact"/>
        <w:ind w:firstLine="0"/>
        <w:rPr>
          <w:rFonts w:hint="default"/>
          <w:lang w:val="en-US" w:eastAsia="zh-CN"/>
        </w:rPr>
      </w:pPr>
      <w:r>
        <w:rPr>
          <w:rFonts w:hint="eastAsia"/>
          <w:lang w:val="en-US" w:eastAsia="zh-CN"/>
        </w:rPr>
        <w:drawing>
          <wp:inline distT="0" distB="0" distL="114300" distR="114300">
            <wp:extent cx="5216525" cy="3477260"/>
            <wp:effectExtent l="0" t="0" r="0" b="0"/>
            <wp:docPr id="7" name="图片 23" descr="图1_ROE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图1_ROE箱线图"/>
                    <pic:cNvPicPr>
                      <a:picLocks noChangeAspect="1"/>
                    </pic:cNvPicPr>
                  </pic:nvPicPr>
                  <pic:blipFill>
                    <a:blip r:embed="rId20"/>
                    <a:srcRect t="6680"/>
                    <a:stretch>
                      <a:fillRect/>
                    </a:stretch>
                  </pic:blipFill>
                  <pic:spPr>
                    <a:xfrm>
                      <a:off x="0" y="0"/>
                      <a:ext cx="5216525" cy="3477260"/>
                    </a:xfrm>
                    <a:prstGeom prst="rect">
                      <a:avLst/>
                    </a:prstGeom>
                    <a:noFill/>
                    <a:ln>
                      <a:noFill/>
                    </a:ln>
                  </pic:spPr>
                </pic:pic>
              </a:graphicData>
            </a:graphic>
          </wp:inline>
        </w:drawing>
      </w:r>
    </w:p>
    <w:p w14:paraId="5D631E01">
      <w:pPr>
        <w:pStyle w:val="6"/>
        <w:spacing w:afterLines="0" w:line="400" w:lineRule="exact"/>
        <w:ind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6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2020-2024人工智能应用层中小企业ROE分布箱线图</w:t>
      </w:r>
    </w:p>
    <w:p w14:paraId="2AAC3F5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p>
    <w:p w14:paraId="05BDBCE0">
      <w:pPr>
        <w:keepNext w:val="0"/>
        <w:keepLines w:val="0"/>
        <w:widowControl/>
        <w:suppressLineNumbers w:val="0"/>
        <w:spacing w:line="400" w:lineRule="exact"/>
        <w:ind w:firstLineChars="0" w:firstLine="0"/>
        <w:jc w:val="left"/>
      </w:pPr>
      <w:r>
        <w:rPr>
          <w:rFonts w:hint="eastAsia" w:ascii="宋体" w:hAnsi="宋体" w:eastAsia="宋体"/>
          <w:b w:val="0"/>
          <w:sz w:val="24"/>
          <w:lang w:val="en-US" w:eastAsia="zh-CN"/>
        </w:rPr>
        <w:t>再次，</w:t>
      </w:r>
      <w:r>
        <w:rPr>
          <w:rFonts w:ascii="宋体" w:hAnsi="宋体" w:eastAsia="宋体"/>
          <w:b w:val="0"/>
          <w:sz w:val="24"/>
        </w:rPr>
        <w:t>从</w:t>
      </w:r>
      <w:r>
        <w:rPr>
          <w:rFonts w:hint="eastAsia" w:ascii="宋体" w:hAnsi="宋体" w:eastAsia="宋体"/>
          <w:b w:val="0"/>
          <w:sz w:val="24"/>
          <w:lang w:val="en-US" w:eastAsia="zh-CN"/>
        </w:rPr>
        <w:t>图4-7的</w:t>
      </w:r>
      <w:r>
        <w:rPr>
          <w:rFonts w:ascii="宋体" w:hAnsi="宋体" w:eastAsia="宋体"/>
          <w:b w:val="0"/>
          <w:sz w:val="24"/>
        </w:rPr>
        <w:t>ROA箱线图看，中位数同样为正且箱体更为紧凑，说明资产端获利能力相对更集中、更稳定。与ROE相比，ROA离群点幅度明显更小，表明资产回报受极端波动影响较弱，这与ROA以平均总资产为分母、对权益基数变化不敏感的指标特性一致。然而，ROA下侧仍存在数量可观的负向离群点，说明样本中仍有一部分企业在部分年份处于经营亏损状态，资产端回报转负并非个别现象。</w:t>
      </w:r>
    </w:p>
    <w:p w14:paraId="64BD53E9">
      <w:pPr>
        <w:spacing w:line="400" w:lineRule="exact"/>
        <w:ind w:firstLine="0"/>
        <w:rPr>
          <w:rFonts w:hint="default"/>
          <w:lang w:val="en-US" w:eastAsia="zh-CN"/>
        </w:rPr>
      </w:pPr>
      <w:r>
        <w:rPr>
          <w:rFonts w:hint="default"/>
          <w:lang w:val="en-US" w:eastAsia="zh-CN"/>
        </w:rPr>
        <w:drawing>
          <wp:inline distT="0" distB="0" distL="114300" distR="114300">
            <wp:extent cx="4972685" cy="3295650"/>
            <wp:effectExtent l="0" t="0" r="5715" b="6350"/>
            <wp:docPr id="8" name="图片 24" descr="图2_ROA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图2_ROA箱线图"/>
                    <pic:cNvPicPr>
                      <a:picLocks noChangeAspect="1"/>
                    </pic:cNvPicPr>
                  </pic:nvPicPr>
                  <pic:blipFill>
                    <a:blip r:embed="rId21"/>
                    <a:srcRect t="7225"/>
                    <a:stretch>
                      <a:fillRect/>
                    </a:stretch>
                  </pic:blipFill>
                  <pic:spPr>
                    <a:xfrm>
                      <a:off x="0" y="0"/>
                      <a:ext cx="4972685" cy="3295650"/>
                    </a:xfrm>
                    <a:prstGeom prst="rect">
                      <a:avLst/>
                    </a:prstGeom>
                    <a:noFill/>
                    <a:ln>
                      <a:noFill/>
                    </a:ln>
                  </pic:spPr>
                </pic:pic>
              </a:graphicData>
            </a:graphic>
          </wp:inline>
        </w:drawing>
      </w:r>
    </w:p>
    <w:p w14:paraId="5513A269">
      <w:pPr>
        <w:keepNext w:val="0"/>
        <w:keepLines w:val="0"/>
        <w:widowControl/>
        <w:suppressLineNumbers w:val="0"/>
        <w:spacing w:line="400" w:lineRule="exact"/>
        <w:ind w:firstLineChars="0" w:firstLine="0"/>
        <w:jc w:val="left"/>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7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2020-2024人工智能应用层中小企业ROA分布箱线图</w:t>
      </w:r>
    </w:p>
    <w:p w14:paraId="37A973E7">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图4-8的营</w:t>
      </w:r>
      <w:r>
        <w:rPr>
          <w:rFonts w:ascii="宋体" w:hAnsi="宋体" w:eastAsia="宋体" w:cs="宋体"/>
          <w:b w:val="0"/>
          <w:kern w:val="0"/>
          <w:sz w:val="24"/>
          <w:szCs w:val="24"/>
          <w:lang w:val="en-US" w:eastAsia="zh-CN" w:bidi="ar"/>
        </w:rPr>
        <w:t>业净利率直方图进一步揭示了经营层面利润空间的整体分布</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观测值高度集中在零附近的低利润区间，表明多数企业处于薄利状态，高净利率样本相对稀少。与此同时，分布左侧存在显著负向长尾，该特征提示样本总体盈利空间有限且波动较强，尾部亏损对整体均值与行业形象具有较强扰动。</w:t>
      </w:r>
    </w:p>
    <w:p w14:paraId="7F7B486F">
      <w:pPr>
        <w:spacing w:line="400" w:lineRule="exact"/>
        <w:ind w:firstLine="0"/>
        <w:rPr>
          <w:rFonts w:hint="eastAsia"/>
          <w:lang w:val="en-US" w:eastAsia="zh-CN"/>
        </w:rPr>
      </w:pPr>
      <w:r>
        <w:rPr>
          <w:rFonts w:hint="eastAsia"/>
          <w:lang w:val="en-US" w:eastAsia="zh-CN"/>
        </w:rPr>
        <w:drawing>
          <wp:inline distT="0" distB="0" distL="114300" distR="114300">
            <wp:extent cx="5216525" cy="3097530"/>
            <wp:effectExtent l="0" t="0" r="0" b="0"/>
            <wp:docPr id="9" name="图片 25" descr="figure2_operating_net_margin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figure2_operating_net_margin_hist"/>
                    <pic:cNvPicPr>
                      <a:picLocks noChangeAspect="1"/>
                    </pic:cNvPicPr>
                  </pic:nvPicPr>
                  <pic:blipFill>
                    <a:blip r:embed="rId22"/>
                    <a:srcRect t="7631"/>
                    <a:stretch>
                      <a:fillRect/>
                    </a:stretch>
                  </pic:blipFill>
                  <pic:spPr>
                    <a:xfrm>
                      <a:off x="0" y="0"/>
                      <a:ext cx="5216525" cy="3097530"/>
                    </a:xfrm>
                    <a:prstGeom prst="rect">
                      <a:avLst/>
                    </a:prstGeom>
                    <a:noFill/>
                    <a:ln>
                      <a:noFill/>
                    </a:ln>
                  </pic:spPr>
                </pic:pic>
              </a:graphicData>
            </a:graphic>
          </wp:inline>
        </w:drawing>
      </w:r>
    </w:p>
    <w:p w14:paraId="56685120">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8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2020-2024人工智能应用层中小企业净利率分直方图</w:t>
      </w:r>
    </w:p>
    <w:p w14:paraId="0CB194C2">
      <w:pPr>
        <w:keepNext w:val="0"/>
        <w:keepLines w:val="0"/>
        <w:widowControl/>
        <w:suppressLineNumbers w:val="0"/>
        <w:spacing w:line="400" w:lineRule="exact"/>
        <w:ind w:firstLineChars="0" w:firstLine="0"/>
        <w:jc w:val="left"/>
      </w:pPr>
    </w:p>
    <w:p w14:paraId="2BB8D942">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综上，样本整体呈现出典型企业维持低位正盈利、但分布离散度较高且亏损尾部扩张的特征，表明人工智能应用层中小企业在样本期内普遍存在盈利能力偏弱与盈利稳定性不足的现实约束。</w:t>
      </w:r>
    </w:p>
    <w:p w14:paraId="344B1219">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4.3.3 收入结构与费用结构概览</w:t>
      </w:r>
    </w:p>
    <w:p w14:paraId="5BC3B0C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节从收入结构与费用结构出发，构建“收入—成本—费用”的拆解框架。一方面在全样本层面对人工智能应用层中小企业整体盈利偏弱的原因进行初步分解；另一方面从收入端识别利润空间的主要来源，重点结合营业收入水平及其集中度刻画收入结构特征，并进一步梳理成本与费用对利润的主要挤压环节。</w:t>
      </w:r>
    </w:p>
    <w:p w14:paraId="1E97C379">
      <w:pPr>
        <w:pStyle w:val="4"/>
        <w:spacing w:line="400" w:lineRule="exact"/>
        <w:ind w:firstLine="0"/>
        <w:jc w:val="left"/>
        <w:rPr>
          <w:rFonts w:hint="eastAsia"/>
          <w:lang w:val="en-US" w:eastAsia="zh-CN"/>
        </w:rPr>
      </w:pPr>
      <w:r>
        <w:rPr>
          <w:rFonts w:hint="eastAsia" w:ascii="黑体" w:hAnsi="黑体" w:eastAsia="黑体"/>
          <w:b/>
          <w:sz w:val="24"/>
          <w:lang w:val="en-US" w:eastAsia="zh-CN"/>
        </w:rPr>
        <w:t>4.3.3.1 收入结构概览</w:t>
      </w:r>
    </w:p>
    <w:p w14:paraId="08EF7C09">
      <w:pPr>
        <w:spacing w:line="400" w:lineRule="exact"/>
        <w:ind w:firstLine="0"/>
        <w:jc w:val="left"/>
        <w:rPr>
          <w:rFonts w:hint="eastAsia"/>
          <w:lang w:val="en-US" w:eastAsia="zh-CN"/>
        </w:rPr>
      </w:pPr>
      <w:r>
        <w:rPr>
          <w:rFonts w:hint="eastAsia" w:ascii="宋体" w:hAnsi="宋体" w:eastAsia="宋体"/>
          <w:b w:val="0"/>
          <w:sz w:val="24"/>
          <w:lang w:val="en-US" w:eastAsia="zh-CN"/>
        </w:rPr>
        <w:t>（1）营业收入趋势</w:t>
      </w:r>
    </w:p>
    <w:p w14:paraId="414C184B">
      <w:pPr>
        <w:spacing w:line="400" w:lineRule="exact"/>
        <w:ind w:firstLine="0"/>
        <w:rPr>
          <w:rFonts w:hint="default"/>
          <w:lang w:val="en-US" w:eastAsia="zh-CN"/>
        </w:rPr>
      </w:pPr>
    </w:p>
    <w:p w14:paraId="2BE0D102">
      <w:pPr>
        <w:spacing w:line="400" w:lineRule="exact"/>
        <w:ind w:firstLine="0"/>
        <w:rPr>
          <w:rFonts w:hint="eastAsia"/>
          <w:lang w:val="en-US" w:eastAsia="zh-CN"/>
        </w:rPr>
      </w:pPr>
      <w:r>
        <w:rPr>
          <w:rFonts w:hint="eastAsia"/>
          <w:lang w:val="en-US" w:eastAsia="zh-CN"/>
        </w:rPr>
        <w:drawing>
          <wp:inline distT="0" distB="0" distL="114300" distR="114300">
            <wp:extent cx="5218430" cy="2860040"/>
            <wp:effectExtent l="0" t="0" r="0" b="0"/>
            <wp:docPr id="10" name="图片 29" descr="figure_x2_2020_2024营业收入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figure_x2_2020_2024营业收入中位数趋势"/>
                    <pic:cNvPicPr>
                      <a:picLocks noChangeAspect="1"/>
                    </pic:cNvPicPr>
                  </pic:nvPicPr>
                  <pic:blipFill>
                    <a:blip r:embed="rId23"/>
                    <a:srcRect t="6537"/>
                    <a:stretch>
                      <a:fillRect/>
                    </a:stretch>
                  </pic:blipFill>
                  <pic:spPr>
                    <a:xfrm>
                      <a:off x="0" y="0"/>
                      <a:ext cx="5218430" cy="2860040"/>
                    </a:xfrm>
                    <a:prstGeom prst="rect">
                      <a:avLst/>
                    </a:prstGeom>
                    <a:noFill/>
                    <a:ln>
                      <a:noFill/>
                    </a:ln>
                  </pic:spPr>
                </pic:pic>
              </a:graphicData>
            </a:graphic>
          </wp:inline>
        </w:drawing>
      </w:r>
    </w:p>
    <w:p w14:paraId="2A773134">
      <w:pPr>
        <w:keepNext w:val="0"/>
        <w:keepLines w:val="0"/>
        <w:widowControl/>
        <w:suppressLineNumbers w:val="0"/>
        <w:spacing w:line="400" w:lineRule="exact"/>
        <w:ind w:firstLineChars="0" w:firstLine="0"/>
        <w:jc w:val="left"/>
        <w:rPr>
          <w:rFonts w:hint="default" w:ascii="宋体" w:hAnsi="宋体" w:eastAsia="宋体" w:cs="宋体"/>
          <w:kern w:val="0"/>
          <w:sz w:val="24"/>
          <w:szCs w:val="24"/>
          <w:lang w:val="en-US" w:eastAsia="zh-CN" w:bidi="ar"/>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9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2020-2024人工智能应用层中小企业营业收入趋势图</w:t>
      </w:r>
    </w:p>
    <w:p w14:paraId="3D50C4FF">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如图</w:t>
      </w:r>
      <w:r>
        <w:rPr>
          <w:rFonts w:hint="eastAsia" w:ascii="宋体" w:hAnsi="宋体" w:eastAsia="宋体" w:cs="宋体"/>
          <w:b w:val="0"/>
          <w:kern w:val="0"/>
          <w:sz w:val="24"/>
          <w:szCs w:val="24"/>
          <w:lang w:val="en-US" w:eastAsia="zh-CN" w:bidi="ar"/>
        </w:rPr>
        <w:t>4-9</w:t>
      </w:r>
      <w:r>
        <w:rPr>
          <w:rFonts w:ascii="宋体" w:hAnsi="宋体" w:eastAsia="宋体" w:cs="宋体"/>
          <w:b w:val="0"/>
          <w:kern w:val="0"/>
          <w:sz w:val="24"/>
          <w:szCs w:val="24"/>
          <w:lang w:val="en-US" w:eastAsia="zh-CN" w:bidi="ar"/>
        </w:rPr>
        <w:t>所示，2020—2024年A股人工智能应用层中小企业的营业收入在样本期内呈现出中位数相对平稳、均值先升后降、分位区间长期保持较大跨度的典型结构性特征，反映出样本企业收入规模整体未形成持续扩张趋势，同时企业间规模差异较大且长期存在。</w:t>
      </w:r>
    </w:p>
    <w:p w14:paraId="0350604B">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营业收入的</w:t>
      </w:r>
      <w:r>
        <w:rPr>
          <w:rFonts w:hint="eastAsia" w:ascii="宋体" w:hAnsi="宋体" w:eastAsia="宋体" w:cs="宋体"/>
          <w:b w:val="0"/>
          <w:kern w:val="0"/>
          <w:sz w:val="24"/>
          <w:szCs w:val="24"/>
          <w:lang w:val="en-US" w:eastAsia="zh-CN" w:bidi="ar"/>
        </w:rPr>
        <w:t>均值</w:t>
      </w:r>
      <w:r>
        <w:rPr>
          <w:rFonts w:ascii="宋体" w:hAnsi="宋体" w:eastAsia="宋体" w:cs="宋体"/>
          <w:b w:val="0"/>
          <w:kern w:val="0"/>
          <w:sz w:val="24"/>
          <w:szCs w:val="24"/>
          <w:lang w:val="en-US" w:eastAsia="zh-CN" w:bidi="ar"/>
        </w:rPr>
        <w:t>呈现2021见顶</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此后逐年下行的</w:t>
      </w:r>
      <w:r>
        <w:rPr>
          <w:rFonts w:hint="eastAsia" w:ascii="宋体" w:hAnsi="宋体" w:eastAsia="宋体" w:cs="宋体"/>
          <w:b w:val="0"/>
          <w:kern w:val="0"/>
          <w:sz w:val="24"/>
          <w:szCs w:val="24"/>
          <w:lang w:val="en-US" w:eastAsia="zh-CN" w:bidi="ar"/>
        </w:rPr>
        <w:t>趋势</w:t>
      </w:r>
      <w:r>
        <w:rPr>
          <w:rFonts w:ascii="宋体" w:hAnsi="宋体" w:eastAsia="宋体" w:cs="宋体"/>
          <w:b w:val="0"/>
          <w:kern w:val="0"/>
          <w:sz w:val="24"/>
          <w:szCs w:val="24"/>
          <w:lang w:val="en-US" w:eastAsia="zh-CN" w:bidi="ar"/>
        </w:rPr>
        <w:t>。中位数与均值在时间</w:t>
      </w:r>
      <w:r>
        <w:rPr>
          <w:rFonts w:hint="eastAsia" w:ascii="宋体" w:hAnsi="宋体" w:eastAsia="宋体" w:cs="宋体"/>
          <w:b w:val="0"/>
          <w:kern w:val="0"/>
          <w:sz w:val="24"/>
          <w:szCs w:val="24"/>
          <w:lang w:val="en-US" w:eastAsia="zh-CN" w:bidi="ar"/>
        </w:rPr>
        <w:t>维度</w:t>
      </w:r>
      <w:r>
        <w:rPr>
          <w:rFonts w:ascii="宋体" w:hAnsi="宋体" w:eastAsia="宋体" w:cs="宋体"/>
          <w:b w:val="0"/>
          <w:kern w:val="0"/>
          <w:sz w:val="24"/>
          <w:szCs w:val="24"/>
          <w:lang w:val="en-US" w:eastAsia="zh-CN" w:bidi="ar"/>
        </w:rPr>
        <w:t>上的差异</w:t>
      </w:r>
      <w:r>
        <w:rPr>
          <w:rFonts w:hint="eastAsia" w:ascii="宋体" w:hAnsi="宋体" w:eastAsia="宋体" w:cs="宋体"/>
          <w:b w:val="0"/>
          <w:kern w:val="0"/>
          <w:sz w:val="24"/>
          <w:szCs w:val="24"/>
          <w:lang w:val="en-US" w:eastAsia="zh-CN" w:bidi="ar"/>
        </w:rPr>
        <w:t>表示，</w:t>
      </w:r>
      <w:r>
        <w:rPr>
          <w:rFonts w:ascii="宋体" w:hAnsi="宋体" w:eastAsia="宋体" w:cs="宋体"/>
          <w:b w:val="0"/>
          <w:kern w:val="0"/>
          <w:sz w:val="24"/>
          <w:szCs w:val="24"/>
          <w:lang w:val="en-US" w:eastAsia="zh-CN" w:bidi="ar"/>
        </w:rPr>
        <w:t>样本期内行业收入扩张的峰值更多体现在少数企业对均值的拉动，而中位数</w:t>
      </w:r>
      <w:r>
        <w:rPr>
          <w:rFonts w:hint="eastAsia" w:ascii="宋体" w:hAnsi="宋体" w:eastAsia="宋体" w:cs="宋体"/>
          <w:b w:val="0"/>
          <w:kern w:val="0"/>
          <w:sz w:val="24"/>
          <w:szCs w:val="24"/>
          <w:lang w:val="en-US" w:eastAsia="zh-CN" w:bidi="ar"/>
        </w:rPr>
        <w:t>所代表的</w:t>
      </w:r>
      <w:r>
        <w:rPr>
          <w:rFonts w:ascii="宋体" w:hAnsi="宋体" w:eastAsia="宋体" w:cs="宋体"/>
          <w:b w:val="0"/>
          <w:kern w:val="0"/>
          <w:sz w:val="24"/>
          <w:szCs w:val="24"/>
          <w:lang w:val="en-US" w:eastAsia="zh-CN" w:bidi="ar"/>
        </w:rPr>
        <w:t>典型企业的收入改善幅度有限且持续性不足，尤其在2024年出现较为明确的回撤，提示</w:t>
      </w:r>
      <w:r>
        <w:rPr>
          <w:rFonts w:hint="eastAsia" w:ascii="宋体" w:hAnsi="宋体" w:eastAsia="宋体" w:cs="宋体"/>
          <w:b w:val="0"/>
          <w:kern w:val="0"/>
          <w:sz w:val="24"/>
          <w:szCs w:val="24"/>
          <w:lang w:val="en-US" w:eastAsia="zh-CN" w:bidi="ar"/>
        </w:rPr>
        <w:t>人工智能</w:t>
      </w:r>
      <w:r>
        <w:rPr>
          <w:rFonts w:ascii="宋体" w:hAnsi="宋体" w:eastAsia="宋体" w:cs="宋体"/>
          <w:b w:val="0"/>
          <w:kern w:val="0"/>
          <w:sz w:val="24"/>
          <w:szCs w:val="24"/>
          <w:lang w:val="en-US" w:eastAsia="zh-CN" w:bidi="ar"/>
        </w:rPr>
        <w:t>应用层中小企业在收入端的增长动能存在阶段性衰减现象。</w:t>
      </w:r>
    </w:p>
    <w:p w14:paraId="0358A76E">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进一步结合分位区间（P25—P75）可以观察到，样本营业收入的离散度在整个样本期内始终保持在较高水平，且在2021年前后出现更为明显的扩张：图中阴影区域在2021年上沿抬升、区间跨度扩大，表明收入分布在高位端被进一步拉开，头部企业收入扩张更为显著；而自2022年起，分位区间上沿有所回落并趋于平稳，暗示头部企业的收入优势虽仍存在，但</w:t>
      </w:r>
      <w:r>
        <w:rPr>
          <w:rFonts w:hint="eastAsia" w:ascii="宋体" w:hAnsi="宋体" w:eastAsia="宋体" w:cs="宋体"/>
          <w:b w:val="0"/>
          <w:kern w:val="0"/>
          <w:sz w:val="24"/>
          <w:szCs w:val="24"/>
          <w:lang w:val="en-US" w:eastAsia="zh-CN" w:bidi="ar"/>
        </w:rPr>
        <w:t>增速</w:t>
      </w:r>
      <w:r>
        <w:rPr>
          <w:rFonts w:ascii="宋体" w:hAnsi="宋体" w:eastAsia="宋体" w:cs="宋体"/>
          <w:b w:val="0"/>
          <w:kern w:val="0"/>
          <w:sz w:val="24"/>
          <w:szCs w:val="24"/>
          <w:lang w:val="en-US" w:eastAsia="zh-CN" w:bidi="ar"/>
        </w:rPr>
        <w:t>放缓。与此同时，分位区间下沿在样本期内整体变化不大、波动相对有限，说明处于样本低位与中位附近的企业收入规模改善并不显著，整体仍维持在相对稳定的区间内。由此</w:t>
      </w:r>
      <w:r>
        <w:rPr>
          <w:rFonts w:hint="eastAsia" w:ascii="宋体" w:hAnsi="宋体" w:eastAsia="宋体" w:cs="宋体"/>
          <w:b w:val="0"/>
          <w:kern w:val="0"/>
          <w:sz w:val="24"/>
          <w:szCs w:val="24"/>
          <w:lang w:val="en-US" w:eastAsia="zh-CN" w:bidi="ar"/>
        </w:rPr>
        <w:t>得出，</w:t>
      </w:r>
      <w:r>
        <w:rPr>
          <w:rFonts w:ascii="宋体" w:hAnsi="宋体" w:eastAsia="宋体" w:cs="宋体"/>
          <w:b w:val="0"/>
          <w:kern w:val="0"/>
          <w:sz w:val="24"/>
          <w:szCs w:val="24"/>
          <w:lang w:val="en-US" w:eastAsia="zh-CN" w:bidi="ar"/>
        </w:rPr>
        <w:t>各年份均值显著高于中位数且差距较大，意味着少数规模较大的企业对整体均值贡献度更高，而多数企业聚集在相对较低的收入区间</w:t>
      </w:r>
      <w:r>
        <w:rPr>
          <w:rFonts w:hint="eastAsia" w:ascii="宋体" w:hAnsi="宋体" w:eastAsia="宋体" w:cs="宋体"/>
          <w:b w:val="0"/>
          <w:kern w:val="0"/>
          <w:sz w:val="24"/>
          <w:szCs w:val="24"/>
          <w:lang w:val="en-US" w:eastAsia="zh-CN" w:bidi="ar"/>
        </w:rPr>
        <w:t>。</w:t>
      </w:r>
    </w:p>
    <w:p w14:paraId="27FF6ADC">
      <w:pPr>
        <w:keepNext w:val="0"/>
        <w:keepLines w:val="0"/>
        <w:widowControl/>
        <w:suppressLineNumbers w:val="0"/>
        <w:spacing w:line="400" w:lineRule="exact"/>
        <w:ind w:firstLineChars="0" w:firstLine="0"/>
        <w:jc w:val="left"/>
      </w:pPr>
      <w:r>
        <w:rPr>
          <w:rFonts w:ascii="宋体" w:hAnsi="宋体" w:eastAsia="宋体" w:cs="宋体"/>
          <w:b w:val="0"/>
          <w:kern w:val="0"/>
          <w:sz w:val="24"/>
          <w:szCs w:val="24"/>
          <w:lang w:val="en-US" w:eastAsia="zh-CN" w:bidi="ar"/>
        </w:rPr>
        <w:t>总体而言，图</w:t>
      </w:r>
      <w:r>
        <w:rPr>
          <w:rFonts w:hint="eastAsia" w:ascii="宋体" w:hAnsi="宋体" w:eastAsia="宋体" w:cs="宋体"/>
          <w:b w:val="0"/>
          <w:kern w:val="0"/>
          <w:sz w:val="24"/>
          <w:szCs w:val="24"/>
          <w:lang w:val="en-US" w:eastAsia="zh-CN" w:bidi="ar"/>
        </w:rPr>
        <w:t>4-9</w:t>
      </w:r>
      <w:r>
        <w:rPr>
          <w:rFonts w:ascii="宋体" w:hAnsi="宋体" w:eastAsia="宋体" w:cs="宋体"/>
          <w:b w:val="0"/>
          <w:kern w:val="0"/>
          <w:sz w:val="24"/>
          <w:szCs w:val="24"/>
          <w:lang w:val="en-US" w:eastAsia="zh-CN" w:bidi="ar"/>
        </w:rPr>
        <w:t>揭示了样本期内应用层中小企业在收入端呈现阶段性上行后</w:t>
      </w:r>
      <w:r>
        <w:rPr>
          <w:rFonts w:hint="eastAsia" w:ascii="宋体" w:hAnsi="宋体" w:eastAsia="宋体" w:cs="宋体"/>
          <w:b w:val="0"/>
          <w:kern w:val="0"/>
          <w:sz w:val="24"/>
          <w:szCs w:val="24"/>
          <w:lang w:val="en-US" w:eastAsia="zh-CN" w:bidi="ar"/>
        </w:rPr>
        <w:t>逐年下降</w:t>
      </w:r>
      <w:r>
        <w:rPr>
          <w:rFonts w:ascii="宋体" w:hAnsi="宋体" w:eastAsia="宋体" w:cs="宋体"/>
          <w:b w:val="0"/>
          <w:kern w:val="0"/>
          <w:sz w:val="24"/>
          <w:szCs w:val="24"/>
          <w:lang w:val="en-US" w:eastAsia="zh-CN" w:bidi="ar"/>
        </w:rPr>
        <w:t>、典型企业增长有限、规模分化显著且长期存在的基本事实</w:t>
      </w:r>
      <w:r>
        <w:rPr>
          <w:rFonts w:hint="eastAsia" w:ascii="宋体" w:hAnsi="宋体" w:eastAsia="宋体" w:cs="宋体"/>
          <w:b w:val="0"/>
          <w:kern w:val="0"/>
          <w:sz w:val="24"/>
          <w:szCs w:val="24"/>
          <w:lang w:val="en-US" w:eastAsia="zh-CN" w:bidi="ar"/>
        </w:rPr>
        <w:t>。基于此，有必要进一步从收入结构角度考察企业是否高度依赖少数业务条线，从而评估收入可持续性与波动风险。</w:t>
      </w:r>
    </w:p>
    <w:p w14:paraId="7A38A326">
      <w:pPr>
        <w:spacing w:line="400" w:lineRule="exact"/>
        <w:ind w:firstLine="0"/>
        <w:rPr>
          <w:rFonts w:hint="eastAsia"/>
          <w:lang w:val="en-US" w:eastAsia="zh-CN"/>
        </w:rPr>
      </w:pPr>
    </w:p>
    <w:p w14:paraId="715AD945">
      <w:pPr>
        <w:spacing w:line="400" w:lineRule="exact"/>
        <w:ind w:firstLine="0"/>
        <w:jc w:val="left"/>
        <w:rPr>
          <w:rFonts w:hint="default"/>
          <w:lang w:val="en-US" w:eastAsia="zh-CN"/>
        </w:rPr>
      </w:pPr>
      <w:r>
        <w:rPr>
          <w:rFonts w:hint="eastAsia" w:ascii="宋体" w:hAnsi="宋体" w:eastAsia="宋体"/>
          <w:b w:val="0"/>
          <w:sz w:val="24"/>
          <w:lang w:val="en-US" w:eastAsia="zh-CN"/>
        </w:rPr>
        <w:t>（2）营业收入结构</w:t>
      </w:r>
    </w:p>
    <w:p w14:paraId="18FB78C1">
      <w:pPr>
        <w:spacing w:line="400" w:lineRule="exact"/>
        <w:ind w:firstLine="0"/>
        <w:rPr>
          <w:rFonts w:hint="default"/>
          <w:lang w:val="en-US" w:eastAsia="zh-CN"/>
        </w:rPr>
      </w:pPr>
    </w:p>
    <w:p w14:paraId="0A980BA0">
      <w:pPr>
        <w:spacing w:line="400" w:lineRule="exact"/>
        <w:ind w:firstLine="0"/>
        <w:rPr>
          <w:rFonts w:hint="default"/>
          <w:lang w:val="en-US" w:eastAsia="zh-CN"/>
        </w:rPr>
      </w:pPr>
      <w:r>
        <w:rPr>
          <w:rFonts w:hint="default"/>
          <w:lang w:val="en-US" w:eastAsia="zh-CN"/>
        </w:rPr>
        <w:drawing>
          <wp:inline distT="0" distB="0" distL="114300" distR="114300">
            <wp:extent cx="5211445" cy="2715260"/>
            <wp:effectExtent l="0" t="0" r="0" b="0"/>
            <wp:docPr id="11" name="图片 31" descr="figure_x3_2020_2024_Top1_Top2集中度趋势_论文简洁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descr="figure_x3_2020_2024_Top1_Top2集中度趋势_论文简洁版"/>
                    <pic:cNvPicPr>
                      <a:picLocks noChangeAspect="1"/>
                    </pic:cNvPicPr>
                  </pic:nvPicPr>
                  <pic:blipFill>
                    <a:blip r:embed="rId24"/>
                    <a:srcRect t="5739" b="6621"/>
                    <a:stretch>
                      <a:fillRect/>
                    </a:stretch>
                  </pic:blipFill>
                  <pic:spPr>
                    <a:xfrm>
                      <a:off x="0" y="0"/>
                      <a:ext cx="5211445" cy="2715260"/>
                    </a:xfrm>
                    <a:prstGeom prst="rect">
                      <a:avLst/>
                    </a:prstGeom>
                    <a:noFill/>
                    <a:ln>
                      <a:noFill/>
                    </a:ln>
                  </pic:spPr>
                </pic:pic>
              </a:graphicData>
            </a:graphic>
          </wp:inline>
        </w:drawing>
      </w:r>
    </w:p>
    <w:p w14:paraId="1B72C5B6">
      <w:pPr>
        <w:keepNext w:val="0"/>
        <w:keepLines w:val="0"/>
        <w:widowControl/>
        <w:suppressLineNumbers w:val="0"/>
        <w:spacing w:line="400" w:lineRule="exact"/>
        <w:ind w:firstLineChars="0" w:firstLine="0"/>
        <w:jc w:val="left"/>
        <w:rPr>
          <w:rFonts w:hint="default"/>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10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2020-2024人工智能应用层中小企业主营收入集中度趋势图</w:t>
      </w:r>
    </w:p>
    <w:p w14:paraId="6207A4DE">
      <w:pPr>
        <w:spacing w:line="400" w:lineRule="exact"/>
        <w:ind w:firstLineChars="0" w:firstLine="0"/>
        <w:jc w:val="left"/>
        <w:rPr>
          <w:rFonts w:hint="default"/>
          <w:lang w:val="en-US" w:eastAsia="zh-CN"/>
        </w:rPr>
      </w:pPr>
      <w:r>
        <w:rPr>
          <w:rFonts w:hint="default" w:ascii="宋体" w:hAnsi="宋体" w:eastAsia="宋体"/>
          <w:b w:val="0"/>
          <w:sz w:val="24"/>
          <w:lang w:val="en-US" w:eastAsia="zh-CN"/>
        </w:rPr>
        <w:t>在收入结构研究中，主营收入集中度是衡量企业收入来源依赖程度的核心指标。本文基</w:t>
      </w:r>
      <w:r>
        <w:rPr>
          <w:rFonts w:hint="eastAsia" w:ascii="宋体" w:hAnsi="宋体" w:eastAsia="宋体"/>
          <w:b w:val="0"/>
          <w:sz w:val="24"/>
          <w:lang w:val="en-US" w:eastAsia="zh-CN"/>
        </w:rPr>
        <w:t>于</w:t>
      </w:r>
      <w:r>
        <w:rPr>
          <w:rFonts w:hint="default" w:ascii="宋体" w:hAnsi="宋体" w:eastAsia="宋体"/>
          <w:b w:val="0"/>
          <w:sz w:val="24"/>
          <w:lang w:val="en-US" w:eastAsia="zh-CN"/>
        </w:rPr>
        <w:t>73家A股人工智能应用层样本企业，构建 2020—2024 年主营收入集中度指标。其中，Top1定义为“第一大主营分部收入/主营分部收入合计”，Top2 定义为“前两大主营分部收入之和/主营分部收入合计”。图</w:t>
      </w:r>
      <w:r>
        <w:rPr>
          <w:rFonts w:hint="eastAsia" w:ascii="宋体" w:hAnsi="宋体" w:eastAsia="宋体"/>
          <w:b w:val="0"/>
          <w:sz w:val="24"/>
          <w:lang w:val="en-US" w:eastAsia="zh-CN"/>
        </w:rPr>
        <w:t>4-10</w:t>
      </w:r>
      <w:r>
        <w:rPr>
          <w:rFonts w:hint="default" w:ascii="宋体" w:hAnsi="宋体" w:eastAsia="宋体"/>
          <w:b w:val="0"/>
          <w:sz w:val="24"/>
          <w:lang w:val="en-US" w:eastAsia="zh-CN"/>
        </w:rPr>
        <w:t>展示的是按年份进行横截面统计后的均值趋势，由于部分公司在个别年份缺少可用分部披露，</w:t>
      </w:r>
      <w:r>
        <w:rPr>
          <w:rFonts w:hint="eastAsia" w:ascii="宋体" w:hAnsi="宋体" w:eastAsia="宋体"/>
          <w:b w:val="0"/>
          <w:sz w:val="24"/>
          <w:lang w:val="en-US" w:eastAsia="zh-CN"/>
        </w:rPr>
        <w:t>有效</w:t>
      </w:r>
      <w:r>
        <w:rPr>
          <w:rFonts w:hint="default" w:ascii="宋体" w:hAnsi="宋体" w:eastAsia="宋体"/>
          <w:b w:val="0"/>
          <w:sz w:val="24"/>
          <w:lang w:val="en-US" w:eastAsia="zh-CN"/>
        </w:rPr>
        <w:t>样本量由2020—2021年的60家小幅下降至 2022—2024 年的59家，但总体可比性仍然较强。</w:t>
      </w:r>
    </w:p>
    <w:p w14:paraId="53EEA838">
      <w:pPr>
        <w:spacing w:line="400" w:lineRule="exact"/>
        <w:ind w:firstLineChars="0" w:firstLine="0"/>
        <w:jc w:val="left"/>
        <w:rPr>
          <w:rFonts w:hint="default"/>
          <w:lang w:val="en-US" w:eastAsia="zh-CN"/>
        </w:rPr>
      </w:pPr>
      <w:r>
        <w:rPr>
          <w:rFonts w:hint="eastAsia" w:ascii="宋体" w:hAnsi="宋体" w:eastAsia="宋体"/>
          <w:b w:val="0"/>
          <w:sz w:val="24"/>
          <w:lang w:val="en-US" w:eastAsia="zh-CN"/>
        </w:rPr>
        <w:t>从动态趋势看，Top1 从 60.80% 持续升至 67.72%（2022 年），随后回落并稳定在 66% 附近；Top2 从 81.54% 提升至 87.49%（2022 年）后，维持在 86%—87% 区间。该变化路径反映出样本企业在前期经历了收入向核心业务集中的阶段，2023 年后集中度边际回落且波动收敛，说明在完成第一轮聚焦后，企业开始在不显著削弱主业的前提下逐步拓展第二增长曲线。</w:t>
      </w:r>
    </w:p>
    <w:p w14:paraId="3152110E">
      <w:pPr>
        <w:spacing w:line="400" w:lineRule="exact"/>
        <w:ind w:firstLineChars="0" w:firstLine="0"/>
        <w:jc w:val="left"/>
        <w:rPr>
          <w:rFonts w:hint="eastAsia"/>
          <w:lang w:val="en-US" w:eastAsia="zh-CN"/>
        </w:rPr>
      </w:pPr>
      <w:r>
        <w:rPr>
          <w:rFonts w:hint="default" w:ascii="宋体" w:hAnsi="宋体" w:eastAsia="宋体"/>
          <w:b w:val="0"/>
          <w:sz w:val="24"/>
          <w:lang w:val="en-US" w:eastAsia="zh-CN"/>
        </w:rPr>
        <w:t>从水平值看，样本企业的主营收入集中度整体处于较高区间。2020 年 Top1 均值为 60.80%，Top2 均值为 81.54%；到 2024 年分别上升至 65.87% 和 86.38%。这意味着在样本企业中，平均而言单一第一大业务条线就贡献了约三分之二主营收入，而前两大业务条线合计贡献接近九成。该特征说明人工智能应用层企业虽然业务名称与应用场景较为多元，但真正形成规模贡献的收入来源并不分散</w:t>
      </w:r>
      <w:r>
        <w:rPr>
          <w:rFonts w:hint="eastAsia" w:ascii="宋体" w:hAnsi="宋体" w:eastAsia="宋体"/>
          <w:b w:val="0"/>
          <w:sz w:val="24"/>
          <w:lang w:val="en-US" w:eastAsia="zh-CN"/>
        </w:rPr>
        <w:t>。对企业经营而言，这种结构通常有助于形成资源聚焦与规模效率；但从风险暴露角度看，也意味着对核心产品线、核心客户群、核心场景的依赖程度较高。</w:t>
      </w:r>
    </w:p>
    <w:p w14:paraId="2140D4D0">
      <w:pPr>
        <w:spacing w:line="400" w:lineRule="exact"/>
        <w:ind w:firstLine="0"/>
        <w:rPr>
          <w:rFonts w:hint="eastAsia"/>
          <w:lang w:val="en-US" w:eastAsia="zh-CN"/>
        </w:rPr>
      </w:pPr>
    </w:p>
    <w:p w14:paraId="6F1945B6">
      <w:pPr>
        <w:pStyle w:val="4"/>
        <w:spacing w:line="400" w:lineRule="exact"/>
        <w:ind w:firstLine="0"/>
        <w:jc w:val="left"/>
        <w:rPr>
          <w:rFonts w:hint="eastAsia"/>
          <w:lang w:val="en-US" w:eastAsia="zh-CN"/>
        </w:rPr>
      </w:pPr>
      <w:r>
        <w:rPr>
          <w:rFonts w:hint="eastAsia" w:ascii="黑体" w:hAnsi="黑体" w:eastAsia="黑体"/>
          <w:b/>
          <w:sz w:val="24"/>
          <w:lang w:val="en-US" w:eastAsia="zh-CN"/>
        </w:rPr>
        <w:t>4.3.3.2 费用结构概览</w:t>
      </w:r>
    </w:p>
    <w:p w14:paraId="34C17AA5">
      <w:pPr>
        <w:spacing w:line="400" w:lineRule="exact"/>
        <w:ind w:firstLine="0"/>
        <w:jc w:val="left"/>
        <w:rPr>
          <w:rFonts w:hint="eastAsia"/>
          <w:lang w:val="en-US" w:eastAsia="zh-CN"/>
        </w:rPr>
      </w:pPr>
      <w:r>
        <w:rPr>
          <w:rFonts w:hint="eastAsia" w:ascii="宋体" w:hAnsi="宋体" w:eastAsia="宋体"/>
          <w:b w:val="0"/>
          <w:sz w:val="24"/>
          <w:lang w:val="en-US" w:eastAsia="zh-CN"/>
        </w:rPr>
        <w:t>（1）营业成本率趋势</w:t>
      </w:r>
    </w:p>
    <w:p w14:paraId="52B82AD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营业成本率定义为营业成本/营业收入，人工智能应用层中小企业的营业成本率趋势如图4-11所示；从2020—2024年中位数轨迹看，营业成本率由66.30%升至73.12%，累计上行6.82个百分点，且2024年出现更明显的上涨。该营业成本率的时间趋势表明，成本压力并非单年噪声，而呈现一定持续性。</w:t>
      </w:r>
    </w:p>
    <w:p w14:paraId="7E568B6F">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同时，从分布形态看，五年营业成本率的中位数整体高于均值，且中位数抬升幅度大于均值，说明成本压力的抬升更突出地发生在典型企业群体，而非仅由少数极端样本拉动均值变化。进一步地，P25—P75分位区间随时间整体上移：P25由46.61%提升至56.56%，P75由78.22%提升至83.29%。这表明成本率上行并非局部企业的异常波动，而是覆盖了样本内部从中低成本组到高成本组的广泛抬升，进一步验证了营业成本率为系统性抬升而非局部异常。</w:t>
      </w:r>
    </w:p>
    <w:p w14:paraId="2E60A9E6">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毛利率与营业成本率互为补充关系，即毛利率=1−营业成本率营业，成本率持续上行意味着毛利空间相应收窄。按毛利率口径衡量，中位毛利率由2020年的约33.70%下降至2024年的约26.88%。此时若期间费用存在一定刚性，如销售、管理与研发投入难以随收入同步压缩，则成本端压力更容易向净利率传导并放大盈利波动。因此，有必要进一步对期间费用结构进行分项拆解，以识别费用端对利润空间的具体挤压来源。</w:t>
      </w:r>
    </w:p>
    <w:p w14:paraId="527C7AAC">
      <w:pPr>
        <w:spacing w:line="400" w:lineRule="exact"/>
        <w:ind w:firstLine="0"/>
        <w:rPr>
          <w:rFonts w:hint="eastAsia"/>
          <w:lang w:val="en-US" w:eastAsia="zh-CN"/>
        </w:rPr>
      </w:pPr>
    </w:p>
    <w:p w14:paraId="2D6642E3">
      <w:pPr>
        <w:spacing w:line="400" w:lineRule="exact"/>
        <w:ind w:firstLine="0"/>
        <w:rPr>
          <w:rFonts w:hint="eastAsia"/>
          <w:lang w:val="en-US" w:eastAsia="zh-CN"/>
        </w:rPr>
      </w:pPr>
      <w:r>
        <w:rPr>
          <w:rFonts w:hint="eastAsia"/>
          <w:lang w:val="en-US" w:eastAsia="zh-CN"/>
        </w:rPr>
        <w:drawing>
          <wp:inline distT="0" distB="0" distL="114300" distR="114300">
            <wp:extent cx="5219065" cy="2862580"/>
            <wp:effectExtent l="0" t="0" r="0" b="0"/>
            <wp:docPr id="12" name="图片 34" descr="figure_x4_2020_2024营业成本率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descr="figure_x4_2020_2024营业成本率中位数趋势"/>
                    <pic:cNvPicPr>
                      <a:picLocks noChangeAspect="1"/>
                    </pic:cNvPicPr>
                  </pic:nvPicPr>
                  <pic:blipFill>
                    <a:blip r:embed="rId25"/>
                    <a:srcRect t="5710"/>
                    <a:stretch>
                      <a:fillRect/>
                    </a:stretch>
                  </pic:blipFill>
                  <pic:spPr>
                    <a:xfrm>
                      <a:off x="0" y="0"/>
                      <a:ext cx="5219065" cy="2862580"/>
                    </a:xfrm>
                    <a:prstGeom prst="rect">
                      <a:avLst/>
                    </a:prstGeom>
                    <a:noFill/>
                    <a:ln>
                      <a:noFill/>
                    </a:ln>
                  </pic:spPr>
                </pic:pic>
              </a:graphicData>
            </a:graphic>
          </wp:inline>
        </w:drawing>
      </w:r>
    </w:p>
    <w:p w14:paraId="40336232">
      <w:pPr>
        <w:keepNext w:val="0"/>
        <w:keepLines w:val="0"/>
        <w:widowControl/>
        <w:suppressLineNumbers w:val="0"/>
        <w:spacing w:line="400" w:lineRule="exact"/>
        <w:ind w:firstLineChars="0"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11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2020-2024人工智能应用层中小企业营业成本率趋势图</w:t>
      </w:r>
    </w:p>
    <w:p w14:paraId="5E35526A">
      <w:pPr>
        <w:keepNext w:val="0"/>
        <w:keepLines w:val="0"/>
        <w:widowControl/>
        <w:suppressLineNumbers w:val="0"/>
        <w:spacing w:line="400" w:lineRule="exact"/>
        <w:ind w:firstLineChars="0" w:firstLine="0"/>
        <w:jc w:val="left"/>
        <w:rPr>
          <w:rFonts w:hint="default"/>
          <w:lang w:val="en-US" w:eastAsia="zh-CN"/>
        </w:rPr>
      </w:pPr>
      <w:r>
        <w:rPr>
          <w:rFonts w:hint="eastAsia" w:ascii="宋体" w:hAnsi="宋体" w:eastAsia="宋体"/>
          <w:b w:val="0"/>
          <w:sz w:val="24"/>
          <w:lang w:val="en-US" w:eastAsia="zh-CN"/>
        </w:rPr>
        <w:t>（2）期间费用结构</w:t>
      </w:r>
    </w:p>
    <w:p w14:paraId="6000BFA2">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期间费用率定义为（销售费用+管理费用+研发费用+财务费用）/营业收入。图4-12展示了2020—2024年样本企业期间费用结构，左轴为销售、管理、研发与财务四项费用在当年期间费用中的结构占比，右轴为期间费用率中位数。从而同时回答两个关键问题，其一，期间费用对利润空间的总体挤压是否在增强；其二，费用压力主要来自哪些费用项。</w:t>
      </w:r>
    </w:p>
    <w:p w14:paraId="56E0A27A">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从黑线看，2020—2021期间费用率中位数基本稳定，进入2022年后，期间费用率中位数较2021增加1.84个百分点；2023同比再增0.45个百分点；2024年则跃升至29.11%，较2023增加3.46个百分点，</w:t>
      </w:r>
      <w:r>
        <w:rPr>
          <w:rFonts w:ascii="宋体" w:hAnsi="宋体" w:eastAsia="宋体" w:cs="宋体"/>
          <w:b w:val="0"/>
          <w:kern w:val="0"/>
          <w:sz w:val="24"/>
          <w:szCs w:val="24"/>
          <w:lang w:val="en-US" w:eastAsia="zh-CN" w:bidi="ar"/>
        </w:rPr>
        <w:t>呈现出先稳后升的特征</w:t>
      </w:r>
      <w:r>
        <w:rPr>
          <w:rFonts w:hint="eastAsia" w:ascii="宋体" w:hAnsi="宋体" w:eastAsia="宋体" w:cs="宋体"/>
          <w:b w:val="0"/>
          <w:kern w:val="0"/>
          <w:sz w:val="24"/>
          <w:szCs w:val="24"/>
          <w:lang w:val="en-US" w:eastAsia="zh-CN" w:bidi="ar"/>
        </w:rPr>
        <w:t>。</w:t>
      </w:r>
      <w:r>
        <w:rPr>
          <w:rFonts w:hint="eastAsia" w:ascii="宋体" w:hAnsi="宋体" w:eastAsia="宋体"/>
          <w:b w:val="0"/>
          <w:sz w:val="24"/>
          <w:lang w:val="en-US" w:eastAsia="zh-CN"/>
        </w:rPr>
        <w:t>从利润形成机制看，在营业成本率本已偏高的背景下，期间费用率的进一步抬升将直接压缩利润可得空间，对净利率、ROE和ROA形成更强约束。</w:t>
      </w:r>
    </w:p>
    <w:p w14:paraId="44D13FD4">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从结构端看，费用压力主要由经营性费用驱动，长期表现为销售费用与管理费用两项合计占据费用端主体，研发费用处于第二梯队，财务费用贡献有限。其中销售费用和管理费用占比均整体维持高位，表明其在获客与市场推广、以及组织运转等环节的相关支出具有更强刚性。</w:t>
      </w:r>
    </w:p>
    <w:p w14:paraId="3AE1C587">
      <w:pPr>
        <w:spacing w:line="400" w:lineRule="exact"/>
        <w:ind w:firstLine="0"/>
        <w:rPr>
          <w:rFonts w:hint="default"/>
          <w:lang w:val="en-US" w:eastAsia="zh-CN"/>
        </w:rPr>
      </w:pPr>
      <w:r>
        <w:rPr>
          <w:rFonts w:hint="default"/>
          <w:lang w:val="en-US" w:eastAsia="zh-CN"/>
        </w:rPr>
        <w:drawing>
          <wp:inline distT="0" distB="0" distL="114300" distR="114300">
            <wp:extent cx="6054090" cy="3215005"/>
            <wp:effectExtent l="0" t="0" r="0" b="0"/>
            <wp:docPr id="13" name="图片 36" descr="figure_x6_2020_2024期间费用率结构_中位数堆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figure_x6_2020_2024期间费用率结构_中位数堆叠图"/>
                    <pic:cNvPicPr>
                      <a:picLocks noChangeAspect="1"/>
                    </pic:cNvPicPr>
                  </pic:nvPicPr>
                  <pic:blipFill>
                    <a:blip r:embed="rId26"/>
                    <a:srcRect b="5612"/>
                    <a:stretch>
                      <a:fillRect/>
                    </a:stretch>
                  </pic:blipFill>
                  <pic:spPr>
                    <a:xfrm>
                      <a:off x="0" y="0"/>
                      <a:ext cx="6054090" cy="3215005"/>
                    </a:xfrm>
                    <a:prstGeom prst="rect">
                      <a:avLst/>
                    </a:prstGeom>
                    <a:noFill/>
                    <a:ln>
                      <a:noFill/>
                    </a:ln>
                  </pic:spPr>
                </pic:pic>
              </a:graphicData>
            </a:graphic>
          </wp:inline>
        </w:drawing>
      </w:r>
    </w:p>
    <w:p w14:paraId="1A584114">
      <w:pPr>
        <w:spacing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12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2020-2024人工智能应用层中小企业期间费用结构图</w:t>
      </w:r>
    </w:p>
    <w:p w14:paraId="6C9C9742">
      <w:pPr>
        <w:keepNext w:val="0"/>
        <w:keepLines w:val="0"/>
        <w:widowControl/>
        <w:suppressLineNumbers w:val="0"/>
        <w:spacing w:line="400" w:lineRule="exact"/>
        <w:ind w:firstLineChars="0" w:firstLine="0"/>
        <w:jc w:val="left"/>
        <w:rPr>
          <w:rFonts w:hint="eastAsia"/>
          <w:lang w:val="en-US" w:eastAsia="zh-CN"/>
        </w:rPr>
      </w:pPr>
    </w:p>
    <w:p w14:paraId="22BEB527">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综上，从“收入—成本—费用”的结构链条看，</w:t>
      </w:r>
      <w:r>
        <w:rPr>
          <w:rFonts w:hint="eastAsia" w:ascii="宋体" w:hAnsi="宋体" w:eastAsia="宋体" w:cs="宋体"/>
          <w:b w:val="0"/>
          <w:kern w:val="0"/>
          <w:sz w:val="24"/>
          <w:szCs w:val="24"/>
          <w:lang w:val="en-US" w:eastAsia="zh-CN" w:bidi="ar"/>
        </w:rPr>
        <w:t>人工智能应用层中小企业在样本期内普遍存在盈利能力偏弱与盈利稳定性不足，其来源可以拆解为以下三点。</w:t>
      </w:r>
      <w:r>
        <w:rPr>
          <w:rFonts w:ascii="宋体" w:hAnsi="宋体" w:eastAsia="宋体" w:cs="宋体"/>
          <w:b w:val="0"/>
          <w:kern w:val="0"/>
          <w:sz w:val="24"/>
          <w:szCs w:val="24"/>
          <w:lang w:val="en-US" w:eastAsia="zh-CN" w:bidi="ar"/>
        </w:rPr>
        <w:t>其一，收入端表现为</w:t>
      </w:r>
      <w:r>
        <w:rPr>
          <w:rFonts w:hint="eastAsia" w:ascii="宋体" w:hAnsi="宋体" w:eastAsia="宋体" w:cs="宋体"/>
          <w:b w:val="0"/>
          <w:kern w:val="0"/>
          <w:sz w:val="24"/>
          <w:szCs w:val="24"/>
          <w:lang w:val="en-US" w:eastAsia="zh-CN" w:bidi="ar"/>
        </w:rPr>
        <w:t>营业收入阶段性上行后逐年下降，</w:t>
      </w:r>
      <w:r>
        <w:rPr>
          <w:rFonts w:ascii="宋体" w:hAnsi="宋体" w:eastAsia="宋体" w:cs="宋体"/>
          <w:b w:val="0"/>
          <w:kern w:val="0"/>
          <w:sz w:val="24"/>
          <w:szCs w:val="24"/>
          <w:lang w:val="en-US" w:eastAsia="zh-CN" w:bidi="ar"/>
        </w:rPr>
        <w:t>典型企业规模增长有限且收入集中度较高，意味着增长动能不足</w:t>
      </w:r>
      <w:r>
        <w:rPr>
          <w:rFonts w:hint="eastAsia" w:ascii="宋体" w:hAnsi="宋体" w:eastAsia="宋体" w:cs="宋体"/>
          <w:b w:val="0"/>
          <w:kern w:val="0"/>
          <w:sz w:val="24"/>
          <w:szCs w:val="24"/>
          <w:lang w:val="en-US" w:eastAsia="zh-CN" w:bidi="ar"/>
        </w:rPr>
        <w:t>且对少数业务条线依赖较强；其二，</w:t>
      </w:r>
      <w:r>
        <w:rPr>
          <w:rFonts w:ascii="宋体" w:hAnsi="宋体" w:eastAsia="宋体" w:cs="宋体"/>
          <w:b w:val="0"/>
          <w:kern w:val="0"/>
          <w:sz w:val="24"/>
          <w:szCs w:val="24"/>
          <w:lang w:val="en-US" w:eastAsia="zh-CN" w:bidi="ar"/>
        </w:rPr>
        <w:t>成本端营业成本率在样本期内呈系统性抬升</w:t>
      </w:r>
      <w:r>
        <w:rPr>
          <w:rFonts w:hint="eastAsia" w:ascii="宋体" w:hAnsi="宋体" w:eastAsia="宋体" w:cs="宋体"/>
          <w:b w:val="0"/>
          <w:kern w:val="0"/>
          <w:sz w:val="24"/>
          <w:szCs w:val="24"/>
          <w:lang w:val="en-US" w:eastAsia="zh-CN" w:bidi="ar"/>
        </w:rPr>
        <w:t>而非局部异常，</w:t>
      </w:r>
      <w:r>
        <w:rPr>
          <w:rFonts w:ascii="宋体" w:hAnsi="宋体" w:eastAsia="宋体" w:cs="宋体"/>
          <w:b w:val="0"/>
          <w:kern w:val="0"/>
          <w:sz w:val="24"/>
          <w:szCs w:val="24"/>
          <w:lang w:val="en-US" w:eastAsia="zh-CN" w:bidi="ar"/>
        </w:rPr>
        <w:t>导致毛利空间持续收窄</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其三，费用端期间费用率呈现出先稳后升的特征</w:t>
      </w:r>
      <w:r>
        <w:rPr>
          <w:rFonts w:hint="eastAsia" w:ascii="宋体" w:hAnsi="宋体" w:eastAsia="宋体" w:cs="宋体"/>
          <w:b w:val="0"/>
          <w:kern w:val="0"/>
          <w:sz w:val="24"/>
          <w:szCs w:val="24"/>
          <w:lang w:val="en-US" w:eastAsia="zh-CN" w:bidi="ar"/>
        </w:rPr>
        <w:t>，并且</w:t>
      </w:r>
      <w:r>
        <w:rPr>
          <w:rFonts w:ascii="宋体" w:hAnsi="宋体" w:eastAsia="宋体" w:cs="宋体"/>
          <w:b w:val="0"/>
          <w:kern w:val="0"/>
          <w:sz w:val="24"/>
          <w:szCs w:val="24"/>
          <w:lang w:val="en-US" w:eastAsia="zh-CN" w:bidi="ar"/>
        </w:rPr>
        <w:t>在2024年出现明显跃升</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收入增长趋弱、毛利缓冲垫变薄与费用增强三者叠加，</w:t>
      </w:r>
      <w:r>
        <w:rPr>
          <w:rFonts w:hint="eastAsia" w:ascii="宋体" w:hAnsi="宋体" w:eastAsia="宋体" w:cs="宋体"/>
          <w:b w:val="0"/>
          <w:kern w:val="0"/>
          <w:sz w:val="24"/>
          <w:szCs w:val="24"/>
          <w:lang w:val="en-US" w:eastAsia="zh-CN" w:bidi="ar"/>
        </w:rPr>
        <w:t>使企业可用于覆盖费用与形成利润的空间被进一步压缩，并逐步传导至净利率、ROA、ROE</w:t>
      </w:r>
      <w:r>
        <w:rPr>
          <w:rFonts w:ascii="宋体" w:hAnsi="宋体" w:eastAsia="宋体" w:cs="宋体"/>
          <w:b w:val="0"/>
          <w:kern w:val="0"/>
          <w:sz w:val="24"/>
          <w:szCs w:val="24"/>
          <w:lang w:val="en-US" w:eastAsia="zh-CN" w:bidi="ar"/>
        </w:rPr>
        <w:t>，进而形成前文所观察到的</w:t>
      </w:r>
      <w:r>
        <w:rPr>
          <w:rFonts w:hint="eastAsia" w:ascii="宋体" w:hAnsi="宋体" w:eastAsia="宋体" w:cs="宋体"/>
          <w:b w:val="0"/>
          <w:kern w:val="0"/>
          <w:sz w:val="24"/>
          <w:szCs w:val="24"/>
          <w:lang w:val="en-US" w:eastAsia="zh-CN" w:bidi="ar"/>
        </w:rPr>
        <w:t>盈利能力逐渐趋弱</w:t>
      </w:r>
      <w:r>
        <w:rPr>
          <w:rFonts w:ascii="宋体" w:hAnsi="宋体" w:eastAsia="宋体" w:cs="宋体"/>
          <w:b w:val="0"/>
          <w:kern w:val="0"/>
          <w:sz w:val="24"/>
          <w:szCs w:val="24"/>
          <w:lang w:val="en-US" w:eastAsia="zh-CN" w:bidi="ar"/>
        </w:rPr>
        <w:t>的分布特征。</w:t>
      </w:r>
    </w:p>
    <w:p w14:paraId="3940300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值得注意的是，基于全样本的指标对比以及“收入—成本—费用”框架的拆解，本节只能揭示盈利能力的总体特征及其原因的宏观结构画像，但难以进一步深入定位到企业层面的盈利能力具体约束环节。要对人工智能应用层中小企业的盈利瓶颈作出更具解释力的判断，仍需结合代表性企业样本开展更细粒度的分析。与此同时，人工智能应用层中小企业的盈利指标的偏态分布与离群值现象亦表示，仅依赖单一指标难以全面反映企业综合盈利水平。</w:t>
      </w:r>
    </w:p>
    <w:p w14:paraId="5976E117">
      <w:pPr>
        <w:keepNext w:val="0"/>
        <w:keepLines w:val="0"/>
        <w:widowControl/>
        <w:suppressLineNumbers w:val="0"/>
        <w:spacing w:line="400" w:lineRule="exact"/>
        <w:ind w:firstLineChars="0" w:firstLine="0"/>
        <w:jc w:val="left"/>
        <w:rPr>
          <w:rFonts w:hint="default" w:eastAsia="宋体"/>
          <w:sz w:val="21"/>
          <w:szCs w:val="21"/>
          <w:lang w:val="en-US" w:eastAsia="zh-CN"/>
        </w:rPr>
      </w:pPr>
      <w:r>
        <w:rPr>
          <w:rFonts w:hint="eastAsia" w:ascii="宋体" w:hAnsi="宋体" w:eastAsia="宋体" w:cs="宋体"/>
          <w:b w:val="0"/>
          <w:kern w:val="0"/>
          <w:sz w:val="24"/>
          <w:szCs w:val="24"/>
          <w:lang w:val="en-US" w:eastAsia="zh-CN" w:bidi="ar"/>
        </w:rPr>
        <w:t>基于此，后续章节将采用熵权法构建多指标综合评价体系，在统一指标框架下，横向比较不同人工智能商业化落地模式的盈利表现，并进一步据此选取典型样本开展杜邦分析，对ROE的驱动路径进行结构拆解，从而识别不同模式间盈利差异的主要来源，和不同模式下人工智能应用层中小企业盈利的关键瓶颈。</w:t>
      </w:r>
    </w:p>
    <w:p w14:paraId="3FB0A7F1">
      <w:pPr>
        <w:pStyle w:val="2"/>
        <w:numPr>
          <w:ilvl w:val="0"/>
          <w:numId w:val="8"/>
        </w:numPr>
        <w:autoSpaceDE/>
        <w:autoSpaceDN/>
        <w:snapToGrid/>
        <w:spacing w:before="156" w:beforeLines="50" w:after="0" w:line="400" w:lineRule="exact"/>
        <w:ind w:left="0" w:leftChars="0" w:firstLineChars="0" w:firstLine="0"/>
        <w:jc w:val="left"/>
        <w:rPr>
          <w:rFonts w:hint="eastAsia" w:ascii="黑体" w:hAnsi="黑体" w:eastAsia="黑体" w:cs="Times New Roman"/>
          <w:sz w:val="36"/>
          <w:szCs w:val="36"/>
          <w:lang w:val="en-US" w:eastAsia="zh-CN"/>
        </w:rPr>
      </w:pPr>
      <w:r>
        <w:t>第5章 A股人工智能应用层中小企业盈利能力分析</w:t>
      </w:r>
    </w:p>
    <w:p w14:paraId="487954D4">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t>5.1基于熵权法的盈利能力横向对比分析（全样本）</w:t>
      </w:r>
    </w:p>
    <w:p w14:paraId="414727DB">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5.1.1评价指标的原则</w:t>
      </w:r>
    </w:p>
    <w:p w14:paraId="3947C6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企业盈利能力通常受到多个财务指标的共同影响，单一指标难以全面反映企业真实盈利状况。在综合指标测度方法中，层次分析法、主成分分析法和熵权法等是较为常用的方法。其中，主成分分析法在应用前需要满足KMO检验等统计前提条件；层次分析法的权重设定主要依赖专家判断，主观性较强；相比之下，熵权法根据指标数据本身的信息量确定权重，能够在一定程度上减少人为干预，具有较强的客观性。此外，在企业绩效评价研究中，熵权法已被广泛应用于上市公司财务绩效评价、产业竞争力评价以及企业综合发展能力评价等研究领域（Zou，2006；张新民，2019）。因此，本文采用熵权法构建企业盈利能力综合评价指数。</w:t>
      </w:r>
    </w:p>
    <w:p w14:paraId="7A956676">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5.1.2具体指标的选取</w:t>
      </w:r>
    </w:p>
    <w:p w14:paraId="78EE36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本文结合人工智能应用层企业的行业特征以及企业盈利能力评价的一般理论，遵循系统性、客观性、可比性与行业适配性原则构建盈利能力评价指标体系。</w:t>
      </w:r>
    </w:p>
    <w:p w14:paraId="4997C7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企业盈利能力不仅取决于利润规模，还受到盈利结构、经营效率以及成本控制等多方面因素的影响（孙晓华和翟钰，2021）</w:t>
      </w:r>
      <w:r>
        <w:rPr>
          <w:rFonts w:hint="default" w:ascii="宋体" w:hAnsi="宋体" w:eastAsia="宋体" w:cs="Times New Roman"/>
          <w:b w:val="0"/>
          <w:kern w:val="2"/>
          <w:sz w:val="24"/>
          <w:szCs w:val="24"/>
          <w:vertAlign w:val="superscript"/>
          <w:lang w:val="en-US" w:eastAsia="zh-CN" w:bidi="ar-SA"/>
        </w:rPr>
        <w:t>[44]</w:t>
      </w:r>
      <w:r>
        <w:rPr>
          <w:rFonts w:hint="default" w:ascii="宋体" w:hAnsi="宋体" w:eastAsia="宋体" w:cs="Times New Roman"/>
          <w:b w:val="0"/>
          <w:kern w:val="2"/>
          <w:sz w:val="24"/>
          <w:szCs w:val="24"/>
          <w:lang w:val="en-US" w:eastAsia="zh-CN" w:bidi="ar-SA"/>
        </w:rPr>
        <w:t>，因此，在构建盈利能力评价指标体系时，需要从多个维度综合考察企业盈利状况。本文将盈利能力划分为盈利水平、经营盈利能力以及成本与可持续性三个维度。其中，盈利水平主要反映企业当前利润获取能力；经营盈利能力反映企业通过经营活动创造利润的能力和经营效率；成本与可持续性维度则反映企业成本控制能力以及通过研发投入维持长期盈利能力的潜在基础。</w:t>
      </w:r>
    </w:p>
    <w:p w14:paraId="1975FB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具体指标选择方面，盈利水平维度主要选取总资产收益率、净资产收益率、营业毛利率和营业净利率等指标。这类指标直接反映企业利润水平以及股东资本回报能力，是衡量企业盈利能力最常用的指标。经营盈利能力维度选取EBIT率和EBITDA率，用以反映企业在剔除财务结构和折旧摊销影响后的经营盈利能力，从而更加真实地体现企业主营业务创造利润的能力。成本与可持续性维度则选取研发费用率、投资收益率以及营业成本率。其中，研发费用率反映企业技术研发投入水平，在人工智能应用层企业中，研发投入是推动产品创新和提升市场竞争力的重要因素，能够对企业未来盈利能力产生重要影响，因此将其纳入盈利能力评价体系；投资收益率反映企业通过资本运作获得收益的能力；营业成本率则体现企业在生产经营过程中对成本的控制能力。</w:t>
      </w:r>
    </w:p>
    <w:p w14:paraId="110254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在指标属性设定方面，本文根据各指标与企业盈利能力之间的关系确定正负属性。对于总资产收益率、净资产收益率、毛利率、净利率、EBIT率、EBITDA率、研发费用率和投资收益率等指标，其数值越大通常意味着企业盈利能力越强，因此设定为正向指标；而营业成本率反映企业成本占收入的比例，该指标越高通常意味着企业利润空间越小，因此设定为负向指标。同时，为保证评价结果的客观性，所选指标均来源于上市公司财务报表，使用明确的计算方法和统一的统计口径进行计算，并通过标准化处理后进入熵权法计算。此外，为减少企业规模差异对评价结果的影响，本文在指标选取过程中尽量采用比例指标或相对指标，如总资产收益率、净资产收益率等。具体指标如表5-1所示，通过熵权法计算企业盈利能力综合得分，从而对AI独立产品型企业与AI业务赋能型企业的盈利表现进行比较分析。</w:t>
      </w:r>
    </w:p>
    <w:p w14:paraId="7C3F09C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 盈利能力指标体系</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593"/>
        <w:gridCol w:w="1572"/>
        <w:gridCol w:w="3451"/>
        <w:gridCol w:w="495"/>
      </w:tblGrid>
      <w:tr w14:paraId="3C1C8976">
        <w:trPr>
          <w:trHeight w:val="516" w:hRule="atLeast"/>
          <w:tblHeader/>
        </w:trPr>
        <w:tc>
          <w:tcPr>
            <w:tcW w:w="705" w:type="dxa"/>
            <w:tcBorders>
              <w:top w:val="single" w:color="auto" w:sz="12" w:space="0"/>
              <w:left w:val="nil"/>
              <w:bottom w:val="single" w:color="auto" w:sz="4" w:space="0"/>
              <w:right w:val="nil"/>
            </w:tcBorders>
            <w:shd w:val="clear" w:color="auto" w:fill="auto"/>
            <w:vAlign w:val="center"/>
          </w:tcPr>
          <w:p w14:paraId="2783B3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维度</w:t>
            </w:r>
          </w:p>
        </w:tc>
        <w:tc>
          <w:tcPr>
            <w:tcW w:w="1593" w:type="dxa"/>
            <w:tcBorders>
              <w:top w:val="single" w:color="auto" w:sz="12" w:space="0"/>
              <w:left w:val="nil"/>
              <w:bottom w:val="single" w:color="auto" w:sz="4" w:space="0"/>
              <w:right w:val="nil"/>
            </w:tcBorders>
            <w:shd w:val="clear" w:color="auto" w:fill="auto"/>
            <w:vAlign w:val="center"/>
          </w:tcPr>
          <w:p w14:paraId="0F0D33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指标名称</w:t>
            </w:r>
          </w:p>
        </w:tc>
        <w:tc>
          <w:tcPr>
            <w:tcW w:w="1572" w:type="dxa"/>
            <w:tcBorders>
              <w:top w:val="single" w:color="auto" w:sz="12" w:space="0"/>
              <w:left w:val="nil"/>
              <w:bottom w:val="single" w:color="auto" w:sz="4" w:space="0"/>
              <w:right w:val="nil"/>
            </w:tcBorders>
            <w:shd w:val="clear" w:color="auto" w:fill="auto"/>
            <w:vAlign w:val="center"/>
          </w:tcPr>
          <w:p w14:paraId="3C0CB90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变量</w:t>
            </w:r>
          </w:p>
        </w:tc>
        <w:tc>
          <w:tcPr>
            <w:tcW w:w="3451" w:type="dxa"/>
            <w:tcBorders>
              <w:top w:val="single" w:color="auto" w:sz="12" w:space="0"/>
              <w:left w:val="nil"/>
              <w:bottom w:val="single" w:color="auto" w:sz="4" w:space="0"/>
              <w:right w:val="nil"/>
            </w:tcBorders>
            <w:shd w:val="clear" w:color="auto" w:fill="auto"/>
            <w:vAlign w:val="center"/>
          </w:tcPr>
          <w:p w14:paraId="36B0283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指标说明</w:t>
            </w:r>
          </w:p>
        </w:tc>
        <w:tc>
          <w:tcPr>
            <w:tcW w:w="495" w:type="dxa"/>
            <w:tcBorders>
              <w:top w:val="single" w:color="auto" w:sz="12" w:space="0"/>
              <w:left w:val="nil"/>
              <w:bottom w:val="single" w:color="auto" w:sz="4" w:space="0"/>
              <w:right w:val="nil"/>
            </w:tcBorders>
            <w:shd w:val="clear" w:color="auto" w:fill="auto"/>
            <w:vAlign w:val="center"/>
          </w:tcPr>
          <w:p w14:paraId="564B967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属性</w:t>
            </w:r>
          </w:p>
        </w:tc>
      </w:tr>
      <w:tr w14:paraId="5FE913B3">
        <w:trPr>
          <w:trHeight w:val="516" w:hRule="atLeast"/>
        </w:trPr>
        <w:tc>
          <w:tcPr>
            <w:tcW w:w="705" w:type="dxa"/>
            <w:vMerge w:val="restart"/>
            <w:tcBorders>
              <w:top w:val="single" w:color="auto" w:sz="4" w:space="0"/>
              <w:left w:val="nil"/>
              <w:right w:val="nil"/>
            </w:tcBorders>
            <w:shd w:val="clear" w:color="auto" w:fill="auto"/>
            <w:vAlign w:val="center"/>
          </w:tcPr>
          <w:p w14:paraId="2C75E085">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盈利水平</w:t>
            </w:r>
          </w:p>
        </w:tc>
        <w:tc>
          <w:tcPr>
            <w:tcW w:w="1593" w:type="dxa"/>
            <w:tcBorders>
              <w:top w:val="single" w:color="auto" w:sz="4" w:space="0"/>
              <w:left w:val="nil"/>
              <w:bottom w:val="nil"/>
              <w:right w:val="nil"/>
            </w:tcBorders>
            <w:shd w:val="clear" w:color="auto" w:fill="auto"/>
            <w:vAlign w:val="center"/>
          </w:tcPr>
          <w:p w14:paraId="7BA8543B">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总资产收益率</w:t>
            </w:r>
          </w:p>
        </w:tc>
        <w:tc>
          <w:tcPr>
            <w:tcW w:w="1572" w:type="dxa"/>
            <w:tcBorders>
              <w:top w:val="single" w:color="auto" w:sz="4" w:space="0"/>
              <w:left w:val="nil"/>
              <w:bottom w:val="nil"/>
              <w:right w:val="nil"/>
            </w:tcBorders>
            <w:shd w:val="clear" w:color="auto" w:fill="auto"/>
            <w:vAlign w:val="center"/>
          </w:tcPr>
          <w:p w14:paraId="59DF39A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ROA</w:t>
            </w:r>
          </w:p>
        </w:tc>
        <w:tc>
          <w:tcPr>
            <w:tcW w:w="3451" w:type="dxa"/>
            <w:tcBorders>
              <w:top w:val="single" w:color="auto" w:sz="4" w:space="0"/>
              <w:left w:val="nil"/>
              <w:bottom w:val="nil"/>
              <w:right w:val="nil"/>
            </w:tcBorders>
            <w:shd w:val="clear" w:color="auto" w:fill="auto"/>
            <w:vAlign w:val="center"/>
          </w:tcPr>
          <w:p w14:paraId="18B0846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净利润/平均总资产，反映企业利用资产获取利润的能力</w:t>
            </w:r>
          </w:p>
        </w:tc>
        <w:tc>
          <w:tcPr>
            <w:tcW w:w="495" w:type="dxa"/>
            <w:tcBorders>
              <w:top w:val="single" w:color="auto" w:sz="4" w:space="0"/>
              <w:left w:val="nil"/>
              <w:bottom w:val="nil"/>
              <w:right w:val="nil"/>
            </w:tcBorders>
            <w:shd w:val="clear" w:color="auto" w:fill="auto"/>
            <w:vAlign w:val="center"/>
          </w:tcPr>
          <w:p w14:paraId="6C47028B">
            <w:pPr>
              <w:keepNext w:val="0"/>
              <w:keepLines w:val="0"/>
              <w:widowControl/>
              <w:suppressLineNumbers w:val="0"/>
              <w:spacing w:line="400" w:lineRule="exact"/>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宋体" w:hAnsi="宋体" w:eastAsia="宋体" w:cs="Times New Roman"/>
                <w:b w:val="0"/>
                <w:i w:val="0"/>
                <w:iCs w:val="0"/>
                <w:color w:val="000000"/>
                <w:kern w:val="0"/>
                <w:sz w:val="24"/>
                <w:szCs w:val="21"/>
                <w:u w:val="none"/>
                <w:lang w:val="en-US" w:eastAsia="zh-CN" w:bidi="ar"/>
              </w:rPr>
              <w:t>+</w:t>
            </w:r>
          </w:p>
        </w:tc>
      </w:tr>
      <w:tr w14:paraId="683CFDB1">
        <w:trPr>
          <w:trHeight w:val="516" w:hRule="atLeast"/>
        </w:trPr>
        <w:tc>
          <w:tcPr>
            <w:tcW w:w="705" w:type="dxa"/>
            <w:vMerge w:val="continue"/>
            <w:tcBorders>
              <w:left w:val="nil"/>
              <w:right w:val="nil"/>
            </w:tcBorders>
            <w:shd w:val="clear" w:color="auto" w:fill="auto"/>
            <w:vAlign w:val="center"/>
          </w:tcPr>
          <w:p w14:paraId="2994E33E">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56EA70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净资产收益率</w:t>
            </w:r>
          </w:p>
        </w:tc>
        <w:tc>
          <w:tcPr>
            <w:tcW w:w="1572" w:type="dxa"/>
            <w:tcBorders>
              <w:top w:val="nil"/>
              <w:left w:val="nil"/>
              <w:bottom w:val="nil"/>
              <w:right w:val="nil"/>
            </w:tcBorders>
            <w:shd w:val="clear" w:color="auto" w:fill="auto"/>
            <w:vAlign w:val="center"/>
          </w:tcPr>
          <w:p w14:paraId="58F1E180">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ROE</w:t>
            </w:r>
          </w:p>
        </w:tc>
        <w:tc>
          <w:tcPr>
            <w:tcW w:w="3451" w:type="dxa"/>
            <w:tcBorders>
              <w:top w:val="nil"/>
              <w:left w:val="nil"/>
              <w:bottom w:val="nil"/>
              <w:right w:val="nil"/>
            </w:tcBorders>
            <w:shd w:val="clear" w:color="auto" w:fill="auto"/>
            <w:vAlign w:val="center"/>
          </w:tcPr>
          <w:p w14:paraId="5419C97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净利润/平均净资产，反映股东资本回报水平</w:t>
            </w:r>
          </w:p>
        </w:tc>
        <w:tc>
          <w:tcPr>
            <w:tcW w:w="495" w:type="dxa"/>
            <w:tcBorders>
              <w:top w:val="nil"/>
              <w:left w:val="nil"/>
              <w:bottom w:val="nil"/>
              <w:right w:val="nil"/>
            </w:tcBorders>
            <w:shd w:val="clear" w:color="auto" w:fill="auto"/>
            <w:vAlign w:val="center"/>
          </w:tcPr>
          <w:p w14:paraId="4A945782">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36E6F6FA">
        <w:trPr>
          <w:trHeight w:val="516" w:hRule="atLeast"/>
        </w:trPr>
        <w:tc>
          <w:tcPr>
            <w:tcW w:w="705" w:type="dxa"/>
            <w:vMerge w:val="continue"/>
            <w:tcBorders>
              <w:left w:val="nil"/>
              <w:right w:val="nil"/>
            </w:tcBorders>
            <w:shd w:val="clear" w:color="auto" w:fill="auto"/>
            <w:vAlign w:val="center"/>
          </w:tcPr>
          <w:p w14:paraId="6664C063">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6E4B7F6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营业毛利率</w:t>
            </w:r>
          </w:p>
        </w:tc>
        <w:tc>
          <w:tcPr>
            <w:tcW w:w="1572" w:type="dxa"/>
            <w:tcBorders>
              <w:top w:val="nil"/>
              <w:left w:val="nil"/>
              <w:bottom w:val="nil"/>
              <w:right w:val="nil"/>
            </w:tcBorders>
            <w:shd w:val="clear" w:color="auto" w:fill="auto"/>
            <w:vAlign w:val="center"/>
          </w:tcPr>
          <w:p w14:paraId="7E32125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毛利率</w:t>
            </w:r>
          </w:p>
        </w:tc>
        <w:tc>
          <w:tcPr>
            <w:tcW w:w="3451" w:type="dxa"/>
            <w:tcBorders>
              <w:top w:val="nil"/>
              <w:left w:val="nil"/>
              <w:bottom w:val="nil"/>
              <w:right w:val="nil"/>
            </w:tcBorders>
            <w:shd w:val="clear" w:color="auto" w:fill="auto"/>
            <w:vAlign w:val="center"/>
          </w:tcPr>
          <w:p w14:paraId="30217351">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（营业收入－营业成本）/营业收入，反映产品或服务的盈利空间</w:t>
            </w:r>
          </w:p>
        </w:tc>
        <w:tc>
          <w:tcPr>
            <w:tcW w:w="495" w:type="dxa"/>
            <w:tcBorders>
              <w:top w:val="nil"/>
              <w:left w:val="nil"/>
              <w:bottom w:val="nil"/>
              <w:right w:val="nil"/>
            </w:tcBorders>
            <w:shd w:val="clear" w:color="auto" w:fill="auto"/>
            <w:vAlign w:val="center"/>
          </w:tcPr>
          <w:p w14:paraId="099F9C1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04D1ABEA">
        <w:trPr>
          <w:trHeight w:val="516" w:hRule="atLeast"/>
        </w:trPr>
        <w:tc>
          <w:tcPr>
            <w:tcW w:w="705" w:type="dxa"/>
            <w:vMerge w:val="continue"/>
            <w:tcBorders>
              <w:left w:val="nil"/>
              <w:bottom w:val="nil"/>
              <w:right w:val="nil"/>
            </w:tcBorders>
            <w:shd w:val="clear" w:color="auto" w:fill="auto"/>
            <w:vAlign w:val="center"/>
          </w:tcPr>
          <w:p w14:paraId="29A296FB">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4392761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营业净利率</w:t>
            </w:r>
          </w:p>
        </w:tc>
        <w:tc>
          <w:tcPr>
            <w:tcW w:w="1572" w:type="dxa"/>
            <w:tcBorders>
              <w:top w:val="nil"/>
              <w:left w:val="nil"/>
              <w:bottom w:val="nil"/>
              <w:right w:val="nil"/>
            </w:tcBorders>
            <w:shd w:val="clear" w:color="auto" w:fill="auto"/>
            <w:vAlign w:val="center"/>
          </w:tcPr>
          <w:p w14:paraId="4B90E32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净利率</w:t>
            </w:r>
          </w:p>
        </w:tc>
        <w:tc>
          <w:tcPr>
            <w:tcW w:w="3451" w:type="dxa"/>
            <w:tcBorders>
              <w:top w:val="nil"/>
              <w:left w:val="nil"/>
              <w:bottom w:val="nil"/>
              <w:right w:val="nil"/>
            </w:tcBorders>
            <w:shd w:val="clear" w:color="auto" w:fill="auto"/>
            <w:vAlign w:val="center"/>
          </w:tcPr>
          <w:p w14:paraId="1C1B22F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净利润/营业收入，反映企业主营业务盈利能力</w:t>
            </w:r>
          </w:p>
        </w:tc>
        <w:tc>
          <w:tcPr>
            <w:tcW w:w="495" w:type="dxa"/>
            <w:tcBorders>
              <w:top w:val="nil"/>
              <w:left w:val="nil"/>
              <w:bottom w:val="nil"/>
              <w:right w:val="nil"/>
            </w:tcBorders>
            <w:shd w:val="clear" w:color="auto" w:fill="auto"/>
            <w:vAlign w:val="center"/>
          </w:tcPr>
          <w:p w14:paraId="749A751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0AEA54A2">
        <w:trPr>
          <w:trHeight w:val="516" w:hRule="atLeast"/>
        </w:trPr>
        <w:tc>
          <w:tcPr>
            <w:tcW w:w="705" w:type="dxa"/>
            <w:vMerge w:val="restart"/>
            <w:tcBorders>
              <w:top w:val="nil"/>
              <w:left w:val="nil"/>
              <w:right w:val="nil"/>
            </w:tcBorders>
            <w:shd w:val="clear" w:color="auto" w:fill="auto"/>
            <w:vAlign w:val="center"/>
          </w:tcPr>
          <w:p w14:paraId="6AD5B755">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经营盈利能力</w:t>
            </w:r>
          </w:p>
        </w:tc>
        <w:tc>
          <w:tcPr>
            <w:tcW w:w="1593" w:type="dxa"/>
            <w:tcBorders>
              <w:top w:val="nil"/>
              <w:left w:val="nil"/>
              <w:bottom w:val="nil"/>
              <w:right w:val="nil"/>
            </w:tcBorders>
            <w:shd w:val="clear" w:color="auto" w:fill="auto"/>
            <w:vAlign w:val="center"/>
          </w:tcPr>
          <w:p w14:paraId="297E1098">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EBIT率</w:t>
            </w:r>
          </w:p>
        </w:tc>
        <w:tc>
          <w:tcPr>
            <w:tcW w:w="1572" w:type="dxa"/>
            <w:tcBorders>
              <w:top w:val="nil"/>
              <w:left w:val="nil"/>
              <w:bottom w:val="nil"/>
              <w:right w:val="nil"/>
            </w:tcBorders>
            <w:shd w:val="clear" w:color="auto" w:fill="auto"/>
            <w:vAlign w:val="center"/>
          </w:tcPr>
          <w:p w14:paraId="3CA2B73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EBIT率</w:t>
            </w:r>
          </w:p>
        </w:tc>
        <w:tc>
          <w:tcPr>
            <w:tcW w:w="3451" w:type="dxa"/>
            <w:tcBorders>
              <w:top w:val="nil"/>
              <w:left w:val="nil"/>
              <w:bottom w:val="nil"/>
              <w:right w:val="nil"/>
            </w:tcBorders>
            <w:shd w:val="clear" w:color="auto" w:fill="auto"/>
            <w:vAlign w:val="center"/>
          </w:tcPr>
          <w:p w14:paraId="3452C26D">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EBIT/营业收入，反映企业经营活动盈利能力</w:t>
            </w:r>
          </w:p>
        </w:tc>
        <w:tc>
          <w:tcPr>
            <w:tcW w:w="495" w:type="dxa"/>
            <w:tcBorders>
              <w:top w:val="nil"/>
              <w:left w:val="nil"/>
              <w:bottom w:val="nil"/>
              <w:right w:val="nil"/>
            </w:tcBorders>
            <w:shd w:val="clear" w:color="auto" w:fill="auto"/>
            <w:vAlign w:val="center"/>
          </w:tcPr>
          <w:p w14:paraId="6306E28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3BEBF7E5">
        <w:trPr>
          <w:trHeight w:val="516" w:hRule="atLeast"/>
        </w:trPr>
        <w:tc>
          <w:tcPr>
            <w:tcW w:w="705" w:type="dxa"/>
            <w:vMerge w:val="continue"/>
            <w:tcBorders>
              <w:left w:val="nil"/>
              <w:bottom w:val="nil"/>
              <w:right w:val="nil"/>
            </w:tcBorders>
            <w:shd w:val="clear" w:color="auto" w:fill="auto"/>
            <w:vAlign w:val="center"/>
          </w:tcPr>
          <w:p w14:paraId="2C98CEFF">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3D0FF7A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EBITDA率</w:t>
            </w:r>
          </w:p>
        </w:tc>
        <w:tc>
          <w:tcPr>
            <w:tcW w:w="1572" w:type="dxa"/>
            <w:tcBorders>
              <w:top w:val="nil"/>
              <w:left w:val="nil"/>
              <w:bottom w:val="nil"/>
              <w:right w:val="nil"/>
            </w:tcBorders>
            <w:shd w:val="clear" w:color="auto" w:fill="auto"/>
            <w:vAlign w:val="center"/>
          </w:tcPr>
          <w:p w14:paraId="4BB64A5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EBITDA率</w:t>
            </w:r>
          </w:p>
        </w:tc>
        <w:tc>
          <w:tcPr>
            <w:tcW w:w="3451" w:type="dxa"/>
            <w:tcBorders>
              <w:top w:val="nil"/>
              <w:left w:val="nil"/>
              <w:bottom w:val="nil"/>
              <w:right w:val="nil"/>
            </w:tcBorders>
            <w:shd w:val="clear" w:color="auto" w:fill="auto"/>
            <w:vAlign w:val="center"/>
          </w:tcPr>
          <w:p w14:paraId="32FAEC1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EBITDA/营业收入，反映企业经营现金盈利能力</w:t>
            </w:r>
          </w:p>
        </w:tc>
        <w:tc>
          <w:tcPr>
            <w:tcW w:w="495" w:type="dxa"/>
            <w:tcBorders>
              <w:top w:val="nil"/>
              <w:left w:val="nil"/>
              <w:bottom w:val="nil"/>
              <w:right w:val="nil"/>
            </w:tcBorders>
            <w:shd w:val="clear" w:color="auto" w:fill="auto"/>
            <w:vAlign w:val="center"/>
          </w:tcPr>
          <w:p w14:paraId="4FF7AD4E">
            <w:pPr>
              <w:keepNext w:val="0"/>
              <w:keepLines w:val="0"/>
              <w:widowControl/>
              <w:suppressLineNumbers w:val="0"/>
              <w:spacing w:line="400" w:lineRule="exact"/>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宋体" w:hAnsi="宋体" w:eastAsia="宋体" w:cs="Times New Roman"/>
                <w:b w:val="0"/>
                <w:i w:val="0"/>
                <w:iCs w:val="0"/>
                <w:color w:val="000000"/>
                <w:kern w:val="0"/>
                <w:sz w:val="24"/>
                <w:szCs w:val="21"/>
                <w:u w:val="none"/>
                <w:lang w:val="en-US" w:eastAsia="zh-CN" w:bidi="ar"/>
              </w:rPr>
              <w:t>+</w:t>
            </w:r>
          </w:p>
        </w:tc>
      </w:tr>
      <w:tr w14:paraId="06C92098">
        <w:trPr>
          <w:trHeight w:val="516" w:hRule="atLeast"/>
        </w:trPr>
        <w:tc>
          <w:tcPr>
            <w:tcW w:w="705" w:type="dxa"/>
            <w:vMerge w:val="restart"/>
            <w:tcBorders>
              <w:top w:val="nil"/>
              <w:left w:val="nil"/>
              <w:right w:val="nil"/>
            </w:tcBorders>
            <w:shd w:val="clear" w:color="auto" w:fill="auto"/>
            <w:vAlign w:val="center"/>
          </w:tcPr>
          <w:p w14:paraId="1B855AD1">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成本与可持续性</w:t>
            </w:r>
          </w:p>
        </w:tc>
        <w:tc>
          <w:tcPr>
            <w:tcW w:w="1593" w:type="dxa"/>
            <w:tcBorders>
              <w:top w:val="nil"/>
              <w:left w:val="nil"/>
              <w:bottom w:val="nil"/>
              <w:right w:val="nil"/>
            </w:tcBorders>
            <w:shd w:val="clear" w:color="auto" w:fill="auto"/>
            <w:vAlign w:val="center"/>
          </w:tcPr>
          <w:p w14:paraId="13315CD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研发费用率</w:t>
            </w:r>
          </w:p>
        </w:tc>
        <w:tc>
          <w:tcPr>
            <w:tcW w:w="1572" w:type="dxa"/>
            <w:tcBorders>
              <w:top w:val="nil"/>
              <w:left w:val="nil"/>
              <w:bottom w:val="nil"/>
              <w:right w:val="nil"/>
            </w:tcBorders>
            <w:shd w:val="clear" w:color="auto" w:fill="auto"/>
            <w:vAlign w:val="center"/>
          </w:tcPr>
          <w:p w14:paraId="2F7B6A7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研发费用率</w:t>
            </w:r>
          </w:p>
        </w:tc>
        <w:tc>
          <w:tcPr>
            <w:tcW w:w="3451" w:type="dxa"/>
            <w:tcBorders>
              <w:top w:val="nil"/>
              <w:left w:val="nil"/>
              <w:bottom w:val="nil"/>
              <w:right w:val="nil"/>
            </w:tcBorders>
            <w:shd w:val="clear" w:color="auto" w:fill="auto"/>
            <w:vAlign w:val="center"/>
          </w:tcPr>
          <w:p w14:paraId="7BCA9B1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研发费用/营业收入，反映企业技术投入水平</w:t>
            </w:r>
          </w:p>
        </w:tc>
        <w:tc>
          <w:tcPr>
            <w:tcW w:w="495" w:type="dxa"/>
            <w:tcBorders>
              <w:top w:val="nil"/>
              <w:left w:val="nil"/>
              <w:bottom w:val="nil"/>
              <w:right w:val="nil"/>
            </w:tcBorders>
            <w:shd w:val="clear" w:color="auto" w:fill="auto"/>
            <w:vAlign w:val="center"/>
          </w:tcPr>
          <w:p w14:paraId="5EE60DE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4E0F63A0">
        <w:trPr>
          <w:trHeight w:val="516" w:hRule="atLeast"/>
        </w:trPr>
        <w:tc>
          <w:tcPr>
            <w:tcW w:w="705" w:type="dxa"/>
            <w:vMerge w:val="continue"/>
            <w:tcBorders>
              <w:left w:val="nil"/>
              <w:right w:val="nil"/>
            </w:tcBorders>
            <w:shd w:val="clear" w:color="auto" w:fill="auto"/>
            <w:vAlign w:val="center"/>
          </w:tcPr>
          <w:p w14:paraId="7C5D9802">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8A8CAD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投资收益率</w:t>
            </w:r>
          </w:p>
        </w:tc>
        <w:tc>
          <w:tcPr>
            <w:tcW w:w="1572" w:type="dxa"/>
            <w:tcBorders>
              <w:top w:val="nil"/>
              <w:left w:val="nil"/>
              <w:bottom w:val="nil"/>
              <w:right w:val="nil"/>
            </w:tcBorders>
            <w:shd w:val="clear" w:color="auto" w:fill="auto"/>
            <w:vAlign w:val="center"/>
          </w:tcPr>
          <w:p w14:paraId="4C21F76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投资收益率</w:t>
            </w:r>
          </w:p>
        </w:tc>
        <w:tc>
          <w:tcPr>
            <w:tcW w:w="3451" w:type="dxa"/>
            <w:tcBorders>
              <w:top w:val="nil"/>
              <w:left w:val="nil"/>
              <w:bottom w:val="nil"/>
              <w:right w:val="nil"/>
            </w:tcBorders>
            <w:shd w:val="clear" w:color="auto" w:fill="auto"/>
            <w:vAlign w:val="center"/>
          </w:tcPr>
          <w:p w14:paraId="05266C72">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投资收益/营业收入，反映企业投资收益能力</w:t>
            </w:r>
          </w:p>
        </w:tc>
        <w:tc>
          <w:tcPr>
            <w:tcW w:w="495" w:type="dxa"/>
            <w:tcBorders>
              <w:top w:val="nil"/>
              <w:left w:val="nil"/>
              <w:bottom w:val="nil"/>
              <w:right w:val="nil"/>
            </w:tcBorders>
            <w:shd w:val="clear" w:color="auto" w:fill="auto"/>
            <w:vAlign w:val="center"/>
          </w:tcPr>
          <w:p w14:paraId="1F0735C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65027CD9">
        <w:trPr>
          <w:trHeight w:val="516" w:hRule="atLeast"/>
        </w:trPr>
        <w:tc>
          <w:tcPr>
            <w:tcW w:w="705" w:type="dxa"/>
            <w:vMerge w:val="continue"/>
            <w:tcBorders>
              <w:left w:val="nil"/>
              <w:bottom w:val="single" w:color="auto" w:sz="12" w:space="0"/>
              <w:right w:val="nil"/>
            </w:tcBorders>
            <w:shd w:val="clear" w:color="auto" w:fill="auto"/>
            <w:vAlign w:val="center"/>
          </w:tcPr>
          <w:p w14:paraId="46E7822E">
            <w:pPr>
              <w:rPr>
                <w:rFonts w:hint="default" w:ascii="Times New Roman" w:hAnsi="Times New Roman" w:cs="Times New Roman"/>
                <w:i w:val="0"/>
                <w:iCs w:val="0"/>
                <w:color w:val="000000"/>
                <w:sz w:val="21"/>
                <w:szCs w:val="21"/>
                <w:u w:val="none"/>
              </w:rPr>
            </w:pPr>
          </w:p>
        </w:tc>
        <w:tc>
          <w:tcPr>
            <w:tcW w:w="1593" w:type="dxa"/>
            <w:tcBorders>
              <w:top w:val="nil"/>
              <w:left w:val="nil"/>
              <w:bottom w:val="single" w:color="auto" w:sz="12" w:space="0"/>
              <w:right w:val="nil"/>
            </w:tcBorders>
            <w:shd w:val="clear" w:color="auto" w:fill="auto"/>
            <w:vAlign w:val="center"/>
          </w:tcPr>
          <w:p w14:paraId="48AAE59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营业成本率</w:t>
            </w:r>
          </w:p>
        </w:tc>
        <w:tc>
          <w:tcPr>
            <w:tcW w:w="1572" w:type="dxa"/>
            <w:tcBorders>
              <w:top w:val="nil"/>
              <w:left w:val="nil"/>
              <w:bottom w:val="single" w:color="auto" w:sz="12" w:space="0"/>
              <w:right w:val="nil"/>
            </w:tcBorders>
            <w:shd w:val="clear" w:color="auto" w:fill="auto"/>
            <w:vAlign w:val="center"/>
          </w:tcPr>
          <w:p w14:paraId="39781851">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营业成本率</w:t>
            </w:r>
          </w:p>
        </w:tc>
        <w:tc>
          <w:tcPr>
            <w:tcW w:w="3451" w:type="dxa"/>
            <w:tcBorders>
              <w:top w:val="nil"/>
              <w:left w:val="nil"/>
              <w:bottom w:val="single" w:color="auto" w:sz="12" w:space="0"/>
              <w:right w:val="nil"/>
            </w:tcBorders>
            <w:shd w:val="clear" w:color="auto" w:fill="auto"/>
            <w:vAlign w:val="center"/>
          </w:tcPr>
          <w:p w14:paraId="40C007B7">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营业成本/营业收入，反映企业成本控制能力</w:t>
            </w:r>
          </w:p>
        </w:tc>
        <w:tc>
          <w:tcPr>
            <w:tcW w:w="495" w:type="dxa"/>
            <w:tcBorders>
              <w:top w:val="nil"/>
              <w:left w:val="nil"/>
              <w:bottom w:val="single" w:color="auto" w:sz="12" w:space="0"/>
              <w:right w:val="nil"/>
            </w:tcBorders>
            <w:shd w:val="clear" w:color="auto" w:fill="auto"/>
            <w:vAlign w:val="center"/>
          </w:tcPr>
          <w:p w14:paraId="4825BAC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bl>
    <w:p w14:paraId="3C1762E5">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5.1.3数据处理和权重的确定</w:t>
      </w:r>
    </w:p>
    <w:p w14:paraId="01BB1C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本研究所需的企业财务指标主要来源于同花顺（ifinD）以及上市公司年度报告，通过对相关财务报表数据进行整理与匹配，构建了2020—2024年A股人工智能应用层中小企业的面板数据样本，为避免极端观测值对综合评价结果产生过度影响，本文对主要财务指标</w:t>
      </w:r>
      <w:r>
        <w:rPr>
          <w:rFonts w:hint="default" w:ascii="宋体" w:hAnsi="宋体" w:eastAsia="宋体" w:cs="Times New Roman"/>
          <w:b w:val="0"/>
          <w:sz w:val="24"/>
          <w:szCs w:val="24"/>
        </w:rPr>
        <w:t>在1%和99%分位处进行缩尾处理</w:t>
      </w:r>
      <w:r>
        <w:rPr>
          <w:rFonts w:hint="default" w:ascii="宋体" w:hAnsi="宋体" w:eastAsia="宋体" w:cs="Times New Roman"/>
          <w:b w:val="0"/>
          <w:kern w:val="2"/>
          <w:sz w:val="24"/>
          <w:szCs w:val="24"/>
          <w:lang w:val="en-US" w:eastAsia="zh-CN" w:bidi="ar-SA"/>
        </w:rPr>
        <w:t>。</w:t>
      </w:r>
    </w:p>
    <w:p w14:paraId="00AE78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kern w:val="2"/>
          <w:sz w:val="24"/>
          <w:szCs w:val="24"/>
          <w:lang w:val="en-US" w:eastAsia="zh-CN" w:bidi="ar-SA"/>
        </w:rPr>
        <w:t>随后，对各指标进行极差标准化处理，将不同量纲的指标转化为无量纲指标，以保证各指标之间具有可比性。在指标标准化的基础上，本文采用熵权法对各指标进行客观赋权。熵权法通过计算各指标在样本中的信息熵值来衡量其信息量大小，指标差异越大，所包含的信息量越多，其在综合评价中的权重也越高。通过计算各指标的信息熵、冗余度以及归一化权重，最终得到各盈利能力评价指标的权重，并据此计算企业盈利能力综合得分。</w:t>
      </w:r>
    </w:p>
    <w:p w14:paraId="2FAD5D50">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首先，构建原始数据矩阵：</w:t>
      </w:r>
    </w:p>
    <w:p w14:paraId="5B86944B">
      <w:pPr>
        <w:spacing w:line="400" w:lineRule="exact"/>
        <w:ind w:firstLine="0"/>
        <w:rPr>
          <w:rFonts w:hint="default" w:ascii="Times New Roman" w:hAnsi="Times New Roman" w:eastAsia="宋体" w:cs="Times New Roman"/>
          <w:sz w:val="24"/>
          <w:szCs w:val="24"/>
          <w:lang w:val="en-US" w:eastAsia="zh-CN"/>
        </w:rPr>
      </w:pPr>
    </w:p>
    <w:p w14:paraId="21989108">
      <w:pPr>
        <w:spacing w:line="400" w:lineRule="exact"/>
        <w:ind w:firstLine="0"/>
        <w:rPr>
          <w:rFonts w:hint="default" w:ascii="Times New Roman" w:hAnsi="Times New Roman" w:cs="Times New Roman"/>
        </w:rPr>
      </w:pPr>
      <m:oMathPara>
        <m:oMath>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eastAsia="Cambria Math" w:cs="Times New Roman"/>
                  <w:b w:val="0"/>
                  <w:i w:val="0"/>
                </w:rPr>
                <m:t>[</m:t>
              </m:r>
              <m:m>
                <m:mPr>
                  <m:mcs>
                    <m:mc>
                      <m:mcPr>
                        <m:count m:val="3"/>
                        <m:mcJc m:val="center"/>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r>
                          <m:rPr>
                            <m:nor/>
                          </m:rPr>
                          <w:rPr>
                            <w:rFonts w:hint="default" w:ascii="Times New Roman" w:hAnsi="Times New Roman" w:eastAsia="Cambria Math" w:cs="Times New Roman"/>
                            <w:i/>
                          </w:rPr>
                          <m:t>m</m:t>
                        </m:r>
                        <m:ctrlPr>
                          <w:rPr>
                            <w:rFonts w:hint="default" w:ascii="Cambria Math" w:hAnsi="Cambria Math" w:cs="Times New Roman"/>
                          </w:rPr>
                        </m:ctrlPr>
                      </m:sub>
                    </m:sSub>
                    <m:ctrlPr>
                      <w:rPr>
                        <w:rFonts w:hint="default" w:ascii="Cambria Math" w:hAnsi="Cambria Math" w:cs="Times New Roman"/>
                      </w:rPr>
                    </m:ctrlPr>
                  </m:e>
                </m:mr>
                <m:mr>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m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m:t>
                        </m:r>
                        <m:ctrlPr>
                          <w:rPr>
                            <w:rFonts w:hint="default" w:ascii="Cambria Math" w:hAnsi="Cambria Math" w:cs="Times New Roman"/>
                          </w:rPr>
                        </m:ctrlPr>
                      </m:sub>
                    </m:sSub>
                    <m:ctrlPr>
                      <w:rPr>
                        <w:rFonts w:hint="default" w:ascii="Cambria Math" w:hAnsi="Cambria Math" w:cs="Times New Roman"/>
                      </w:rPr>
                    </m:ctrlPr>
                  </m:e>
                </m:mr>
              </m:m>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m:t>
              </m:r>
              <m:ctrlPr>
                <w:rPr>
                  <w:rFonts w:hint="default" w:ascii="Cambria Math" w:hAnsi="Cambria Math" w:cs="Times New Roman"/>
                </w:rPr>
              </m:ctrlPr>
            </m:sub>
          </m:sSub>
        </m:oMath>
      </m:oMathPara>
    </w:p>
    <w:p w14:paraId="128B73EA">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其中</w:t>
      </w:r>
      <m:oMath>
        <m:r>
          <m:rPr>
            <m:nor/>
          </m:rPr>
          <w:rPr>
            <w:rFonts w:hint="default" w:ascii="Times New Roman" w:hAnsi="Times New Roman" w:eastAsia="宋体" w:cs="Times New Roman"/>
            <w:i/>
            <w:kern w:val="2"/>
            <w:sz w:val="24"/>
            <w:szCs w:val="24"/>
            <w:lang w:val="en-US" w:eastAsia="zh-CN" w:bidi="ar-SA"/>
          </w:rPr>
          <m:t>n</m:t>
        </m:r>
      </m:oMath>
      <w:r>
        <w:rPr>
          <w:rFonts w:hint="default" w:ascii="宋体" w:hAnsi="宋体" w:eastAsia="宋体" w:cs="Times New Roman"/>
          <w:b w:val="0"/>
          <w:i w:val="0"/>
          <w:kern w:val="2"/>
          <w:sz w:val="24"/>
          <w:szCs w:val="24"/>
          <w:lang w:val="en-US" w:eastAsia="zh-CN" w:bidi="ar-SA"/>
        </w:rPr>
        <w:t>表示</w:t>
      </w:r>
      <w:r>
        <w:rPr>
          <w:rFonts w:hint="default" w:ascii="宋体" w:hAnsi="宋体" w:eastAsia="宋体" w:cs="Times New Roman"/>
          <w:b w:val="0"/>
          <w:sz w:val="24"/>
          <w:szCs w:val="24"/>
        </w:rPr>
        <w:t>样本数量，</w:t>
      </w:r>
      <m:oMath>
        <m:r>
          <m:rPr>
            <m:nor/>
          </m:rPr>
          <w:rPr>
            <w:rFonts w:hint="default" w:ascii="Times New Roman" w:hAnsi="Times New Roman" w:eastAsia="宋体" w:cs="Times New Roman"/>
            <w:i/>
            <w:kern w:val="2"/>
            <w:sz w:val="24"/>
            <w:szCs w:val="24"/>
            <w:lang w:val="en-US" w:eastAsia="zh-CN" w:bidi="ar-SA"/>
          </w:rPr>
          <m:t>m</m:t>
        </m:r>
      </m:oMath>
      <w:r>
        <w:rPr>
          <w:rFonts w:hint="default" w:ascii="宋体" w:hAnsi="宋体" w:eastAsia="宋体" w:cs="Times New Roman"/>
          <w:b w:val="0"/>
          <w:sz w:val="24"/>
          <w:szCs w:val="24"/>
        </w:rPr>
        <w:t>表示评价指标数量，</w:t>
      </w:r>
      <m:oMath>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w:r>
        <w:rPr>
          <w:rFonts w:hint="default" w:ascii="宋体" w:hAnsi="宋体" w:cs="Times New Roman" w:eastAsia="宋体"/>
          <w:b w:val="0"/>
          <w:i w:val="0"/>
          <w:sz w:val="24"/>
          <w:lang w:val="en-US" w:eastAsia="zh-CN"/>
        </w:rPr>
        <w:t>表示第</w:t>
      </w:r>
      <m:oMath>
        <m:r>
          <m:rPr>
            <m:nor/>
          </m:rPr>
          <w:rPr>
            <w:rFonts w:hint="default" w:ascii="Times New Roman" w:hAnsi="Times New Roman" w:cs="Times New Roman"/>
            <w:i/>
            <w:kern w:val="2"/>
            <w:sz w:val="21"/>
            <w:szCs w:val="24"/>
            <w:lang w:val="en-US" w:eastAsia="zh-CN" w:bidi="ar-SA"/>
          </w:rPr>
          <m:t>i</m:t>
        </m:r>
      </m:oMath>
      <w:r>
        <w:rPr>
          <w:rFonts w:hint="default" w:ascii="宋体" w:hAnsi="宋体" w:cs="Times New Roman" w:eastAsia="宋体"/>
          <w:b w:val="0"/>
          <w:i w:val="0"/>
          <w:kern w:val="2"/>
          <w:sz w:val="24"/>
          <w:szCs w:val="24"/>
          <w:lang w:val="en-US" w:eastAsia="zh-CN" w:bidi="ar-SA"/>
        </w:rPr>
        <w:t>个样本中在第</w:t>
      </w:r>
      <m:oMath>
        <m:r>
          <m:rPr>
            <m:nor/>
          </m:rPr>
          <w:rPr>
            <w:rFonts w:hint="default" w:ascii="Times New Roman" w:hAnsi="Times New Roman" w:cs="Times New Roman"/>
            <w:i/>
            <w:kern w:val="2"/>
            <w:sz w:val="21"/>
            <w:szCs w:val="24"/>
            <w:lang w:val="en-US" w:eastAsia="zh-CN" w:bidi="ar-SA"/>
          </w:rPr>
          <m:t>j</m:t>
        </m:r>
      </m:oMath>
      <w:r>
        <w:rPr>
          <w:rFonts w:hint="default" w:ascii="宋体" w:hAnsi="宋体" w:cs="Times New Roman" w:eastAsia="宋体"/>
          <w:b w:val="0"/>
          <w:i w:val="0"/>
          <w:kern w:val="2"/>
          <w:sz w:val="24"/>
          <w:szCs w:val="24"/>
          <w:lang w:val="en-US" w:eastAsia="zh-CN" w:bidi="ar-SA"/>
        </w:rPr>
        <w:t>个</w:t>
      </w:r>
      <w:r>
        <w:rPr>
          <w:rFonts w:hint="default" w:ascii="宋体" w:hAnsi="宋体" w:eastAsia="宋体" w:cs="Times New Roman"/>
          <w:b w:val="0"/>
          <w:sz w:val="24"/>
          <w:szCs w:val="24"/>
        </w:rPr>
        <w:t>个指标上的原始取值。</w:t>
      </w:r>
      <w:r>
        <w:rPr>
          <w:rFonts w:hint="default" w:ascii="宋体" w:hAnsi="宋体" w:eastAsia="宋体" w:cs="Times New Roman"/>
          <w:b w:val="0"/>
          <w:sz w:val="24"/>
          <w:szCs w:val="24"/>
          <w:lang w:val="en-US" w:eastAsia="zh-CN"/>
        </w:rPr>
        <w:t>第二，由于各数据的单位（量纲）不一致，为了为解决指标量纲差异，采用极差标准化处理：</w:t>
      </w:r>
    </w:p>
    <w:p w14:paraId="21CE1FD0">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num>
            <m:den>
              <m:r>
                <m:rPr>
                  <m:nor/>
                </m:rPr>
                <w:rPr>
                  <w:rFonts w:hint="default" w:ascii="Times New Roman" w:hAnsi="Times New Roman" w:eastAsia="Cambria Math" w:cs="Times New Roman"/>
                  <w:i/>
                </w:rPr>
                <m:t>max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den>
          </m:f>
        </m:oMath>
      </m:oMathPara>
    </w:p>
    <w:p w14:paraId="2D62D1B9">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第三，计算第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宋体" w:hAnsi="宋体" w:eastAsia="宋体" w:cs="Times New Roman"/>
          <w:b w:val="0"/>
          <w:sz w:val="24"/>
          <w:szCs w:val="24"/>
          <w:lang w:val="en-US" w:eastAsia="zh-CN"/>
        </w:rPr>
        <w:t>项指标下第</w:t>
      </w:r>
      <m:oMath>
        <m:r>
          <m:rPr>
            <m:nor/>
            <m:sty m:val="p"/>
          </m:rPr>
          <w:rPr>
            <w:rFonts w:hint="default" w:ascii="Times New Roman" w:hAnsi="Times New Roman" w:eastAsia="宋体" w:cs="Times New Roman"/>
            <w:b w:val="0"/>
            <w:i w:val="0"/>
            <w:sz w:val="24"/>
            <w:szCs w:val="24"/>
            <w:lang w:val="en-US" w:eastAsia="zh-CN"/>
          </w:rPr>
          <m:t>i</m:t>
        </m:r>
      </m:oMath>
      <w:r>
        <w:rPr>
          <w:rFonts w:hint="default" w:ascii="宋体" w:hAnsi="宋体" w:eastAsia="宋体" w:cs="Times New Roman"/>
          <w:b w:val="0"/>
          <w:sz w:val="24"/>
          <w:szCs w:val="24"/>
        </w:rPr>
        <w:t>个样本值在该指标所有样本中的比重：</w:t>
      </w:r>
    </w:p>
    <w:p w14:paraId="029F40CC">
      <w:pPr>
        <w:numPr>
          <w:ilvl w:val="0"/>
          <w:numId w:val="0"/>
        </w:num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35105BB1">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第四，计算第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宋体" w:hAnsi="宋体" w:eastAsia="宋体" w:cs="Times New Roman"/>
          <w:b w:val="0"/>
          <w:sz w:val="24"/>
          <w:szCs w:val="24"/>
          <w:lang w:val="en-US" w:eastAsia="zh-CN"/>
        </w:rPr>
        <w:t>项的熵值：</w:t>
      </w:r>
    </w:p>
    <w:p w14:paraId="6031988B">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r>
                <m:rPr>
                  <m:nor/>
                  <m:sty m:val="p"/>
                </m:rPr>
                <w:rPr>
                  <w:rFonts w:hint="default" w:ascii="Times New Roman" w:hAnsi="Times New Roman" w:eastAsia="Cambria Math" w:cs="Times New Roman"/>
                  <w:b w:val="0"/>
                  <w:i w:val="0"/>
                </w:rPr>
                <m:t>1</m:t>
              </m:r>
              <m:ctrlPr>
                <w:rPr>
                  <w:rFonts w:hint="default" w:ascii="Cambria Math" w:hAnsi="Cambria Math" w:cs="Times New Roman"/>
                </w:rPr>
              </m:ctrlPr>
            </m:num>
            <m:den>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n</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6D632D67">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第五，计算指标差异性系数：</w:t>
      </w:r>
    </w:p>
    <w:p w14:paraId="00F2AF54">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=1−</m:t>
          </m:r>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oMath>
      </m:oMathPara>
    </w:p>
    <w:p w14:paraId="475B1D45">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第六，</w:t>
      </w:r>
      <w:r>
        <w:rPr>
          <w:rFonts w:hint="default" w:ascii="宋体" w:hAnsi="宋体" w:eastAsia="宋体" w:cs="Times New Roman"/>
          <w:b w:val="0"/>
          <w:sz w:val="24"/>
          <w:szCs w:val="24"/>
        </w:rPr>
        <w:t>对差异系数进行归一化处理，得到各指标的权重：</w:t>
      </w:r>
    </w:p>
    <w:p w14:paraId="182A02A2">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7E4B5F68">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第七，</w:t>
      </w:r>
      <w:r>
        <w:rPr>
          <w:rFonts w:hint="default" w:ascii="宋体" w:hAnsi="宋体" w:eastAsia="宋体" w:cs="Times New Roman"/>
          <w:b w:val="0"/>
          <w:sz w:val="24"/>
          <w:szCs w:val="24"/>
        </w:rPr>
        <w:t>通过加权求和计算企业盈利能力综合得分：</w:t>
      </w:r>
    </w:p>
    <w:p w14:paraId="7CF8872A">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S</m:t>
              </m:r>
              <m:ctrlPr>
                <w:rPr>
                  <w:rFonts w:hint="default" w:ascii="Cambria Math" w:hAnsi="Cambria Math" w:cs="Times New Roman"/>
                </w:rPr>
              </m:ctrlPr>
            </m:e>
            <m:sub>
              <m:r>
                <m:rPr>
                  <m:nor/>
                </m:rPr>
                <w:rPr>
                  <w:rFonts w:hint="default" w:ascii="Times New Roman" w:hAnsi="Times New Roman" w:eastAsia="Cambria Math" w:cs="Times New Roman"/>
                  <w:i/>
                </w:rPr>
                <m:t>i</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0D3D8F7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表示第个企业的盈利能力综合得分，得分越高，说明企业整体盈利能力越强。表5-2列示了各指标的熵权法计算结果。</w:t>
      </w:r>
    </w:p>
    <w:p w14:paraId="77EC9D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结果可知，不同指标在综合评价中的权重存在一定差异。其中，研发费用率的权重最高，说明在样本企业之间，该指标的离散程度最大，对企业盈利能力综合评价具有较强的区分作用。这表明不同人工智能应用层企业在研发投入水平方面存在较为明显的差异。其次是投资收益率，说明不同企业在投资收益能力方面存在较为明显的差异。投资收益率反映企业通过对外投资获取收益的能力，在一定程度上能够补充企业主营业务盈利来源。此外，营业成本率和营业毛利率的权重也处于相对较高水平，说明样本企业在成本结构和主营业务盈利空间方面存在一定差异。其中，营业成本率反映企业在生产经营过程中对成本的控制能力，而营业毛利率则体现企业产品或服务的盈利空间。</w:t>
      </w:r>
    </w:p>
    <w:p w14:paraId="085414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相比之下，总资产收益率、净资产收益率、EBIT率、EBITDA率以及营业净利率等指标的权重相对较低，说明这些指标在样本企业之间的差异程度相对较小，对综合评价结果的区分作用相对有限。</w:t>
      </w:r>
    </w:p>
    <w:p w14:paraId="699B1BD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 盈利能力指标权重</w:t>
      </w:r>
    </w:p>
    <w:tbl>
      <w:tblPr>
        <w:tblStyle w:val="31"/>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6023"/>
        <w:gridCol w:w="1432"/>
      </w:tblGrid>
      <w:tr w14:paraId="4AFAC01B">
        <w:trPr>
          <w:trHeight w:val="0" w:hRule="atLeast"/>
          <w:tblHeader/>
        </w:trPr>
        <w:tc>
          <w:tcPr>
            <w:tcW w:w="1064" w:type="dxa"/>
            <w:tcBorders>
              <w:top w:val="single" w:color="000000" w:sz="12" w:space="0"/>
              <w:left w:val="nil"/>
              <w:bottom w:val="single" w:color="000000" w:sz="8" w:space="0"/>
              <w:right w:val="nil"/>
            </w:tcBorders>
            <w:shd w:val="clear" w:color="auto" w:fill="auto"/>
            <w:vAlign w:val="center"/>
          </w:tcPr>
          <w:p w14:paraId="089C55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w:t>
            </w:r>
          </w:p>
        </w:tc>
        <w:tc>
          <w:tcPr>
            <w:tcW w:w="6023" w:type="dxa"/>
            <w:tcBorders>
              <w:top w:val="single" w:color="000000" w:sz="12" w:space="0"/>
              <w:left w:val="nil"/>
              <w:bottom w:val="single" w:color="000000" w:sz="8" w:space="0"/>
              <w:right w:val="nil"/>
            </w:tcBorders>
            <w:shd w:val="clear" w:color="auto" w:fill="auto"/>
            <w:vAlign w:val="center"/>
          </w:tcPr>
          <w:p w14:paraId="7DDEBA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指标含义</w:t>
            </w:r>
          </w:p>
        </w:tc>
        <w:tc>
          <w:tcPr>
            <w:tcW w:w="1432" w:type="dxa"/>
            <w:tcBorders>
              <w:top w:val="single" w:color="000000" w:sz="12" w:space="0"/>
              <w:left w:val="nil"/>
              <w:bottom w:val="single" w:color="000000" w:sz="8" w:space="0"/>
              <w:right w:val="nil"/>
            </w:tcBorders>
            <w:shd w:val="clear" w:color="auto" w:fill="auto"/>
            <w:vAlign w:val="center"/>
          </w:tcPr>
          <w:p w14:paraId="4DB3577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权重</w:t>
            </w:r>
          </w:p>
        </w:tc>
      </w:tr>
      <w:tr w14:paraId="43501F7A">
        <w:trPr>
          <w:trHeight w:val="0" w:hRule="atLeast"/>
        </w:trPr>
        <w:tc>
          <w:tcPr>
            <w:tcW w:w="1064" w:type="dxa"/>
            <w:tcBorders>
              <w:top w:val="nil"/>
              <w:left w:val="nil"/>
              <w:bottom w:val="nil"/>
              <w:right w:val="nil"/>
            </w:tcBorders>
            <w:shd w:val="clear" w:color="auto" w:fill="auto"/>
            <w:vAlign w:val="center"/>
          </w:tcPr>
          <w:p w14:paraId="3CAAE3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w1</w:t>
            </w:r>
          </w:p>
        </w:tc>
        <w:tc>
          <w:tcPr>
            <w:tcW w:w="6023" w:type="dxa"/>
            <w:tcBorders>
              <w:top w:val="nil"/>
              <w:left w:val="nil"/>
              <w:bottom w:val="nil"/>
              <w:right w:val="nil"/>
            </w:tcBorders>
            <w:shd w:val="clear" w:color="auto" w:fill="auto"/>
            <w:vAlign w:val="center"/>
          </w:tcPr>
          <w:p w14:paraId="5D011E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总资产收益率（ROA）</w:t>
            </w:r>
          </w:p>
        </w:tc>
        <w:tc>
          <w:tcPr>
            <w:tcW w:w="1432" w:type="dxa"/>
            <w:tcBorders>
              <w:top w:val="nil"/>
              <w:left w:val="nil"/>
              <w:bottom w:val="nil"/>
              <w:right w:val="nil"/>
            </w:tcBorders>
            <w:shd w:val="clear" w:color="auto" w:fill="auto"/>
            <w:vAlign w:val="center"/>
          </w:tcPr>
          <w:p w14:paraId="5B4A3813">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0.0316</w:t>
            </w:r>
          </w:p>
        </w:tc>
      </w:tr>
      <w:tr w14:paraId="15034EBA">
        <w:trPr>
          <w:trHeight w:val="0" w:hRule="atLeast"/>
        </w:trPr>
        <w:tc>
          <w:tcPr>
            <w:tcW w:w="1064" w:type="dxa"/>
            <w:tcBorders>
              <w:top w:val="nil"/>
              <w:left w:val="nil"/>
              <w:bottom w:val="nil"/>
              <w:right w:val="nil"/>
            </w:tcBorders>
            <w:shd w:val="clear" w:color="auto" w:fill="auto"/>
            <w:vAlign w:val="center"/>
          </w:tcPr>
          <w:p w14:paraId="5E97F1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w2</w:t>
            </w:r>
          </w:p>
        </w:tc>
        <w:tc>
          <w:tcPr>
            <w:tcW w:w="6023" w:type="dxa"/>
            <w:tcBorders>
              <w:top w:val="nil"/>
              <w:left w:val="nil"/>
              <w:bottom w:val="nil"/>
              <w:right w:val="nil"/>
            </w:tcBorders>
            <w:shd w:val="clear" w:color="auto" w:fill="auto"/>
            <w:vAlign w:val="center"/>
          </w:tcPr>
          <w:p w14:paraId="608EB24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净资产收益率（ROE）</w:t>
            </w:r>
          </w:p>
        </w:tc>
        <w:tc>
          <w:tcPr>
            <w:tcW w:w="1432" w:type="dxa"/>
            <w:tcBorders>
              <w:top w:val="nil"/>
              <w:left w:val="nil"/>
              <w:bottom w:val="nil"/>
              <w:right w:val="nil"/>
            </w:tcBorders>
            <w:shd w:val="clear" w:color="auto" w:fill="auto"/>
            <w:vAlign w:val="center"/>
          </w:tcPr>
          <w:p w14:paraId="17AB933B">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0.0301</w:t>
            </w:r>
          </w:p>
        </w:tc>
      </w:tr>
      <w:tr w14:paraId="7E6583C8">
        <w:trPr>
          <w:trHeight w:val="0" w:hRule="atLeast"/>
        </w:trPr>
        <w:tc>
          <w:tcPr>
            <w:tcW w:w="1064" w:type="dxa"/>
            <w:tcBorders>
              <w:top w:val="nil"/>
              <w:left w:val="nil"/>
              <w:bottom w:val="nil"/>
              <w:right w:val="nil"/>
            </w:tcBorders>
            <w:shd w:val="clear" w:color="auto" w:fill="auto"/>
            <w:vAlign w:val="center"/>
          </w:tcPr>
          <w:p w14:paraId="59BE73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w3</w:t>
            </w:r>
          </w:p>
        </w:tc>
        <w:tc>
          <w:tcPr>
            <w:tcW w:w="6023" w:type="dxa"/>
            <w:tcBorders>
              <w:top w:val="nil"/>
              <w:left w:val="nil"/>
              <w:bottom w:val="nil"/>
              <w:right w:val="nil"/>
            </w:tcBorders>
            <w:shd w:val="clear" w:color="auto" w:fill="auto"/>
            <w:vAlign w:val="center"/>
          </w:tcPr>
          <w:p w14:paraId="394939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营业毛利率</w:t>
            </w:r>
          </w:p>
        </w:tc>
        <w:tc>
          <w:tcPr>
            <w:tcW w:w="1432" w:type="dxa"/>
            <w:tcBorders>
              <w:top w:val="nil"/>
              <w:left w:val="nil"/>
              <w:bottom w:val="nil"/>
              <w:right w:val="nil"/>
            </w:tcBorders>
            <w:shd w:val="clear" w:color="auto" w:fill="auto"/>
            <w:vAlign w:val="center"/>
          </w:tcPr>
          <w:p w14:paraId="11B7806C">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0.1517</w:t>
            </w:r>
          </w:p>
        </w:tc>
      </w:tr>
      <w:tr w14:paraId="54667419">
        <w:trPr>
          <w:trHeight w:val="0" w:hRule="atLeast"/>
        </w:trPr>
        <w:tc>
          <w:tcPr>
            <w:tcW w:w="1064" w:type="dxa"/>
            <w:tcBorders>
              <w:top w:val="nil"/>
              <w:left w:val="nil"/>
              <w:bottom w:val="nil"/>
              <w:right w:val="nil"/>
            </w:tcBorders>
            <w:shd w:val="clear" w:color="auto" w:fill="auto"/>
            <w:vAlign w:val="center"/>
          </w:tcPr>
          <w:p w14:paraId="325A66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w4</w:t>
            </w:r>
          </w:p>
        </w:tc>
        <w:tc>
          <w:tcPr>
            <w:tcW w:w="6023" w:type="dxa"/>
            <w:tcBorders>
              <w:top w:val="nil"/>
              <w:left w:val="nil"/>
              <w:bottom w:val="nil"/>
              <w:right w:val="nil"/>
            </w:tcBorders>
            <w:shd w:val="clear" w:color="auto" w:fill="auto"/>
            <w:vAlign w:val="center"/>
          </w:tcPr>
          <w:p w14:paraId="41D8CB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营业净利率</w:t>
            </w:r>
          </w:p>
        </w:tc>
        <w:tc>
          <w:tcPr>
            <w:tcW w:w="1432" w:type="dxa"/>
            <w:tcBorders>
              <w:top w:val="nil"/>
              <w:left w:val="nil"/>
              <w:bottom w:val="nil"/>
              <w:right w:val="nil"/>
            </w:tcBorders>
            <w:shd w:val="clear" w:color="auto" w:fill="auto"/>
            <w:vAlign w:val="center"/>
          </w:tcPr>
          <w:p w14:paraId="0DB620C8">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0.0159</w:t>
            </w:r>
          </w:p>
        </w:tc>
      </w:tr>
      <w:tr w14:paraId="4B6E3AD6">
        <w:trPr>
          <w:trHeight w:val="0" w:hRule="atLeast"/>
        </w:trPr>
        <w:tc>
          <w:tcPr>
            <w:tcW w:w="1064" w:type="dxa"/>
            <w:tcBorders>
              <w:top w:val="nil"/>
              <w:left w:val="nil"/>
              <w:bottom w:val="nil"/>
              <w:right w:val="nil"/>
            </w:tcBorders>
            <w:shd w:val="clear" w:color="auto" w:fill="auto"/>
            <w:vAlign w:val="center"/>
          </w:tcPr>
          <w:p w14:paraId="7C62A77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w5</w:t>
            </w:r>
          </w:p>
        </w:tc>
        <w:tc>
          <w:tcPr>
            <w:tcW w:w="6023" w:type="dxa"/>
            <w:tcBorders>
              <w:top w:val="nil"/>
              <w:left w:val="nil"/>
              <w:bottom w:val="nil"/>
              <w:right w:val="nil"/>
            </w:tcBorders>
            <w:shd w:val="clear" w:color="auto" w:fill="auto"/>
            <w:vAlign w:val="center"/>
          </w:tcPr>
          <w:p w14:paraId="66108AA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研发费用率</w:t>
            </w:r>
          </w:p>
        </w:tc>
        <w:tc>
          <w:tcPr>
            <w:tcW w:w="1432" w:type="dxa"/>
            <w:tcBorders>
              <w:top w:val="nil"/>
              <w:left w:val="nil"/>
              <w:bottom w:val="nil"/>
              <w:right w:val="nil"/>
            </w:tcBorders>
            <w:shd w:val="clear" w:color="auto" w:fill="auto"/>
            <w:vAlign w:val="center"/>
          </w:tcPr>
          <w:p w14:paraId="3AE1AEC7">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0.3151</w:t>
            </w:r>
          </w:p>
        </w:tc>
      </w:tr>
      <w:tr w14:paraId="51860832">
        <w:trPr>
          <w:trHeight w:val="0" w:hRule="atLeast"/>
        </w:trPr>
        <w:tc>
          <w:tcPr>
            <w:tcW w:w="1064" w:type="dxa"/>
            <w:tcBorders>
              <w:top w:val="nil"/>
              <w:left w:val="nil"/>
              <w:bottom w:val="nil"/>
              <w:right w:val="nil"/>
            </w:tcBorders>
            <w:shd w:val="clear" w:color="auto" w:fill="auto"/>
            <w:vAlign w:val="center"/>
          </w:tcPr>
          <w:p w14:paraId="67DFCE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w6</w:t>
            </w:r>
          </w:p>
        </w:tc>
        <w:tc>
          <w:tcPr>
            <w:tcW w:w="6023" w:type="dxa"/>
            <w:tcBorders>
              <w:top w:val="nil"/>
              <w:left w:val="nil"/>
              <w:bottom w:val="nil"/>
              <w:right w:val="nil"/>
            </w:tcBorders>
            <w:shd w:val="clear" w:color="auto" w:fill="auto"/>
            <w:vAlign w:val="center"/>
          </w:tcPr>
          <w:p w14:paraId="27A663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EBIT率</w:t>
            </w:r>
          </w:p>
        </w:tc>
        <w:tc>
          <w:tcPr>
            <w:tcW w:w="1432" w:type="dxa"/>
            <w:tcBorders>
              <w:top w:val="nil"/>
              <w:left w:val="nil"/>
              <w:bottom w:val="nil"/>
              <w:right w:val="nil"/>
            </w:tcBorders>
            <w:shd w:val="clear" w:color="auto" w:fill="auto"/>
            <w:vAlign w:val="center"/>
          </w:tcPr>
          <w:p w14:paraId="092D5DCF">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0.0171</w:t>
            </w:r>
          </w:p>
        </w:tc>
      </w:tr>
      <w:tr w14:paraId="36AC36A6">
        <w:trPr>
          <w:trHeight w:val="0" w:hRule="atLeast"/>
        </w:trPr>
        <w:tc>
          <w:tcPr>
            <w:tcW w:w="1064" w:type="dxa"/>
            <w:tcBorders>
              <w:top w:val="nil"/>
              <w:left w:val="nil"/>
              <w:bottom w:val="nil"/>
              <w:right w:val="nil"/>
            </w:tcBorders>
            <w:shd w:val="clear" w:color="auto" w:fill="auto"/>
            <w:vAlign w:val="center"/>
          </w:tcPr>
          <w:p w14:paraId="2400BC8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w7</w:t>
            </w:r>
          </w:p>
        </w:tc>
        <w:tc>
          <w:tcPr>
            <w:tcW w:w="6023" w:type="dxa"/>
            <w:tcBorders>
              <w:top w:val="nil"/>
              <w:left w:val="nil"/>
              <w:bottom w:val="nil"/>
              <w:right w:val="nil"/>
            </w:tcBorders>
            <w:shd w:val="clear" w:color="auto" w:fill="auto"/>
            <w:vAlign w:val="center"/>
          </w:tcPr>
          <w:p w14:paraId="1E28DA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EBITDA率</w:t>
            </w:r>
          </w:p>
        </w:tc>
        <w:tc>
          <w:tcPr>
            <w:tcW w:w="1432" w:type="dxa"/>
            <w:tcBorders>
              <w:top w:val="nil"/>
              <w:left w:val="nil"/>
              <w:bottom w:val="nil"/>
              <w:right w:val="nil"/>
            </w:tcBorders>
            <w:shd w:val="clear" w:color="auto" w:fill="auto"/>
            <w:vAlign w:val="center"/>
          </w:tcPr>
          <w:p w14:paraId="0695E421">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0.0185</w:t>
            </w:r>
          </w:p>
        </w:tc>
      </w:tr>
      <w:tr w14:paraId="47D0AC4D">
        <w:trPr>
          <w:trHeight w:val="0" w:hRule="atLeast"/>
        </w:trPr>
        <w:tc>
          <w:tcPr>
            <w:tcW w:w="1064" w:type="dxa"/>
            <w:tcBorders>
              <w:top w:val="nil"/>
              <w:left w:val="nil"/>
              <w:bottom w:val="nil"/>
              <w:right w:val="nil"/>
            </w:tcBorders>
            <w:shd w:val="clear" w:color="auto" w:fill="auto"/>
            <w:vAlign w:val="center"/>
          </w:tcPr>
          <w:p w14:paraId="2859A7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w8</w:t>
            </w:r>
          </w:p>
        </w:tc>
        <w:tc>
          <w:tcPr>
            <w:tcW w:w="6023" w:type="dxa"/>
            <w:tcBorders>
              <w:top w:val="nil"/>
              <w:left w:val="nil"/>
              <w:bottom w:val="nil"/>
              <w:right w:val="nil"/>
            </w:tcBorders>
            <w:shd w:val="clear" w:color="auto" w:fill="auto"/>
            <w:vAlign w:val="center"/>
          </w:tcPr>
          <w:p w14:paraId="1AEDF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投资收益率</w:t>
            </w:r>
          </w:p>
        </w:tc>
        <w:tc>
          <w:tcPr>
            <w:tcW w:w="1432" w:type="dxa"/>
            <w:tcBorders>
              <w:top w:val="nil"/>
              <w:left w:val="nil"/>
              <w:bottom w:val="nil"/>
              <w:right w:val="nil"/>
            </w:tcBorders>
            <w:shd w:val="clear" w:color="auto" w:fill="auto"/>
            <w:vAlign w:val="center"/>
          </w:tcPr>
          <w:p w14:paraId="0B963C13">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0.2678</w:t>
            </w:r>
          </w:p>
        </w:tc>
      </w:tr>
      <w:tr w14:paraId="0D5DE187">
        <w:trPr>
          <w:trHeight w:val="0" w:hRule="atLeast"/>
        </w:trPr>
        <w:tc>
          <w:tcPr>
            <w:tcW w:w="1064" w:type="dxa"/>
            <w:tcBorders>
              <w:top w:val="nil"/>
              <w:left w:val="nil"/>
              <w:bottom w:val="single" w:color="auto" w:sz="12" w:space="0"/>
              <w:right w:val="nil"/>
            </w:tcBorders>
            <w:shd w:val="clear" w:color="auto" w:fill="auto"/>
            <w:vAlign w:val="center"/>
          </w:tcPr>
          <w:p w14:paraId="19BCA9D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w9</w:t>
            </w:r>
          </w:p>
        </w:tc>
        <w:tc>
          <w:tcPr>
            <w:tcW w:w="6023" w:type="dxa"/>
            <w:tcBorders>
              <w:top w:val="nil"/>
              <w:left w:val="nil"/>
              <w:bottom w:val="single" w:color="auto" w:sz="12" w:space="0"/>
              <w:right w:val="nil"/>
            </w:tcBorders>
            <w:shd w:val="clear" w:color="auto" w:fill="auto"/>
            <w:vAlign w:val="center"/>
          </w:tcPr>
          <w:p w14:paraId="728A3A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营业成本率</w:t>
            </w:r>
          </w:p>
        </w:tc>
        <w:tc>
          <w:tcPr>
            <w:tcW w:w="1432" w:type="dxa"/>
            <w:tcBorders>
              <w:top w:val="nil"/>
              <w:left w:val="nil"/>
              <w:bottom w:val="single" w:color="auto" w:sz="12" w:space="0"/>
              <w:right w:val="nil"/>
            </w:tcBorders>
            <w:shd w:val="clear" w:color="auto" w:fill="auto"/>
            <w:vAlign w:val="center"/>
          </w:tcPr>
          <w:p w14:paraId="7F7CE83F">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0.1521</w:t>
            </w:r>
          </w:p>
        </w:tc>
      </w:tr>
    </w:tbl>
    <w:p w14:paraId="3175827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5.1.4 盈利差异分析</w:t>
      </w:r>
    </w:p>
    <w:p w14:paraId="05ACDAB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在通过熵权法计算企业盈利能力综合得分后，本文进一步比较AI独立产品型企业与AI业务赋能型企业在样本期内的盈利表现差异。表5-3报告了两类企业盈利能力综合得分的描述性统计结果。</w:t>
      </w:r>
    </w:p>
    <w:p w14:paraId="6154A6C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 两类企业盈利能力综合得分的描述性统计结果表</w:t>
      </w:r>
    </w:p>
    <w:tbl>
      <w:tblPr>
        <w:tblStyle w:val="31"/>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9"/>
        <w:gridCol w:w="1490"/>
        <w:gridCol w:w="1490"/>
        <w:gridCol w:w="1490"/>
        <w:gridCol w:w="1490"/>
        <w:gridCol w:w="782"/>
      </w:tblGrid>
      <w:tr w14:paraId="67F69EF6">
        <w:trPr>
          <w:trHeight w:val="0" w:hRule="atLeast"/>
          <w:tblHeader/>
        </w:trPr>
        <w:tc>
          <w:tcPr>
            <w:tcW w:w="1779" w:type="dxa"/>
            <w:tcBorders>
              <w:top w:val="single" w:color="auto" w:sz="12" w:space="0"/>
              <w:left w:val="nil"/>
              <w:bottom w:val="single" w:color="auto" w:sz="4" w:space="0"/>
              <w:right w:val="nil"/>
            </w:tcBorders>
            <w:shd w:val="clear" w:color="auto" w:fill="auto"/>
            <w:noWrap/>
            <w:vAlign w:val="center"/>
          </w:tcPr>
          <w:p w14:paraId="77C4BA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业务类别</w:t>
            </w:r>
          </w:p>
        </w:tc>
        <w:tc>
          <w:tcPr>
            <w:tcW w:w="1490" w:type="dxa"/>
            <w:tcBorders>
              <w:top w:val="single" w:color="auto" w:sz="12" w:space="0"/>
              <w:left w:val="nil"/>
              <w:bottom w:val="single" w:color="auto" w:sz="4" w:space="0"/>
              <w:right w:val="nil"/>
            </w:tcBorders>
            <w:shd w:val="clear" w:color="auto" w:fill="auto"/>
            <w:noWrap/>
            <w:vAlign w:val="center"/>
          </w:tcPr>
          <w:p w14:paraId="154976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Mean</w:t>
            </w:r>
          </w:p>
        </w:tc>
        <w:tc>
          <w:tcPr>
            <w:tcW w:w="1490" w:type="dxa"/>
            <w:tcBorders>
              <w:top w:val="single" w:color="auto" w:sz="12" w:space="0"/>
              <w:left w:val="nil"/>
              <w:bottom w:val="single" w:color="auto" w:sz="4" w:space="0"/>
              <w:right w:val="nil"/>
            </w:tcBorders>
            <w:shd w:val="clear" w:color="auto" w:fill="auto"/>
            <w:noWrap/>
            <w:vAlign w:val="center"/>
          </w:tcPr>
          <w:p w14:paraId="6BD8A8E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SD</w:t>
            </w:r>
          </w:p>
        </w:tc>
        <w:tc>
          <w:tcPr>
            <w:tcW w:w="1490" w:type="dxa"/>
            <w:tcBorders>
              <w:top w:val="single" w:color="auto" w:sz="12" w:space="0"/>
              <w:left w:val="nil"/>
              <w:bottom w:val="single" w:color="auto" w:sz="4" w:space="0"/>
              <w:right w:val="nil"/>
            </w:tcBorders>
            <w:shd w:val="clear" w:color="auto" w:fill="auto"/>
            <w:noWrap/>
            <w:vAlign w:val="center"/>
          </w:tcPr>
          <w:p w14:paraId="56A2DD9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Min</w:t>
            </w:r>
          </w:p>
        </w:tc>
        <w:tc>
          <w:tcPr>
            <w:tcW w:w="1490" w:type="dxa"/>
            <w:tcBorders>
              <w:top w:val="single" w:color="auto" w:sz="12" w:space="0"/>
              <w:left w:val="nil"/>
              <w:bottom w:val="single" w:color="auto" w:sz="4" w:space="0"/>
              <w:right w:val="nil"/>
            </w:tcBorders>
            <w:shd w:val="clear" w:color="auto" w:fill="auto"/>
            <w:noWrap/>
            <w:vAlign w:val="center"/>
          </w:tcPr>
          <w:p w14:paraId="19E970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Max</w:t>
            </w:r>
          </w:p>
        </w:tc>
        <w:tc>
          <w:tcPr>
            <w:tcW w:w="782" w:type="dxa"/>
            <w:tcBorders>
              <w:top w:val="single" w:color="auto" w:sz="12" w:space="0"/>
              <w:left w:val="nil"/>
              <w:bottom w:val="single" w:color="auto" w:sz="4" w:space="0"/>
              <w:right w:val="nil"/>
            </w:tcBorders>
            <w:shd w:val="clear" w:color="auto" w:fill="auto"/>
            <w:noWrap/>
            <w:vAlign w:val="center"/>
          </w:tcPr>
          <w:p w14:paraId="52D329A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N</w:t>
            </w:r>
          </w:p>
        </w:tc>
      </w:tr>
      <w:tr w14:paraId="25DB61AA">
        <w:trPr>
          <w:trHeight w:val="0" w:hRule="atLeast"/>
        </w:trPr>
        <w:tc>
          <w:tcPr>
            <w:tcW w:w="1779" w:type="dxa"/>
            <w:tcBorders>
              <w:top w:val="nil"/>
              <w:left w:val="nil"/>
              <w:bottom w:val="nil"/>
              <w:right w:val="nil"/>
            </w:tcBorders>
            <w:shd w:val="clear" w:color="auto" w:fill="auto"/>
            <w:noWrap/>
            <w:vAlign w:val="center"/>
          </w:tcPr>
          <w:p w14:paraId="63949E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AI业务赋能型</w:t>
            </w:r>
          </w:p>
        </w:tc>
        <w:tc>
          <w:tcPr>
            <w:tcW w:w="1490" w:type="dxa"/>
            <w:tcBorders>
              <w:top w:val="nil"/>
              <w:left w:val="nil"/>
              <w:bottom w:val="nil"/>
              <w:right w:val="nil"/>
            </w:tcBorders>
            <w:shd w:val="clear" w:color="auto" w:fill="auto"/>
            <w:noWrap/>
            <w:vAlign w:val="center"/>
          </w:tcPr>
          <w:p w14:paraId="19F5D9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0.2589</w:t>
            </w:r>
          </w:p>
        </w:tc>
        <w:tc>
          <w:tcPr>
            <w:tcW w:w="1490" w:type="dxa"/>
            <w:tcBorders>
              <w:top w:val="nil"/>
              <w:left w:val="nil"/>
              <w:bottom w:val="nil"/>
              <w:right w:val="nil"/>
            </w:tcBorders>
            <w:shd w:val="clear" w:color="auto" w:fill="auto"/>
            <w:noWrap/>
            <w:vAlign w:val="center"/>
          </w:tcPr>
          <w:p w14:paraId="06E92D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0.1518</w:t>
            </w:r>
          </w:p>
        </w:tc>
        <w:tc>
          <w:tcPr>
            <w:tcW w:w="1490" w:type="dxa"/>
            <w:tcBorders>
              <w:top w:val="nil"/>
              <w:left w:val="nil"/>
              <w:bottom w:val="nil"/>
              <w:right w:val="nil"/>
            </w:tcBorders>
            <w:shd w:val="clear" w:color="auto" w:fill="auto"/>
            <w:noWrap/>
            <w:vAlign w:val="center"/>
          </w:tcPr>
          <w:p w14:paraId="719006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0.0778</w:t>
            </w:r>
          </w:p>
        </w:tc>
        <w:tc>
          <w:tcPr>
            <w:tcW w:w="1490" w:type="dxa"/>
            <w:tcBorders>
              <w:top w:val="nil"/>
              <w:left w:val="nil"/>
              <w:bottom w:val="nil"/>
              <w:right w:val="nil"/>
            </w:tcBorders>
            <w:shd w:val="clear" w:color="auto" w:fill="auto"/>
            <w:noWrap/>
            <w:vAlign w:val="center"/>
          </w:tcPr>
          <w:p w14:paraId="6D0FCF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0.8316</w:t>
            </w:r>
          </w:p>
        </w:tc>
        <w:tc>
          <w:tcPr>
            <w:tcW w:w="782" w:type="dxa"/>
            <w:tcBorders>
              <w:top w:val="nil"/>
              <w:left w:val="nil"/>
              <w:bottom w:val="nil"/>
              <w:right w:val="nil"/>
            </w:tcBorders>
            <w:shd w:val="clear" w:color="auto" w:fill="auto"/>
            <w:noWrap/>
            <w:vAlign w:val="center"/>
          </w:tcPr>
          <w:p w14:paraId="27F43E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w:t>
            </w:r>
          </w:p>
        </w:tc>
      </w:tr>
      <w:tr w14:paraId="15D4DF26">
        <w:trPr>
          <w:trHeight w:val="0" w:hRule="atLeast"/>
        </w:trPr>
        <w:tc>
          <w:tcPr>
            <w:tcW w:w="1779" w:type="dxa"/>
            <w:tcBorders>
              <w:top w:val="nil"/>
              <w:left w:val="nil"/>
              <w:bottom w:val="nil"/>
              <w:right w:val="nil"/>
            </w:tcBorders>
            <w:shd w:val="clear" w:color="auto" w:fill="auto"/>
            <w:noWrap/>
            <w:vAlign w:val="center"/>
          </w:tcPr>
          <w:p w14:paraId="1B812F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AI独立产品型</w:t>
            </w:r>
          </w:p>
        </w:tc>
        <w:tc>
          <w:tcPr>
            <w:tcW w:w="1490" w:type="dxa"/>
            <w:tcBorders>
              <w:top w:val="nil"/>
              <w:left w:val="nil"/>
              <w:bottom w:val="nil"/>
              <w:right w:val="nil"/>
            </w:tcBorders>
            <w:shd w:val="clear" w:color="auto" w:fill="auto"/>
            <w:noWrap/>
            <w:vAlign w:val="center"/>
          </w:tcPr>
          <w:p w14:paraId="5FB046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0.3214</w:t>
            </w:r>
          </w:p>
        </w:tc>
        <w:tc>
          <w:tcPr>
            <w:tcW w:w="1490" w:type="dxa"/>
            <w:tcBorders>
              <w:top w:val="nil"/>
              <w:left w:val="nil"/>
              <w:bottom w:val="nil"/>
              <w:right w:val="nil"/>
            </w:tcBorders>
            <w:shd w:val="clear" w:color="auto" w:fill="auto"/>
            <w:noWrap/>
            <w:vAlign w:val="center"/>
          </w:tcPr>
          <w:p w14:paraId="2C0964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0.1153</w:t>
            </w:r>
          </w:p>
        </w:tc>
        <w:tc>
          <w:tcPr>
            <w:tcW w:w="1490" w:type="dxa"/>
            <w:tcBorders>
              <w:top w:val="nil"/>
              <w:left w:val="nil"/>
              <w:bottom w:val="nil"/>
              <w:right w:val="nil"/>
            </w:tcBorders>
            <w:shd w:val="clear" w:color="auto" w:fill="auto"/>
            <w:noWrap/>
            <w:vAlign w:val="center"/>
          </w:tcPr>
          <w:p w14:paraId="57DD34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0.1249</w:t>
            </w:r>
          </w:p>
        </w:tc>
        <w:tc>
          <w:tcPr>
            <w:tcW w:w="1490" w:type="dxa"/>
            <w:tcBorders>
              <w:top w:val="nil"/>
              <w:left w:val="nil"/>
              <w:bottom w:val="nil"/>
              <w:right w:val="nil"/>
            </w:tcBorders>
            <w:shd w:val="clear" w:color="auto" w:fill="auto"/>
            <w:noWrap/>
            <w:vAlign w:val="center"/>
          </w:tcPr>
          <w:p w14:paraId="1DD8671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0.6359</w:t>
            </w:r>
          </w:p>
        </w:tc>
        <w:tc>
          <w:tcPr>
            <w:tcW w:w="782" w:type="dxa"/>
            <w:tcBorders>
              <w:top w:val="nil"/>
              <w:left w:val="nil"/>
              <w:bottom w:val="nil"/>
              <w:right w:val="nil"/>
            </w:tcBorders>
            <w:shd w:val="clear" w:color="auto" w:fill="auto"/>
            <w:noWrap/>
            <w:vAlign w:val="center"/>
          </w:tcPr>
          <w:p w14:paraId="1A02F93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179</w:t>
            </w:r>
          </w:p>
        </w:tc>
      </w:tr>
      <w:tr w14:paraId="28F721D8">
        <w:trPr>
          <w:trHeight w:val="0" w:hRule="atLeast"/>
        </w:trPr>
        <w:tc>
          <w:tcPr>
            <w:tcW w:w="1779" w:type="dxa"/>
            <w:tcBorders>
              <w:top w:val="nil"/>
              <w:left w:val="nil"/>
              <w:bottom w:val="single" w:color="auto" w:sz="12" w:space="0"/>
              <w:right w:val="nil"/>
            </w:tcBorders>
            <w:shd w:val="clear" w:color="auto" w:fill="auto"/>
            <w:noWrap/>
            <w:vAlign w:val="center"/>
          </w:tcPr>
          <w:p w14:paraId="0BBA3E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Total</w:t>
            </w:r>
          </w:p>
        </w:tc>
        <w:tc>
          <w:tcPr>
            <w:tcW w:w="1490" w:type="dxa"/>
            <w:tcBorders>
              <w:top w:val="nil"/>
              <w:left w:val="nil"/>
              <w:bottom w:val="single" w:color="auto" w:sz="12" w:space="0"/>
              <w:right w:val="nil"/>
            </w:tcBorders>
            <w:shd w:val="clear" w:color="auto" w:fill="auto"/>
            <w:noWrap/>
            <w:vAlign w:val="center"/>
          </w:tcPr>
          <w:p w14:paraId="6F305F3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0.2924</w:t>
            </w:r>
          </w:p>
        </w:tc>
        <w:tc>
          <w:tcPr>
            <w:tcW w:w="1490" w:type="dxa"/>
            <w:tcBorders>
              <w:top w:val="nil"/>
              <w:left w:val="nil"/>
              <w:bottom w:val="single" w:color="auto" w:sz="12" w:space="0"/>
              <w:right w:val="nil"/>
            </w:tcBorders>
            <w:shd w:val="clear" w:color="auto" w:fill="auto"/>
            <w:noWrap/>
            <w:vAlign w:val="center"/>
          </w:tcPr>
          <w:p w14:paraId="200F4A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0.1369</w:t>
            </w:r>
          </w:p>
        </w:tc>
        <w:tc>
          <w:tcPr>
            <w:tcW w:w="1490" w:type="dxa"/>
            <w:tcBorders>
              <w:top w:val="nil"/>
              <w:left w:val="nil"/>
              <w:bottom w:val="single" w:color="auto" w:sz="12" w:space="0"/>
              <w:right w:val="nil"/>
            </w:tcBorders>
            <w:shd w:val="clear" w:color="auto" w:fill="auto"/>
            <w:noWrap/>
            <w:vAlign w:val="center"/>
          </w:tcPr>
          <w:p w14:paraId="16FB20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0.0778</w:t>
            </w:r>
          </w:p>
        </w:tc>
        <w:tc>
          <w:tcPr>
            <w:tcW w:w="1490" w:type="dxa"/>
            <w:tcBorders>
              <w:top w:val="nil"/>
              <w:left w:val="nil"/>
              <w:bottom w:val="single" w:color="auto" w:sz="12" w:space="0"/>
              <w:right w:val="nil"/>
            </w:tcBorders>
            <w:shd w:val="clear" w:color="auto" w:fill="auto"/>
            <w:noWrap/>
            <w:vAlign w:val="center"/>
          </w:tcPr>
          <w:p w14:paraId="09F8D1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0.8316</w:t>
            </w:r>
          </w:p>
        </w:tc>
        <w:tc>
          <w:tcPr>
            <w:tcW w:w="782" w:type="dxa"/>
            <w:tcBorders>
              <w:top w:val="nil"/>
              <w:left w:val="nil"/>
              <w:bottom w:val="single" w:color="auto" w:sz="12" w:space="0"/>
              <w:right w:val="nil"/>
            </w:tcBorders>
            <w:shd w:val="clear" w:color="auto" w:fill="auto"/>
            <w:noWrap/>
            <w:vAlign w:val="center"/>
          </w:tcPr>
          <w:p w14:paraId="6E18304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334</w:t>
            </w:r>
          </w:p>
        </w:tc>
      </w:tr>
    </w:tbl>
    <w:p w14:paraId="20E113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两类企业盈利能力综合得分的平均值来看，AI独立产品型企业的均值为0.3214，高于AI业务赋能型企业的0.2589，说明在样本期内AI独立产品型企业整体盈利能力相对更高。这表明，当企业能够将人工智能技术形成可独立交付的产品或服务并直接参与市场交易时，其盈利能力往往更为突出。这类企业通常依托技术优势和产品附加值获取收入，从而在整体盈利表现上具有一定优势。</w:t>
      </w:r>
    </w:p>
    <w:p w14:paraId="51D8C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其次，通过企业盈利能力得分的标准差可以衡量两类企业盈利水平的离散程度。结果显示，AI业务赋能型企业的标准差为0.1518，高于AI独立产品型企业的0.1153，说明AI业务赋能型企业不仅平均盈利水平相对较低，而且不同企业之间的盈利差异更大，盈利表现呈现出较为明显的离散特征；相比之下，AI独立产品型企业的盈利能力得分波动相对较小，整体表现更为稳定。</w:t>
      </w:r>
    </w:p>
    <w:p w14:paraId="41A718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两类企业综合得分的极值情况来看，AI业务赋能型企业的盈利能力得分最大值为0.8316，高于AI独立产品型企业的0.6359，同时其最小值也低于AI独立产品型企业。这进一步说明AI业务赋能型企业内部盈利能力差异较大，部分企业表现突出，而部分企业盈利水平相对较低。</w:t>
      </w:r>
    </w:p>
    <w:p w14:paraId="5E322FF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为了更直观地展示两类企业盈利能力分布情况，本文绘制了盈利能力综合得分的箱线图，如图5-1所示，AI独立产品型企业为1，AI业务赋能型企业为0。</w:t>
      </w:r>
    </w:p>
    <w:p w14:paraId="2510E25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图5-1 盈利能力综合得分箱线图</w:t>
      </w:r>
    </w:p>
    <w:p w14:paraId="2F60477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由图可得，AI独立产品型企业的中位数明显高于AI业务赋能型企业，同时其箱体整体位置也更高，说明在样本期内AI独立产品型企业整体盈利水平更突出；而AI业务赋能型企业的箱体范围相对更大，离群点数量也更多，表明该类企业内部盈利能力差异比较明显。为进一步分析两类企业盈利差异的来源，本文对各盈利能力指标的均值进行了比较，结果如表5-4所示。</w:t>
      </w:r>
    </w:p>
    <w:p w14:paraId="2DB2454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表5-4 各盈利能力指标均值</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5"/>
        <w:gridCol w:w="2562"/>
        <w:gridCol w:w="2562"/>
      </w:tblGrid>
      <w:tr w14:paraId="5D8C67CF">
        <w:trPr>
          <w:trHeight w:val="0" w:hRule="atLeast"/>
          <w:tblHeader/>
          <w:jc w:val="center"/>
        </w:trPr>
        <w:tc>
          <w:tcPr>
            <w:tcW w:w="3395" w:type="dxa"/>
            <w:tcBorders>
              <w:top w:val="single" w:color="auto" w:sz="12" w:space="0"/>
              <w:left w:val="nil"/>
              <w:bottom w:val="single" w:color="auto" w:sz="6" w:space="0"/>
              <w:right w:val="nil"/>
            </w:tcBorders>
            <w:shd w:val="clear" w:color="auto" w:fill="auto"/>
            <w:vAlign w:val="bottom"/>
          </w:tcPr>
          <w:p w14:paraId="3471EFE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w:t>
            </w:r>
          </w:p>
        </w:tc>
        <w:tc>
          <w:tcPr>
            <w:tcW w:w="2562" w:type="dxa"/>
            <w:tcBorders>
              <w:top w:val="single" w:color="auto" w:sz="12" w:space="0"/>
              <w:left w:val="nil"/>
              <w:bottom w:val="single" w:color="auto" w:sz="6" w:space="0"/>
              <w:right w:val="nil"/>
            </w:tcBorders>
            <w:shd w:val="clear" w:color="auto" w:fill="auto"/>
            <w:vAlign w:val="bottom"/>
          </w:tcPr>
          <w:p w14:paraId="22FE013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AI业务赋能型</w:t>
            </w:r>
          </w:p>
        </w:tc>
        <w:tc>
          <w:tcPr>
            <w:tcW w:w="2562" w:type="dxa"/>
            <w:tcBorders>
              <w:top w:val="single" w:color="auto" w:sz="12" w:space="0"/>
              <w:left w:val="nil"/>
              <w:bottom w:val="single" w:color="auto" w:sz="6" w:space="0"/>
              <w:right w:val="nil"/>
            </w:tcBorders>
            <w:shd w:val="clear" w:color="auto" w:fill="auto"/>
            <w:vAlign w:val="bottom"/>
          </w:tcPr>
          <w:p w14:paraId="0E9066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AI独立产品型</w:t>
            </w:r>
          </w:p>
        </w:tc>
      </w:tr>
      <w:tr w14:paraId="6FABE596">
        <w:trPr>
          <w:trHeight w:val="90" w:hRule="atLeast"/>
          <w:tblHeader/>
          <w:jc w:val="center"/>
        </w:trPr>
        <w:tc>
          <w:tcPr>
            <w:tcW w:w="3395" w:type="dxa"/>
            <w:tcBorders>
              <w:top w:val="single" w:color="auto" w:sz="6" w:space="0"/>
              <w:left w:val="nil"/>
              <w:bottom w:val="nil"/>
              <w:right w:val="nil"/>
            </w:tcBorders>
            <w:shd w:val="clear" w:color="auto" w:fill="auto"/>
            <w:vAlign w:val="center"/>
          </w:tcPr>
          <w:p w14:paraId="3841CD7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ROA</w:t>
            </w:r>
          </w:p>
        </w:tc>
        <w:tc>
          <w:tcPr>
            <w:tcW w:w="2562" w:type="dxa"/>
            <w:tcBorders>
              <w:top w:val="single" w:color="auto" w:sz="6" w:space="0"/>
              <w:left w:val="nil"/>
              <w:bottom w:val="nil"/>
              <w:right w:val="nil"/>
            </w:tcBorders>
            <w:shd w:val="clear" w:color="auto" w:fill="auto"/>
            <w:vAlign w:val="center"/>
          </w:tcPr>
          <w:p w14:paraId="1FA3CA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-0.0013</w:t>
            </w:r>
          </w:p>
        </w:tc>
        <w:tc>
          <w:tcPr>
            <w:tcW w:w="2562" w:type="dxa"/>
            <w:tcBorders>
              <w:top w:val="single" w:color="auto" w:sz="6" w:space="0"/>
              <w:left w:val="nil"/>
              <w:bottom w:val="nil"/>
              <w:right w:val="nil"/>
            </w:tcBorders>
            <w:shd w:val="clear" w:color="auto" w:fill="auto"/>
            <w:vAlign w:val="center"/>
          </w:tcPr>
          <w:p w14:paraId="13DA6F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0.0402</w:t>
            </w:r>
          </w:p>
        </w:tc>
      </w:tr>
      <w:tr w14:paraId="7F23F7DF">
        <w:trPr>
          <w:trHeight w:val="0" w:hRule="atLeast"/>
          <w:tblHeader/>
          <w:jc w:val="center"/>
        </w:trPr>
        <w:tc>
          <w:tcPr>
            <w:tcW w:w="3395" w:type="dxa"/>
            <w:tcBorders>
              <w:top w:val="nil"/>
              <w:left w:val="nil"/>
              <w:bottom w:val="nil"/>
              <w:right w:val="nil"/>
            </w:tcBorders>
            <w:shd w:val="clear" w:color="auto" w:fill="auto"/>
            <w:vAlign w:val="center"/>
          </w:tcPr>
          <w:p w14:paraId="790266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2562" w:type="dxa"/>
            <w:tcBorders>
              <w:top w:val="nil"/>
              <w:left w:val="nil"/>
              <w:bottom w:val="nil"/>
              <w:right w:val="nil"/>
            </w:tcBorders>
            <w:shd w:val="clear" w:color="auto" w:fill="auto"/>
            <w:vAlign w:val="center"/>
          </w:tcPr>
          <w:p w14:paraId="3675B3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-0.0059</w:t>
            </w:r>
          </w:p>
        </w:tc>
        <w:tc>
          <w:tcPr>
            <w:tcW w:w="2562" w:type="dxa"/>
            <w:tcBorders>
              <w:top w:val="nil"/>
              <w:left w:val="nil"/>
              <w:bottom w:val="nil"/>
              <w:right w:val="nil"/>
            </w:tcBorders>
            <w:shd w:val="clear" w:color="auto" w:fill="auto"/>
            <w:vAlign w:val="center"/>
          </w:tcPr>
          <w:p w14:paraId="3EEB3E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0.0647</w:t>
            </w:r>
          </w:p>
        </w:tc>
      </w:tr>
      <w:tr w14:paraId="4A7DC588">
        <w:trPr>
          <w:trHeight w:val="0" w:hRule="atLeast"/>
          <w:tblHeader/>
          <w:jc w:val="center"/>
        </w:trPr>
        <w:tc>
          <w:tcPr>
            <w:tcW w:w="3395" w:type="dxa"/>
            <w:tcBorders>
              <w:top w:val="nil"/>
              <w:left w:val="nil"/>
              <w:bottom w:val="nil"/>
              <w:right w:val="nil"/>
            </w:tcBorders>
            <w:shd w:val="clear" w:color="auto" w:fill="auto"/>
            <w:vAlign w:val="center"/>
          </w:tcPr>
          <w:p w14:paraId="0B3A36F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营业毛利率</w:t>
            </w:r>
          </w:p>
        </w:tc>
        <w:tc>
          <w:tcPr>
            <w:tcW w:w="2562" w:type="dxa"/>
            <w:tcBorders>
              <w:top w:val="nil"/>
              <w:left w:val="nil"/>
              <w:bottom w:val="nil"/>
              <w:right w:val="nil"/>
            </w:tcBorders>
            <w:shd w:val="clear" w:color="auto" w:fill="auto"/>
            <w:vAlign w:val="center"/>
          </w:tcPr>
          <w:p w14:paraId="7E6DD6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0.292</w:t>
            </w:r>
          </w:p>
        </w:tc>
        <w:tc>
          <w:tcPr>
            <w:tcW w:w="2562" w:type="dxa"/>
            <w:tcBorders>
              <w:top w:val="nil"/>
              <w:left w:val="nil"/>
              <w:bottom w:val="nil"/>
              <w:right w:val="nil"/>
            </w:tcBorders>
            <w:shd w:val="clear" w:color="auto" w:fill="auto"/>
            <w:vAlign w:val="center"/>
          </w:tcPr>
          <w:p w14:paraId="4C30AC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0.3999</w:t>
            </w:r>
          </w:p>
        </w:tc>
      </w:tr>
      <w:tr w14:paraId="7100AE74">
        <w:trPr>
          <w:trHeight w:val="0" w:hRule="atLeast"/>
          <w:tblHeader/>
          <w:jc w:val="center"/>
        </w:trPr>
        <w:tc>
          <w:tcPr>
            <w:tcW w:w="3395" w:type="dxa"/>
            <w:tcBorders>
              <w:top w:val="nil"/>
              <w:left w:val="nil"/>
              <w:bottom w:val="nil"/>
              <w:right w:val="nil"/>
            </w:tcBorders>
            <w:shd w:val="clear" w:color="auto" w:fill="auto"/>
            <w:vAlign w:val="center"/>
          </w:tcPr>
          <w:p w14:paraId="33ECF02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营业净利率</w:t>
            </w:r>
          </w:p>
        </w:tc>
        <w:tc>
          <w:tcPr>
            <w:tcW w:w="2562" w:type="dxa"/>
            <w:tcBorders>
              <w:top w:val="nil"/>
              <w:left w:val="nil"/>
              <w:bottom w:val="nil"/>
              <w:right w:val="nil"/>
            </w:tcBorders>
            <w:shd w:val="clear" w:color="auto" w:fill="auto"/>
            <w:vAlign w:val="center"/>
          </w:tcPr>
          <w:p w14:paraId="285388E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-0.0858</w:t>
            </w:r>
          </w:p>
        </w:tc>
        <w:tc>
          <w:tcPr>
            <w:tcW w:w="2562" w:type="dxa"/>
            <w:tcBorders>
              <w:top w:val="nil"/>
              <w:left w:val="nil"/>
              <w:bottom w:val="nil"/>
              <w:right w:val="nil"/>
            </w:tcBorders>
            <w:shd w:val="clear" w:color="auto" w:fill="auto"/>
            <w:vAlign w:val="center"/>
          </w:tcPr>
          <w:p w14:paraId="0E577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0.0673</w:t>
            </w:r>
          </w:p>
        </w:tc>
      </w:tr>
      <w:tr w14:paraId="12D5122D">
        <w:trPr>
          <w:trHeight w:val="0" w:hRule="atLeast"/>
          <w:tblHeader/>
          <w:jc w:val="center"/>
        </w:trPr>
        <w:tc>
          <w:tcPr>
            <w:tcW w:w="3395" w:type="dxa"/>
            <w:tcBorders>
              <w:top w:val="nil"/>
              <w:left w:val="nil"/>
              <w:bottom w:val="nil"/>
              <w:right w:val="nil"/>
            </w:tcBorders>
            <w:shd w:val="clear" w:color="auto" w:fill="auto"/>
            <w:vAlign w:val="center"/>
          </w:tcPr>
          <w:p w14:paraId="0712462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研发费用率</w:t>
            </w:r>
          </w:p>
        </w:tc>
        <w:tc>
          <w:tcPr>
            <w:tcW w:w="2562" w:type="dxa"/>
            <w:tcBorders>
              <w:top w:val="nil"/>
              <w:left w:val="nil"/>
              <w:bottom w:val="nil"/>
              <w:right w:val="nil"/>
            </w:tcBorders>
            <w:shd w:val="clear" w:color="auto" w:fill="auto"/>
            <w:vAlign w:val="center"/>
          </w:tcPr>
          <w:p w14:paraId="520E90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0.0608</w:t>
            </w:r>
          </w:p>
        </w:tc>
        <w:tc>
          <w:tcPr>
            <w:tcW w:w="2562" w:type="dxa"/>
            <w:tcBorders>
              <w:top w:val="nil"/>
              <w:left w:val="nil"/>
              <w:bottom w:val="nil"/>
              <w:right w:val="nil"/>
            </w:tcBorders>
            <w:shd w:val="clear" w:color="auto" w:fill="auto"/>
            <w:vAlign w:val="center"/>
          </w:tcPr>
          <w:p w14:paraId="14F068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0.0837</w:t>
            </w:r>
          </w:p>
        </w:tc>
      </w:tr>
      <w:tr w14:paraId="7E702A1B">
        <w:trPr>
          <w:trHeight w:val="0" w:hRule="atLeast"/>
          <w:tblHeader/>
          <w:jc w:val="center"/>
        </w:trPr>
        <w:tc>
          <w:tcPr>
            <w:tcW w:w="3395" w:type="dxa"/>
            <w:tcBorders>
              <w:top w:val="nil"/>
              <w:left w:val="nil"/>
              <w:bottom w:val="nil"/>
              <w:right w:val="nil"/>
            </w:tcBorders>
            <w:shd w:val="clear" w:color="auto" w:fill="auto"/>
            <w:vAlign w:val="center"/>
          </w:tcPr>
          <w:p w14:paraId="794571C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EBIT率</w:t>
            </w:r>
          </w:p>
        </w:tc>
        <w:tc>
          <w:tcPr>
            <w:tcW w:w="2562" w:type="dxa"/>
            <w:tcBorders>
              <w:top w:val="nil"/>
              <w:left w:val="nil"/>
              <w:bottom w:val="nil"/>
              <w:right w:val="nil"/>
            </w:tcBorders>
            <w:shd w:val="clear" w:color="auto" w:fill="auto"/>
            <w:vAlign w:val="center"/>
          </w:tcPr>
          <w:p w14:paraId="0ADB604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-0.0574</w:t>
            </w:r>
          </w:p>
        </w:tc>
        <w:tc>
          <w:tcPr>
            <w:tcW w:w="2562" w:type="dxa"/>
            <w:tcBorders>
              <w:top w:val="nil"/>
              <w:left w:val="nil"/>
              <w:bottom w:val="nil"/>
              <w:right w:val="nil"/>
            </w:tcBorders>
            <w:shd w:val="clear" w:color="auto" w:fill="auto"/>
            <w:vAlign w:val="center"/>
          </w:tcPr>
          <w:p w14:paraId="7291BE9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0.0789</w:t>
            </w:r>
          </w:p>
        </w:tc>
      </w:tr>
      <w:tr w14:paraId="5D06B179">
        <w:trPr>
          <w:trHeight w:val="0" w:hRule="atLeast"/>
          <w:tblHeader/>
          <w:jc w:val="center"/>
        </w:trPr>
        <w:tc>
          <w:tcPr>
            <w:tcW w:w="3395" w:type="dxa"/>
            <w:tcBorders>
              <w:top w:val="nil"/>
              <w:left w:val="nil"/>
              <w:bottom w:val="nil"/>
              <w:right w:val="nil"/>
            </w:tcBorders>
            <w:shd w:val="clear" w:color="auto" w:fill="auto"/>
            <w:vAlign w:val="center"/>
          </w:tcPr>
          <w:p w14:paraId="03FCD9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EBITDA率</w:t>
            </w:r>
          </w:p>
        </w:tc>
        <w:tc>
          <w:tcPr>
            <w:tcW w:w="2562" w:type="dxa"/>
            <w:tcBorders>
              <w:top w:val="nil"/>
              <w:left w:val="nil"/>
              <w:bottom w:val="nil"/>
              <w:right w:val="nil"/>
            </w:tcBorders>
            <w:shd w:val="clear" w:color="auto" w:fill="auto"/>
            <w:vAlign w:val="center"/>
          </w:tcPr>
          <w:p w14:paraId="2480BB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-0.0052</w:t>
            </w:r>
          </w:p>
        </w:tc>
        <w:tc>
          <w:tcPr>
            <w:tcW w:w="2562" w:type="dxa"/>
            <w:tcBorders>
              <w:top w:val="nil"/>
              <w:left w:val="nil"/>
              <w:bottom w:val="nil"/>
              <w:right w:val="nil"/>
            </w:tcBorders>
            <w:shd w:val="clear" w:color="auto" w:fill="auto"/>
            <w:vAlign w:val="center"/>
          </w:tcPr>
          <w:p w14:paraId="335FDF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0.1365</w:t>
            </w:r>
          </w:p>
        </w:tc>
      </w:tr>
      <w:tr w14:paraId="68D6E4EE">
        <w:trPr>
          <w:trHeight w:val="0" w:hRule="atLeast"/>
          <w:tblHeader/>
          <w:jc w:val="center"/>
        </w:trPr>
        <w:tc>
          <w:tcPr>
            <w:tcW w:w="3395" w:type="dxa"/>
            <w:tcBorders>
              <w:top w:val="nil"/>
              <w:left w:val="nil"/>
              <w:bottom w:val="nil"/>
              <w:right w:val="nil"/>
            </w:tcBorders>
            <w:shd w:val="clear" w:color="auto" w:fill="auto"/>
            <w:vAlign w:val="center"/>
          </w:tcPr>
          <w:p w14:paraId="72DB759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投资收益率</w:t>
            </w:r>
          </w:p>
        </w:tc>
        <w:tc>
          <w:tcPr>
            <w:tcW w:w="2562" w:type="dxa"/>
            <w:tcBorders>
              <w:top w:val="nil"/>
              <w:left w:val="nil"/>
              <w:bottom w:val="nil"/>
              <w:right w:val="nil"/>
            </w:tcBorders>
            <w:shd w:val="clear" w:color="auto" w:fill="auto"/>
            <w:vAlign w:val="center"/>
          </w:tcPr>
          <w:p w14:paraId="349F1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0.0232</w:t>
            </w:r>
          </w:p>
        </w:tc>
        <w:tc>
          <w:tcPr>
            <w:tcW w:w="2562" w:type="dxa"/>
            <w:tcBorders>
              <w:top w:val="nil"/>
              <w:left w:val="nil"/>
              <w:bottom w:val="nil"/>
              <w:right w:val="nil"/>
            </w:tcBorders>
            <w:shd w:val="clear" w:color="auto" w:fill="auto"/>
            <w:vAlign w:val="center"/>
          </w:tcPr>
          <w:p w14:paraId="3DD6CEA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0.0247</w:t>
            </w:r>
          </w:p>
        </w:tc>
      </w:tr>
      <w:tr w14:paraId="78AD453C">
        <w:trPr>
          <w:trHeight w:val="0" w:hRule="atLeast"/>
          <w:tblHeader/>
          <w:jc w:val="center"/>
        </w:trPr>
        <w:tc>
          <w:tcPr>
            <w:tcW w:w="3395" w:type="dxa"/>
            <w:tcBorders>
              <w:top w:val="nil"/>
              <w:left w:val="nil"/>
              <w:bottom w:val="single" w:color="auto" w:sz="12" w:space="0"/>
              <w:right w:val="nil"/>
            </w:tcBorders>
            <w:shd w:val="clear" w:color="auto" w:fill="auto"/>
            <w:vAlign w:val="center"/>
          </w:tcPr>
          <w:p w14:paraId="45B551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营业成本率</w:t>
            </w:r>
          </w:p>
        </w:tc>
        <w:tc>
          <w:tcPr>
            <w:tcW w:w="2562" w:type="dxa"/>
            <w:tcBorders>
              <w:top w:val="nil"/>
              <w:left w:val="nil"/>
              <w:bottom w:val="single" w:color="auto" w:sz="12" w:space="0"/>
              <w:right w:val="nil"/>
            </w:tcBorders>
            <w:shd w:val="clear" w:color="auto" w:fill="auto"/>
            <w:vAlign w:val="center"/>
          </w:tcPr>
          <w:p w14:paraId="12902D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0.7064</w:t>
            </w:r>
          </w:p>
        </w:tc>
        <w:tc>
          <w:tcPr>
            <w:tcW w:w="2562" w:type="dxa"/>
            <w:tcBorders>
              <w:top w:val="nil"/>
              <w:left w:val="nil"/>
              <w:bottom w:val="single" w:color="auto" w:sz="12" w:space="0"/>
              <w:right w:val="nil"/>
            </w:tcBorders>
            <w:shd w:val="clear" w:color="auto" w:fill="auto"/>
            <w:vAlign w:val="center"/>
          </w:tcPr>
          <w:p w14:paraId="28256DB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w:t>
            </w:r>
          </w:p>
        </w:tc>
      </w:tr>
    </w:tbl>
    <w:p w14:paraId="4C370C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从各指标的均值比较来看，两类企业盈利差异主要来源于以下几个方面。</w:t>
      </w:r>
    </w:p>
    <w:p w14:paraId="70293D6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第一，在盈利水平方面，AI独立产品型企业在总资产收益率（ROA）、净资产收益率（ROE）、</w:t>
      </w:r>
      <w:r>
        <w:rPr>
          <w:rFonts w:hint="default" w:ascii="宋体" w:hAnsi="宋体" w:eastAsia="宋体" w:cs="Times New Roman"/>
          <w:b w:val="0"/>
          <w:sz w:val="24"/>
          <w:szCs w:val="24"/>
        </w:rPr>
        <w:t>营业毛利率以及营业净利率</w:t>
      </w:r>
      <w:r>
        <w:rPr>
          <w:rFonts w:hint="default" w:ascii="宋体" w:hAnsi="宋体" w:eastAsia="宋体" w:cs="Times New Roman"/>
          <w:b w:val="0"/>
          <w:kern w:val="2"/>
          <w:sz w:val="24"/>
          <w:szCs w:val="24"/>
          <w:lang w:val="en-US" w:eastAsia="zh-CN" w:bidi="ar-SA"/>
        </w:rPr>
        <w:t>等指标上整体高于AI业务赋能型企业。这主要是因为AI独立产品型企业通常通过销售人工智能软件、算法或解决方案获取收入，其产品附加值较高，因此利润率水平相对较高。</w:t>
      </w:r>
    </w:p>
    <w:p w14:paraId="527ADFB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二，在经营盈利能力方面，AI独立产品型企业在EBIT率和EBITDA率方面也高于AI业务赋能型企业，这表明AI独立产品型企业在核心经营活动中的盈利能力更强。相比之下，AI业务赋能型企业更多是将人工智能技术融入到现有的业务体系中，这类企业的盈利水平在较大程度上受到原有行业竞争环境的影响。</w:t>
      </w:r>
    </w:p>
    <w:p w14:paraId="2165E41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第三，在成本控制方面，AI独立产品型企业的营业成本率明显低于AI业务赋能型企业，这表明AI独立产品型企业的产品附加值较高，成本结构更合理，从而能够获得更高的盈利空间。</w:t>
      </w:r>
    </w:p>
    <w:p w14:paraId="3D2720C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四，在研发投入方面，AI独立产品型企业的研发费用率明显高于AI业务赋能型企业。AI独立产品型企业通常需要持续进行技术研发和算法迭代，以保持技术领先优势。但与此同时，大规模研发投入也可能在短期内增加企业成本，对当期盈利水平形成一定压力。</w:t>
      </w:r>
    </w:p>
    <w:p w14:paraId="502B1DF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独立产品型企业在盈利水平、经营盈利能力以及技术投入等方面均表现出明显优势，因此其整体盈利能力综合得分高于AI业务赋能型企业。而AI业务赋能型企业虽然能够通过技术应用提升原有业务效率，但其盈利模式仍然依赖传统业务结构，因此整体盈利能力相对较弱，且企业之间的盈利差异较为明显。</w:t>
      </w:r>
    </w:p>
    <w:p w14:paraId="27400724">
      <w:pPr>
        <w:autoSpaceDE/>
        <w:autoSpaceDN/>
        <w:snapToGrid/>
        <w:spacing w:before="156" w:beforeLines="50" w:after="156" w:afterLines="50" w:line="400" w:lineRule="exact"/>
        <w:ind w:firstLine="0"/>
        <w:jc w:val="left"/>
        <w:outlineLvl w:val="2"/>
        <w:rPr>
          <w:rFonts w:hint="eastAsia" w:ascii="宋体" w:hAnsi="宋体" w:eastAsia="宋体" w:cs="宋体"/>
          <w:sz w:val="24"/>
          <w:szCs w:val="24"/>
          <w:lang w:val="en-US" w:eastAsia="zh-CN"/>
        </w:rPr>
      </w:pPr>
    </w:p>
    <w:p w14:paraId="767E2433">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firstLineChars="0" w:firstLine="0"/>
        <w:textAlignment w:val="auto"/>
        <w:rPr>
          <w:rFonts w:hint="default" w:ascii="Times New Roman" w:hAnsi="Times New Roman" w:cs="Times New Roman"/>
          <w:szCs w:val="22"/>
        </w:rPr>
      </w:pPr>
    </w:p>
    <w:p w14:paraId="049D6669">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firstLineChars="0" w:firstLine="0"/>
        <w:textAlignment w:val="auto"/>
        <w:rPr>
          <w:rFonts w:hint="eastAsia"/>
          <w:lang w:val="en-US" w:eastAsia="zh-CN"/>
        </w:rPr>
      </w:pPr>
    </w:p>
    <w:p w14:paraId="32E75A71">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t>5.2基于杜邦分析法的盈利能力纵向对比分析（典型样本）</w:t>
      </w:r>
    </w:p>
    <w:p w14:paraId="20ECAB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前文基于全样本数据分析发现，A股人工智能应用层中小企业整体盈利能力偏弱且呈现出较为明显的分化趋势，并且在2021—2024年期间盈利水平整体有所下降。为了进一步分析这一现象的形成原因，本文在AI独立产品型企业与AI业务赋能型企业两类样本中分别选取具有代表性的6个企业作为典型案例，并基于杜邦分析法从净资产收益率、销售净利率、总资产周转率以及权益乘数等方面对企业盈利能力进行纵向分析。</w:t>
      </w:r>
    </w:p>
    <w:p w14:paraId="5247BDC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6个典型样本企业的选取上，首先对样本企业进行筛选，剔除样本期内出现ST或PT状态的企业，以避免财务异常或经营风险较高企业对分析结果产生干扰。随后，以企业盈利能力综合得分作为排序依据，在AI独立产品型企业与AI业务赋能型企业两类样本中分别按照得分从高到低进行排序，并采用五分位法对企业进行分组。具体而言，将企业盈利能力综合得分按20%分位间隔划分为五个区间，分别对应第1至第5分位，其中第1分位代表盈利能力较低的企业，第3分位代表盈利能力处于中等水</w:t>
      </w:r>
      <w:r>
        <w:rPr>
          <w:rFonts w:hint="default" w:ascii="宋体" w:hAnsi="宋体" w:eastAsia="宋体" w:cs="Times New Roman"/>
          <w:b w:val="0"/>
          <w:bCs w:val="0"/>
          <w:kern w:val="2"/>
          <w:sz w:val="24"/>
          <w:szCs w:val="24"/>
          <w:lang w:val="en-US" w:eastAsia="zh-CN" w:bidi="ar-SA"/>
        </w:rPr>
        <w:t>平的企业，第5分位代表盈利能力较高的企业。在典型样本选择过程中，</w:t>
      </w:r>
      <w:r>
        <w:rPr>
          <w:rFonts w:hint="default" w:ascii="宋体" w:hAnsi="宋体" w:eastAsia="宋体" w:cs="Times New Roman"/>
          <w:b w:val="0"/>
          <w:bCs w:val="0"/>
          <w:sz w:val="24"/>
          <w:szCs w:val="24"/>
        </w:rPr>
        <w:t>本文分别从第1、第3和第5分位中各选取1家在2020—2024年期间</w:t>
      </w:r>
      <w:r>
        <w:rPr>
          <w:rStyle w:val="34"/>
          <w:rFonts w:hint="default" w:ascii="宋体" w:hAnsi="宋体" w:eastAsia="宋体" w:cs="Times New Roman"/>
          <w:b w:val="0"/>
          <w:bCs w:val="0"/>
          <w:sz w:val="24"/>
          <w:szCs w:val="24"/>
        </w:rPr>
        <w:t>处于该分位次数最多的企业</w:t>
      </w:r>
      <w:r>
        <w:rPr>
          <w:rFonts w:hint="default" w:ascii="宋体" w:hAnsi="宋体" w:eastAsia="宋体" w:cs="Times New Roman"/>
          <w:b w:val="0"/>
          <w:bCs w:val="0"/>
          <w:sz w:val="24"/>
          <w:szCs w:val="24"/>
        </w:rPr>
        <w:t>作为代表样本</w:t>
      </w:r>
      <w:r>
        <w:rPr>
          <w:rFonts w:hint="default" w:ascii="宋体" w:hAnsi="宋体" w:eastAsia="宋体" w:cs="Times New Roman"/>
          <w:b w:val="0"/>
          <w:bCs w:val="0"/>
          <w:kern w:val="2"/>
          <w:sz w:val="24"/>
          <w:szCs w:val="24"/>
          <w:lang w:val="en-US" w:eastAsia="zh-CN" w:bidi="ar-SA"/>
        </w:rPr>
        <w:t>，以分别代表低盈利、中等盈利和高盈利企业。这种分位选取方式能够在保证样本具有代表性的同时，避免仅选择极端企业所带来的偏差，从而更好地反映</w:t>
      </w:r>
      <w:r>
        <w:rPr>
          <w:rFonts w:hint="default" w:ascii="宋体" w:hAnsi="宋体" w:eastAsia="宋体" w:cs="Times New Roman"/>
          <w:b w:val="0"/>
          <w:kern w:val="2"/>
          <w:sz w:val="24"/>
          <w:szCs w:val="24"/>
          <w:lang w:val="en-US" w:eastAsia="zh-CN" w:bidi="ar-SA"/>
        </w:rPr>
        <w:t>不同盈利水平企业的经营特征和盈利能力形成机制。</w:t>
      </w:r>
    </w:p>
    <w:p w14:paraId="4D27BD6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最终，在AI独立产品型企业中选取方直科技（300235）作为高盈利代表企业，佳讯飞鸿（300213）作为中盈利代表企业，天地在线（002995）作为低盈利代表企业；在AI业务赋能型企业中选取巨人网络（002558）作为高盈利代表企业，世纪天鸿（300654）作为中盈利代表企业，思美传媒（002712）作为低盈利代表企业。在后续分析中，本文将基于杜邦分析法对上述企业2020—2024年的盈利能力变化情况进行纵向对比，分析不同业务模式企业盈利能力的形成机制及其主要影响因素。</w:t>
      </w:r>
    </w:p>
    <w:p w14:paraId="2F7BB06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黑体" w:cs="Times New Roman"/>
          <w:color w:val="000000"/>
          <w:kern w:val="0"/>
          <w:sz w:val="28"/>
          <w:szCs w:val="28"/>
          <w:lang w:val="en-US" w:eastAsia="zh-CN"/>
        </w:rPr>
      </w:pPr>
      <w:r>
        <w:t>5.2.1销售净利率分析</w:t>
      </w:r>
    </w:p>
    <w:p w14:paraId="30627DE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销售净利率反映企业每单位营业收入能够转化为净利润的水平，是衡量企业主营业务盈利能力的重要指标，在杜邦分析体系中，销售净利率直接影响净资产收益率的高低，</w:t>
      </w:r>
      <w:r>
        <w:rPr>
          <w:rFonts w:hint="default" w:ascii="宋体" w:hAnsi="宋体" w:eastAsia="宋体" w:cs="Times New Roman"/>
          <w:b w:val="0"/>
          <w:sz w:val="24"/>
          <w:szCs w:val="24"/>
        </w:rPr>
        <w:t>其计算公式为：</w:t>
      </w:r>
    </w:p>
    <w:p w14:paraId="12E3BE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销售净利率=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净利润</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den>
          </m:f>
        </m:oMath>
      </m:oMathPara>
    </w:p>
    <w:p w14:paraId="752E220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销售净利率的变化主要取决于企业在实现营业收入后，成本费用控制及利润转化能力。换言之，在营业收入既定的情况下，企业成本结构、费用投入以及盈利模式都会直接影响净利润水平，从而改变销售净利率。</w:t>
      </w:r>
      <w:r>
        <w:rPr>
          <w:rFonts w:hint="default" w:ascii="宋体" w:hAnsi="宋体" w:eastAsia="宋体" w:cs="Times New Roman"/>
          <w:b w:val="0"/>
          <w:kern w:val="2"/>
          <w:sz w:val="24"/>
          <w:szCs w:val="24"/>
          <w:lang w:val="en-US" w:eastAsia="zh-CN" w:bidi="ar-SA"/>
        </w:rPr>
        <w:t>对于人工智能应用层企业而言，销售净利率不仅受到传统业务盈利模式的影响，还与AI技术的商业化成熟度、产品附加值以及市场竞争格局密切相关。中国信息通信研究院发布的《人工智能发展报告》</w:t>
      </w:r>
      <w:r>
        <w:rPr>
          <w:rFonts w:hint="default" w:ascii="宋体" w:hAnsi="宋体" w:eastAsia="宋体" w:cs="Times New Roman"/>
          <w:b w:val="0"/>
          <w:sz w:val="24"/>
          <w:szCs w:val="24"/>
        </w:rPr>
        <w:t>也指出，人工智能企业在技术研发和场景落地阶段往往需要较高的研发投入和技术迭代成本，这在一定程度上会影响企业短期盈利能力。</w:t>
      </w:r>
    </w:p>
    <w:p w14:paraId="02BE72C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因此，在分析典型样本企业销售净利率变化时，本文主要从成本费用结构角度进行拆解，重点关注企业销售费用率、管理费用率和研发费用率等指标变化，并结合企业AI业务发展情况，对销售净利率变化原因进行分析。典型样本企业2020—2024年的销售净利率情况如表5-6所示。</w:t>
      </w:r>
    </w:p>
    <w:p w14:paraId="5F0D61A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表5-6 典型样本企业销售净利率</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508"/>
        <w:gridCol w:w="1205"/>
        <w:gridCol w:w="1055"/>
        <w:gridCol w:w="1055"/>
        <w:gridCol w:w="1055"/>
        <w:gridCol w:w="1056"/>
      </w:tblGrid>
      <w:tr w14:paraId="4BDD8B0D">
        <w:trPr>
          <w:trHeight w:val="0" w:hRule="atLeast"/>
          <w:tblHeader/>
          <w:jc w:val="center"/>
        </w:trPr>
        <w:tc>
          <w:tcPr>
            <w:tcW w:w="1585" w:type="dxa"/>
            <w:tcBorders>
              <w:top w:val="single" w:color="auto" w:sz="12" w:space="0"/>
              <w:left w:val="nil"/>
              <w:bottom w:val="single" w:color="auto" w:sz="4" w:space="0"/>
              <w:right w:val="nil"/>
            </w:tcBorders>
            <w:shd w:val="clear" w:color="auto" w:fill="auto"/>
            <w:vAlign w:val="center"/>
          </w:tcPr>
          <w:p w14:paraId="3AE10C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08" w:type="dxa"/>
            <w:tcBorders>
              <w:top w:val="single" w:color="auto" w:sz="12" w:space="0"/>
              <w:left w:val="nil"/>
              <w:bottom w:val="single" w:color="auto" w:sz="4" w:space="0"/>
              <w:right w:val="nil"/>
            </w:tcBorders>
            <w:shd w:val="clear" w:color="auto" w:fill="auto"/>
            <w:vAlign w:val="center"/>
          </w:tcPr>
          <w:p w14:paraId="557A3D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205" w:type="dxa"/>
            <w:tcBorders>
              <w:top w:val="single" w:color="auto" w:sz="12" w:space="0"/>
              <w:left w:val="nil"/>
              <w:bottom w:val="single" w:color="auto" w:sz="4" w:space="0"/>
              <w:right w:val="nil"/>
            </w:tcBorders>
            <w:shd w:val="clear" w:color="auto" w:fill="auto"/>
            <w:vAlign w:val="center"/>
          </w:tcPr>
          <w:p w14:paraId="11A14B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55" w:type="dxa"/>
            <w:tcBorders>
              <w:top w:val="single" w:color="auto" w:sz="12" w:space="0"/>
              <w:left w:val="nil"/>
              <w:bottom w:val="single" w:color="auto" w:sz="4" w:space="0"/>
              <w:right w:val="nil"/>
            </w:tcBorders>
            <w:shd w:val="clear" w:color="auto" w:fill="auto"/>
            <w:vAlign w:val="center"/>
          </w:tcPr>
          <w:p w14:paraId="69C85C5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55" w:type="dxa"/>
            <w:tcBorders>
              <w:top w:val="single" w:color="auto" w:sz="12" w:space="0"/>
              <w:left w:val="nil"/>
              <w:bottom w:val="single" w:color="auto" w:sz="4" w:space="0"/>
              <w:right w:val="nil"/>
            </w:tcBorders>
            <w:shd w:val="clear" w:color="auto" w:fill="auto"/>
            <w:vAlign w:val="center"/>
          </w:tcPr>
          <w:p w14:paraId="1DC9157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55" w:type="dxa"/>
            <w:tcBorders>
              <w:top w:val="single" w:color="auto" w:sz="12" w:space="0"/>
              <w:left w:val="nil"/>
              <w:bottom w:val="single" w:color="auto" w:sz="4" w:space="0"/>
              <w:right w:val="nil"/>
            </w:tcBorders>
            <w:shd w:val="clear" w:color="auto" w:fill="auto"/>
            <w:vAlign w:val="center"/>
          </w:tcPr>
          <w:p w14:paraId="5AF5575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56" w:type="dxa"/>
            <w:tcBorders>
              <w:top w:val="single" w:color="auto" w:sz="12" w:space="0"/>
              <w:left w:val="nil"/>
              <w:bottom w:val="single" w:color="auto" w:sz="4" w:space="0"/>
              <w:right w:val="nil"/>
            </w:tcBorders>
            <w:shd w:val="clear" w:color="auto" w:fill="auto"/>
            <w:vAlign w:val="center"/>
          </w:tcPr>
          <w:p w14:paraId="1B4938A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18DA974D">
        <w:trPr>
          <w:trHeight w:val="0" w:hRule="atLeast"/>
          <w:jc w:val="center"/>
        </w:trPr>
        <w:tc>
          <w:tcPr>
            <w:tcW w:w="1585" w:type="dxa"/>
            <w:tcBorders>
              <w:top w:val="single" w:color="auto" w:sz="4" w:space="0"/>
              <w:left w:val="nil"/>
              <w:bottom w:val="nil"/>
              <w:right w:val="nil"/>
            </w:tcBorders>
            <w:shd w:val="clear" w:color="auto" w:fill="auto"/>
            <w:vAlign w:val="center"/>
          </w:tcPr>
          <w:p w14:paraId="52C032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single" w:color="auto" w:sz="4" w:space="0"/>
              <w:left w:val="nil"/>
              <w:bottom w:val="nil"/>
              <w:right w:val="nil"/>
            </w:tcBorders>
            <w:shd w:val="clear" w:color="auto" w:fill="auto"/>
            <w:vAlign w:val="center"/>
          </w:tcPr>
          <w:p w14:paraId="3C7B68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center"/>
          </w:tcPr>
          <w:p w14:paraId="3E1252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25.44%</w:t>
            </w:r>
          </w:p>
        </w:tc>
        <w:tc>
          <w:tcPr>
            <w:tcW w:w="1055" w:type="dxa"/>
            <w:tcBorders>
              <w:top w:val="single" w:color="auto" w:sz="4" w:space="0"/>
              <w:left w:val="nil"/>
              <w:bottom w:val="nil"/>
              <w:right w:val="nil"/>
            </w:tcBorders>
            <w:shd w:val="clear" w:color="auto" w:fill="auto"/>
            <w:vAlign w:val="center"/>
          </w:tcPr>
          <w:p w14:paraId="3D083F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20.37%</w:t>
            </w:r>
          </w:p>
        </w:tc>
        <w:tc>
          <w:tcPr>
            <w:tcW w:w="1055" w:type="dxa"/>
            <w:tcBorders>
              <w:top w:val="single" w:color="auto" w:sz="4" w:space="0"/>
              <w:left w:val="nil"/>
              <w:bottom w:val="nil"/>
              <w:right w:val="nil"/>
            </w:tcBorders>
            <w:shd w:val="clear" w:color="auto" w:fill="auto"/>
            <w:vAlign w:val="center"/>
          </w:tcPr>
          <w:p w14:paraId="64E12C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21.65%</w:t>
            </w:r>
          </w:p>
        </w:tc>
        <w:tc>
          <w:tcPr>
            <w:tcW w:w="1055" w:type="dxa"/>
            <w:tcBorders>
              <w:top w:val="single" w:color="auto" w:sz="4" w:space="0"/>
              <w:left w:val="nil"/>
              <w:bottom w:val="nil"/>
              <w:right w:val="nil"/>
            </w:tcBorders>
            <w:shd w:val="clear" w:color="auto" w:fill="auto"/>
            <w:vAlign w:val="center"/>
          </w:tcPr>
          <w:p w14:paraId="71F17F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31.33%</w:t>
            </w:r>
          </w:p>
        </w:tc>
        <w:tc>
          <w:tcPr>
            <w:tcW w:w="1056" w:type="dxa"/>
            <w:tcBorders>
              <w:top w:val="single" w:color="auto" w:sz="4" w:space="0"/>
              <w:left w:val="nil"/>
              <w:bottom w:val="nil"/>
              <w:right w:val="nil"/>
            </w:tcBorders>
            <w:shd w:val="clear" w:color="auto" w:fill="auto"/>
            <w:vAlign w:val="center"/>
          </w:tcPr>
          <w:p w14:paraId="0E1363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18.80%</w:t>
            </w:r>
          </w:p>
        </w:tc>
      </w:tr>
      <w:tr w14:paraId="67BDBFAB">
        <w:trPr>
          <w:trHeight w:val="0" w:hRule="atLeast"/>
          <w:jc w:val="center"/>
        </w:trPr>
        <w:tc>
          <w:tcPr>
            <w:tcW w:w="1585" w:type="dxa"/>
            <w:tcBorders>
              <w:top w:val="nil"/>
              <w:left w:val="nil"/>
              <w:bottom w:val="nil"/>
              <w:right w:val="nil"/>
            </w:tcBorders>
            <w:shd w:val="clear" w:color="auto" w:fill="auto"/>
            <w:vAlign w:val="center"/>
          </w:tcPr>
          <w:p w14:paraId="00DFA7A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07D84A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205" w:type="dxa"/>
            <w:tcBorders>
              <w:top w:val="nil"/>
              <w:left w:val="nil"/>
              <w:bottom w:val="nil"/>
              <w:right w:val="nil"/>
            </w:tcBorders>
            <w:shd w:val="clear" w:color="auto" w:fill="auto"/>
            <w:vAlign w:val="center"/>
          </w:tcPr>
          <w:p w14:paraId="17101A5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12.15%</w:t>
            </w:r>
          </w:p>
        </w:tc>
        <w:tc>
          <w:tcPr>
            <w:tcW w:w="1055" w:type="dxa"/>
            <w:tcBorders>
              <w:top w:val="nil"/>
              <w:left w:val="nil"/>
              <w:bottom w:val="nil"/>
              <w:right w:val="nil"/>
            </w:tcBorders>
            <w:shd w:val="clear" w:color="auto" w:fill="auto"/>
            <w:vAlign w:val="center"/>
          </w:tcPr>
          <w:p w14:paraId="7B0B377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11.45%</w:t>
            </w:r>
          </w:p>
        </w:tc>
        <w:tc>
          <w:tcPr>
            <w:tcW w:w="1055" w:type="dxa"/>
            <w:tcBorders>
              <w:top w:val="nil"/>
              <w:left w:val="nil"/>
              <w:bottom w:val="nil"/>
              <w:right w:val="nil"/>
            </w:tcBorders>
            <w:shd w:val="clear" w:color="auto" w:fill="auto"/>
            <w:vAlign w:val="center"/>
          </w:tcPr>
          <w:p w14:paraId="140E4F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5.33%</w:t>
            </w:r>
          </w:p>
        </w:tc>
        <w:tc>
          <w:tcPr>
            <w:tcW w:w="1055" w:type="dxa"/>
            <w:tcBorders>
              <w:top w:val="nil"/>
              <w:left w:val="nil"/>
              <w:bottom w:val="nil"/>
              <w:right w:val="nil"/>
            </w:tcBorders>
            <w:shd w:val="clear" w:color="auto" w:fill="auto"/>
            <w:vAlign w:val="center"/>
          </w:tcPr>
          <w:p w14:paraId="76B644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5.65%</w:t>
            </w:r>
          </w:p>
        </w:tc>
        <w:tc>
          <w:tcPr>
            <w:tcW w:w="1056" w:type="dxa"/>
            <w:tcBorders>
              <w:top w:val="nil"/>
              <w:left w:val="nil"/>
              <w:bottom w:val="nil"/>
              <w:right w:val="nil"/>
            </w:tcBorders>
            <w:shd w:val="clear" w:color="auto" w:fill="auto"/>
            <w:vAlign w:val="center"/>
          </w:tcPr>
          <w:p w14:paraId="3535C6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5.97%</w:t>
            </w:r>
          </w:p>
        </w:tc>
      </w:tr>
      <w:tr w14:paraId="5B172446">
        <w:trPr>
          <w:trHeight w:val="0" w:hRule="atLeast"/>
          <w:jc w:val="center"/>
        </w:trPr>
        <w:tc>
          <w:tcPr>
            <w:tcW w:w="1585" w:type="dxa"/>
            <w:tcBorders>
              <w:top w:val="nil"/>
              <w:left w:val="nil"/>
              <w:bottom w:val="nil"/>
              <w:right w:val="nil"/>
            </w:tcBorders>
            <w:shd w:val="clear" w:color="auto" w:fill="auto"/>
            <w:vAlign w:val="center"/>
          </w:tcPr>
          <w:p w14:paraId="3962788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21FF87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205" w:type="dxa"/>
            <w:tcBorders>
              <w:top w:val="nil"/>
              <w:left w:val="nil"/>
              <w:bottom w:val="nil"/>
              <w:right w:val="nil"/>
            </w:tcBorders>
            <w:shd w:val="clear" w:color="auto" w:fill="auto"/>
            <w:vAlign w:val="center"/>
          </w:tcPr>
          <w:p w14:paraId="7DFDE3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3.21%</w:t>
            </w:r>
          </w:p>
        </w:tc>
        <w:tc>
          <w:tcPr>
            <w:tcW w:w="1055" w:type="dxa"/>
            <w:tcBorders>
              <w:top w:val="nil"/>
              <w:left w:val="nil"/>
              <w:bottom w:val="nil"/>
              <w:right w:val="nil"/>
            </w:tcBorders>
            <w:shd w:val="clear" w:color="auto" w:fill="auto"/>
            <w:vAlign w:val="center"/>
          </w:tcPr>
          <w:p w14:paraId="53691A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1.37%</w:t>
            </w:r>
          </w:p>
        </w:tc>
        <w:tc>
          <w:tcPr>
            <w:tcW w:w="1055" w:type="dxa"/>
            <w:tcBorders>
              <w:top w:val="nil"/>
              <w:left w:val="nil"/>
              <w:bottom w:val="nil"/>
              <w:right w:val="nil"/>
            </w:tcBorders>
            <w:shd w:val="clear" w:color="auto" w:fill="auto"/>
            <w:vAlign w:val="center"/>
          </w:tcPr>
          <w:p w14:paraId="08499D2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0.16%</w:t>
            </w:r>
          </w:p>
        </w:tc>
        <w:tc>
          <w:tcPr>
            <w:tcW w:w="1055" w:type="dxa"/>
            <w:tcBorders>
              <w:top w:val="nil"/>
              <w:left w:val="nil"/>
              <w:bottom w:val="nil"/>
              <w:right w:val="nil"/>
            </w:tcBorders>
            <w:shd w:val="clear" w:color="auto" w:fill="auto"/>
            <w:vAlign w:val="center"/>
          </w:tcPr>
          <w:p w14:paraId="504E69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-1.41%</w:t>
            </w:r>
          </w:p>
        </w:tc>
        <w:tc>
          <w:tcPr>
            <w:tcW w:w="1056" w:type="dxa"/>
            <w:tcBorders>
              <w:top w:val="nil"/>
              <w:left w:val="nil"/>
              <w:bottom w:val="nil"/>
              <w:right w:val="nil"/>
            </w:tcBorders>
            <w:shd w:val="clear" w:color="auto" w:fill="auto"/>
            <w:vAlign w:val="center"/>
          </w:tcPr>
          <w:p w14:paraId="2E2DBEF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-5.00%</w:t>
            </w:r>
          </w:p>
        </w:tc>
      </w:tr>
      <w:tr w14:paraId="29A75FAF">
        <w:trPr>
          <w:trHeight w:val="0" w:hRule="atLeast"/>
          <w:jc w:val="center"/>
        </w:trPr>
        <w:tc>
          <w:tcPr>
            <w:tcW w:w="1585" w:type="dxa"/>
            <w:tcBorders>
              <w:top w:val="nil"/>
              <w:left w:val="nil"/>
              <w:bottom w:val="nil"/>
              <w:right w:val="nil"/>
            </w:tcBorders>
            <w:shd w:val="clear" w:color="auto" w:fill="auto"/>
            <w:vAlign w:val="center"/>
          </w:tcPr>
          <w:p w14:paraId="77F2C10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4A0E10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205" w:type="dxa"/>
            <w:tcBorders>
              <w:top w:val="nil"/>
              <w:left w:val="nil"/>
              <w:bottom w:val="nil"/>
              <w:right w:val="nil"/>
            </w:tcBorders>
            <w:shd w:val="clear" w:color="auto" w:fill="auto"/>
            <w:vAlign w:val="center"/>
          </w:tcPr>
          <w:p w14:paraId="673B448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46.94%</w:t>
            </w:r>
          </w:p>
        </w:tc>
        <w:tc>
          <w:tcPr>
            <w:tcW w:w="1055" w:type="dxa"/>
            <w:tcBorders>
              <w:top w:val="nil"/>
              <w:left w:val="nil"/>
              <w:bottom w:val="nil"/>
              <w:right w:val="nil"/>
            </w:tcBorders>
            <w:shd w:val="clear" w:color="auto" w:fill="auto"/>
            <w:vAlign w:val="center"/>
          </w:tcPr>
          <w:p w14:paraId="0F0DC4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46.58%</w:t>
            </w:r>
          </w:p>
        </w:tc>
        <w:tc>
          <w:tcPr>
            <w:tcW w:w="1055" w:type="dxa"/>
            <w:tcBorders>
              <w:top w:val="nil"/>
              <w:left w:val="nil"/>
              <w:bottom w:val="nil"/>
              <w:right w:val="nil"/>
            </w:tcBorders>
            <w:shd w:val="clear" w:color="auto" w:fill="auto"/>
            <w:vAlign w:val="center"/>
          </w:tcPr>
          <w:p w14:paraId="063284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40.92%</w:t>
            </w:r>
          </w:p>
        </w:tc>
        <w:tc>
          <w:tcPr>
            <w:tcW w:w="1055" w:type="dxa"/>
            <w:tcBorders>
              <w:top w:val="nil"/>
              <w:left w:val="nil"/>
              <w:bottom w:val="nil"/>
              <w:right w:val="nil"/>
            </w:tcBorders>
            <w:shd w:val="clear" w:color="auto" w:fill="auto"/>
            <w:vAlign w:val="center"/>
          </w:tcPr>
          <w:p w14:paraId="79FBF9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37.34%</w:t>
            </w:r>
          </w:p>
        </w:tc>
        <w:tc>
          <w:tcPr>
            <w:tcW w:w="1056" w:type="dxa"/>
            <w:tcBorders>
              <w:top w:val="nil"/>
              <w:left w:val="nil"/>
              <w:bottom w:val="nil"/>
              <w:right w:val="nil"/>
            </w:tcBorders>
            <w:shd w:val="clear" w:color="auto" w:fill="auto"/>
            <w:vAlign w:val="center"/>
          </w:tcPr>
          <w:p w14:paraId="6C41E5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48.96%</w:t>
            </w:r>
          </w:p>
        </w:tc>
      </w:tr>
      <w:tr w14:paraId="531E3564">
        <w:trPr>
          <w:trHeight w:val="0" w:hRule="atLeast"/>
          <w:jc w:val="center"/>
        </w:trPr>
        <w:tc>
          <w:tcPr>
            <w:tcW w:w="1585" w:type="dxa"/>
            <w:tcBorders>
              <w:top w:val="nil"/>
              <w:left w:val="nil"/>
              <w:bottom w:val="nil"/>
              <w:right w:val="nil"/>
            </w:tcBorders>
            <w:shd w:val="clear" w:color="auto" w:fill="auto"/>
            <w:vAlign w:val="center"/>
          </w:tcPr>
          <w:p w14:paraId="4FF9743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61AFDEC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205" w:type="dxa"/>
            <w:tcBorders>
              <w:top w:val="nil"/>
              <w:left w:val="nil"/>
              <w:bottom w:val="nil"/>
              <w:right w:val="nil"/>
            </w:tcBorders>
            <w:shd w:val="clear" w:color="auto" w:fill="auto"/>
            <w:vAlign w:val="center"/>
          </w:tcPr>
          <w:p w14:paraId="239702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9.32%</w:t>
            </w:r>
          </w:p>
        </w:tc>
        <w:tc>
          <w:tcPr>
            <w:tcW w:w="1055" w:type="dxa"/>
            <w:tcBorders>
              <w:top w:val="nil"/>
              <w:left w:val="nil"/>
              <w:bottom w:val="nil"/>
              <w:right w:val="nil"/>
            </w:tcBorders>
            <w:shd w:val="clear" w:color="auto" w:fill="auto"/>
            <w:vAlign w:val="center"/>
          </w:tcPr>
          <w:p w14:paraId="768EE5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8.66%</w:t>
            </w:r>
          </w:p>
        </w:tc>
        <w:tc>
          <w:tcPr>
            <w:tcW w:w="1055" w:type="dxa"/>
            <w:tcBorders>
              <w:top w:val="nil"/>
              <w:left w:val="nil"/>
              <w:bottom w:val="nil"/>
              <w:right w:val="nil"/>
            </w:tcBorders>
            <w:shd w:val="clear" w:color="auto" w:fill="auto"/>
            <w:vAlign w:val="center"/>
          </w:tcPr>
          <w:p w14:paraId="24BCFB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8.47%</w:t>
            </w:r>
          </w:p>
        </w:tc>
        <w:tc>
          <w:tcPr>
            <w:tcW w:w="1055" w:type="dxa"/>
            <w:tcBorders>
              <w:top w:val="nil"/>
              <w:left w:val="nil"/>
              <w:bottom w:val="nil"/>
              <w:right w:val="nil"/>
            </w:tcBorders>
            <w:shd w:val="clear" w:color="auto" w:fill="auto"/>
            <w:vAlign w:val="center"/>
          </w:tcPr>
          <w:p w14:paraId="7057CB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8.55%</w:t>
            </w:r>
          </w:p>
        </w:tc>
        <w:tc>
          <w:tcPr>
            <w:tcW w:w="1056" w:type="dxa"/>
            <w:tcBorders>
              <w:top w:val="nil"/>
              <w:left w:val="nil"/>
              <w:bottom w:val="nil"/>
              <w:right w:val="nil"/>
            </w:tcBorders>
            <w:shd w:val="clear" w:color="auto" w:fill="auto"/>
            <w:vAlign w:val="center"/>
          </w:tcPr>
          <w:p w14:paraId="755739A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8.38%</w:t>
            </w:r>
          </w:p>
        </w:tc>
      </w:tr>
      <w:tr w14:paraId="11B4E2AD">
        <w:trPr>
          <w:trHeight w:val="0" w:hRule="atLeast"/>
          <w:jc w:val="center"/>
        </w:trPr>
        <w:tc>
          <w:tcPr>
            <w:tcW w:w="1585" w:type="dxa"/>
            <w:tcBorders>
              <w:top w:val="nil"/>
              <w:left w:val="nil"/>
              <w:bottom w:val="single" w:color="auto" w:sz="12" w:space="0"/>
              <w:right w:val="nil"/>
            </w:tcBorders>
            <w:shd w:val="clear" w:color="auto" w:fill="auto"/>
            <w:vAlign w:val="center"/>
          </w:tcPr>
          <w:p w14:paraId="4E127C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single" w:color="auto" w:sz="12" w:space="0"/>
              <w:right w:val="nil"/>
            </w:tcBorders>
            <w:shd w:val="clear" w:color="auto" w:fill="auto"/>
            <w:vAlign w:val="center"/>
          </w:tcPr>
          <w:p w14:paraId="2031E2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center"/>
          </w:tcPr>
          <w:p w14:paraId="7D8F1F3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-28.95%</w:t>
            </w:r>
          </w:p>
        </w:tc>
        <w:tc>
          <w:tcPr>
            <w:tcW w:w="1055" w:type="dxa"/>
            <w:tcBorders>
              <w:top w:val="nil"/>
              <w:left w:val="nil"/>
              <w:bottom w:val="single" w:color="auto" w:sz="12" w:space="0"/>
              <w:right w:val="nil"/>
            </w:tcBorders>
            <w:shd w:val="clear" w:color="auto" w:fill="auto"/>
            <w:vAlign w:val="center"/>
          </w:tcPr>
          <w:p w14:paraId="190B6E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1.45%</w:t>
            </w:r>
          </w:p>
        </w:tc>
        <w:tc>
          <w:tcPr>
            <w:tcW w:w="1055" w:type="dxa"/>
            <w:tcBorders>
              <w:top w:val="nil"/>
              <w:left w:val="nil"/>
              <w:bottom w:val="single" w:color="auto" w:sz="12" w:space="0"/>
              <w:right w:val="nil"/>
            </w:tcBorders>
            <w:shd w:val="clear" w:color="auto" w:fill="auto"/>
            <w:vAlign w:val="center"/>
          </w:tcPr>
          <w:p w14:paraId="270C95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-9.72%</w:t>
            </w:r>
          </w:p>
        </w:tc>
        <w:tc>
          <w:tcPr>
            <w:tcW w:w="1055" w:type="dxa"/>
            <w:tcBorders>
              <w:top w:val="nil"/>
              <w:left w:val="nil"/>
              <w:bottom w:val="single" w:color="auto" w:sz="12" w:space="0"/>
              <w:right w:val="nil"/>
            </w:tcBorders>
            <w:shd w:val="clear" w:color="auto" w:fill="auto"/>
            <w:vAlign w:val="center"/>
          </w:tcPr>
          <w:p w14:paraId="73586E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-2.37%</w:t>
            </w:r>
          </w:p>
        </w:tc>
        <w:tc>
          <w:tcPr>
            <w:tcW w:w="1056" w:type="dxa"/>
            <w:tcBorders>
              <w:top w:val="nil"/>
              <w:left w:val="nil"/>
              <w:bottom w:val="single" w:color="auto" w:sz="12" w:space="0"/>
              <w:right w:val="nil"/>
            </w:tcBorders>
            <w:shd w:val="clear" w:color="auto" w:fill="auto"/>
            <w:vAlign w:val="center"/>
          </w:tcPr>
          <w:p w14:paraId="74A92C7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-0.58%</w:t>
            </w:r>
          </w:p>
        </w:tc>
      </w:tr>
    </w:tbl>
    <w:p w14:paraId="2762DD2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从上述分析和图5-3的整体趋势变化可知，销售净利率在不同企业之间呈现出明显差异，其中巨人网络长期维持较高水平，说明其收入向利润的转化效率显著强于其他样本企业；世纪天鸿和佳讯飞鸿处于中低位但相对稳定，表现出一定的盈利韧性；方直科技净利率水平较高，但年度波动较为明显；而天地在线与思美传媒则在样本期内出现明显下降甚至转负的情况，说明其收入扩张并未有效转化为利润增长。也就是说，样本企业之间盈利能力的差异，首先就体现在销售净利率这一环节。</w:t>
      </w:r>
    </w:p>
    <w:p w14:paraId="3DDBA6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100965</wp:posOffset>
            </wp:positionH>
            <wp:positionV relativeFrom="paragraph">
              <wp:posOffset>274320</wp:posOffset>
            </wp:positionV>
            <wp:extent cx="5269865" cy="2475230"/>
            <wp:effectExtent l="6350" t="6350" r="6985" b="7620"/>
            <wp:wrapTopAndBottom/>
            <wp:docPr id="2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p>
    <w:p w14:paraId="073F21B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图5-3 典型样本企业销售净利率变化趋势图</w:t>
      </w:r>
    </w:p>
    <w:p w14:paraId="104425B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5.2.1.1 AI独立产品型企业销售净利率分析</w:t>
      </w:r>
    </w:p>
    <w:p w14:paraId="140C08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方直科技</w:t>
      </w:r>
    </w:p>
    <w:p w14:paraId="597A56F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方直科技的销售净利率分别为0.2544、0.2037、0.2165、0.3133和0.188，整体呈现出波动较大的特征。其中2023年销售净利率达到31.33%的阶段性高点，而2024年则回落至18.80%。进一步拆解可以看到，公司同期毛利率由64.30%上升至82.84%，营业成本率则由35.71%持续下降至17.16%，说明其产品本身的盈利空间实际上在不断改善。从产品盈利基础看，方直科技并不存在毛利不足的问题，相反，其教育数字化和AI教育产品的高附加值使其拥有较强的毛利能力。</w:t>
      </w:r>
    </w:p>
    <w:p w14:paraId="41AD62F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问题主要出现在费用端，表5-7列示了方直科技2020—2024年的主要期间费用率变化情况，公司销售费用率由2020年的14.03%上升至2024年的36.05%，五年累计提升超过22个百分点，是费用结构中变化最为明显的部分；管理费用率整体维持在11%—15%之间，波动幅度相对较小；研发费用率则长期维持在较高水平，2021年甚至达到30.23%。相比之下，公司财务费用率长期为负，对利润影响相对有限。</w:t>
      </w:r>
    </w:p>
    <w:p w14:paraId="09CA03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也就是说，方直科技并不是由于产品卖不出利润，而是由于为了推广教育AI产品和维持技术迭代，需要承担较高的市场与研发投入，导致高毛利并没有完全转化为高净利率。这一现象与AI教育行业的商业化特征相吻合。教育部关于人工智能赋能教育行动的公开信息显示，当前AI教育应用正处于由试点走向系统化推广的阶段，产品落地需要经历课程适配、学校试用、区域推广和持续迭代等过程</w:t>
      </w:r>
      <w:r>
        <w:rPr>
          <w:rFonts w:hint="default" w:ascii="宋体" w:hAnsi="宋体" w:eastAsia="宋体" w:cs="Times New Roman"/>
          <w:b w:val="0"/>
          <w:sz w:val="24"/>
          <w:szCs w:val="24"/>
          <w:vertAlign w:val="superscript"/>
        </w:rPr>
        <w:t>[46]</w:t>
      </w:r>
      <w:r>
        <w:rPr>
          <w:rFonts w:hint="default" w:ascii="宋体" w:hAnsi="宋体" w:eastAsia="宋体" w:cs="Times New Roman"/>
          <w:b w:val="0"/>
          <w:sz w:val="24"/>
          <w:szCs w:val="24"/>
        </w:rPr>
        <w:t>。对方直科技而言，正是这种高附加值产品、较长推广周期和持续研发投入的组合，导致其销售净利率虽然整体较高，但难以保持持续上升。</w:t>
      </w:r>
    </w:p>
    <w:p w14:paraId="3426E71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表5-7 方直科技期间费用率变化表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5779535">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596DAA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6B44C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1A83C5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0FF5C22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B28E8F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6B7EFC48">
        <w:trPr>
          <w:trHeight w:val="0" w:hRule="atLeast"/>
          <w:jc w:val="center"/>
        </w:trPr>
        <w:tc>
          <w:tcPr>
            <w:tcW w:w="943" w:type="dxa"/>
            <w:tcBorders>
              <w:top w:val="single" w:color="auto" w:sz="4" w:space="0"/>
              <w:left w:val="nil"/>
              <w:bottom w:val="nil"/>
              <w:right w:val="nil"/>
            </w:tcBorders>
            <w:shd w:val="clear" w:color="auto" w:fill="auto"/>
            <w:vAlign w:val="center"/>
          </w:tcPr>
          <w:p w14:paraId="2FFDDF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61A2CB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14.03%</w:t>
            </w:r>
          </w:p>
        </w:tc>
        <w:tc>
          <w:tcPr>
            <w:tcW w:w="1894" w:type="dxa"/>
            <w:tcBorders>
              <w:top w:val="single" w:color="auto" w:sz="4" w:space="0"/>
              <w:left w:val="nil"/>
              <w:bottom w:val="nil"/>
              <w:right w:val="nil"/>
            </w:tcBorders>
            <w:shd w:val="clear" w:color="auto" w:fill="auto"/>
            <w:vAlign w:val="center"/>
          </w:tcPr>
          <w:p w14:paraId="3F6CF2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12.96%</w:t>
            </w:r>
          </w:p>
        </w:tc>
        <w:tc>
          <w:tcPr>
            <w:tcW w:w="1894" w:type="dxa"/>
            <w:tcBorders>
              <w:top w:val="single" w:color="auto" w:sz="4" w:space="0"/>
              <w:left w:val="nil"/>
              <w:bottom w:val="nil"/>
              <w:right w:val="nil"/>
            </w:tcBorders>
            <w:shd w:val="clear" w:color="auto" w:fill="auto"/>
            <w:vAlign w:val="center"/>
          </w:tcPr>
          <w:p w14:paraId="7F872A0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-5.25%</w:t>
            </w:r>
          </w:p>
        </w:tc>
        <w:tc>
          <w:tcPr>
            <w:tcW w:w="1894" w:type="dxa"/>
            <w:tcBorders>
              <w:top w:val="single" w:color="auto" w:sz="4" w:space="0"/>
              <w:left w:val="nil"/>
              <w:bottom w:val="nil"/>
              <w:right w:val="nil"/>
            </w:tcBorders>
            <w:shd w:val="clear" w:color="auto" w:fill="auto"/>
            <w:vAlign w:val="center"/>
          </w:tcPr>
          <w:p w14:paraId="15B1D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22.00%</w:t>
            </w:r>
          </w:p>
        </w:tc>
      </w:tr>
      <w:tr w14:paraId="06DC5C6F">
        <w:trPr>
          <w:trHeight w:val="0" w:hRule="atLeast"/>
          <w:jc w:val="center"/>
        </w:trPr>
        <w:tc>
          <w:tcPr>
            <w:tcW w:w="943" w:type="dxa"/>
            <w:tcBorders>
              <w:top w:val="nil"/>
              <w:left w:val="nil"/>
              <w:bottom w:val="nil"/>
              <w:right w:val="nil"/>
            </w:tcBorders>
            <w:shd w:val="clear" w:color="auto" w:fill="auto"/>
            <w:vAlign w:val="center"/>
          </w:tcPr>
          <w:p w14:paraId="5B63B7C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747668C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15.79%</w:t>
            </w:r>
          </w:p>
        </w:tc>
        <w:tc>
          <w:tcPr>
            <w:tcW w:w="1894" w:type="dxa"/>
            <w:tcBorders>
              <w:top w:val="nil"/>
              <w:left w:val="nil"/>
              <w:bottom w:val="nil"/>
              <w:right w:val="nil"/>
            </w:tcBorders>
            <w:shd w:val="clear" w:color="auto" w:fill="auto"/>
            <w:vAlign w:val="center"/>
          </w:tcPr>
          <w:p w14:paraId="12F56B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13.34%</w:t>
            </w:r>
          </w:p>
        </w:tc>
        <w:tc>
          <w:tcPr>
            <w:tcW w:w="1894" w:type="dxa"/>
            <w:tcBorders>
              <w:top w:val="nil"/>
              <w:left w:val="nil"/>
              <w:bottom w:val="nil"/>
              <w:right w:val="nil"/>
            </w:tcBorders>
            <w:shd w:val="clear" w:color="auto" w:fill="auto"/>
            <w:vAlign w:val="center"/>
          </w:tcPr>
          <w:p w14:paraId="2DC472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-6.11%</w:t>
            </w:r>
          </w:p>
        </w:tc>
        <w:tc>
          <w:tcPr>
            <w:tcW w:w="1894" w:type="dxa"/>
            <w:tcBorders>
              <w:top w:val="nil"/>
              <w:left w:val="nil"/>
              <w:bottom w:val="nil"/>
              <w:right w:val="nil"/>
            </w:tcBorders>
            <w:shd w:val="clear" w:color="auto" w:fill="auto"/>
            <w:vAlign w:val="center"/>
          </w:tcPr>
          <w:p w14:paraId="21E6BD7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30.23%</w:t>
            </w:r>
          </w:p>
        </w:tc>
      </w:tr>
      <w:tr w14:paraId="1591D8CB">
        <w:trPr>
          <w:trHeight w:val="0" w:hRule="atLeast"/>
          <w:jc w:val="center"/>
        </w:trPr>
        <w:tc>
          <w:tcPr>
            <w:tcW w:w="943" w:type="dxa"/>
            <w:tcBorders>
              <w:top w:val="nil"/>
              <w:left w:val="nil"/>
              <w:bottom w:val="nil"/>
              <w:right w:val="nil"/>
            </w:tcBorders>
            <w:shd w:val="clear" w:color="auto" w:fill="auto"/>
            <w:vAlign w:val="center"/>
          </w:tcPr>
          <w:p w14:paraId="4376514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2AF405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23.42%</w:t>
            </w:r>
          </w:p>
        </w:tc>
        <w:tc>
          <w:tcPr>
            <w:tcW w:w="1894" w:type="dxa"/>
            <w:tcBorders>
              <w:top w:val="nil"/>
              <w:left w:val="nil"/>
              <w:bottom w:val="nil"/>
              <w:right w:val="nil"/>
            </w:tcBorders>
            <w:shd w:val="clear" w:color="auto" w:fill="auto"/>
            <w:vAlign w:val="center"/>
          </w:tcPr>
          <w:p w14:paraId="23D7DC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15.00%</w:t>
            </w:r>
          </w:p>
        </w:tc>
        <w:tc>
          <w:tcPr>
            <w:tcW w:w="1894" w:type="dxa"/>
            <w:tcBorders>
              <w:top w:val="nil"/>
              <w:left w:val="nil"/>
              <w:bottom w:val="nil"/>
              <w:right w:val="nil"/>
            </w:tcBorders>
            <w:shd w:val="clear" w:color="auto" w:fill="auto"/>
            <w:vAlign w:val="center"/>
          </w:tcPr>
          <w:p w14:paraId="0C0B892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-3.23%</w:t>
            </w:r>
          </w:p>
        </w:tc>
        <w:tc>
          <w:tcPr>
            <w:tcW w:w="1894" w:type="dxa"/>
            <w:tcBorders>
              <w:top w:val="nil"/>
              <w:left w:val="nil"/>
              <w:bottom w:val="nil"/>
              <w:right w:val="nil"/>
            </w:tcBorders>
            <w:shd w:val="clear" w:color="auto" w:fill="auto"/>
            <w:vAlign w:val="center"/>
          </w:tcPr>
          <w:p w14:paraId="7FE1B9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18.52%</w:t>
            </w:r>
          </w:p>
        </w:tc>
      </w:tr>
      <w:tr w14:paraId="1AFD518C">
        <w:trPr>
          <w:trHeight w:val="0" w:hRule="atLeast"/>
          <w:jc w:val="center"/>
        </w:trPr>
        <w:tc>
          <w:tcPr>
            <w:tcW w:w="943" w:type="dxa"/>
            <w:tcBorders>
              <w:top w:val="nil"/>
              <w:left w:val="nil"/>
              <w:bottom w:val="nil"/>
              <w:right w:val="nil"/>
            </w:tcBorders>
            <w:shd w:val="clear" w:color="auto" w:fill="auto"/>
            <w:vAlign w:val="center"/>
          </w:tcPr>
          <w:p w14:paraId="0BA31C1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66EE09A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25.85%</w:t>
            </w:r>
          </w:p>
        </w:tc>
        <w:tc>
          <w:tcPr>
            <w:tcW w:w="1894" w:type="dxa"/>
            <w:tcBorders>
              <w:top w:val="nil"/>
              <w:left w:val="nil"/>
              <w:bottom w:val="nil"/>
              <w:right w:val="nil"/>
            </w:tcBorders>
            <w:shd w:val="clear" w:color="auto" w:fill="auto"/>
            <w:vAlign w:val="center"/>
          </w:tcPr>
          <w:p w14:paraId="784FF3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11.11%</w:t>
            </w:r>
          </w:p>
        </w:tc>
        <w:tc>
          <w:tcPr>
            <w:tcW w:w="1894" w:type="dxa"/>
            <w:tcBorders>
              <w:top w:val="nil"/>
              <w:left w:val="nil"/>
              <w:bottom w:val="nil"/>
              <w:right w:val="nil"/>
            </w:tcBorders>
            <w:shd w:val="clear" w:color="auto" w:fill="auto"/>
            <w:vAlign w:val="center"/>
          </w:tcPr>
          <w:p w14:paraId="16AA4A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-2.69%</w:t>
            </w:r>
          </w:p>
        </w:tc>
        <w:tc>
          <w:tcPr>
            <w:tcW w:w="1894" w:type="dxa"/>
            <w:tcBorders>
              <w:top w:val="nil"/>
              <w:left w:val="nil"/>
              <w:bottom w:val="nil"/>
              <w:right w:val="nil"/>
            </w:tcBorders>
            <w:shd w:val="clear" w:color="auto" w:fill="auto"/>
            <w:vAlign w:val="center"/>
          </w:tcPr>
          <w:p w14:paraId="1A194F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18.60%</w:t>
            </w:r>
          </w:p>
        </w:tc>
      </w:tr>
      <w:tr w14:paraId="7D6917DE">
        <w:trPr>
          <w:trHeight w:val="0" w:hRule="atLeast"/>
          <w:jc w:val="center"/>
        </w:trPr>
        <w:tc>
          <w:tcPr>
            <w:tcW w:w="943" w:type="dxa"/>
            <w:tcBorders>
              <w:top w:val="nil"/>
              <w:left w:val="nil"/>
              <w:bottom w:val="single" w:color="auto" w:sz="12" w:space="0"/>
              <w:right w:val="nil"/>
            </w:tcBorders>
            <w:shd w:val="clear" w:color="auto" w:fill="auto"/>
            <w:vAlign w:val="center"/>
          </w:tcPr>
          <w:p w14:paraId="4F19EF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CFFB9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36.05%</w:t>
            </w:r>
          </w:p>
        </w:tc>
        <w:tc>
          <w:tcPr>
            <w:tcW w:w="1894" w:type="dxa"/>
            <w:tcBorders>
              <w:top w:val="nil"/>
              <w:left w:val="nil"/>
              <w:bottom w:val="single" w:color="auto" w:sz="12" w:space="0"/>
              <w:right w:val="nil"/>
            </w:tcBorders>
            <w:shd w:val="clear" w:color="auto" w:fill="auto"/>
            <w:vAlign w:val="center"/>
          </w:tcPr>
          <w:p w14:paraId="0FD315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13.83%</w:t>
            </w:r>
          </w:p>
        </w:tc>
        <w:tc>
          <w:tcPr>
            <w:tcW w:w="1894" w:type="dxa"/>
            <w:tcBorders>
              <w:top w:val="nil"/>
              <w:left w:val="nil"/>
              <w:bottom w:val="single" w:color="auto" w:sz="12" w:space="0"/>
              <w:right w:val="nil"/>
            </w:tcBorders>
            <w:shd w:val="clear" w:color="auto" w:fill="auto"/>
            <w:vAlign w:val="center"/>
          </w:tcPr>
          <w:p w14:paraId="0AB3AB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-4.26%</w:t>
            </w:r>
          </w:p>
        </w:tc>
        <w:tc>
          <w:tcPr>
            <w:tcW w:w="1894" w:type="dxa"/>
            <w:tcBorders>
              <w:top w:val="nil"/>
              <w:left w:val="nil"/>
              <w:bottom w:val="single" w:color="auto" w:sz="12" w:space="0"/>
              <w:right w:val="nil"/>
            </w:tcBorders>
            <w:shd w:val="clear" w:color="auto" w:fill="auto"/>
            <w:vAlign w:val="center"/>
          </w:tcPr>
          <w:p w14:paraId="032DB3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22.99%</w:t>
            </w:r>
          </w:p>
        </w:tc>
      </w:tr>
    </w:tbl>
    <w:p w14:paraId="6D48B78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5D85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2</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佳讯飞鸿</w:t>
      </w:r>
    </w:p>
    <w:p w14:paraId="70091E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2020—2024年，佳讯飞鸿的销售净利率分别为0.1215、0.1145、0.0533、0.0565和0.0597，整体呈现出明显下降后趋于稳定的趋势。其中，2020年和2021年销售净利率均在11%以上，而2022年下降至5.33%，随后两年基本维持在6%左右，说明其主营业务盈利转化能力偏弱，但尚未失去稳定性。从成本结构看，公司毛利率在38.10%—44.68%之间波动，营业成本率在55.32%—61.90%之间，整体并未发生断崖式恶化，说明其利润率</w:t>
      </w:r>
      <w:r>
        <w:rPr>
          <w:rFonts w:hint="eastAsia" w:ascii="宋体" w:hAnsi="宋体" w:eastAsia="宋体" w:cs="Times New Roman"/>
          <w:b w:val="0"/>
          <w:sz w:val="24"/>
          <w:szCs w:val="24"/>
          <w:lang w:val="en-US" w:eastAsia="zh-CN"/>
        </w:rPr>
        <w:t>降低</w:t>
      </w:r>
      <w:r>
        <w:rPr>
          <w:rFonts w:hint="default" w:ascii="宋体" w:hAnsi="宋体" w:eastAsia="宋体" w:cs="Times New Roman"/>
          <w:b w:val="0"/>
          <w:sz w:val="24"/>
          <w:szCs w:val="24"/>
        </w:rPr>
        <w:t>并非主要来自产品附加值突然下降。真正值得关注的是费用结构</w:t>
      </w:r>
      <w:r>
        <w:rPr>
          <w:rFonts w:hint="eastAsia" w:ascii="宋体" w:hAnsi="宋体" w:eastAsia="宋体" w:cs="Times New Roman"/>
          <w:b w:val="0"/>
          <w:sz w:val="24"/>
          <w:szCs w:val="24"/>
          <w:lang w:eastAsia="zh-CN"/>
        </w:rPr>
        <w:t>。</w:t>
      </w:r>
    </w:p>
    <w:p w14:paraId="41B9213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t>表5-8为佳讯飞鸿2020—2024年的主要期间费用率变化情况，公司销售费用率整体较为稳定，基本维持在10%—11%之间；管理费用率在8%—10%区间波动；财务费用率整体水平较低，对企业利润影响相对有限。相比之下，研发费用率呈现出持续上升趋势，由2020年的9.20%上升至2024年的12.46%，五年累计提高超过3个百分点。</w:t>
      </w:r>
    </w:p>
    <w:p w14:paraId="13A2BDD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表5-8 佳讯飞鸿期间费用率变化表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50FD3D97">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6C6838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8418D0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7B9A963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540E1FF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A208CB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24537CB7">
        <w:trPr>
          <w:trHeight w:val="0" w:hRule="atLeast"/>
          <w:jc w:val="center"/>
        </w:trPr>
        <w:tc>
          <w:tcPr>
            <w:tcW w:w="943" w:type="dxa"/>
            <w:tcBorders>
              <w:top w:val="single" w:color="auto" w:sz="4" w:space="0"/>
              <w:left w:val="nil"/>
              <w:bottom w:val="nil"/>
              <w:right w:val="nil"/>
            </w:tcBorders>
            <w:shd w:val="clear" w:color="auto" w:fill="auto"/>
            <w:vAlign w:val="center"/>
          </w:tcPr>
          <w:p w14:paraId="62B7FF6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4533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11.19%</w:t>
            </w:r>
          </w:p>
        </w:tc>
        <w:tc>
          <w:tcPr>
            <w:tcW w:w="1894" w:type="dxa"/>
            <w:tcBorders>
              <w:top w:val="single" w:color="auto" w:sz="4" w:space="0"/>
              <w:left w:val="nil"/>
              <w:bottom w:val="nil"/>
              <w:right w:val="nil"/>
            </w:tcBorders>
            <w:shd w:val="clear" w:color="auto" w:fill="auto"/>
            <w:vAlign w:val="center"/>
          </w:tcPr>
          <w:p w14:paraId="602F68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9.20%</w:t>
            </w:r>
          </w:p>
        </w:tc>
        <w:tc>
          <w:tcPr>
            <w:tcW w:w="1894" w:type="dxa"/>
            <w:tcBorders>
              <w:top w:val="single" w:color="auto" w:sz="4" w:space="0"/>
              <w:left w:val="nil"/>
              <w:bottom w:val="nil"/>
              <w:right w:val="nil"/>
            </w:tcBorders>
            <w:shd w:val="clear" w:color="auto" w:fill="auto"/>
            <w:vAlign w:val="center"/>
          </w:tcPr>
          <w:p w14:paraId="2C69C9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1.95%</w:t>
            </w:r>
          </w:p>
        </w:tc>
        <w:tc>
          <w:tcPr>
            <w:tcW w:w="1894" w:type="dxa"/>
            <w:tcBorders>
              <w:top w:val="single" w:color="auto" w:sz="4" w:space="0"/>
              <w:left w:val="nil"/>
              <w:bottom w:val="nil"/>
              <w:right w:val="nil"/>
            </w:tcBorders>
            <w:shd w:val="clear" w:color="auto" w:fill="auto"/>
            <w:vAlign w:val="center"/>
          </w:tcPr>
          <w:p w14:paraId="6035F4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9.20%</w:t>
            </w:r>
          </w:p>
        </w:tc>
      </w:tr>
      <w:tr w14:paraId="32521756">
        <w:trPr>
          <w:trHeight w:val="0" w:hRule="atLeast"/>
          <w:jc w:val="center"/>
        </w:trPr>
        <w:tc>
          <w:tcPr>
            <w:tcW w:w="943" w:type="dxa"/>
            <w:tcBorders>
              <w:top w:val="nil"/>
              <w:left w:val="nil"/>
              <w:bottom w:val="nil"/>
              <w:right w:val="nil"/>
            </w:tcBorders>
            <w:shd w:val="clear" w:color="auto" w:fill="auto"/>
            <w:vAlign w:val="center"/>
          </w:tcPr>
          <w:p w14:paraId="207FEBB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69D2F2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11.63%</w:t>
            </w:r>
          </w:p>
        </w:tc>
        <w:tc>
          <w:tcPr>
            <w:tcW w:w="1894" w:type="dxa"/>
            <w:tcBorders>
              <w:top w:val="nil"/>
              <w:left w:val="nil"/>
              <w:bottom w:val="nil"/>
              <w:right w:val="nil"/>
            </w:tcBorders>
            <w:shd w:val="clear" w:color="auto" w:fill="auto"/>
            <w:vAlign w:val="center"/>
          </w:tcPr>
          <w:p w14:paraId="58831F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8.69%</w:t>
            </w:r>
          </w:p>
        </w:tc>
        <w:tc>
          <w:tcPr>
            <w:tcW w:w="1894" w:type="dxa"/>
            <w:tcBorders>
              <w:top w:val="nil"/>
              <w:left w:val="nil"/>
              <w:bottom w:val="nil"/>
              <w:right w:val="nil"/>
            </w:tcBorders>
            <w:shd w:val="clear" w:color="auto" w:fill="auto"/>
            <w:vAlign w:val="center"/>
          </w:tcPr>
          <w:p w14:paraId="1FC893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894" w:type="dxa"/>
            <w:tcBorders>
              <w:top w:val="nil"/>
              <w:left w:val="nil"/>
              <w:bottom w:val="nil"/>
              <w:right w:val="nil"/>
            </w:tcBorders>
            <w:shd w:val="clear" w:color="auto" w:fill="auto"/>
            <w:vAlign w:val="center"/>
          </w:tcPr>
          <w:p w14:paraId="01D33E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10.69%</w:t>
            </w:r>
          </w:p>
        </w:tc>
      </w:tr>
      <w:tr w14:paraId="6C496F32">
        <w:trPr>
          <w:trHeight w:val="0" w:hRule="atLeast"/>
          <w:jc w:val="center"/>
        </w:trPr>
        <w:tc>
          <w:tcPr>
            <w:tcW w:w="943" w:type="dxa"/>
            <w:tcBorders>
              <w:top w:val="nil"/>
              <w:left w:val="nil"/>
              <w:bottom w:val="nil"/>
              <w:right w:val="nil"/>
            </w:tcBorders>
            <w:shd w:val="clear" w:color="auto" w:fill="auto"/>
            <w:vAlign w:val="center"/>
          </w:tcPr>
          <w:p w14:paraId="246822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45BD3ED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10.55%</w:t>
            </w:r>
          </w:p>
        </w:tc>
        <w:tc>
          <w:tcPr>
            <w:tcW w:w="1894" w:type="dxa"/>
            <w:tcBorders>
              <w:top w:val="nil"/>
              <w:left w:val="nil"/>
              <w:bottom w:val="nil"/>
              <w:right w:val="nil"/>
            </w:tcBorders>
            <w:shd w:val="clear" w:color="auto" w:fill="auto"/>
            <w:vAlign w:val="center"/>
          </w:tcPr>
          <w:p w14:paraId="207DE4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8.86%</w:t>
            </w:r>
          </w:p>
        </w:tc>
        <w:tc>
          <w:tcPr>
            <w:tcW w:w="1894" w:type="dxa"/>
            <w:tcBorders>
              <w:top w:val="nil"/>
              <w:left w:val="nil"/>
              <w:bottom w:val="nil"/>
              <w:right w:val="nil"/>
            </w:tcBorders>
            <w:shd w:val="clear" w:color="auto" w:fill="auto"/>
            <w:vAlign w:val="center"/>
          </w:tcPr>
          <w:p w14:paraId="06CC74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0.60%</w:t>
            </w:r>
          </w:p>
        </w:tc>
        <w:tc>
          <w:tcPr>
            <w:tcW w:w="1894" w:type="dxa"/>
            <w:tcBorders>
              <w:top w:val="nil"/>
              <w:left w:val="nil"/>
              <w:bottom w:val="nil"/>
              <w:right w:val="nil"/>
            </w:tcBorders>
            <w:shd w:val="clear" w:color="auto" w:fill="auto"/>
            <w:vAlign w:val="center"/>
          </w:tcPr>
          <w:p w14:paraId="1B31ED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10.84%</w:t>
            </w:r>
          </w:p>
        </w:tc>
      </w:tr>
      <w:tr w14:paraId="6FCC2872">
        <w:trPr>
          <w:trHeight w:val="0" w:hRule="atLeast"/>
          <w:jc w:val="center"/>
        </w:trPr>
        <w:tc>
          <w:tcPr>
            <w:tcW w:w="943" w:type="dxa"/>
            <w:tcBorders>
              <w:top w:val="nil"/>
              <w:left w:val="nil"/>
              <w:bottom w:val="nil"/>
              <w:right w:val="nil"/>
            </w:tcBorders>
            <w:shd w:val="clear" w:color="auto" w:fill="auto"/>
            <w:vAlign w:val="center"/>
          </w:tcPr>
          <w:p w14:paraId="1F3B0C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2433874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11.08%</w:t>
            </w:r>
          </w:p>
        </w:tc>
        <w:tc>
          <w:tcPr>
            <w:tcW w:w="1894" w:type="dxa"/>
            <w:tcBorders>
              <w:top w:val="nil"/>
              <w:left w:val="nil"/>
              <w:bottom w:val="nil"/>
              <w:right w:val="nil"/>
            </w:tcBorders>
            <w:shd w:val="clear" w:color="auto" w:fill="auto"/>
            <w:vAlign w:val="center"/>
          </w:tcPr>
          <w:p w14:paraId="1B79544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10.36%</w:t>
            </w:r>
          </w:p>
        </w:tc>
        <w:tc>
          <w:tcPr>
            <w:tcW w:w="1894" w:type="dxa"/>
            <w:tcBorders>
              <w:top w:val="nil"/>
              <w:left w:val="nil"/>
              <w:bottom w:val="nil"/>
              <w:right w:val="nil"/>
            </w:tcBorders>
            <w:shd w:val="clear" w:color="auto" w:fill="auto"/>
            <w:vAlign w:val="center"/>
          </w:tcPr>
          <w:p w14:paraId="55A542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0.43%</w:t>
            </w:r>
          </w:p>
        </w:tc>
        <w:tc>
          <w:tcPr>
            <w:tcW w:w="1894" w:type="dxa"/>
            <w:tcBorders>
              <w:top w:val="nil"/>
              <w:left w:val="nil"/>
              <w:bottom w:val="nil"/>
              <w:right w:val="nil"/>
            </w:tcBorders>
            <w:shd w:val="clear" w:color="auto" w:fill="auto"/>
            <w:vAlign w:val="center"/>
          </w:tcPr>
          <w:p w14:paraId="5E5A8D9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12.10%</w:t>
            </w:r>
          </w:p>
        </w:tc>
      </w:tr>
      <w:tr w14:paraId="2EA85FE5">
        <w:trPr>
          <w:trHeight w:val="0" w:hRule="atLeast"/>
          <w:jc w:val="center"/>
        </w:trPr>
        <w:tc>
          <w:tcPr>
            <w:tcW w:w="943" w:type="dxa"/>
            <w:tcBorders>
              <w:top w:val="nil"/>
              <w:left w:val="nil"/>
              <w:bottom w:val="single" w:color="auto" w:sz="12" w:space="0"/>
              <w:right w:val="nil"/>
            </w:tcBorders>
            <w:shd w:val="clear" w:color="auto" w:fill="auto"/>
            <w:vAlign w:val="center"/>
          </w:tcPr>
          <w:p w14:paraId="522986A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42C3D3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10.51%</w:t>
            </w:r>
          </w:p>
        </w:tc>
        <w:tc>
          <w:tcPr>
            <w:tcW w:w="1894" w:type="dxa"/>
            <w:tcBorders>
              <w:top w:val="nil"/>
              <w:left w:val="nil"/>
              <w:bottom w:val="single" w:color="auto" w:sz="12" w:space="0"/>
              <w:right w:val="nil"/>
            </w:tcBorders>
            <w:shd w:val="clear" w:color="auto" w:fill="auto"/>
            <w:vAlign w:val="center"/>
          </w:tcPr>
          <w:p w14:paraId="3D3FBD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9.92%</w:t>
            </w:r>
          </w:p>
        </w:tc>
        <w:tc>
          <w:tcPr>
            <w:tcW w:w="1894" w:type="dxa"/>
            <w:tcBorders>
              <w:top w:val="nil"/>
              <w:left w:val="nil"/>
              <w:bottom w:val="single" w:color="auto" w:sz="12" w:space="0"/>
              <w:right w:val="nil"/>
            </w:tcBorders>
            <w:shd w:val="clear" w:color="auto" w:fill="auto"/>
            <w:vAlign w:val="center"/>
          </w:tcPr>
          <w:p w14:paraId="7E881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0.63%</w:t>
            </w:r>
          </w:p>
        </w:tc>
        <w:tc>
          <w:tcPr>
            <w:tcW w:w="1894" w:type="dxa"/>
            <w:tcBorders>
              <w:top w:val="nil"/>
              <w:left w:val="nil"/>
              <w:bottom w:val="single" w:color="auto" w:sz="12" w:space="0"/>
              <w:right w:val="nil"/>
            </w:tcBorders>
            <w:shd w:val="clear" w:color="auto" w:fill="auto"/>
            <w:vAlign w:val="center"/>
          </w:tcPr>
          <w:p w14:paraId="4CDB2C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12.46%</w:t>
            </w:r>
          </w:p>
        </w:tc>
      </w:tr>
    </w:tbl>
    <w:p w14:paraId="00D147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BBEF2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费用结构变化来看，研发费用率的持续提升是影响企业销售净利率的重要因素。与传统软件企业不同，佳讯飞鸿主要面向轨道交通、政府及能源等行业提供智能调度系统和行业智能化解决方案。这类行业应用通常需要持续进行技术研发和系统升级，以适应不同应用场景的需求，因此企业需要长期保持较高的研发投入水平。</w:t>
      </w:r>
      <w:r>
        <w:rPr>
          <w:rFonts w:hint="eastAsia" w:ascii="宋体" w:hAnsi="宋体" w:eastAsia="宋体" w:cs="Times New Roman"/>
          <w:b w:val="0"/>
          <w:sz w:val="24"/>
          <w:szCs w:val="24"/>
          <w:lang w:val="en-US" w:eastAsia="zh-CN"/>
        </w:rPr>
        <w:t>同时，</w:t>
      </w:r>
      <w:r>
        <w:rPr>
          <w:rFonts w:hint="default" w:ascii="宋体" w:hAnsi="宋体" w:eastAsia="宋体" w:cs="Times New Roman"/>
          <w:b w:val="0"/>
          <w:sz w:val="24"/>
          <w:szCs w:val="24"/>
        </w:rPr>
        <w:t>轨道交通、民航和政府等场景对系统稳定性、安全性和定制化适配要求较高，企业即使拥有较强技术能力，也需要在实施、调试、联动和后续运维环节持续投入。这种业务模式决定了佳讯飞鸿的利润率更容易被实施成本和研发投入压缩。其销售净利率之所以在2022年后难以恢复到2020—2021年水平，并不是因为公司失去了场景优势，而是因为行业解决方案类业务本身具有收入形成不慢、利润释放偏慢的结构特征。换言之，佳讯飞鸿属于典型的高壁垒、强定制、利润释放受成本端约束的AI独立产品型企业。</w:t>
      </w:r>
    </w:p>
    <w:p w14:paraId="5EE8792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天地在线</w:t>
      </w:r>
    </w:p>
    <w:p w14:paraId="67DDA3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天地在线的销售净利率分别为0.0321、0.0137、0.0016、-0.0141和-0.0500，整体呈现出持续下降趋势，并在2023年以后转为负值，是六家样本中恶化最明显的企业之一。从盈利链条看，其问题不仅在于毛利率低，而且在于费用端不断上升。公司毛利率长期维持在3.86%—7.59%的低位，营业成本率则常年高于92%，说明传统业务本身的利润空间极为有限。</w:t>
      </w:r>
      <w:r>
        <w:rPr>
          <w:rFonts w:hint="eastAsia" w:ascii="宋体" w:hAnsi="宋体" w:eastAsia="宋体" w:cs="Times New Roman"/>
          <w:b w:val="0"/>
          <w:sz w:val="24"/>
          <w:szCs w:val="24"/>
          <w:lang w:val="en-US" w:eastAsia="zh-CN"/>
        </w:rPr>
        <w:t>同时，其费用端也在不断缩小利润空间。</w:t>
      </w:r>
    </w:p>
    <w:p w14:paraId="11223B9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表5-9 天地在线期间费用率变化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3D157A4">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9925EE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0BF682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65B2A1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76896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9B67B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658C4D14">
        <w:trPr>
          <w:trHeight w:val="0" w:hRule="atLeast"/>
          <w:jc w:val="center"/>
        </w:trPr>
        <w:tc>
          <w:tcPr>
            <w:tcW w:w="943" w:type="dxa"/>
            <w:tcBorders>
              <w:top w:val="single" w:color="auto" w:sz="4" w:space="0"/>
              <w:left w:val="nil"/>
              <w:bottom w:val="nil"/>
              <w:right w:val="nil"/>
            </w:tcBorders>
            <w:shd w:val="clear" w:color="auto" w:fill="auto"/>
            <w:vAlign w:val="center"/>
          </w:tcPr>
          <w:p w14:paraId="747C13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6DC437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w:t>
            </w:r>
          </w:p>
        </w:tc>
        <w:tc>
          <w:tcPr>
            <w:tcW w:w="1894" w:type="dxa"/>
            <w:tcBorders>
              <w:top w:val="single" w:color="auto" w:sz="4" w:space="0"/>
              <w:left w:val="nil"/>
              <w:bottom w:val="nil"/>
              <w:right w:val="nil"/>
            </w:tcBorders>
            <w:shd w:val="clear" w:color="auto" w:fill="auto"/>
            <w:vAlign w:val="center"/>
          </w:tcPr>
          <w:p w14:paraId="724CE5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0.89%</w:t>
            </w:r>
          </w:p>
        </w:tc>
        <w:tc>
          <w:tcPr>
            <w:tcW w:w="1894" w:type="dxa"/>
            <w:tcBorders>
              <w:top w:val="single" w:color="auto" w:sz="4" w:space="0"/>
              <w:left w:val="nil"/>
              <w:bottom w:val="nil"/>
              <w:right w:val="nil"/>
            </w:tcBorders>
            <w:shd w:val="clear" w:color="auto" w:fill="auto"/>
            <w:vAlign w:val="center"/>
          </w:tcPr>
          <w:p w14:paraId="435BBAB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894" w:type="dxa"/>
            <w:tcBorders>
              <w:top w:val="single" w:color="auto" w:sz="4" w:space="0"/>
              <w:left w:val="nil"/>
              <w:bottom w:val="nil"/>
              <w:right w:val="nil"/>
            </w:tcBorders>
            <w:shd w:val="clear" w:color="auto" w:fill="auto"/>
            <w:vAlign w:val="center"/>
          </w:tcPr>
          <w:p w14:paraId="1F5141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w:t>
            </w:r>
          </w:p>
        </w:tc>
      </w:tr>
      <w:tr w14:paraId="5AAAEB00">
        <w:trPr>
          <w:trHeight w:val="0" w:hRule="atLeast"/>
          <w:jc w:val="center"/>
        </w:trPr>
        <w:tc>
          <w:tcPr>
            <w:tcW w:w="943" w:type="dxa"/>
            <w:tcBorders>
              <w:top w:val="nil"/>
              <w:left w:val="nil"/>
              <w:bottom w:val="nil"/>
              <w:right w:val="nil"/>
            </w:tcBorders>
            <w:shd w:val="clear" w:color="auto" w:fill="auto"/>
            <w:vAlign w:val="center"/>
          </w:tcPr>
          <w:p w14:paraId="3CBE0A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04311B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1.68%</w:t>
            </w:r>
          </w:p>
        </w:tc>
        <w:tc>
          <w:tcPr>
            <w:tcW w:w="1894" w:type="dxa"/>
            <w:tcBorders>
              <w:top w:val="nil"/>
              <w:left w:val="nil"/>
              <w:bottom w:val="nil"/>
              <w:right w:val="nil"/>
            </w:tcBorders>
            <w:shd w:val="clear" w:color="auto" w:fill="auto"/>
            <w:vAlign w:val="center"/>
          </w:tcPr>
          <w:p w14:paraId="397A7C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0.82%</w:t>
            </w:r>
          </w:p>
        </w:tc>
        <w:tc>
          <w:tcPr>
            <w:tcW w:w="1894" w:type="dxa"/>
            <w:tcBorders>
              <w:top w:val="nil"/>
              <w:left w:val="nil"/>
              <w:bottom w:val="nil"/>
              <w:right w:val="nil"/>
            </w:tcBorders>
            <w:shd w:val="clear" w:color="auto" w:fill="auto"/>
            <w:vAlign w:val="center"/>
          </w:tcPr>
          <w:p w14:paraId="6DCE9A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-0.10%</w:t>
            </w:r>
          </w:p>
        </w:tc>
        <w:tc>
          <w:tcPr>
            <w:tcW w:w="1894" w:type="dxa"/>
            <w:tcBorders>
              <w:top w:val="nil"/>
              <w:left w:val="nil"/>
              <w:bottom w:val="nil"/>
              <w:right w:val="nil"/>
            </w:tcBorders>
            <w:shd w:val="clear" w:color="auto" w:fill="auto"/>
            <w:vAlign w:val="center"/>
          </w:tcPr>
          <w:p w14:paraId="47A4DC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w:t>
            </w:r>
          </w:p>
        </w:tc>
      </w:tr>
      <w:tr w14:paraId="2C8F0202">
        <w:trPr>
          <w:trHeight w:val="0" w:hRule="atLeast"/>
          <w:jc w:val="center"/>
        </w:trPr>
        <w:tc>
          <w:tcPr>
            <w:tcW w:w="943" w:type="dxa"/>
            <w:tcBorders>
              <w:top w:val="nil"/>
              <w:left w:val="nil"/>
              <w:bottom w:val="nil"/>
              <w:right w:val="nil"/>
            </w:tcBorders>
            <w:shd w:val="clear" w:color="auto" w:fill="auto"/>
            <w:vAlign w:val="center"/>
          </w:tcPr>
          <w:p w14:paraId="3657D25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3FF6395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1.84%</w:t>
            </w:r>
          </w:p>
        </w:tc>
        <w:tc>
          <w:tcPr>
            <w:tcW w:w="1894" w:type="dxa"/>
            <w:tcBorders>
              <w:top w:val="nil"/>
              <w:left w:val="nil"/>
              <w:bottom w:val="nil"/>
              <w:right w:val="nil"/>
            </w:tcBorders>
            <w:shd w:val="clear" w:color="auto" w:fill="auto"/>
            <w:vAlign w:val="center"/>
          </w:tcPr>
          <w:p w14:paraId="4F3912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w:t>
            </w:r>
          </w:p>
        </w:tc>
        <w:tc>
          <w:tcPr>
            <w:tcW w:w="1894" w:type="dxa"/>
            <w:tcBorders>
              <w:top w:val="nil"/>
              <w:left w:val="nil"/>
              <w:bottom w:val="nil"/>
              <w:right w:val="nil"/>
            </w:tcBorders>
            <w:shd w:val="clear" w:color="auto" w:fill="auto"/>
            <w:vAlign w:val="center"/>
          </w:tcPr>
          <w:p w14:paraId="78413F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-0.19%</w:t>
            </w:r>
          </w:p>
        </w:tc>
        <w:tc>
          <w:tcPr>
            <w:tcW w:w="1894" w:type="dxa"/>
            <w:tcBorders>
              <w:top w:val="nil"/>
              <w:left w:val="nil"/>
              <w:bottom w:val="nil"/>
              <w:right w:val="nil"/>
            </w:tcBorders>
            <w:shd w:val="clear" w:color="auto" w:fill="auto"/>
            <w:vAlign w:val="center"/>
          </w:tcPr>
          <w:p w14:paraId="094DA3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1.50%</w:t>
            </w:r>
          </w:p>
        </w:tc>
      </w:tr>
      <w:tr w14:paraId="0B944596">
        <w:trPr>
          <w:trHeight w:val="0" w:hRule="atLeast"/>
          <w:jc w:val="center"/>
        </w:trPr>
        <w:tc>
          <w:tcPr>
            <w:tcW w:w="943" w:type="dxa"/>
            <w:tcBorders>
              <w:top w:val="nil"/>
              <w:left w:val="nil"/>
              <w:bottom w:val="nil"/>
              <w:right w:val="nil"/>
            </w:tcBorders>
            <w:shd w:val="clear" w:color="auto" w:fill="auto"/>
            <w:vAlign w:val="center"/>
          </w:tcPr>
          <w:p w14:paraId="77BB8C2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137B9B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3.19%</w:t>
            </w:r>
          </w:p>
        </w:tc>
        <w:tc>
          <w:tcPr>
            <w:tcW w:w="1894" w:type="dxa"/>
            <w:tcBorders>
              <w:top w:val="nil"/>
              <w:left w:val="nil"/>
              <w:bottom w:val="nil"/>
              <w:right w:val="nil"/>
            </w:tcBorders>
            <w:shd w:val="clear" w:color="auto" w:fill="auto"/>
            <w:vAlign w:val="center"/>
          </w:tcPr>
          <w:p w14:paraId="1B9081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2.10%</w:t>
            </w:r>
          </w:p>
        </w:tc>
        <w:tc>
          <w:tcPr>
            <w:tcW w:w="1894" w:type="dxa"/>
            <w:tcBorders>
              <w:top w:val="nil"/>
              <w:left w:val="nil"/>
              <w:bottom w:val="nil"/>
              <w:right w:val="nil"/>
            </w:tcBorders>
            <w:shd w:val="clear" w:color="auto" w:fill="auto"/>
            <w:vAlign w:val="center"/>
          </w:tcPr>
          <w:p w14:paraId="51B0DBC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-0.28%</w:t>
            </w:r>
          </w:p>
        </w:tc>
        <w:tc>
          <w:tcPr>
            <w:tcW w:w="1894" w:type="dxa"/>
            <w:tcBorders>
              <w:top w:val="nil"/>
              <w:left w:val="nil"/>
              <w:bottom w:val="nil"/>
              <w:right w:val="nil"/>
            </w:tcBorders>
            <w:shd w:val="clear" w:color="auto" w:fill="auto"/>
            <w:vAlign w:val="center"/>
          </w:tcPr>
          <w:p w14:paraId="74C10BC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1.59%</w:t>
            </w:r>
          </w:p>
        </w:tc>
      </w:tr>
      <w:tr w14:paraId="3B12E51D">
        <w:trPr>
          <w:trHeight w:val="0" w:hRule="atLeast"/>
          <w:jc w:val="center"/>
        </w:trPr>
        <w:tc>
          <w:tcPr>
            <w:tcW w:w="943" w:type="dxa"/>
            <w:tcBorders>
              <w:top w:val="nil"/>
              <w:left w:val="nil"/>
              <w:bottom w:val="single" w:color="auto" w:sz="12" w:space="0"/>
              <w:right w:val="nil"/>
            </w:tcBorders>
            <w:shd w:val="clear" w:color="auto" w:fill="auto"/>
            <w:vAlign w:val="center"/>
          </w:tcPr>
          <w:p w14:paraId="02E722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CFF9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4.21%</w:t>
            </w:r>
          </w:p>
        </w:tc>
        <w:tc>
          <w:tcPr>
            <w:tcW w:w="1894" w:type="dxa"/>
            <w:tcBorders>
              <w:top w:val="nil"/>
              <w:left w:val="nil"/>
              <w:bottom w:val="single" w:color="auto" w:sz="12" w:space="0"/>
              <w:right w:val="nil"/>
            </w:tcBorders>
            <w:shd w:val="clear" w:color="auto" w:fill="auto"/>
            <w:vAlign w:val="center"/>
          </w:tcPr>
          <w:p w14:paraId="3FD001C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3.00%</w:t>
            </w:r>
          </w:p>
        </w:tc>
        <w:tc>
          <w:tcPr>
            <w:tcW w:w="1894" w:type="dxa"/>
            <w:tcBorders>
              <w:top w:val="nil"/>
              <w:left w:val="nil"/>
              <w:bottom w:val="single" w:color="auto" w:sz="12" w:space="0"/>
              <w:right w:val="nil"/>
            </w:tcBorders>
            <w:shd w:val="clear" w:color="auto" w:fill="auto"/>
            <w:vAlign w:val="center"/>
          </w:tcPr>
          <w:p w14:paraId="0ED3FB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-0.23%</w:t>
            </w:r>
          </w:p>
        </w:tc>
        <w:tc>
          <w:tcPr>
            <w:tcW w:w="1894" w:type="dxa"/>
            <w:tcBorders>
              <w:top w:val="nil"/>
              <w:left w:val="nil"/>
              <w:bottom w:val="single" w:color="auto" w:sz="12" w:space="0"/>
              <w:right w:val="nil"/>
            </w:tcBorders>
            <w:shd w:val="clear" w:color="auto" w:fill="auto"/>
            <w:vAlign w:val="center"/>
          </w:tcPr>
          <w:p w14:paraId="48AB5AB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w:t>
            </w:r>
          </w:p>
        </w:tc>
      </w:tr>
    </w:tbl>
    <w:p w14:paraId="261F2F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553785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天地在线2020—2024年的主要期间费用率变化情况如表5-9所示。结合费用结构的变化可以看出，销售费用率和管理费用率的持续上升，是导致企业销售净利率下降的重要因素。具体来看，2020—2024年期间，公司销售费用率累计上升约2.7个百分点，管理费用率累计上升约2.1个百分点，期间费用率整体呈现明显抬升趋势。在主营业务毛利水平本就偏低的情况下，费用端的刚性增长进一步压缩了利润空间，最终导致企业净利率持续恶化。换言之，天地在线净利率下滑并非单一因素所致，而是低毛利基础与期间费用上升共同作用的结果。</w:t>
      </w:r>
    </w:p>
    <w:p w14:paraId="6897C89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这一点与其业务属性高度一致。天地在线的收入基础仍以数字营销服务和数智化综合服务为主，而AI数字人、XR直播、SaaS和企业智能工具等新业务仍在培育阶段。营销服务行业的一个典型特征是营收规模较大但利润率偏低，业务往往依赖客户投放预算、流量采购和内容执行效率。QuestMobile关于中国营销市场的年度研究指出，当前营销行业持续向精细化投放和内容运营演进，但竞争也同步加剧，企业普遍面临获客成本高、平台依赖强和服务同质化的问题。在这样的行业背景下，天地在线即使布局AI新业务，也难以在短期内显著抬升主业溢价。新业务尚未形成足够收入规模，而销售和管理费用却率先上升，最终导致净利率持续下探并转负。</w:t>
      </w:r>
    </w:p>
    <w:p w14:paraId="39A792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AI独立产品型企业内部的销售净利率差异主要体现为三种状态：方直科技代表高毛利、高投入、利润波动的教育AI产品模式；佳讯飞鸿代表中等毛利、强实施、利润受研发和项目成本压缩的行业解决方案模式；天地在线则代表低毛利传统主业</w:t>
      </w:r>
      <w:r>
        <w:rPr>
          <w:rFonts w:hint="eastAsia" w:ascii="宋体" w:hAnsi="宋体" w:eastAsia="宋体" w:cs="Times New Roman"/>
          <w:b w:val="0"/>
          <w:sz w:val="24"/>
          <w:szCs w:val="24"/>
          <w:lang w:val="en-US" w:eastAsia="zh-CN"/>
        </w:rPr>
        <w:t>结合</w:t>
      </w:r>
      <w:r>
        <w:rPr>
          <w:rFonts w:hint="default" w:ascii="宋体" w:hAnsi="宋体" w:eastAsia="宋体" w:cs="Times New Roman"/>
          <w:b w:val="0"/>
          <w:sz w:val="24"/>
          <w:szCs w:val="24"/>
        </w:rPr>
        <w:t>AI新业务投入期的过渡型模式。三者共同说明，即使企业能够把AI能力产品化，净利率水平仍然高度依赖行业毛利空间、推广节奏和费用控制能力。</w:t>
      </w:r>
    </w:p>
    <w:p w14:paraId="5B795650">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5.2.1.2 AI业务赋能型企业销售净利率分析</w:t>
      </w:r>
    </w:p>
    <w:p w14:paraId="0ED0B11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巨人网络</w:t>
      </w:r>
    </w:p>
    <w:p w14:paraId="5B55D0B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巨人网络2020—2024年的销售净利率分别为0.4694、0.4658、0.4092、0.3734和0.4896，在六家样本企业中处于最高水平，说明其营业收入向净利润的转化效率明显高于其他样本企业</w:t>
      </w:r>
      <w:r>
        <w:rPr>
          <w:rFonts w:hint="default" w:ascii="宋体" w:hAnsi="宋体" w:eastAsia="宋体" w:cs="Times New Roman"/>
          <w:b w:val="0"/>
          <w:sz w:val="24"/>
          <w:szCs w:val="24"/>
          <w:lang w:eastAsia="zh-CN"/>
        </w:rPr>
        <w:t>。</w:t>
      </w:r>
    </w:p>
    <w:p w14:paraId="026A245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这一表现首先来自其主业性质，公司主营业务为游戏，2024年移动端网络游戏毛利率为88.10%，电脑端网络游戏毛利率为85.94%，整体游戏相关业务毛利率达到87.58%。在这样的业务结构下，公司本身就拥有非常深的利润护城河。表5-10是巨人网络2020—2024年的主要期间费用率变化情况，公司研发费用率始终保持较高水平，2020—2022年均在30%以上，反映出企业在游戏研发与技术创新方面保持持续投入。与此同时，公司管理费用率整体呈下降趋势，由2021年的10.42%下降至2023年的6.10%，2024年小幅回升至7.55%，说明企业在经营管理方面的费用控制能力有所增强。相比之下，销售费用率在2023年和2024年出现明显上升，由2022年的17.46%提高至34%左右，表明企业在游戏推广、渠道投放及市场营销方面加大了投入力度。</w:t>
      </w:r>
    </w:p>
    <w:p w14:paraId="5E7DF82F">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表5-10 巨人网络期间费用率变化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65BC227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2A18BDA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729D26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770D3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765A1E0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E7E48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0D11400A">
        <w:trPr>
          <w:trHeight w:val="0" w:hRule="atLeast"/>
          <w:jc w:val="center"/>
        </w:trPr>
        <w:tc>
          <w:tcPr>
            <w:tcW w:w="943" w:type="dxa"/>
            <w:tcBorders>
              <w:top w:val="single" w:color="auto" w:sz="4" w:space="0"/>
              <w:left w:val="nil"/>
              <w:bottom w:val="nil"/>
              <w:right w:val="nil"/>
            </w:tcBorders>
            <w:shd w:val="clear" w:color="auto" w:fill="auto"/>
            <w:vAlign w:val="center"/>
          </w:tcPr>
          <w:p w14:paraId="5923D2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729405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16.12%</w:t>
            </w:r>
          </w:p>
        </w:tc>
        <w:tc>
          <w:tcPr>
            <w:tcW w:w="1894" w:type="dxa"/>
            <w:tcBorders>
              <w:top w:val="single" w:color="auto" w:sz="4" w:space="0"/>
              <w:left w:val="nil"/>
              <w:bottom w:val="nil"/>
              <w:right w:val="nil"/>
            </w:tcBorders>
            <w:shd w:val="clear" w:color="auto" w:fill="auto"/>
            <w:vAlign w:val="center"/>
          </w:tcPr>
          <w:p w14:paraId="61E41B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10.24%</w:t>
            </w:r>
          </w:p>
        </w:tc>
        <w:tc>
          <w:tcPr>
            <w:tcW w:w="1894" w:type="dxa"/>
            <w:tcBorders>
              <w:top w:val="single" w:color="auto" w:sz="4" w:space="0"/>
              <w:left w:val="nil"/>
              <w:bottom w:val="nil"/>
              <w:right w:val="nil"/>
            </w:tcBorders>
            <w:shd w:val="clear" w:color="auto" w:fill="auto"/>
            <w:vAlign w:val="center"/>
          </w:tcPr>
          <w:p w14:paraId="6D7469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-1.79%</w:t>
            </w:r>
          </w:p>
        </w:tc>
        <w:tc>
          <w:tcPr>
            <w:tcW w:w="1894" w:type="dxa"/>
            <w:tcBorders>
              <w:top w:val="single" w:color="auto" w:sz="4" w:space="0"/>
              <w:left w:val="nil"/>
              <w:bottom w:val="nil"/>
              <w:right w:val="nil"/>
            </w:tcBorders>
            <w:shd w:val="clear" w:color="auto" w:fill="auto"/>
            <w:vAlign w:val="center"/>
          </w:tcPr>
          <w:p w14:paraId="5D0046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32.52%</w:t>
            </w:r>
          </w:p>
        </w:tc>
      </w:tr>
      <w:tr w14:paraId="77375B16">
        <w:trPr>
          <w:trHeight w:val="0" w:hRule="atLeast"/>
          <w:jc w:val="center"/>
        </w:trPr>
        <w:tc>
          <w:tcPr>
            <w:tcW w:w="943" w:type="dxa"/>
            <w:tcBorders>
              <w:top w:val="nil"/>
              <w:left w:val="nil"/>
              <w:bottom w:val="nil"/>
              <w:right w:val="nil"/>
            </w:tcBorders>
            <w:shd w:val="clear" w:color="auto" w:fill="auto"/>
            <w:vAlign w:val="center"/>
          </w:tcPr>
          <w:p w14:paraId="0800830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38CB6AE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18.92%</w:t>
            </w:r>
          </w:p>
        </w:tc>
        <w:tc>
          <w:tcPr>
            <w:tcW w:w="1894" w:type="dxa"/>
            <w:tcBorders>
              <w:top w:val="nil"/>
              <w:left w:val="nil"/>
              <w:bottom w:val="nil"/>
              <w:right w:val="nil"/>
            </w:tcBorders>
            <w:shd w:val="clear" w:color="auto" w:fill="auto"/>
            <w:vAlign w:val="center"/>
          </w:tcPr>
          <w:p w14:paraId="770750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10.42%</w:t>
            </w:r>
          </w:p>
        </w:tc>
        <w:tc>
          <w:tcPr>
            <w:tcW w:w="1894" w:type="dxa"/>
            <w:tcBorders>
              <w:top w:val="nil"/>
              <w:left w:val="nil"/>
              <w:bottom w:val="nil"/>
              <w:right w:val="nil"/>
            </w:tcBorders>
            <w:shd w:val="clear" w:color="auto" w:fill="auto"/>
            <w:vAlign w:val="center"/>
          </w:tcPr>
          <w:p w14:paraId="1F570F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w:t>
            </w:r>
          </w:p>
        </w:tc>
        <w:tc>
          <w:tcPr>
            <w:tcW w:w="1894" w:type="dxa"/>
            <w:tcBorders>
              <w:top w:val="nil"/>
              <w:left w:val="nil"/>
              <w:bottom w:val="nil"/>
              <w:right w:val="nil"/>
            </w:tcBorders>
            <w:shd w:val="clear" w:color="auto" w:fill="auto"/>
            <w:vAlign w:val="center"/>
          </w:tcPr>
          <w:p w14:paraId="2D7602E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33.58%</w:t>
            </w:r>
          </w:p>
        </w:tc>
      </w:tr>
      <w:tr w14:paraId="4B8D790F">
        <w:trPr>
          <w:trHeight w:val="0" w:hRule="atLeast"/>
          <w:jc w:val="center"/>
        </w:trPr>
        <w:tc>
          <w:tcPr>
            <w:tcW w:w="943" w:type="dxa"/>
            <w:tcBorders>
              <w:top w:val="nil"/>
              <w:left w:val="nil"/>
              <w:bottom w:val="nil"/>
              <w:right w:val="nil"/>
            </w:tcBorders>
            <w:shd w:val="clear" w:color="auto" w:fill="auto"/>
            <w:vAlign w:val="center"/>
          </w:tcPr>
          <w:p w14:paraId="41CD1D3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7C785F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17.46%</w:t>
            </w:r>
          </w:p>
        </w:tc>
        <w:tc>
          <w:tcPr>
            <w:tcW w:w="1894" w:type="dxa"/>
            <w:tcBorders>
              <w:top w:val="nil"/>
              <w:left w:val="nil"/>
              <w:bottom w:val="nil"/>
              <w:right w:val="nil"/>
            </w:tcBorders>
            <w:shd w:val="clear" w:color="auto" w:fill="auto"/>
            <w:vAlign w:val="center"/>
          </w:tcPr>
          <w:p w14:paraId="60D1059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9.26%</w:t>
            </w:r>
          </w:p>
        </w:tc>
        <w:tc>
          <w:tcPr>
            <w:tcW w:w="1894" w:type="dxa"/>
            <w:tcBorders>
              <w:top w:val="nil"/>
              <w:left w:val="nil"/>
              <w:bottom w:val="nil"/>
              <w:right w:val="nil"/>
            </w:tcBorders>
            <w:shd w:val="clear" w:color="auto" w:fill="auto"/>
            <w:vAlign w:val="center"/>
          </w:tcPr>
          <w:p w14:paraId="5A8F82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-0.75%</w:t>
            </w:r>
          </w:p>
        </w:tc>
        <w:tc>
          <w:tcPr>
            <w:tcW w:w="1894" w:type="dxa"/>
            <w:tcBorders>
              <w:top w:val="nil"/>
              <w:left w:val="nil"/>
              <w:bottom w:val="nil"/>
              <w:right w:val="nil"/>
            </w:tcBorders>
            <w:shd w:val="clear" w:color="auto" w:fill="auto"/>
            <w:vAlign w:val="center"/>
          </w:tcPr>
          <w:p w14:paraId="4E044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31.53%</w:t>
            </w:r>
          </w:p>
        </w:tc>
      </w:tr>
      <w:tr w14:paraId="33D87E29">
        <w:trPr>
          <w:trHeight w:val="0" w:hRule="atLeast"/>
          <w:jc w:val="center"/>
        </w:trPr>
        <w:tc>
          <w:tcPr>
            <w:tcW w:w="943" w:type="dxa"/>
            <w:tcBorders>
              <w:top w:val="nil"/>
              <w:left w:val="nil"/>
              <w:bottom w:val="nil"/>
              <w:right w:val="nil"/>
            </w:tcBorders>
            <w:shd w:val="clear" w:color="auto" w:fill="auto"/>
            <w:vAlign w:val="center"/>
          </w:tcPr>
          <w:p w14:paraId="7CFB55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561AF70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34.86%</w:t>
            </w:r>
          </w:p>
        </w:tc>
        <w:tc>
          <w:tcPr>
            <w:tcW w:w="1894" w:type="dxa"/>
            <w:tcBorders>
              <w:top w:val="nil"/>
              <w:left w:val="nil"/>
              <w:bottom w:val="nil"/>
              <w:right w:val="nil"/>
            </w:tcBorders>
            <w:shd w:val="clear" w:color="auto" w:fill="auto"/>
            <w:vAlign w:val="center"/>
          </w:tcPr>
          <w:p w14:paraId="41306C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6.10%</w:t>
            </w:r>
          </w:p>
        </w:tc>
        <w:tc>
          <w:tcPr>
            <w:tcW w:w="1894" w:type="dxa"/>
            <w:tcBorders>
              <w:top w:val="nil"/>
              <w:left w:val="nil"/>
              <w:bottom w:val="nil"/>
              <w:right w:val="nil"/>
            </w:tcBorders>
            <w:shd w:val="clear" w:color="auto" w:fill="auto"/>
            <w:vAlign w:val="center"/>
          </w:tcPr>
          <w:p w14:paraId="576EA3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-0.20%</w:t>
            </w:r>
          </w:p>
        </w:tc>
        <w:tc>
          <w:tcPr>
            <w:tcW w:w="1894" w:type="dxa"/>
            <w:tcBorders>
              <w:top w:val="nil"/>
              <w:left w:val="nil"/>
              <w:bottom w:val="nil"/>
              <w:right w:val="nil"/>
            </w:tcBorders>
            <w:shd w:val="clear" w:color="auto" w:fill="auto"/>
            <w:vAlign w:val="center"/>
          </w:tcPr>
          <w:p w14:paraId="729C0C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23.66%</w:t>
            </w:r>
          </w:p>
        </w:tc>
      </w:tr>
      <w:tr w14:paraId="3A203BFF">
        <w:trPr>
          <w:trHeight w:val="0" w:hRule="atLeast"/>
          <w:jc w:val="center"/>
        </w:trPr>
        <w:tc>
          <w:tcPr>
            <w:tcW w:w="943" w:type="dxa"/>
            <w:tcBorders>
              <w:top w:val="nil"/>
              <w:left w:val="nil"/>
              <w:bottom w:val="single" w:color="auto" w:sz="12" w:space="0"/>
              <w:right w:val="nil"/>
            </w:tcBorders>
            <w:shd w:val="clear" w:color="auto" w:fill="auto"/>
            <w:vAlign w:val="center"/>
          </w:tcPr>
          <w:p w14:paraId="646C808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2004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34.39%</w:t>
            </w:r>
          </w:p>
        </w:tc>
        <w:tc>
          <w:tcPr>
            <w:tcW w:w="1894" w:type="dxa"/>
            <w:tcBorders>
              <w:top w:val="nil"/>
              <w:left w:val="nil"/>
              <w:bottom w:val="single" w:color="auto" w:sz="12" w:space="0"/>
              <w:right w:val="nil"/>
            </w:tcBorders>
            <w:shd w:val="clear" w:color="auto" w:fill="auto"/>
            <w:vAlign w:val="center"/>
          </w:tcPr>
          <w:p w14:paraId="6DCCBD1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7.55%</w:t>
            </w:r>
          </w:p>
        </w:tc>
        <w:tc>
          <w:tcPr>
            <w:tcW w:w="1894" w:type="dxa"/>
            <w:tcBorders>
              <w:top w:val="nil"/>
              <w:left w:val="nil"/>
              <w:bottom w:val="single" w:color="auto" w:sz="12" w:space="0"/>
              <w:right w:val="nil"/>
            </w:tcBorders>
            <w:shd w:val="clear" w:color="auto" w:fill="auto"/>
            <w:vAlign w:val="center"/>
          </w:tcPr>
          <w:p w14:paraId="14F44F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894" w:type="dxa"/>
            <w:tcBorders>
              <w:top w:val="nil"/>
              <w:left w:val="nil"/>
              <w:bottom w:val="single" w:color="auto" w:sz="12" w:space="0"/>
              <w:right w:val="nil"/>
            </w:tcBorders>
            <w:shd w:val="clear" w:color="auto" w:fill="auto"/>
            <w:vAlign w:val="center"/>
          </w:tcPr>
          <w:p w14:paraId="5463D71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23.66%</w:t>
            </w:r>
          </w:p>
        </w:tc>
      </w:tr>
    </w:tbl>
    <w:p w14:paraId="0CD4CA0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6B3455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公司研发投入一直保持在较高水平，但销售费用率和管理费用率总体呈下降趋势。这表明企业在保持技术研发投入的同时，通过优化运营和营销结构，在一定程度上降低了期间费用对利润的侵蚀，从而维持了较高的销售净利率。AI对巨人网络销售净利率的影响，更多体现在“利润放大”而不是“收入创造”。公司在年报中</w:t>
      </w:r>
      <w:r>
        <w:rPr>
          <w:rFonts w:hint="default" w:ascii="宋体" w:hAnsi="宋体" w:eastAsia="宋体" w:cs="Times New Roman"/>
          <w:b w:val="0"/>
          <w:sz w:val="24"/>
          <w:szCs w:val="24"/>
          <w:lang w:val="en-US" w:eastAsia="zh-CN"/>
        </w:rPr>
        <w:t>也</w:t>
      </w:r>
      <w:r>
        <w:rPr>
          <w:rFonts w:hint="default" w:ascii="宋体" w:hAnsi="宋体" w:eastAsia="宋体" w:cs="Times New Roman"/>
          <w:b w:val="0"/>
          <w:sz w:val="24"/>
          <w:szCs w:val="24"/>
        </w:rPr>
        <w:t>提到，AI已被用于美术生成、语音合成、代码开发、翻译、客服、智能NPC以及AI玩法设计等环节</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公司一边持续投入研发，一边在成熟游戏业务的支撑下，把更多AI能力转化为研发提效、内容生产提效和运营提效。</w:t>
      </w:r>
    </w:p>
    <w:p w14:paraId="31D04D2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eastAsia" w:ascii="宋体" w:hAnsi="宋体" w:eastAsia="宋体" w:cs="Times New Roman"/>
          <w:b w:val="0"/>
          <w:sz w:val="24"/>
          <w:szCs w:val="24"/>
          <w:lang w:eastAsia="zh-CN"/>
        </w:rPr>
        <w:t>巨人网络2024年年报亦披露，其AI能力主要用于辅助内容生产和运营提效，而非独立形成AI产品收入。因此，巨人网络的销售净利率之所以持续高位，关键不在于AI单独创造利润，而在于AI在一个原本就具有高利润率的业务体系内进一步降低边际成本、提升产出效率。对AI业务赋能型企业而言，这是一种理想的利润实现路径。</w:t>
      </w:r>
    </w:p>
    <w:p w14:paraId="3D8A221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2</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世纪天鸿</w:t>
      </w:r>
    </w:p>
    <w:p w14:paraId="20301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2020—2024年，世纪天鸿的销售净利率分别为0.0932、0.0866、0.0847、0.0855和0.0838，整体维持在8%—9%之间，波动幅度较小</w:t>
      </w:r>
      <w:r>
        <w:rPr>
          <w:rFonts w:hint="eastAsia" w:ascii="宋体" w:hAnsi="宋体" w:eastAsia="宋体" w:cs="Times New Roman"/>
          <w:b w:val="0"/>
          <w:sz w:val="24"/>
          <w:szCs w:val="24"/>
          <w:lang w:val="en-US" w:eastAsia="zh-CN"/>
        </w:rPr>
        <w:t>但没有提升</w:t>
      </w:r>
      <w:r>
        <w:rPr>
          <w:rFonts w:hint="default" w:ascii="宋体" w:hAnsi="宋体" w:eastAsia="宋体" w:cs="Times New Roman"/>
          <w:b w:val="0"/>
          <w:sz w:val="24"/>
          <w:szCs w:val="24"/>
        </w:rPr>
        <w:t>。从成本结构看，公司毛利率由30.33%提升至37.70%，营业成本率由69.67%下降至62.30%，说明主营业务毛利空间实际上有所改善</w:t>
      </w:r>
      <w:r>
        <w:rPr>
          <w:rFonts w:hint="eastAsia" w:ascii="宋体" w:hAnsi="宋体" w:eastAsia="宋体" w:cs="Times New Roman"/>
          <w:b w:val="0"/>
          <w:sz w:val="24"/>
          <w:szCs w:val="24"/>
          <w:lang w:eastAsia="zh-CN"/>
        </w:rPr>
        <w:t>。真正值得关注的是费用结构。</w:t>
      </w:r>
    </w:p>
    <w:p w14:paraId="7B13605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世纪天鸿2020—2024年的主要期间费用率变化情况如表5-11，从费用结构看，销售费用率由8.85%上升至16.32%，管理费用率维持在8.88%—11.20%之间，研发费用率虽然不高，但从2020年的0.38%提高到2024年的1.08%。这意味着，世纪天鸿近年来的净利率之所以没有随着毛利率改善而明显提升，主要原因在于费用端同步抬升，对利润释放形成了抵消。</w:t>
      </w:r>
    </w:p>
    <w:p w14:paraId="42DBFCB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表5-11 世纪天鸿期间费用率变化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F0D9B7B">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1A4DFD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5397D9E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7C8D4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6A86D2E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658D310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3BC13959">
        <w:trPr>
          <w:trHeight w:val="0" w:hRule="atLeast"/>
          <w:jc w:val="center"/>
        </w:trPr>
        <w:tc>
          <w:tcPr>
            <w:tcW w:w="943" w:type="dxa"/>
            <w:tcBorders>
              <w:top w:val="single" w:color="auto" w:sz="4" w:space="0"/>
              <w:left w:val="nil"/>
              <w:bottom w:val="nil"/>
              <w:right w:val="nil"/>
            </w:tcBorders>
            <w:shd w:val="clear" w:color="auto" w:fill="auto"/>
            <w:vAlign w:val="center"/>
          </w:tcPr>
          <w:p w14:paraId="3BA8D7B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1D8C1D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8.85%</w:t>
            </w:r>
          </w:p>
        </w:tc>
        <w:tc>
          <w:tcPr>
            <w:tcW w:w="1894" w:type="dxa"/>
            <w:tcBorders>
              <w:top w:val="single" w:color="auto" w:sz="4" w:space="0"/>
              <w:left w:val="nil"/>
              <w:bottom w:val="nil"/>
              <w:right w:val="nil"/>
            </w:tcBorders>
            <w:shd w:val="clear" w:color="auto" w:fill="auto"/>
            <w:vAlign w:val="center"/>
          </w:tcPr>
          <w:p w14:paraId="0FC169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11.20%</w:t>
            </w:r>
          </w:p>
        </w:tc>
        <w:tc>
          <w:tcPr>
            <w:tcW w:w="1894" w:type="dxa"/>
            <w:tcBorders>
              <w:top w:val="single" w:color="auto" w:sz="4" w:space="0"/>
              <w:left w:val="nil"/>
              <w:bottom w:val="nil"/>
              <w:right w:val="nil"/>
            </w:tcBorders>
            <w:shd w:val="clear" w:color="auto" w:fill="auto"/>
            <w:vAlign w:val="center"/>
          </w:tcPr>
          <w:p w14:paraId="00BBE4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w:t>
            </w:r>
          </w:p>
        </w:tc>
        <w:tc>
          <w:tcPr>
            <w:tcW w:w="1894" w:type="dxa"/>
            <w:tcBorders>
              <w:top w:val="single" w:color="auto" w:sz="4" w:space="0"/>
              <w:left w:val="nil"/>
              <w:bottom w:val="nil"/>
              <w:right w:val="nil"/>
            </w:tcBorders>
            <w:shd w:val="clear" w:color="auto" w:fill="auto"/>
            <w:vAlign w:val="center"/>
          </w:tcPr>
          <w:p w14:paraId="59BD1C2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0.38%</w:t>
            </w:r>
          </w:p>
        </w:tc>
      </w:tr>
      <w:tr w14:paraId="66C0AE98">
        <w:trPr>
          <w:trHeight w:val="0" w:hRule="atLeast"/>
          <w:jc w:val="center"/>
        </w:trPr>
        <w:tc>
          <w:tcPr>
            <w:tcW w:w="943" w:type="dxa"/>
            <w:tcBorders>
              <w:top w:val="nil"/>
              <w:left w:val="nil"/>
              <w:bottom w:val="nil"/>
              <w:right w:val="nil"/>
            </w:tcBorders>
            <w:shd w:val="clear" w:color="auto" w:fill="auto"/>
            <w:vAlign w:val="center"/>
          </w:tcPr>
          <w:p w14:paraId="587CEBC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05E2AA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10.34%</w:t>
            </w:r>
          </w:p>
        </w:tc>
        <w:tc>
          <w:tcPr>
            <w:tcW w:w="1894" w:type="dxa"/>
            <w:tcBorders>
              <w:top w:val="nil"/>
              <w:left w:val="nil"/>
              <w:bottom w:val="nil"/>
              <w:right w:val="nil"/>
            </w:tcBorders>
            <w:shd w:val="clear" w:color="auto" w:fill="auto"/>
            <w:vAlign w:val="center"/>
          </w:tcPr>
          <w:p w14:paraId="4E6DA4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9.55%</w:t>
            </w:r>
          </w:p>
        </w:tc>
        <w:tc>
          <w:tcPr>
            <w:tcW w:w="1894" w:type="dxa"/>
            <w:tcBorders>
              <w:top w:val="nil"/>
              <w:left w:val="nil"/>
              <w:bottom w:val="nil"/>
              <w:right w:val="nil"/>
            </w:tcBorders>
            <w:shd w:val="clear" w:color="auto" w:fill="auto"/>
            <w:vAlign w:val="center"/>
          </w:tcPr>
          <w:p w14:paraId="47629B5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-0.20%</w:t>
            </w:r>
          </w:p>
        </w:tc>
        <w:tc>
          <w:tcPr>
            <w:tcW w:w="1894" w:type="dxa"/>
            <w:tcBorders>
              <w:top w:val="nil"/>
              <w:left w:val="nil"/>
              <w:bottom w:val="nil"/>
              <w:right w:val="nil"/>
            </w:tcBorders>
            <w:shd w:val="clear" w:color="auto" w:fill="auto"/>
            <w:vAlign w:val="center"/>
          </w:tcPr>
          <w:p w14:paraId="357959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w:t>
            </w:r>
          </w:p>
        </w:tc>
      </w:tr>
      <w:tr w14:paraId="47AC1943">
        <w:trPr>
          <w:trHeight w:val="0" w:hRule="atLeast"/>
          <w:jc w:val="center"/>
        </w:trPr>
        <w:tc>
          <w:tcPr>
            <w:tcW w:w="943" w:type="dxa"/>
            <w:tcBorders>
              <w:top w:val="nil"/>
              <w:left w:val="nil"/>
              <w:bottom w:val="nil"/>
              <w:right w:val="nil"/>
            </w:tcBorders>
            <w:shd w:val="clear" w:color="auto" w:fill="auto"/>
            <w:vAlign w:val="center"/>
          </w:tcPr>
          <w:p w14:paraId="4FC0E7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7EF3D3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11.15%</w:t>
            </w:r>
          </w:p>
        </w:tc>
        <w:tc>
          <w:tcPr>
            <w:tcW w:w="1894" w:type="dxa"/>
            <w:tcBorders>
              <w:top w:val="nil"/>
              <w:left w:val="nil"/>
              <w:bottom w:val="nil"/>
              <w:right w:val="nil"/>
            </w:tcBorders>
            <w:shd w:val="clear" w:color="auto" w:fill="auto"/>
            <w:vAlign w:val="center"/>
          </w:tcPr>
          <w:p w14:paraId="4A414B1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9.90%</w:t>
            </w:r>
          </w:p>
        </w:tc>
        <w:tc>
          <w:tcPr>
            <w:tcW w:w="1894" w:type="dxa"/>
            <w:tcBorders>
              <w:top w:val="nil"/>
              <w:left w:val="nil"/>
              <w:bottom w:val="nil"/>
              <w:right w:val="nil"/>
            </w:tcBorders>
            <w:shd w:val="clear" w:color="auto" w:fill="auto"/>
            <w:vAlign w:val="center"/>
          </w:tcPr>
          <w:p w14:paraId="79D0CA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-0.82%</w:t>
            </w:r>
          </w:p>
        </w:tc>
        <w:tc>
          <w:tcPr>
            <w:tcW w:w="1894" w:type="dxa"/>
            <w:tcBorders>
              <w:top w:val="nil"/>
              <w:left w:val="nil"/>
              <w:bottom w:val="nil"/>
              <w:right w:val="nil"/>
            </w:tcBorders>
            <w:shd w:val="clear" w:color="auto" w:fill="auto"/>
            <w:vAlign w:val="center"/>
          </w:tcPr>
          <w:p w14:paraId="782097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w:t>
            </w:r>
          </w:p>
        </w:tc>
      </w:tr>
      <w:tr w14:paraId="2C3AC916">
        <w:trPr>
          <w:trHeight w:val="0" w:hRule="atLeast"/>
          <w:jc w:val="center"/>
        </w:trPr>
        <w:tc>
          <w:tcPr>
            <w:tcW w:w="943" w:type="dxa"/>
            <w:tcBorders>
              <w:top w:val="nil"/>
              <w:left w:val="nil"/>
              <w:bottom w:val="nil"/>
              <w:right w:val="nil"/>
            </w:tcBorders>
            <w:shd w:val="clear" w:color="auto" w:fill="auto"/>
            <w:vAlign w:val="center"/>
          </w:tcPr>
          <w:p w14:paraId="3371272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7676152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14.62%</w:t>
            </w:r>
          </w:p>
        </w:tc>
        <w:tc>
          <w:tcPr>
            <w:tcW w:w="1894" w:type="dxa"/>
            <w:tcBorders>
              <w:top w:val="nil"/>
              <w:left w:val="nil"/>
              <w:bottom w:val="nil"/>
              <w:right w:val="nil"/>
            </w:tcBorders>
            <w:shd w:val="clear" w:color="auto" w:fill="auto"/>
            <w:vAlign w:val="center"/>
          </w:tcPr>
          <w:p w14:paraId="46DC58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10.59%</w:t>
            </w:r>
          </w:p>
        </w:tc>
        <w:tc>
          <w:tcPr>
            <w:tcW w:w="1894" w:type="dxa"/>
            <w:tcBorders>
              <w:top w:val="nil"/>
              <w:left w:val="nil"/>
              <w:bottom w:val="nil"/>
              <w:right w:val="nil"/>
            </w:tcBorders>
            <w:shd w:val="clear" w:color="auto" w:fill="auto"/>
            <w:vAlign w:val="center"/>
          </w:tcPr>
          <w:p w14:paraId="38B343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-1.25%</w:t>
            </w:r>
          </w:p>
        </w:tc>
        <w:tc>
          <w:tcPr>
            <w:tcW w:w="1894" w:type="dxa"/>
            <w:tcBorders>
              <w:top w:val="nil"/>
              <w:left w:val="nil"/>
              <w:bottom w:val="nil"/>
              <w:right w:val="nil"/>
            </w:tcBorders>
            <w:shd w:val="clear" w:color="auto" w:fill="auto"/>
            <w:vAlign w:val="center"/>
          </w:tcPr>
          <w:p w14:paraId="003E220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w:t>
            </w:r>
          </w:p>
        </w:tc>
      </w:tr>
      <w:tr w14:paraId="2F12A79E">
        <w:trPr>
          <w:trHeight w:val="0" w:hRule="atLeast"/>
          <w:jc w:val="center"/>
        </w:trPr>
        <w:tc>
          <w:tcPr>
            <w:tcW w:w="943" w:type="dxa"/>
            <w:tcBorders>
              <w:top w:val="nil"/>
              <w:left w:val="nil"/>
              <w:bottom w:val="single" w:color="auto" w:sz="12" w:space="0"/>
              <w:right w:val="nil"/>
            </w:tcBorders>
            <w:shd w:val="clear" w:color="auto" w:fill="auto"/>
            <w:vAlign w:val="center"/>
          </w:tcPr>
          <w:p w14:paraId="7B14D83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5CDBA9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16.32%</w:t>
            </w:r>
          </w:p>
        </w:tc>
        <w:tc>
          <w:tcPr>
            <w:tcW w:w="1894" w:type="dxa"/>
            <w:tcBorders>
              <w:top w:val="nil"/>
              <w:left w:val="nil"/>
              <w:bottom w:val="single" w:color="auto" w:sz="12" w:space="0"/>
              <w:right w:val="nil"/>
            </w:tcBorders>
            <w:shd w:val="clear" w:color="auto" w:fill="auto"/>
            <w:vAlign w:val="center"/>
          </w:tcPr>
          <w:p w14:paraId="03584D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8.88%</w:t>
            </w:r>
          </w:p>
        </w:tc>
        <w:tc>
          <w:tcPr>
            <w:tcW w:w="1894" w:type="dxa"/>
            <w:tcBorders>
              <w:top w:val="nil"/>
              <w:left w:val="nil"/>
              <w:bottom w:val="single" w:color="auto" w:sz="12" w:space="0"/>
              <w:right w:val="nil"/>
            </w:tcBorders>
            <w:shd w:val="clear" w:color="auto" w:fill="auto"/>
            <w:vAlign w:val="center"/>
          </w:tcPr>
          <w:p w14:paraId="67232F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-0.79%</w:t>
            </w:r>
          </w:p>
        </w:tc>
        <w:tc>
          <w:tcPr>
            <w:tcW w:w="1894" w:type="dxa"/>
            <w:tcBorders>
              <w:top w:val="nil"/>
              <w:left w:val="nil"/>
              <w:bottom w:val="single" w:color="auto" w:sz="12" w:space="0"/>
              <w:right w:val="nil"/>
            </w:tcBorders>
            <w:shd w:val="clear" w:color="auto" w:fill="auto"/>
            <w:vAlign w:val="center"/>
          </w:tcPr>
          <w:p w14:paraId="7DF1C63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w:t>
            </w:r>
          </w:p>
        </w:tc>
      </w:tr>
    </w:tbl>
    <w:p w14:paraId="24B1BB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ADCE3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从业务逻辑看，世纪天鸿属于传统教辅业务稳定</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教育工具逐步推进的企业。教辅图书业务本身具有一定的稳定需求，因此能够维持相对平稳的利润来源；但AI教育产品从推出到形成规模采购通常需要较长周期，企业在推广过程中需要持续投入销售和渠道资源。世纪天鸿2024年年报中亦披露，公司持续推进“小鸿助教”</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“笔神作文”等AI教育产品应用场景落地，这类产品更接近第二增长曲线而非当期利润主来源。因此，世纪天鸿的净利率稳定但没有显著抬升，反映的不是盈利崩塌，而是毛利改善被推广费用吸收的典型状态。</w:t>
      </w:r>
    </w:p>
    <w:p w14:paraId="416E45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思美传媒</w:t>
      </w:r>
    </w:p>
    <w:p w14:paraId="7AA23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思美传媒2020—2024年的销售净利率分别为-0.2895、0.0145、-0.0972、-0.0237和-0.0058，整体表现为波动较大且多数年份为负值。从销售净利率角度看，思美传媒和天地在线都属于低利润样本，但两者略有不同。天地在线是持续下滑后转负，思美传媒则是在低位反复波动，始终没有建立起稳定盈利基础</w:t>
      </w:r>
      <w:r>
        <w:rPr>
          <w:rFonts w:hint="default" w:ascii="宋体" w:hAnsi="宋体" w:eastAsia="宋体" w:cs="Times New Roman"/>
          <w:b w:val="0"/>
          <w:sz w:val="24"/>
          <w:szCs w:val="24"/>
          <w:lang w:eastAsia="zh-CN"/>
        </w:rPr>
        <w:t>。从成本结构看，公司毛利率仅在3.86%—7.34%之间，营业成本率长期高于92%，说明其主营业务天然处于极低毛利空间。</w:t>
      </w:r>
    </w:p>
    <w:p w14:paraId="378244B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t>进一步看费用端，表5-12列示了思美传媒2020—2024年的主要期间费用率变化情况，思美传媒销售费用率、管理费用率和研发费用率的绝对值并不高，2024年分别为2.08%、1.14%和0.28%，远低于巨人网络、方直科技等企业，但公司净利率依然为负。这恰恰说明，思美传媒的问题并不是费用太高，而是毛利空间本身太薄，即使费用控制不算差，也难以形成足够利润。</w:t>
      </w:r>
    </w:p>
    <w:p w14:paraId="2CBB7ED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表5-12 思美传媒期间费用率变化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7B5AE3B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55DA29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E7E41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6EE52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3B6BA0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0EF9B3A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34738205">
        <w:trPr>
          <w:trHeight w:val="0" w:hRule="atLeast"/>
          <w:jc w:val="center"/>
        </w:trPr>
        <w:tc>
          <w:tcPr>
            <w:tcW w:w="943" w:type="dxa"/>
            <w:tcBorders>
              <w:top w:val="single" w:color="auto" w:sz="4" w:space="0"/>
              <w:left w:val="nil"/>
              <w:bottom w:val="nil"/>
              <w:right w:val="nil"/>
            </w:tcBorders>
            <w:shd w:val="clear" w:color="auto" w:fill="auto"/>
            <w:vAlign w:val="center"/>
          </w:tcPr>
          <w:p w14:paraId="559ABE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6443E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3.05%</w:t>
            </w:r>
          </w:p>
        </w:tc>
        <w:tc>
          <w:tcPr>
            <w:tcW w:w="1894" w:type="dxa"/>
            <w:tcBorders>
              <w:top w:val="single" w:color="auto" w:sz="4" w:space="0"/>
              <w:left w:val="nil"/>
              <w:bottom w:val="nil"/>
              <w:right w:val="nil"/>
            </w:tcBorders>
            <w:shd w:val="clear" w:color="auto" w:fill="auto"/>
            <w:vAlign w:val="center"/>
          </w:tcPr>
          <w:p w14:paraId="70FC446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2.22%</w:t>
            </w:r>
          </w:p>
        </w:tc>
        <w:tc>
          <w:tcPr>
            <w:tcW w:w="1894" w:type="dxa"/>
            <w:tcBorders>
              <w:top w:val="single" w:color="auto" w:sz="4" w:space="0"/>
              <w:left w:val="nil"/>
              <w:bottom w:val="nil"/>
              <w:right w:val="nil"/>
            </w:tcBorders>
            <w:shd w:val="clear" w:color="auto" w:fill="auto"/>
            <w:vAlign w:val="center"/>
          </w:tcPr>
          <w:p w14:paraId="366498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0.01%</w:t>
            </w:r>
          </w:p>
        </w:tc>
        <w:tc>
          <w:tcPr>
            <w:tcW w:w="1894" w:type="dxa"/>
            <w:tcBorders>
              <w:top w:val="single" w:color="auto" w:sz="4" w:space="0"/>
              <w:left w:val="nil"/>
              <w:bottom w:val="nil"/>
              <w:right w:val="nil"/>
            </w:tcBorders>
            <w:shd w:val="clear" w:color="auto" w:fill="auto"/>
            <w:vAlign w:val="center"/>
          </w:tcPr>
          <w:p w14:paraId="03D887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0.55%</w:t>
            </w:r>
          </w:p>
        </w:tc>
      </w:tr>
      <w:tr w14:paraId="59EA82F5">
        <w:trPr>
          <w:trHeight w:val="0" w:hRule="atLeast"/>
          <w:jc w:val="center"/>
        </w:trPr>
        <w:tc>
          <w:tcPr>
            <w:tcW w:w="943" w:type="dxa"/>
            <w:tcBorders>
              <w:top w:val="nil"/>
              <w:left w:val="nil"/>
              <w:bottom w:val="nil"/>
              <w:right w:val="nil"/>
            </w:tcBorders>
            <w:shd w:val="clear" w:color="auto" w:fill="auto"/>
            <w:vAlign w:val="center"/>
          </w:tcPr>
          <w:p w14:paraId="14A9DB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7574DA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3.07%</w:t>
            </w:r>
          </w:p>
        </w:tc>
        <w:tc>
          <w:tcPr>
            <w:tcW w:w="1894" w:type="dxa"/>
            <w:tcBorders>
              <w:top w:val="nil"/>
              <w:left w:val="nil"/>
              <w:bottom w:val="nil"/>
              <w:right w:val="nil"/>
            </w:tcBorders>
            <w:shd w:val="clear" w:color="auto" w:fill="auto"/>
            <w:vAlign w:val="center"/>
          </w:tcPr>
          <w:p w14:paraId="6D34D2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c>
          <w:tcPr>
            <w:tcW w:w="1894" w:type="dxa"/>
            <w:tcBorders>
              <w:top w:val="nil"/>
              <w:left w:val="nil"/>
              <w:bottom w:val="nil"/>
              <w:right w:val="nil"/>
            </w:tcBorders>
            <w:shd w:val="clear" w:color="auto" w:fill="auto"/>
            <w:vAlign w:val="center"/>
          </w:tcPr>
          <w:p w14:paraId="4AC11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0.32%</w:t>
            </w:r>
          </w:p>
        </w:tc>
        <w:tc>
          <w:tcPr>
            <w:tcW w:w="1894" w:type="dxa"/>
            <w:tcBorders>
              <w:top w:val="nil"/>
              <w:left w:val="nil"/>
              <w:bottom w:val="nil"/>
              <w:right w:val="nil"/>
            </w:tcBorders>
            <w:shd w:val="clear" w:color="auto" w:fill="auto"/>
            <w:vAlign w:val="center"/>
          </w:tcPr>
          <w:p w14:paraId="475F33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0.47%</w:t>
            </w:r>
          </w:p>
        </w:tc>
      </w:tr>
      <w:tr w14:paraId="448A8C18">
        <w:trPr>
          <w:trHeight w:val="0" w:hRule="atLeast"/>
          <w:jc w:val="center"/>
        </w:trPr>
        <w:tc>
          <w:tcPr>
            <w:tcW w:w="943" w:type="dxa"/>
            <w:tcBorders>
              <w:top w:val="nil"/>
              <w:left w:val="nil"/>
              <w:bottom w:val="nil"/>
              <w:right w:val="nil"/>
            </w:tcBorders>
            <w:shd w:val="clear" w:color="auto" w:fill="auto"/>
            <w:vAlign w:val="center"/>
          </w:tcPr>
          <w:p w14:paraId="2B0074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2D1CCE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3.27%</w:t>
            </w:r>
          </w:p>
        </w:tc>
        <w:tc>
          <w:tcPr>
            <w:tcW w:w="1894" w:type="dxa"/>
            <w:tcBorders>
              <w:top w:val="nil"/>
              <w:left w:val="nil"/>
              <w:bottom w:val="nil"/>
              <w:right w:val="nil"/>
            </w:tcBorders>
            <w:shd w:val="clear" w:color="auto" w:fill="auto"/>
            <w:vAlign w:val="center"/>
          </w:tcPr>
          <w:p w14:paraId="76ADC7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2.41%</w:t>
            </w:r>
          </w:p>
        </w:tc>
        <w:tc>
          <w:tcPr>
            <w:tcW w:w="1894" w:type="dxa"/>
            <w:tcBorders>
              <w:top w:val="nil"/>
              <w:left w:val="nil"/>
              <w:bottom w:val="nil"/>
              <w:right w:val="nil"/>
            </w:tcBorders>
            <w:shd w:val="clear" w:color="auto" w:fill="auto"/>
            <w:vAlign w:val="center"/>
          </w:tcPr>
          <w:p w14:paraId="45F2B16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0.17%</w:t>
            </w:r>
          </w:p>
        </w:tc>
        <w:tc>
          <w:tcPr>
            <w:tcW w:w="1894" w:type="dxa"/>
            <w:tcBorders>
              <w:top w:val="nil"/>
              <w:left w:val="nil"/>
              <w:bottom w:val="nil"/>
              <w:right w:val="nil"/>
            </w:tcBorders>
            <w:shd w:val="clear" w:color="auto" w:fill="auto"/>
            <w:vAlign w:val="center"/>
          </w:tcPr>
          <w:p w14:paraId="5DB6D9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0.24%</w:t>
            </w:r>
          </w:p>
        </w:tc>
      </w:tr>
      <w:tr w14:paraId="0B75A88A">
        <w:trPr>
          <w:trHeight w:val="0" w:hRule="atLeast"/>
          <w:jc w:val="center"/>
        </w:trPr>
        <w:tc>
          <w:tcPr>
            <w:tcW w:w="943" w:type="dxa"/>
            <w:tcBorders>
              <w:top w:val="nil"/>
              <w:left w:val="nil"/>
              <w:bottom w:val="nil"/>
              <w:right w:val="nil"/>
            </w:tcBorders>
            <w:shd w:val="clear" w:color="auto" w:fill="auto"/>
            <w:vAlign w:val="center"/>
          </w:tcPr>
          <w:p w14:paraId="460EC7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78DE6D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1.92%</w:t>
            </w:r>
          </w:p>
        </w:tc>
        <w:tc>
          <w:tcPr>
            <w:tcW w:w="1894" w:type="dxa"/>
            <w:tcBorders>
              <w:top w:val="nil"/>
              <w:left w:val="nil"/>
              <w:bottom w:val="nil"/>
              <w:right w:val="nil"/>
            </w:tcBorders>
            <w:shd w:val="clear" w:color="auto" w:fill="auto"/>
            <w:vAlign w:val="center"/>
          </w:tcPr>
          <w:p w14:paraId="3F5B32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1.69%</w:t>
            </w:r>
          </w:p>
        </w:tc>
        <w:tc>
          <w:tcPr>
            <w:tcW w:w="1894" w:type="dxa"/>
            <w:tcBorders>
              <w:top w:val="nil"/>
              <w:left w:val="nil"/>
              <w:bottom w:val="nil"/>
              <w:right w:val="nil"/>
            </w:tcBorders>
            <w:shd w:val="clear" w:color="auto" w:fill="auto"/>
            <w:vAlign w:val="center"/>
          </w:tcPr>
          <w:p w14:paraId="3FE454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0.37%</w:t>
            </w:r>
          </w:p>
        </w:tc>
        <w:tc>
          <w:tcPr>
            <w:tcW w:w="1894" w:type="dxa"/>
            <w:tcBorders>
              <w:top w:val="nil"/>
              <w:left w:val="nil"/>
              <w:bottom w:val="nil"/>
              <w:right w:val="nil"/>
            </w:tcBorders>
            <w:shd w:val="clear" w:color="auto" w:fill="auto"/>
            <w:vAlign w:val="center"/>
          </w:tcPr>
          <w:p w14:paraId="444C3B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0.55%</w:t>
            </w:r>
          </w:p>
        </w:tc>
      </w:tr>
      <w:tr w14:paraId="71D1943D">
        <w:trPr>
          <w:trHeight w:val="0" w:hRule="atLeast"/>
          <w:jc w:val="center"/>
        </w:trPr>
        <w:tc>
          <w:tcPr>
            <w:tcW w:w="943" w:type="dxa"/>
            <w:tcBorders>
              <w:top w:val="nil"/>
              <w:left w:val="nil"/>
              <w:bottom w:val="single" w:color="auto" w:sz="12" w:space="0"/>
              <w:right w:val="nil"/>
            </w:tcBorders>
            <w:shd w:val="clear" w:color="auto" w:fill="auto"/>
            <w:vAlign w:val="center"/>
          </w:tcPr>
          <w:p w14:paraId="43486F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85A08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c>
          <w:tcPr>
            <w:tcW w:w="1894" w:type="dxa"/>
            <w:tcBorders>
              <w:top w:val="nil"/>
              <w:left w:val="nil"/>
              <w:bottom w:val="single" w:color="auto" w:sz="12" w:space="0"/>
              <w:right w:val="nil"/>
            </w:tcBorders>
            <w:shd w:val="clear" w:color="auto" w:fill="auto"/>
            <w:vAlign w:val="center"/>
          </w:tcPr>
          <w:p w14:paraId="22E624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894" w:type="dxa"/>
            <w:tcBorders>
              <w:top w:val="nil"/>
              <w:left w:val="nil"/>
              <w:bottom w:val="single" w:color="auto" w:sz="12" w:space="0"/>
              <w:right w:val="nil"/>
            </w:tcBorders>
            <w:shd w:val="clear" w:color="auto" w:fill="auto"/>
            <w:vAlign w:val="center"/>
          </w:tcPr>
          <w:p w14:paraId="19AD12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0.39%</w:t>
            </w:r>
          </w:p>
        </w:tc>
        <w:tc>
          <w:tcPr>
            <w:tcW w:w="1894" w:type="dxa"/>
            <w:tcBorders>
              <w:top w:val="nil"/>
              <w:left w:val="nil"/>
              <w:bottom w:val="single" w:color="auto" w:sz="12" w:space="0"/>
              <w:right w:val="nil"/>
            </w:tcBorders>
            <w:shd w:val="clear" w:color="auto" w:fill="auto"/>
            <w:vAlign w:val="center"/>
          </w:tcPr>
          <w:p w14:paraId="6F3CE9A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0.28%</w:t>
            </w:r>
          </w:p>
        </w:tc>
      </w:tr>
    </w:tbl>
    <w:p w14:paraId="013B730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6D1716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思美传媒销售净利率长期处于低位，并非单纯源于企业个体经营波动，更大程度上受到营销传播行业整体盈利结构的制约。相关行业研究显示，近年来营销行业毛利率整体处于较低水平，并在需求偏弱背景下呈现下行趋势；与此同时，行业还普遍面临较强的成本刚性，当收入增长放缓时，利润端往往更容易受到挤压。在AI应用方面，现有研究普遍认为，AI在营销行业的核心作用首先体现在效率提升，其主要嵌入内容生成、投放优化、数据分析和用户交互等环节，而对服务定价机制和利润分配结构的直接改变相对有限。</w:t>
      </w:r>
    </w:p>
    <w:p w14:paraId="6755F3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思美传媒的业务实践看，公司AI应用主要集中于广告创意生成、智能投放和AIGC内容生产等方面，本质上仍服务于原有整合营销传播业务。随着内容营销、智能投放和全域经营能力不断强化，行业整体效率水平虽有所提升，但价格竞争加剧、平台依赖增强等问题也同步存在，企业较难仅凭技术提效显著提高服务溢价。换言之，AI在营销传播行业中更容易表现为一种通用型效率工具，而非决定性利润放大机制。</w:t>
      </w:r>
    </w:p>
    <w:p w14:paraId="115EAF1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思美传媒销售净利率长期偏低的根本原因在于：其主营业务本身毛利率水平有限，而AI应用更多只能改善业务执行效率，难以从根本上改变服务价格形成机制和行业利润结构。由此可见，从销售净利率角度看，思美传媒盈利能力偏弱的主要原因并不在于期间费用率异常偏高，而在于主营业务利润空间相对有限，导致营业收入难以有效转化为净利润，并最终使公司销售净利率在样本期内持续处于低位。</w:t>
      </w:r>
    </w:p>
    <w:p w14:paraId="5CE8F24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综合来看，AI业务赋能型企业的销售净利率差异主要取决于被赋能主业本身的毛利空间。巨人网络的高净利率来自高毛利游戏主业与AI提效的叠加，世纪天鸿净利率</w:t>
      </w:r>
      <w:r>
        <w:rPr>
          <w:rFonts w:hint="eastAsia" w:ascii="宋体" w:hAnsi="宋体" w:eastAsia="宋体" w:cs="Times New Roman"/>
          <w:b w:val="0"/>
          <w:sz w:val="24"/>
          <w:szCs w:val="24"/>
          <w:lang w:val="en-US" w:eastAsia="zh-CN"/>
        </w:rPr>
        <w:t>的稳定</w:t>
      </w:r>
      <w:r>
        <w:rPr>
          <w:rFonts w:hint="default" w:ascii="宋体" w:hAnsi="宋体" w:eastAsia="宋体" w:cs="Times New Roman"/>
          <w:b w:val="0"/>
          <w:sz w:val="24"/>
          <w:szCs w:val="24"/>
        </w:rPr>
        <w:t>来自传统教辅业务的利润底盘，思美传媒的低净利率则反映出低毛利营销服务行业的结构性约束。三者共同说明，AI赋能并不自动创造高利润，只有当原有业务具备足够的产品溢价和变现能力时，AI带来的效率提升才更可能转化为净利率改善。</w:t>
      </w:r>
    </w:p>
    <w:p w14:paraId="14320A7B">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5.2.1.3 本节小结</w:t>
      </w:r>
    </w:p>
    <w:p w14:paraId="781D2B7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总体来看，六家典型样本企业销售净利率的差异，主要来自三个方面。第一，主营业务毛利空间不同。教育数字化、行业解决方案和游戏业务的附加值显著高于营销传播和流量服务，毛利率高低决定了净利率的上限。第二，费用投入结构不同。即便具备较高毛利率，若企业仍处于产品推广、研发迭代和市场培育阶段，销售费用率和研发费用率的上升仍会压缩净利率。第三，AI与主业结合后的商业化成熟度不同。若AI已有效嵌入高毛利主业，往往表现为提效增利；若AI仍处于投入期或所依附行业利润率偏低，则更多表现为效率改善但利润释放有限。</w:t>
      </w:r>
    </w:p>
    <w:p w14:paraId="78D20E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黑体" w:cs="Times New Roman"/>
          <w:color w:val="000000"/>
          <w:kern w:val="0"/>
          <w:sz w:val="28"/>
          <w:szCs w:val="28"/>
          <w:lang w:val="en-US" w:eastAsia="zh-CN"/>
        </w:rPr>
      </w:pPr>
      <w:r>
        <w:rPr>
          <w:rFonts w:hint="default" w:ascii="宋体" w:hAnsi="宋体" w:eastAsia="宋体" w:cs="Times New Roman"/>
          <w:b w:val="0"/>
          <w:sz w:val="24"/>
          <w:szCs w:val="24"/>
        </w:rPr>
        <w:t>因此，从销售净利率角度看，人工智能应用层企业利润空间的形成并不取决于是否引入AI，而取决于AI嵌入的业务本身是否具备足够高的附加值，以及企业能否在投入期结束后实现由技术能力向稳定利润的转化。基于这一判断，下一节将进一步从总资产周转率维度展开分析，以识别不同企业收入规模扩张与资产运用效率的差异。</w:t>
      </w:r>
    </w:p>
    <w:p w14:paraId="74D99464">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5.2.2总资产周转率分析</w:t>
      </w:r>
    </w:p>
    <w:p w14:paraId="2B6DB13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总资产周转率反映企业利用全部资产创造营业收入的能力，主要衡量企业资产运营效率。在杜邦分析体系中，总资产周转率体现的是企业经营效率，即企业投入的资产能否有效转化为收入规模。公式为：</w:t>
      </w:r>
    </w:p>
    <w:p w14:paraId="2D10A6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2B2C2B5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m:oMathPara>
        <m:oMath>
          <m:r>
            <m:rPr>
              <m:nor/>
              <m:sty m:val="p"/>
            </m:rPr>
            <w:rPr>
              <w:rFonts w:hint="default" w:ascii="Times New Roman" w:hAnsi="Times New Roman" w:eastAsia="宋体" w:cs="Times New Roman"/>
              <w:b w:val="0"/>
              <w:i w:val="0"/>
              <w:sz w:val="24"/>
            </w:rPr>
            <m:t>总资产周转率=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平均总资产</m:t>
              </m:r>
              <m:ctrlPr>
                <w:rPr>
                  <w:rFonts w:hint="default" w:ascii="Cambria Math" w:hAnsi="Cambria Math" w:eastAsia="宋体" w:cs="Times New Roman"/>
                  <w:sz w:val="24"/>
                </w:rPr>
              </m:ctrlPr>
            </m:den>
          </m:f>
        </m:oMath>
      </m:oMathPara>
    </w:p>
    <w:p w14:paraId="467F8B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w:p>
    <w:p w14:paraId="7051F9A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总资产周转率的变化主要取决于营业收入和资产规模之间的关系。当企业营业收入增长速度快于资产规模扩张时，总资产周转率通常会上升；反之，当资产规模扩张快于营业收入增长时，总资产周转率则可能下降。因此，在分析企业总资产周转率变化时，需要同时考察企业营业收入变化和资产规模变化。基于上述分析思路，对典型样本企业总资产周转率进行比较，可以进一步识别不同企业在收入增长能力和资产利用效率方面的差异。典型样本企业2020—2024年的总资产周转率如表5-13所示。</w:t>
      </w:r>
    </w:p>
    <w:p w14:paraId="3C1A091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表5-13 典型样本企业总资产周转率（2020-2024）</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03F83B7A">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7547EB9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3CF41F5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445D8D1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0C68A19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390D0E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707199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04C25FB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0BD53DE3">
        <w:trPr>
          <w:trHeight w:val="90" w:hRule="atLeast"/>
          <w:jc w:val="center"/>
        </w:trPr>
        <w:tc>
          <w:tcPr>
            <w:tcW w:w="1613" w:type="dxa"/>
            <w:tcBorders>
              <w:top w:val="single" w:color="auto" w:sz="4" w:space="0"/>
              <w:left w:val="nil"/>
              <w:bottom w:val="nil"/>
              <w:right w:val="nil"/>
            </w:tcBorders>
            <w:shd w:val="clear" w:color="auto" w:fill="auto"/>
            <w:vAlign w:val="center"/>
          </w:tcPr>
          <w:p w14:paraId="5164A16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3133477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1CAA86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18.30%</w:t>
            </w:r>
          </w:p>
        </w:tc>
        <w:tc>
          <w:tcPr>
            <w:tcW w:w="1074" w:type="dxa"/>
            <w:tcBorders>
              <w:top w:val="single" w:color="auto" w:sz="4" w:space="0"/>
              <w:left w:val="nil"/>
              <w:bottom w:val="nil"/>
              <w:right w:val="nil"/>
            </w:tcBorders>
            <w:shd w:val="clear" w:color="auto" w:fill="auto"/>
            <w:vAlign w:val="center"/>
          </w:tcPr>
          <w:p w14:paraId="26166F7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16.30%</w:t>
            </w:r>
          </w:p>
        </w:tc>
        <w:tc>
          <w:tcPr>
            <w:tcW w:w="1074" w:type="dxa"/>
            <w:tcBorders>
              <w:top w:val="single" w:color="auto" w:sz="4" w:space="0"/>
              <w:left w:val="nil"/>
              <w:bottom w:val="nil"/>
              <w:right w:val="nil"/>
            </w:tcBorders>
            <w:shd w:val="clear" w:color="auto" w:fill="auto"/>
            <w:vAlign w:val="center"/>
          </w:tcPr>
          <w:p w14:paraId="4199174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15.50%</w:t>
            </w:r>
          </w:p>
        </w:tc>
        <w:tc>
          <w:tcPr>
            <w:tcW w:w="1074" w:type="dxa"/>
            <w:tcBorders>
              <w:top w:val="single" w:color="auto" w:sz="4" w:space="0"/>
              <w:left w:val="nil"/>
              <w:bottom w:val="nil"/>
              <w:right w:val="nil"/>
            </w:tcBorders>
            <w:shd w:val="clear" w:color="auto" w:fill="auto"/>
            <w:vAlign w:val="center"/>
          </w:tcPr>
          <w:p w14:paraId="68F094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14.20%</w:t>
            </w:r>
          </w:p>
        </w:tc>
        <w:tc>
          <w:tcPr>
            <w:tcW w:w="1074" w:type="dxa"/>
            <w:tcBorders>
              <w:top w:val="single" w:color="auto" w:sz="4" w:space="0"/>
              <w:left w:val="nil"/>
              <w:bottom w:val="nil"/>
              <w:right w:val="nil"/>
            </w:tcBorders>
            <w:shd w:val="clear" w:color="auto" w:fill="auto"/>
            <w:vAlign w:val="center"/>
          </w:tcPr>
          <w:p w14:paraId="0B9B48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12.70%</w:t>
            </w:r>
          </w:p>
        </w:tc>
      </w:tr>
      <w:tr w14:paraId="647D9686">
        <w:trPr>
          <w:trHeight w:val="0" w:hRule="atLeast"/>
          <w:jc w:val="center"/>
        </w:trPr>
        <w:tc>
          <w:tcPr>
            <w:tcW w:w="1613" w:type="dxa"/>
            <w:tcBorders>
              <w:top w:val="nil"/>
              <w:left w:val="nil"/>
              <w:bottom w:val="nil"/>
              <w:right w:val="nil"/>
            </w:tcBorders>
            <w:shd w:val="clear" w:color="auto" w:fill="auto"/>
            <w:vAlign w:val="center"/>
          </w:tcPr>
          <w:p w14:paraId="547CBFE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7588216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074" w:type="dxa"/>
            <w:tcBorders>
              <w:top w:val="nil"/>
              <w:left w:val="nil"/>
              <w:bottom w:val="nil"/>
              <w:right w:val="nil"/>
            </w:tcBorders>
            <w:shd w:val="clear" w:color="auto" w:fill="auto"/>
            <w:vAlign w:val="center"/>
          </w:tcPr>
          <w:p w14:paraId="3B23FE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31.10%</w:t>
            </w:r>
          </w:p>
        </w:tc>
        <w:tc>
          <w:tcPr>
            <w:tcW w:w="1074" w:type="dxa"/>
            <w:tcBorders>
              <w:top w:val="nil"/>
              <w:left w:val="nil"/>
              <w:bottom w:val="nil"/>
              <w:right w:val="nil"/>
            </w:tcBorders>
            <w:shd w:val="clear" w:color="auto" w:fill="auto"/>
            <w:vAlign w:val="center"/>
          </w:tcPr>
          <w:p w14:paraId="301AC0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34.00%</w:t>
            </w:r>
          </w:p>
        </w:tc>
        <w:tc>
          <w:tcPr>
            <w:tcW w:w="1074" w:type="dxa"/>
            <w:tcBorders>
              <w:top w:val="nil"/>
              <w:left w:val="nil"/>
              <w:bottom w:val="nil"/>
              <w:right w:val="nil"/>
            </w:tcBorders>
            <w:shd w:val="clear" w:color="auto" w:fill="auto"/>
            <w:vAlign w:val="center"/>
          </w:tcPr>
          <w:p w14:paraId="75FB254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37.70%</w:t>
            </w:r>
          </w:p>
        </w:tc>
        <w:tc>
          <w:tcPr>
            <w:tcW w:w="1074" w:type="dxa"/>
            <w:tcBorders>
              <w:top w:val="nil"/>
              <w:left w:val="nil"/>
              <w:bottom w:val="nil"/>
              <w:right w:val="nil"/>
            </w:tcBorders>
            <w:shd w:val="clear" w:color="auto" w:fill="auto"/>
            <w:vAlign w:val="center"/>
          </w:tcPr>
          <w:p w14:paraId="215C4C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36.20%</w:t>
            </w:r>
          </w:p>
        </w:tc>
        <w:tc>
          <w:tcPr>
            <w:tcW w:w="1074" w:type="dxa"/>
            <w:tcBorders>
              <w:top w:val="nil"/>
              <w:left w:val="nil"/>
              <w:bottom w:val="nil"/>
              <w:right w:val="nil"/>
            </w:tcBorders>
            <w:shd w:val="clear" w:color="auto" w:fill="auto"/>
            <w:vAlign w:val="center"/>
          </w:tcPr>
          <w:p w14:paraId="7DCB32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36.60%</w:t>
            </w:r>
          </w:p>
        </w:tc>
      </w:tr>
      <w:tr w14:paraId="73511F9B">
        <w:trPr>
          <w:trHeight w:val="0" w:hRule="atLeast"/>
          <w:jc w:val="center"/>
        </w:trPr>
        <w:tc>
          <w:tcPr>
            <w:tcW w:w="1613" w:type="dxa"/>
            <w:tcBorders>
              <w:top w:val="nil"/>
              <w:left w:val="nil"/>
              <w:bottom w:val="nil"/>
              <w:right w:val="nil"/>
            </w:tcBorders>
            <w:shd w:val="clear" w:color="auto" w:fill="auto"/>
            <w:vAlign w:val="center"/>
          </w:tcPr>
          <w:p w14:paraId="63FADA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A6400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074" w:type="dxa"/>
            <w:tcBorders>
              <w:top w:val="nil"/>
              <w:left w:val="nil"/>
              <w:bottom w:val="nil"/>
              <w:right w:val="nil"/>
            </w:tcBorders>
            <w:shd w:val="clear" w:color="auto" w:fill="auto"/>
            <w:vAlign w:val="center"/>
          </w:tcPr>
          <w:p w14:paraId="35A467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268.10%</w:t>
            </w:r>
          </w:p>
        </w:tc>
        <w:tc>
          <w:tcPr>
            <w:tcW w:w="1074" w:type="dxa"/>
            <w:tcBorders>
              <w:top w:val="nil"/>
              <w:left w:val="nil"/>
              <w:bottom w:val="nil"/>
              <w:right w:val="nil"/>
            </w:tcBorders>
            <w:shd w:val="clear" w:color="auto" w:fill="auto"/>
            <w:vAlign w:val="center"/>
          </w:tcPr>
          <w:p w14:paraId="249400C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246.40%</w:t>
            </w:r>
          </w:p>
        </w:tc>
        <w:tc>
          <w:tcPr>
            <w:tcW w:w="1074" w:type="dxa"/>
            <w:tcBorders>
              <w:top w:val="nil"/>
              <w:left w:val="nil"/>
              <w:bottom w:val="nil"/>
              <w:right w:val="nil"/>
            </w:tcBorders>
            <w:shd w:val="clear" w:color="auto" w:fill="auto"/>
            <w:vAlign w:val="center"/>
          </w:tcPr>
          <w:p w14:paraId="584A05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196.90%</w:t>
            </w:r>
          </w:p>
        </w:tc>
        <w:tc>
          <w:tcPr>
            <w:tcW w:w="1074" w:type="dxa"/>
            <w:tcBorders>
              <w:top w:val="nil"/>
              <w:left w:val="nil"/>
              <w:bottom w:val="nil"/>
              <w:right w:val="nil"/>
            </w:tcBorders>
            <w:shd w:val="clear" w:color="auto" w:fill="auto"/>
            <w:vAlign w:val="center"/>
          </w:tcPr>
          <w:p w14:paraId="76F31CE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135.40%</w:t>
            </w:r>
          </w:p>
        </w:tc>
        <w:tc>
          <w:tcPr>
            <w:tcW w:w="1074" w:type="dxa"/>
            <w:tcBorders>
              <w:top w:val="nil"/>
              <w:left w:val="nil"/>
              <w:bottom w:val="nil"/>
              <w:right w:val="nil"/>
            </w:tcBorders>
            <w:shd w:val="clear" w:color="auto" w:fill="auto"/>
            <w:vAlign w:val="center"/>
          </w:tcPr>
          <w:p w14:paraId="0B70F9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106.20%</w:t>
            </w:r>
          </w:p>
        </w:tc>
      </w:tr>
      <w:tr w14:paraId="437E6979">
        <w:trPr>
          <w:trHeight w:val="0" w:hRule="atLeast"/>
          <w:jc w:val="center"/>
        </w:trPr>
        <w:tc>
          <w:tcPr>
            <w:tcW w:w="1613" w:type="dxa"/>
            <w:tcBorders>
              <w:top w:val="nil"/>
              <w:left w:val="nil"/>
              <w:bottom w:val="nil"/>
              <w:right w:val="nil"/>
            </w:tcBorders>
            <w:shd w:val="clear" w:color="auto" w:fill="auto"/>
            <w:vAlign w:val="center"/>
          </w:tcPr>
          <w:p w14:paraId="6BCA75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26EB2E7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074" w:type="dxa"/>
            <w:tcBorders>
              <w:top w:val="nil"/>
              <w:left w:val="nil"/>
              <w:bottom w:val="nil"/>
              <w:right w:val="nil"/>
            </w:tcBorders>
            <w:shd w:val="clear" w:color="auto" w:fill="auto"/>
            <w:vAlign w:val="center"/>
          </w:tcPr>
          <w:p w14:paraId="23C9B0B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21.30%</w:t>
            </w:r>
          </w:p>
        </w:tc>
        <w:tc>
          <w:tcPr>
            <w:tcW w:w="1074" w:type="dxa"/>
            <w:tcBorders>
              <w:top w:val="nil"/>
              <w:left w:val="nil"/>
              <w:bottom w:val="nil"/>
              <w:right w:val="nil"/>
            </w:tcBorders>
            <w:shd w:val="clear" w:color="auto" w:fill="auto"/>
            <w:vAlign w:val="center"/>
          </w:tcPr>
          <w:p w14:paraId="728F80D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18.70%</w:t>
            </w:r>
          </w:p>
        </w:tc>
        <w:tc>
          <w:tcPr>
            <w:tcW w:w="1074" w:type="dxa"/>
            <w:tcBorders>
              <w:top w:val="nil"/>
              <w:left w:val="nil"/>
              <w:bottom w:val="nil"/>
              <w:right w:val="nil"/>
            </w:tcBorders>
            <w:shd w:val="clear" w:color="auto" w:fill="auto"/>
            <w:vAlign w:val="center"/>
          </w:tcPr>
          <w:p w14:paraId="52C8E9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16.20%</w:t>
            </w:r>
          </w:p>
        </w:tc>
        <w:tc>
          <w:tcPr>
            <w:tcW w:w="1074" w:type="dxa"/>
            <w:tcBorders>
              <w:top w:val="nil"/>
              <w:left w:val="nil"/>
              <w:bottom w:val="nil"/>
              <w:right w:val="nil"/>
            </w:tcBorders>
            <w:shd w:val="clear" w:color="auto" w:fill="auto"/>
            <w:vAlign w:val="center"/>
          </w:tcPr>
          <w:p w14:paraId="04AEF9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22.00%</w:t>
            </w:r>
          </w:p>
        </w:tc>
        <w:tc>
          <w:tcPr>
            <w:tcW w:w="1074" w:type="dxa"/>
            <w:tcBorders>
              <w:top w:val="nil"/>
              <w:left w:val="nil"/>
              <w:bottom w:val="nil"/>
              <w:right w:val="nil"/>
            </w:tcBorders>
            <w:shd w:val="clear" w:color="auto" w:fill="auto"/>
            <w:vAlign w:val="center"/>
          </w:tcPr>
          <w:p w14:paraId="699FABC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20.80%</w:t>
            </w:r>
          </w:p>
        </w:tc>
      </w:tr>
      <w:tr w14:paraId="5F2A4AA6">
        <w:trPr>
          <w:trHeight w:val="0" w:hRule="atLeast"/>
          <w:jc w:val="center"/>
        </w:trPr>
        <w:tc>
          <w:tcPr>
            <w:tcW w:w="1613" w:type="dxa"/>
            <w:tcBorders>
              <w:top w:val="nil"/>
              <w:left w:val="nil"/>
              <w:bottom w:val="nil"/>
              <w:right w:val="nil"/>
            </w:tcBorders>
            <w:shd w:val="clear" w:color="auto" w:fill="auto"/>
            <w:vAlign w:val="center"/>
          </w:tcPr>
          <w:p w14:paraId="5DC197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569EB6F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D2A217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48.90%</w:t>
            </w:r>
          </w:p>
        </w:tc>
        <w:tc>
          <w:tcPr>
            <w:tcW w:w="1074" w:type="dxa"/>
            <w:tcBorders>
              <w:top w:val="nil"/>
              <w:left w:val="nil"/>
              <w:bottom w:val="nil"/>
              <w:right w:val="nil"/>
            </w:tcBorders>
            <w:shd w:val="clear" w:color="auto" w:fill="auto"/>
            <w:vAlign w:val="center"/>
          </w:tcPr>
          <w:p w14:paraId="37B87D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54.30%</w:t>
            </w:r>
          </w:p>
        </w:tc>
        <w:tc>
          <w:tcPr>
            <w:tcW w:w="1074" w:type="dxa"/>
            <w:tcBorders>
              <w:top w:val="nil"/>
              <w:left w:val="nil"/>
              <w:bottom w:val="nil"/>
              <w:right w:val="nil"/>
            </w:tcBorders>
            <w:shd w:val="clear" w:color="auto" w:fill="auto"/>
            <w:vAlign w:val="center"/>
          </w:tcPr>
          <w:p w14:paraId="27EE935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47.60%</w:t>
            </w:r>
          </w:p>
        </w:tc>
        <w:tc>
          <w:tcPr>
            <w:tcW w:w="1074" w:type="dxa"/>
            <w:tcBorders>
              <w:top w:val="nil"/>
              <w:left w:val="nil"/>
              <w:bottom w:val="nil"/>
              <w:right w:val="nil"/>
            </w:tcBorders>
            <w:shd w:val="clear" w:color="auto" w:fill="auto"/>
            <w:vAlign w:val="center"/>
          </w:tcPr>
          <w:p w14:paraId="5070501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46.90%</w:t>
            </w:r>
          </w:p>
        </w:tc>
        <w:tc>
          <w:tcPr>
            <w:tcW w:w="1074" w:type="dxa"/>
            <w:tcBorders>
              <w:top w:val="nil"/>
              <w:left w:val="nil"/>
              <w:bottom w:val="nil"/>
              <w:right w:val="nil"/>
            </w:tcBorders>
            <w:shd w:val="clear" w:color="auto" w:fill="auto"/>
            <w:vAlign w:val="center"/>
          </w:tcPr>
          <w:p w14:paraId="5F8B0F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47.20%</w:t>
            </w:r>
          </w:p>
        </w:tc>
      </w:tr>
      <w:tr w14:paraId="1300A6CF">
        <w:trPr>
          <w:trHeight w:val="0" w:hRule="atLeast"/>
          <w:jc w:val="center"/>
        </w:trPr>
        <w:tc>
          <w:tcPr>
            <w:tcW w:w="1613" w:type="dxa"/>
            <w:tcBorders>
              <w:top w:val="nil"/>
              <w:left w:val="nil"/>
              <w:bottom w:val="single" w:color="auto" w:sz="12" w:space="0"/>
              <w:right w:val="nil"/>
            </w:tcBorders>
            <w:shd w:val="clear" w:color="auto" w:fill="auto"/>
            <w:vAlign w:val="center"/>
          </w:tcPr>
          <w:p w14:paraId="2FDCB5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3AA3C03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0A8FCB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108.30%</w:t>
            </w:r>
          </w:p>
        </w:tc>
        <w:tc>
          <w:tcPr>
            <w:tcW w:w="1074" w:type="dxa"/>
            <w:tcBorders>
              <w:top w:val="nil"/>
              <w:left w:val="nil"/>
              <w:bottom w:val="single" w:color="auto" w:sz="12" w:space="0"/>
              <w:right w:val="nil"/>
            </w:tcBorders>
            <w:shd w:val="clear" w:color="auto" w:fill="auto"/>
            <w:vAlign w:val="center"/>
          </w:tcPr>
          <w:p w14:paraId="0FF08E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156.20%</w:t>
            </w:r>
          </w:p>
        </w:tc>
        <w:tc>
          <w:tcPr>
            <w:tcW w:w="1074" w:type="dxa"/>
            <w:tcBorders>
              <w:top w:val="nil"/>
              <w:left w:val="nil"/>
              <w:bottom w:val="single" w:color="auto" w:sz="12" w:space="0"/>
              <w:right w:val="nil"/>
            </w:tcBorders>
            <w:shd w:val="clear" w:color="auto" w:fill="auto"/>
            <w:vAlign w:val="center"/>
          </w:tcPr>
          <w:p w14:paraId="3406B4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155.80%</w:t>
            </w:r>
          </w:p>
        </w:tc>
        <w:tc>
          <w:tcPr>
            <w:tcW w:w="1074" w:type="dxa"/>
            <w:tcBorders>
              <w:top w:val="nil"/>
              <w:left w:val="nil"/>
              <w:bottom w:val="single" w:color="auto" w:sz="12" w:space="0"/>
              <w:right w:val="nil"/>
            </w:tcBorders>
            <w:shd w:val="clear" w:color="auto" w:fill="auto"/>
            <w:vAlign w:val="center"/>
          </w:tcPr>
          <w:p w14:paraId="086337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225.90%</w:t>
            </w:r>
          </w:p>
        </w:tc>
        <w:tc>
          <w:tcPr>
            <w:tcW w:w="1074" w:type="dxa"/>
            <w:tcBorders>
              <w:top w:val="nil"/>
              <w:left w:val="nil"/>
              <w:bottom w:val="single" w:color="auto" w:sz="12" w:space="0"/>
              <w:right w:val="nil"/>
            </w:tcBorders>
            <w:shd w:val="clear" w:color="auto" w:fill="auto"/>
            <w:vAlign w:val="center"/>
          </w:tcPr>
          <w:p w14:paraId="42BE01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230.10%</w:t>
            </w:r>
          </w:p>
        </w:tc>
      </w:tr>
    </w:tbl>
    <w:p w14:paraId="0B10BC7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622EAA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典型样本企业总资产周转率变化趋势如图5-4所示，不同企业在资产周转率方面差异较大，营销服务类企业通常具有较高周转率，而技术产品型企业普遍处于较低水平。样本期内天地在线和方直科技的周转率明显下滑，说明资产扩张未能同步转化为收入增长；思美传媒则相反，周转率持续提升，体现出收入规模放大快于资产增长；巨人网络、世纪天鸿、佳讯飞鸿大体处于稳定区间，说明现有业务基础对资产效率形成了一定支撑。为进一步分析不同企业资产运营效率差异的形成原因，下面将结合各企业营业收入与资产规模变化情况，并结合企业主营业务结构，对典型样本企业总资产周转率变化进行具体分析。</w:t>
      </w:r>
    </w:p>
    <w:p w14:paraId="5F2FABBE">
      <w:pPr>
        <w:widowControl/>
        <w:tabs>
          <w:tab w:val="left" w:pos="377"/>
        </w:tabs>
        <w:autoSpaceDE/>
        <w:autoSpaceDN/>
        <w:snapToGrid/>
        <w:spacing w:before="156" w:beforeLines="50" w:line="400" w:lineRule="exact"/>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714625"/>
            <wp:effectExtent l="6350" t="6350" r="29845" b="22225"/>
            <wp:docPr id="2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C6F753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图5-4 典型样本企业总资产周转率变化趋势图</w:t>
      </w:r>
    </w:p>
    <w:p w14:paraId="1D1BFD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79C45EE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5.2.2.1 AI独立产品型企业总资产周转率分析</w:t>
      </w:r>
    </w:p>
    <w:p w14:paraId="2EA4D9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1.方直科技</w:t>
      </w:r>
    </w:p>
    <w:p w14:paraId="713111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方直科技2020—2024年的总资产周转率由0.183下降至0.127，整体呈持续下降趋势，说明企业资产转化为营业收入的效率逐渐降低，资产运营效率持续减弱。企业周转率下降通常意味着营业收入增长速度低于资产规模扩张，或营业收入出现下降。为进一步分析其变化原因，本文整理了公司资产规模与营业收入变化情况，如表5-14所示。</w:t>
      </w:r>
    </w:p>
    <w:p w14:paraId="0853DB4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表5-14 方直科技资产规模与营业收入情况</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208BAFED">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0AF19E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0EBD13B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3E0FCAB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营业总收入（元）</w:t>
            </w:r>
          </w:p>
        </w:tc>
      </w:tr>
      <w:tr w14:paraId="404AA17F">
        <w:trPr>
          <w:trHeight w:val="0" w:hRule="atLeast"/>
          <w:jc w:val="center"/>
        </w:trPr>
        <w:tc>
          <w:tcPr>
            <w:tcW w:w="1251" w:type="dxa"/>
            <w:tcBorders>
              <w:top w:val="nil"/>
              <w:left w:val="nil"/>
              <w:bottom w:val="nil"/>
              <w:right w:val="nil"/>
            </w:tcBorders>
            <w:shd w:val="clear" w:color="auto" w:fill="auto"/>
            <w:vAlign w:val="center"/>
          </w:tcPr>
          <w:p w14:paraId="376EB32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417" w:type="dxa"/>
            <w:tcBorders>
              <w:top w:val="nil"/>
              <w:left w:val="nil"/>
              <w:bottom w:val="nil"/>
              <w:right w:val="nil"/>
            </w:tcBorders>
            <w:shd w:val="clear" w:color="auto" w:fill="auto"/>
            <w:vAlign w:val="center"/>
          </w:tcPr>
          <w:p w14:paraId="1AD28E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678,658,437</w:t>
            </w:r>
          </w:p>
        </w:tc>
        <w:tc>
          <w:tcPr>
            <w:tcW w:w="3851" w:type="dxa"/>
            <w:tcBorders>
              <w:top w:val="nil"/>
              <w:left w:val="nil"/>
              <w:bottom w:val="nil"/>
              <w:right w:val="nil"/>
            </w:tcBorders>
            <w:shd w:val="clear" w:color="auto" w:fill="auto"/>
            <w:vAlign w:val="center"/>
          </w:tcPr>
          <w:p w14:paraId="1787FA7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122,322,181</w:t>
            </w:r>
          </w:p>
        </w:tc>
      </w:tr>
      <w:tr w14:paraId="25AB8676">
        <w:trPr>
          <w:trHeight w:val="0" w:hRule="atLeast"/>
          <w:jc w:val="center"/>
        </w:trPr>
        <w:tc>
          <w:tcPr>
            <w:tcW w:w="1251" w:type="dxa"/>
            <w:tcBorders>
              <w:top w:val="nil"/>
              <w:left w:val="nil"/>
              <w:bottom w:val="nil"/>
              <w:right w:val="nil"/>
            </w:tcBorders>
            <w:shd w:val="clear" w:color="auto" w:fill="auto"/>
            <w:vAlign w:val="center"/>
          </w:tcPr>
          <w:p w14:paraId="3F655F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417" w:type="dxa"/>
            <w:tcBorders>
              <w:top w:val="nil"/>
              <w:left w:val="nil"/>
              <w:bottom w:val="nil"/>
              <w:right w:val="nil"/>
            </w:tcBorders>
            <w:shd w:val="clear" w:color="auto" w:fill="auto"/>
            <w:vAlign w:val="center"/>
          </w:tcPr>
          <w:p w14:paraId="0A70B1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685,266,193</w:t>
            </w:r>
          </w:p>
        </w:tc>
        <w:tc>
          <w:tcPr>
            <w:tcW w:w="3851" w:type="dxa"/>
            <w:tcBorders>
              <w:top w:val="nil"/>
              <w:left w:val="nil"/>
              <w:bottom w:val="nil"/>
              <w:right w:val="nil"/>
            </w:tcBorders>
            <w:shd w:val="clear" w:color="auto" w:fill="auto"/>
            <w:vAlign w:val="center"/>
          </w:tcPr>
          <w:p w14:paraId="1FBBF6D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111,488,967</w:t>
            </w:r>
          </w:p>
        </w:tc>
      </w:tr>
      <w:tr w14:paraId="6154D2F9">
        <w:trPr>
          <w:trHeight w:val="0" w:hRule="atLeast"/>
          <w:jc w:val="center"/>
        </w:trPr>
        <w:tc>
          <w:tcPr>
            <w:tcW w:w="1251" w:type="dxa"/>
            <w:tcBorders>
              <w:top w:val="nil"/>
              <w:left w:val="nil"/>
              <w:bottom w:val="nil"/>
              <w:right w:val="nil"/>
            </w:tcBorders>
            <w:shd w:val="clear" w:color="auto" w:fill="auto"/>
            <w:vAlign w:val="center"/>
          </w:tcPr>
          <w:p w14:paraId="4E11A66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417" w:type="dxa"/>
            <w:tcBorders>
              <w:top w:val="nil"/>
              <w:left w:val="nil"/>
              <w:bottom w:val="nil"/>
              <w:right w:val="nil"/>
            </w:tcBorders>
            <w:shd w:val="clear" w:color="auto" w:fill="auto"/>
            <w:vAlign w:val="center"/>
          </w:tcPr>
          <w:p w14:paraId="7D9BA8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704,654,098</w:t>
            </w:r>
          </w:p>
        </w:tc>
        <w:tc>
          <w:tcPr>
            <w:tcW w:w="3851" w:type="dxa"/>
            <w:tcBorders>
              <w:top w:val="nil"/>
              <w:left w:val="nil"/>
              <w:bottom w:val="nil"/>
              <w:right w:val="nil"/>
            </w:tcBorders>
            <w:shd w:val="clear" w:color="auto" w:fill="auto"/>
            <w:vAlign w:val="center"/>
          </w:tcPr>
          <w:p w14:paraId="5647ADD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107,789,572</w:t>
            </w:r>
          </w:p>
        </w:tc>
      </w:tr>
      <w:tr w14:paraId="5B74A751">
        <w:trPr>
          <w:trHeight w:val="0" w:hRule="atLeast"/>
          <w:jc w:val="center"/>
        </w:trPr>
        <w:tc>
          <w:tcPr>
            <w:tcW w:w="1251" w:type="dxa"/>
            <w:tcBorders>
              <w:top w:val="nil"/>
              <w:left w:val="nil"/>
              <w:bottom w:val="nil"/>
              <w:right w:val="nil"/>
            </w:tcBorders>
            <w:shd w:val="clear" w:color="auto" w:fill="auto"/>
            <w:vAlign w:val="center"/>
          </w:tcPr>
          <w:p w14:paraId="46F30B1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417" w:type="dxa"/>
            <w:tcBorders>
              <w:top w:val="nil"/>
              <w:left w:val="nil"/>
              <w:bottom w:val="nil"/>
              <w:right w:val="nil"/>
            </w:tcBorders>
            <w:shd w:val="clear" w:color="auto" w:fill="auto"/>
            <w:vAlign w:val="center"/>
          </w:tcPr>
          <w:p w14:paraId="232452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723,448,126</w:t>
            </w:r>
          </w:p>
        </w:tc>
        <w:tc>
          <w:tcPr>
            <w:tcW w:w="3851" w:type="dxa"/>
            <w:tcBorders>
              <w:top w:val="nil"/>
              <w:left w:val="nil"/>
              <w:bottom w:val="nil"/>
              <w:right w:val="nil"/>
            </w:tcBorders>
            <w:shd w:val="clear" w:color="auto" w:fill="auto"/>
            <w:vAlign w:val="center"/>
          </w:tcPr>
          <w:p w14:paraId="44171B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101,740,261</w:t>
            </w:r>
          </w:p>
        </w:tc>
      </w:tr>
      <w:tr w14:paraId="40AF7EB6">
        <w:trPr>
          <w:trHeight w:val="0" w:hRule="atLeast"/>
          <w:jc w:val="center"/>
        </w:trPr>
        <w:tc>
          <w:tcPr>
            <w:tcW w:w="1251" w:type="dxa"/>
            <w:tcBorders>
              <w:top w:val="nil"/>
              <w:left w:val="nil"/>
              <w:bottom w:val="single" w:color="000000" w:sz="12" w:space="0"/>
              <w:right w:val="nil"/>
            </w:tcBorders>
            <w:shd w:val="clear" w:color="auto" w:fill="auto"/>
            <w:vAlign w:val="center"/>
          </w:tcPr>
          <w:p w14:paraId="50B62C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54ED85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723,296,827</w:t>
            </w:r>
          </w:p>
        </w:tc>
        <w:tc>
          <w:tcPr>
            <w:tcW w:w="3851" w:type="dxa"/>
            <w:tcBorders>
              <w:top w:val="nil"/>
              <w:left w:val="nil"/>
              <w:bottom w:val="single" w:color="000000" w:sz="12" w:space="0"/>
              <w:right w:val="nil"/>
            </w:tcBorders>
            <w:shd w:val="clear" w:color="auto" w:fill="auto"/>
            <w:vAlign w:val="center"/>
          </w:tcPr>
          <w:p w14:paraId="24AF93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92,147,310</w:t>
            </w:r>
          </w:p>
        </w:tc>
      </w:tr>
    </w:tbl>
    <w:p w14:paraId="0C14B19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230F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从表5-14可得，公司资产规模在样本期内整体保持小幅增长，由2020年的6.79亿元增加至2024年的7.23亿元，而营业收入则呈持续下降趋势，由1.22亿元下降至0.92亿元。收入下降而资产规模保持稳定，使得企业资产周转率逐年下降。进一步从主营业务结构来看，公司收入主要集中在教育数字化产品领域。根据公司年报披露，教育行业收入长期占公司主营收入的80%以上，其中核心产品为“方直金太阳教育软件”和AI数字化教育产品。2024年公司主营业务结构如表5-15所示。</w:t>
      </w:r>
    </w:p>
    <w:p w14:paraId="5EC8917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表5-15 方直科技主营业务结构</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3"/>
        <w:gridCol w:w="1841"/>
        <w:gridCol w:w="1759"/>
        <w:gridCol w:w="1406"/>
      </w:tblGrid>
      <w:tr w14:paraId="61A4D1A6">
        <w:trPr>
          <w:trHeight w:val="0" w:hRule="atLeast"/>
          <w:tblHeader/>
          <w:jc w:val="center"/>
        </w:trPr>
        <w:tc>
          <w:tcPr>
            <w:tcW w:w="3513" w:type="dxa"/>
            <w:tcBorders>
              <w:top w:val="single" w:color="auto" w:sz="12" w:space="0"/>
              <w:left w:val="nil"/>
              <w:bottom w:val="single" w:color="auto" w:sz="4" w:space="0"/>
              <w:right w:val="nil"/>
            </w:tcBorders>
            <w:shd w:val="clear" w:color="auto" w:fill="auto"/>
            <w:vAlign w:val="center"/>
          </w:tcPr>
          <w:p w14:paraId="3A8A6D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841" w:type="dxa"/>
            <w:tcBorders>
              <w:top w:val="single" w:color="auto" w:sz="12" w:space="0"/>
              <w:left w:val="nil"/>
              <w:bottom w:val="single" w:color="auto" w:sz="4" w:space="0"/>
              <w:right w:val="nil"/>
            </w:tcBorders>
            <w:shd w:val="clear" w:color="auto" w:fill="auto"/>
            <w:vAlign w:val="center"/>
          </w:tcPr>
          <w:p w14:paraId="204D27A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759" w:type="dxa"/>
            <w:tcBorders>
              <w:top w:val="single" w:color="auto" w:sz="12" w:space="0"/>
              <w:left w:val="nil"/>
              <w:bottom w:val="single" w:color="auto" w:sz="4" w:space="0"/>
              <w:right w:val="nil"/>
            </w:tcBorders>
            <w:shd w:val="clear" w:color="auto" w:fill="auto"/>
            <w:vAlign w:val="center"/>
          </w:tcPr>
          <w:p w14:paraId="73D8E9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406" w:type="dxa"/>
            <w:tcBorders>
              <w:top w:val="single" w:color="auto" w:sz="12" w:space="0"/>
              <w:left w:val="nil"/>
              <w:bottom w:val="single" w:color="auto" w:sz="4" w:space="0"/>
              <w:right w:val="nil"/>
            </w:tcBorders>
            <w:shd w:val="clear" w:color="auto" w:fill="auto"/>
            <w:vAlign w:val="center"/>
          </w:tcPr>
          <w:p w14:paraId="01F804A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74206A33">
        <w:trPr>
          <w:trHeight w:val="0" w:hRule="atLeast"/>
          <w:jc w:val="center"/>
        </w:trPr>
        <w:tc>
          <w:tcPr>
            <w:tcW w:w="3513" w:type="dxa"/>
            <w:tcBorders>
              <w:top w:val="single" w:color="auto" w:sz="4" w:space="0"/>
              <w:left w:val="nil"/>
              <w:bottom w:val="nil"/>
              <w:right w:val="nil"/>
            </w:tcBorders>
            <w:shd w:val="clear" w:color="auto" w:fill="auto"/>
            <w:vAlign w:val="center"/>
          </w:tcPr>
          <w:p w14:paraId="79C2E4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方直金太阳教育软件</w:t>
            </w:r>
          </w:p>
        </w:tc>
        <w:tc>
          <w:tcPr>
            <w:tcW w:w="1841" w:type="dxa"/>
            <w:tcBorders>
              <w:top w:val="single" w:color="auto" w:sz="4" w:space="0"/>
              <w:left w:val="nil"/>
              <w:bottom w:val="nil"/>
              <w:right w:val="nil"/>
            </w:tcBorders>
            <w:shd w:val="clear" w:color="auto" w:fill="auto"/>
            <w:vAlign w:val="center"/>
          </w:tcPr>
          <w:p w14:paraId="052C5B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6935万元</w:t>
            </w:r>
          </w:p>
        </w:tc>
        <w:tc>
          <w:tcPr>
            <w:tcW w:w="1759" w:type="dxa"/>
            <w:tcBorders>
              <w:top w:val="single" w:color="auto" w:sz="4" w:space="0"/>
              <w:left w:val="nil"/>
              <w:bottom w:val="nil"/>
              <w:right w:val="nil"/>
            </w:tcBorders>
            <w:shd w:val="clear" w:color="auto" w:fill="auto"/>
            <w:vAlign w:val="center"/>
          </w:tcPr>
          <w:p w14:paraId="26E6B1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75.26%</w:t>
            </w:r>
          </w:p>
        </w:tc>
        <w:tc>
          <w:tcPr>
            <w:tcW w:w="1406" w:type="dxa"/>
            <w:tcBorders>
              <w:top w:val="single" w:color="auto" w:sz="4" w:space="0"/>
              <w:left w:val="nil"/>
              <w:bottom w:val="nil"/>
              <w:right w:val="nil"/>
            </w:tcBorders>
            <w:shd w:val="clear" w:color="auto" w:fill="auto"/>
            <w:vAlign w:val="center"/>
          </w:tcPr>
          <w:p w14:paraId="00CE17E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82.98%</w:t>
            </w:r>
          </w:p>
        </w:tc>
      </w:tr>
      <w:tr w14:paraId="4C9CB092">
        <w:trPr>
          <w:trHeight w:val="0" w:hRule="atLeast"/>
          <w:jc w:val="center"/>
        </w:trPr>
        <w:tc>
          <w:tcPr>
            <w:tcW w:w="3513" w:type="dxa"/>
            <w:tcBorders>
              <w:top w:val="nil"/>
              <w:left w:val="nil"/>
              <w:bottom w:val="nil"/>
              <w:right w:val="nil"/>
            </w:tcBorders>
            <w:shd w:val="clear" w:color="auto" w:fill="auto"/>
            <w:vAlign w:val="center"/>
          </w:tcPr>
          <w:p w14:paraId="10A088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AI数字化产品</w:t>
            </w:r>
          </w:p>
        </w:tc>
        <w:tc>
          <w:tcPr>
            <w:tcW w:w="1841" w:type="dxa"/>
            <w:tcBorders>
              <w:top w:val="nil"/>
              <w:left w:val="nil"/>
              <w:bottom w:val="nil"/>
              <w:right w:val="nil"/>
            </w:tcBorders>
            <w:shd w:val="clear" w:color="auto" w:fill="auto"/>
            <w:vAlign w:val="center"/>
          </w:tcPr>
          <w:p w14:paraId="2EE9E3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1039万元</w:t>
            </w:r>
          </w:p>
        </w:tc>
        <w:tc>
          <w:tcPr>
            <w:tcW w:w="1759" w:type="dxa"/>
            <w:tcBorders>
              <w:top w:val="nil"/>
              <w:left w:val="nil"/>
              <w:bottom w:val="nil"/>
              <w:right w:val="nil"/>
            </w:tcBorders>
            <w:shd w:val="clear" w:color="auto" w:fill="auto"/>
            <w:vAlign w:val="center"/>
          </w:tcPr>
          <w:p w14:paraId="766E33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w:t>
            </w:r>
          </w:p>
        </w:tc>
        <w:tc>
          <w:tcPr>
            <w:tcW w:w="1406" w:type="dxa"/>
            <w:tcBorders>
              <w:top w:val="nil"/>
              <w:left w:val="nil"/>
              <w:bottom w:val="nil"/>
              <w:right w:val="nil"/>
            </w:tcBorders>
            <w:shd w:val="clear" w:color="auto" w:fill="auto"/>
            <w:vAlign w:val="center"/>
          </w:tcPr>
          <w:p w14:paraId="3FD0AF4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79.89%</w:t>
            </w:r>
          </w:p>
        </w:tc>
      </w:tr>
      <w:tr w14:paraId="09787621">
        <w:trPr>
          <w:trHeight w:val="0" w:hRule="atLeast"/>
          <w:jc w:val="center"/>
        </w:trPr>
        <w:tc>
          <w:tcPr>
            <w:tcW w:w="3513" w:type="dxa"/>
            <w:tcBorders>
              <w:top w:val="nil"/>
              <w:left w:val="nil"/>
              <w:bottom w:val="nil"/>
              <w:right w:val="nil"/>
            </w:tcBorders>
            <w:shd w:val="clear" w:color="auto" w:fill="auto"/>
            <w:vAlign w:val="center"/>
          </w:tcPr>
          <w:p w14:paraId="5757FF0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技术开发与服务</w:t>
            </w:r>
          </w:p>
        </w:tc>
        <w:tc>
          <w:tcPr>
            <w:tcW w:w="1841" w:type="dxa"/>
            <w:tcBorders>
              <w:top w:val="nil"/>
              <w:left w:val="nil"/>
              <w:bottom w:val="nil"/>
              <w:right w:val="nil"/>
            </w:tcBorders>
            <w:shd w:val="clear" w:color="auto" w:fill="auto"/>
            <w:vAlign w:val="center"/>
          </w:tcPr>
          <w:p w14:paraId="553BA1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906万元</w:t>
            </w:r>
          </w:p>
        </w:tc>
        <w:tc>
          <w:tcPr>
            <w:tcW w:w="1759" w:type="dxa"/>
            <w:tcBorders>
              <w:top w:val="nil"/>
              <w:left w:val="nil"/>
              <w:bottom w:val="nil"/>
              <w:right w:val="nil"/>
            </w:tcBorders>
            <w:shd w:val="clear" w:color="auto" w:fill="auto"/>
            <w:vAlign w:val="center"/>
          </w:tcPr>
          <w:p w14:paraId="7B1509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9.84%</w:t>
            </w:r>
          </w:p>
        </w:tc>
        <w:tc>
          <w:tcPr>
            <w:tcW w:w="1406" w:type="dxa"/>
            <w:tcBorders>
              <w:top w:val="nil"/>
              <w:left w:val="nil"/>
              <w:bottom w:val="nil"/>
              <w:right w:val="nil"/>
            </w:tcBorders>
            <w:shd w:val="clear" w:color="auto" w:fill="auto"/>
            <w:vAlign w:val="center"/>
          </w:tcPr>
          <w:p w14:paraId="09AEEA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87.84%</w:t>
            </w:r>
          </w:p>
        </w:tc>
      </w:tr>
      <w:tr w14:paraId="3D052CFD">
        <w:trPr>
          <w:trHeight w:val="0" w:hRule="atLeast"/>
          <w:jc w:val="center"/>
        </w:trPr>
        <w:tc>
          <w:tcPr>
            <w:tcW w:w="3513" w:type="dxa"/>
            <w:tcBorders>
              <w:top w:val="nil"/>
              <w:left w:val="nil"/>
              <w:bottom w:val="single" w:color="auto" w:sz="12" w:space="0"/>
              <w:right w:val="nil"/>
            </w:tcBorders>
            <w:shd w:val="clear" w:color="auto" w:fill="auto"/>
            <w:vAlign w:val="center"/>
          </w:tcPr>
          <w:p w14:paraId="2FA639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其他产品</w:t>
            </w:r>
          </w:p>
        </w:tc>
        <w:tc>
          <w:tcPr>
            <w:tcW w:w="1841" w:type="dxa"/>
            <w:tcBorders>
              <w:top w:val="nil"/>
              <w:left w:val="nil"/>
              <w:bottom w:val="single" w:color="auto" w:sz="12" w:space="0"/>
              <w:right w:val="nil"/>
            </w:tcBorders>
            <w:shd w:val="clear" w:color="auto" w:fill="auto"/>
            <w:vAlign w:val="center"/>
          </w:tcPr>
          <w:p w14:paraId="6A5708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335万元</w:t>
            </w:r>
          </w:p>
        </w:tc>
        <w:tc>
          <w:tcPr>
            <w:tcW w:w="1759" w:type="dxa"/>
            <w:tcBorders>
              <w:top w:val="nil"/>
              <w:left w:val="nil"/>
              <w:bottom w:val="single" w:color="auto" w:sz="12" w:space="0"/>
              <w:right w:val="nil"/>
            </w:tcBorders>
            <w:shd w:val="clear" w:color="auto" w:fill="auto"/>
            <w:vAlign w:val="center"/>
          </w:tcPr>
          <w:p w14:paraId="68E2029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3.64%</w:t>
            </w:r>
          </w:p>
        </w:tc>
        <w:tc>
          <w:tcPr>
            <w:tcW w:w="1406" w:type="dxa"/>
            <w:tcBorders>
              <w:top w:val="nil"/>
              <w:left w:val="nil"/>
              <w:bottom w:val="single" w:color="auto" w:sz="12" w:space="0"/>
              <w:right w:val="nil"/>
            </w:tcBorders>
            <w:shd w:val="clear" w:color="auto" w:fill="auto"/>
            <w:vAlign w:val="center"/>
          </w:tcPr>
          <w:p w14:paraId="74547C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75.50%</w:t>
            </w:r>
          </w:p>
        </w:tc>
      </w:tr>
    </w:tbl>
    <w:p w14:paraId="6B0FFA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773EC0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传统教育软件仍是公司最主要的收入来源，而AI数字化产品收入占比仍然较低，仅为11%左右。这说明公司虽然已开始布局AI教育产品，但相关业务尚未形成规模收入，对整体收入增长的贡献仍然有限。</w:t>
      </w:r>
    </w:p>
    <w:p w14:paraId="7FEBFD5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时间序列来看，公司主营收入结构也呈现出一定变化。2020—2024年间，“方直金太阳教育软件”始终保持约70%—75%的收入占比，而AI数字化产品收入占比逐步提升，但总体规模仍然较小。这表明公司在推进AI教育产品研发与应用的过程中，收入结构正在逐步向数字化教育产品转型，但新产品仍处于市场培育阶段。</w:t>
      </w:r>
    </w:p>
    <w:p w14:paraId="15242D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教育信息化行业的发展特点也在一定程度上解释了这一现象。教育部在《教育信息化2.0行动计划》和“国家教育数字化战略行动”中提出推动人工智能与教育深度融合，鼓励数字教育资源和智能教学系统的建设</w:t>
      </w:r>
      <w:r>
        <w:rPr>
          <w:rFonts w:hint="default" w:ascii="宋体" w:hAnsi="宋体" w:eastAsia="宋体" w:cs="Times New Roman"/>
          <w:b w:val="0"/>
          <w:sz w:val="24"/>
          <w:szCs w:val="24"/>
          <w:vertAlign w:val="superscript"/>
        </w:rPr>
        <w:t>[47][48]</w:t>
      </w:r>
      <w:r>
        <w:rPr>
          <w:rFonts w:hint="default" w:ascii="宋体" w:hAnsi="宋体" w:eastAsia="宋体" w:cs="Times New Roman"/>
          <w:b w:val="0"/>
          <w:sz w:val="24"/>
          <w:szCs w:val="24"/>
        </w:rPr>
        <w:t>。但相关产品从研发到进入学校采购体系通常需要较长周期，包括产品试点、区域推广以及教育主管部门审批等多个环节。因此，教育数字化产品的商业化进程往往相对缓慢。在这一背景下，方直科技近年来持续增加AI教育产品研发和平台建设投入，企业资产规模保持稳定甚至略有扩张，但相关产品的商业化收入释放速度相对较慢。收入增长未能同步跟上资产规模变化，最终表现为总资产周转率逐年下降。</w:t>
      </w:r>
    </w:p>
    <w:p w14:paraId="4506D9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从资产运营效率角度看，方直科技总资产周转率下降并不完全意味着企业经营效率显著恶化，更可能反映出教育数字化产品研发投入增加而商业化周期较长的行业特征。随着AI教育产品逐步进入规模化应用阶段，企业营业收入增长速度有望提高，从而改善资产周转效率。</w:t>
      </w:r>
    </w:p>
    <w:p w14:paraId="049FD05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佳讯飞鸿</w:t>
      </w:r>
    </w:p>
    <w:p w14:paraId="13DBF72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佳讯飞鸿2020—2024年的总资产周转率由0.311上升至0.366，整体保持在0.3—0.4之间，波动幅度较小，说明企业资产转化为营业收入的效率整体较为稳定。</w:t>
      </w:r>
    </w:p>
    <w:p w14:paraId="1AA36BE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从佳讯飞鸿资产规模与营业收入变化表（表5-16）可见，公司资产规模在样本期内整体保持稳定，由2020年的30.35亿元小幅增加至2024年的31.44亿元，增长幅度较小；而营业收入则由9.61亿元增长至11.54亿元，整体呈现小幅增长趋势。由于营业收入增长速度略快于资产规模变化，总资产周转率整体保持在较为稳定的区间。</w:t>
      </w:r>
    </w:p>
    <w:p w14:paraId="0BF194B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表5-16 佳讯飞鸿资产规模与营业收入变化表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11C6D7FB">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97AB0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2E13A4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174CDB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2FAC51A4">
        <w:trPr>
          <w:trHeight w:val="0" w:hRule="atLeast"/>
          <w:jc w:val="center"/>
        </w:trPr>
        <w:tc>
          <w:tcPr>
            <w:tcW w:w="1271" w:type="dxa"/>
            <w:tcBorders>
              <w:top w:val="single" w:color="auto" w:sz="4" w:space="0"/>
              <w:left w:val="nil"/>
              <w:bottom w:val="nil"/>
              <w:right w:val="nil"/>
            </w:tcBorders>
            <w:shd w:val="clear" w:color="auto" w:fill="auto"/>
            <w:vAlign w:val="center"/>
          </w:tcPr>
          <w:p w14:paraId="1290C65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015B60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3,034,679,403</w:t>
            </w:r>
          </w:p>
        </w:tc>
        <w:tc>
          <w:tcPr>
            <w:tcW w:w="3837" w:type="dxa"/>
            <w:tcBorders>
              <w:top w:val="single" w:color="auto" w:sz="4" w:space="0"/>
              <w:left w:val="nil"/>
              <w:bottom w:val="nil"/>
              <w:right w:val="nil"/>
            </w:tcBorders>
            <w:shd w:val="clear" w:color="auto" w:fill="auto"/>
            <w:vAlign w:val="center"/>
          </w:tcPr>
          <w:p w14:paraId="79FD66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961,493,585</w:t>
            </w:r>
          </w:p>
        </w:tc>
      </w:tr>
      <w:tr w14:paraId="5533FFDE">
        <w:trPr>
          <w:trHeight w:val="0" w:hRule="atLeast"/>
          <w:jc w:val="center"/>
        </w:trPr>
        <w:tc>
          <w:tcPr>
            <w:tcW w:w="1271" w:type="dxa"/>
            <w:tcBorders>
              <w:top w:val="nil"/>
              <w:left w:val="nil"/>
              <w:bottom w:val="nil"/>
              <w:right w:val="nil"/>
            </w:tcBorders>
            <w:shd w:val="clear" w:color="auto" w:fill="auto"/>
            <w:vAlign w:val="center"/>
          </w:tcPr>
          <w:p w14:paraId="7F1B5C9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79343B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3,031,943,430</w:t>
            </w:r>
          </w:p>
        </w:tc>
        <w:tc>
          <w:tcPr>
            <w:tcW w:w="3837" w:type="dxa"/>
            <w:tcBorders>
              <w:top w:val="nil"/>
              <w:left w:val="nil"/>
              <w:bottom w:val="nil"/>
              <w:right w:val="nil"/>
            </w:tcBorders>
            <w:shd w:val="clear" w:color="auto" w:fill="auto"/>
            <w:vAlign w:val="center"/>
          </w:tcPr>
          <w:p w14:paraId="721A95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1,032,630,367</w:t>
            </w:r>
          </w:p>
        </w:tc>
      </w:tr>
      <w:tr w14:paraId="020619BB">
        <w:trPr>
          <w:trHeight w:val="0" w:hRule="atLeast"/>
          <w:jc w:val="center"/>
        </w:trPr>
        <w:tc>
          <w:tcPr>
            <w:tcW w:w="1271" w:type="dxa"/>
            <w:tcBorders>
              <w:top w:val="nil"/>
              <w:left w:val="nil"/>
              <w:bottom w:val="nil"/>
              <w:right w:val="nil"/>
            </w:tcBorders>
            <w:shd w:val="clear" w:color="auto" w:fill="auto"/>
            <w:vAlign w:val="center"/>
          </w:tcPr>
          <w:p w14:paraId="6DEC44D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2ECC04F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3,034,792,648</w:t>
            </w:r>
          </w:p>
        </w:tc>
        <w:tc>
          <w:tcPr>
            <w:tcW w:w="3837" w:type="dxa"/>
            <w:tcBorders>
              <w:top w:val="nil"/>
              <w:left w:val="nil"/>
              <w:bottom w:val="nil"/>
              <w:right w:val="nil"/>
            </w:tcBorders>
            <w:shd w:val="clear" w:color="auto" w:fill="auto"/>
            <w:vAlign w:val="center"/>
          </w:tcPr>
          <w:p w14:paraId="7D90A4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1,144,950,323</w:t>
            </w:r>
          </w:p>
        </w:tc>
      </w:tr>
      <w:tr w14:paraId="778117C2">
        <w:trPr>
          <w:trHeight w:val="0" w:hRule="atLeast"/>
          <w:jc w:val="center"/>
        </w:trPr>
        <w:tc>
          <w:tcPr>
            <w:tcW w:w="1271" w:type="dxa"/>
            <w:tcBorders>
              <w:top w:val="nil"/>
              <w:left w:val="nil"/>
              <w:bottom w:val="nil"/>
              <w:right w:val="nil"/>
            </w:tcBorders>
            <w:shd w:val="clear" w:color="auto" w:fill="auto"/>
            <w:vAlign w:val="center"/>
          </w:tcPr>
          <w:p w14:paraId="5E12EC9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5C1103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3,166,828,604</w:t>
            </w:r>
          </w:p>
        </w:tc>
        <w:tc>
          <w:tcPr>
            <w:tcW w:w="3837" w:type="dxa"/>
            <w:tcBorders>
              <w:top w:val="nil"/>
              <w:left w:val="nil"/>
              <w:bottom w:val="nil"/>
              <w:right w:val="nil"/>
            </w:tcBorders>
            <w:shd w:val="clear" w:color="auto" w:fill="auto"/>
            <w:vAlign w:val="center"/>
          </w:tcPr>
          <w:p w14:paraId="4AA86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1,123,392,344</w:t>
            </w:r>
          </w:p>
        </w:tc>
      </w:tr>
      <w:tr w14:paraId="18386B6B">
        <w:trPr>
          <w:trHeight w:val="0" w:hRule="atLeast"/>
          <w:jc w:val="center"/>
        </w:trPr>
        <w:tc>
          <w:tcPr>
            <w:tcW w:w="1271" w:type="dxa"/>
            <w:tcBorders>
              <w:top w:val="nil"/>
              <w:left w:val="nil"/>
              <w:bottom w:val="single" w:color="auto" w:sz="12" w:space="0"/>
              <w:right w:val="nil"/>
            </w:tcBorders>
            <w:shd w:val="clear" w:color="auto" w:fill="auto"/>
            <w:vAlign w:val="center"/>
          </w:tcPr>
          <w:p w14:paraId="3796AA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539F7A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3,143,722,135</w:t>
            </w:r>
          </w:p>
        </w:tc>
        <w:tc>
          <w:tcPr>
            <w:tcW w:w="3837" w:type="dxa"/>
            <w:tcBorders>
              <w:top w:val="nil"/>
              <w:left w:val="nil"/>
              <w:bottom w:val="single" w:color="auto" w:sz="12" w:space="0"/>
              <w:right w:val="nil"/>
            </w:tcBorders>
            <w:shd w:val="clear" w:color="auto" w:fill="auto"/>
            <w:vAlign w:val="center"/>
          </w:tcPr>
          <w:p w14:paraId="7D4996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1,153,724,402</w:t>
            </w:r>
          </w:p>
        </w:tc>
      </w:tr>
    </w:tbl>
    <w:p w14:paraId="32F3E9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2C761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进一步从主营业务结构来看，公司收入主要集中在交通行业及相关智能化应用领域。根据公司年报披露，交通行业收入长期占公司主营收入的约60%，是企业最主要的业务来源。2024年公司主营业务结构如表5-17所示。</w:t>
      </w:r>
    </w:p>
    <w:p w14:paraId="59DE881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表5-17 佳讯飞鸿主营业务结构表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3"/>
        <w:gridCol w:w="2059"/>
        <w:gridCol w:w="1791"/>
        <w:gridCol w:w="1426"/>
      </w:tblGrid>
      <w:tr w14:paraId="317DE0C9">
        <w:trPr>
          <w:trHeight w:val="0" w:hRule="atLeast"/>
          <w:tblHeader/>
          <w:jc w:val="center"/>
        </w:trPr>
        <w:tc>
          <w:tcPr>
            <w:tcW w:w="3243" w:type="dxa"/>
            <w:tcBorders>
              <w:top w:val="single" w:color="000000" w:sz="12" w:space="0"/>
              <w:left w:val="nil"/>
              <w:bottom w:val="single" w:color="000000" w:sz="8" w:space="0"/>
              <w:right w:val="nil"/>
            </w:tcBorders>
            <w:shd w:val="clear" w:color="auto" w:fill="auto"/>
            <w:vAlign w:val="center"/>
          </w:tcPr>
          <w:p w14:paraId="2DF837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产品类型</w:t>
            </w:r>
          </w:p>
        </w:tc>
        <w:tc>
          <w:tcPr>
            <w:tcW w:w="2059" w:type="dxa"/>
            <w:tcBorders>
              <w:top w:val="single" w:color="000000" w:sz="12" w:space="0"/>
              <w:left w:val="nil"/>
              <w:bottom w:val="single" w:color="000000" w:sz="8" w:space="0"/>
              <w:right w:val="nil"/>
            </w:tcBorders>
            <w:shd w:val="clear" w:color="auto" w:fill="auto"/>
            <w:vAlign w:val="center"/>
          </w:tcPr>
          <w:p w14:paraId="077444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主营收入</w:t>
            </w:r>
          </w:p>
        </w:tc>
        <w:tc>
          <w:tcPr>
            <w:tcW w:w="1791" w:type="dxa"/>
            <w:tcBorders>
              <w:top w:val="single" w:color="000000" w:sz="12" w:space="0"/>
              <w:left w:val="nil"/>
              <w:bottom w:val="single" w:color="000000" w:sz="8" w:space="0"/>
              <w:right w:val="nil"/>
            </w:tcBorders>
            <w:shd w:val="clear" w:color="auto" w:fill="auto"/>
            <w:vAlign w:val="center"/>
          </w:tcPr>
          <w:p w14:paraId="1102DA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收入占比</w:t>
            </w:r>
          </w:p>
        </w:tc>
        <w:tc>
          <w:tcPr>
            <w:tcW w:w="1426" w:type="dxa"/>
            <w:tcBorders>
              <w:top w:val="single" w:color="000000" w:sz="12" w:space="0"/>
              <w:left w:val="nil"/>
              <w:bottom w:val="single" w:color="000000" w:sz="8" w:space="0"/>
              <w:right w:val="nil"/>
            </w:tcBorders>
            <w:shd w:val="clear" w:color="auto" w:fill="auto"/>
            <w:vAlign w:val="center"/>
          </w:tcPr>
          <w:p w14:paraId="15C1B2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毛利率</w:t>
            </w:r>
          </w:p>
        </w:tc>
      </w:tr>
      <w:tr w14:paraId="6996013A">
        <w:trPr>
          <w:trHeight w:val="0" w:hRule="atLeast"/>
          <w:jc w:val="center"/>
        </w:trPr>
        <w:tc>
          <w:tcPr>
            <w:tcW w:w="3243" w:type="dxa"/>
            <w:tcBorders>
              <w:top w:val="nil"/>
              <w:left w:val="nil"/>
              <w:bottom w:val="nil"/>
              <w:right w:val="nil"/>
            </w:tcBorders>
            <w:shd w:val="clear" w:color="auto" w:fill="auto"/>
            <w:vAlign w:val="center"/>
          </w:tcPr>
          <w:p w14:paraId="786ECB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指挥调度类</w:t>
            </w:r>
          </w:p>
        </w:tc>
        <w:tc>
          <w:tcPr>
            <w:tcW w:w="2059" w:type="dxa"/>
            <w:tcBorders>
              <w:top w:val="nil"/>
              <w:left w:val="nil"/>
              <w:bottom w:val="nil"/>
              <w:right w:val="nil"/>
            </w:tcBorders>
            <w:shd w:val="clear" w:color="auto" w:fill="auto"/>
            <w:vAlign w:val="center"/>
          </w:tcPr>
          <w:p w14:paraId="1D9F901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5.413亿元</w:t>
            </w:r>
          </w:p>
        </w:tc>
        <w:tc>
          <w:tcPr>
            <w:tcW w:w="1791" w:type="dxa"/>
            <w:tcBorders>
              <w:top w:val="nil"/>
              <w:left w:val="nil"/>
              <w:bottom w:val="nil"/>
              <w:right w:val="nil"/>
            </w:tcBorders>
            <w:shd w:val="clear" w:color="auto" w:fill="auto"/>
            <w:vAlign w:val="center"/>
          </w:tcPr>
          <w:p w14:paraId="223958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46.92%</w:t>
            </w:r>
          </w:p>
        </w:tc>
        <w:tc>
          <w:tcPr>
            <w:tcW w:w="1426" w:type="dxa"/>
            <w:tcBorders>
              <w:top w:val="nil"/>
              <w:left w:val="nil"/>
              <w:bottom w:val="nil"/>
              <w:right w:val="nil"/>
            </w:tcBorders>
            <w:shd w:val="clear" w:color="auto" w:fill="auto"/>
            <w:vAlign w:val="center"/>
          </w:tcPr>
          <w:p w14:paraId="3F56D53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50.51%</w:t>
            </w:r>
          </w:p>
        </w:tc>
      </w:tr>
      <w:tr w14:paraId="1E6956EE">
        <w:trPr>
          <w:trHeight w:val="0" w:hRule="atLeast"/>
          <w:jc w:val="center"/>
        </w:trPr>
        <w:tc>
          <w:tcPr>
            <w:tcW w:w="3243" w:type="dxa"/>
            <w:tcBorders>
              <w:top w:val="nil"/>
              <w:left w:val="nil"/>
              <w:bottom w:val="nil"/>
              <w:right w:val="nil"/>
            </w:tcBorders>
            <w:shd w:val="clear" w:color="auto" w:fill="auto"/>
            <w:vAlign w:val="center"/>
          </w:tcPr>
          <w:p w14:paraId="10B5A1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智能应用类</w:t>
            </w:r>
          </w:p>
        </w:tc>
        <w:tc>
          <w:tcPr>
            <w:tcW w:w="2059" w:type="dxa"/>
            <w:tcBorders>
              <w:top w:val="nil"/>
              <w:left w:val="nil"/>
              <w:bottom w:val="nil"/>
              <w:right w:val="nil"/>
            </w:tcBorders>
            <w:shd w:val="clear" w:color="auto" w:fill="auto"/>
            <w:vAlign w:val="center"/>
          </w:tcPr>
          <w:p w14:paraId="0232D3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3.743亿元</w:t>
            </w:r>
          </w:p>
        </w:tc>
        <w:tc>
          <w:tcPr>
            <w:tcW w:w="1791" w:type="dxa"/>
            <w:tcBorders>
              <w:top w:val="nil"/>
              <w:left w:val="nil"/>
              <w:bottom w:val="nil"/>
              <w:right w:val="nil"/>
            </w:tcBorders>
            <w:shd w:val="clear" w:color="auto" w:fill="auto"/>
            <w:vAlign w:val="center"/>
          </w:tcPr>
          <w:p w14:paraId="4C9CC3F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32.44%</w:t>
            </w:r>
          </w:p>
        </w:tc>
        <w:tc>
          <w:tcPr>
            <w:tcW w:w="1426" w:type="dxa"/>
            <w:tcBorders>
              <w:top w:val="nil"/>
              <w:left w:val="nil"/>
              <w:bottom w:val="nil"/>
              <w:right w:val="nil"/>
            </w:tcBorders>
            <w:shd w:val="clear" w:color="auto" w:fill="auto"/>
            <w:vAlign w:val="center"/>
          </w:tcPr>
          <w:p w14:paraId="04AA328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21.87%</w:t>
            </w:r>
          </w:p>
        </w:tc>
      </w:tr>
      <w:tr w14:paraId="5503E74D">
        <w:trPr>
          <w:trHeight w:val="0" w:hRule="atLeast"/>
          <w:jc w:val="center"/>
        </w:trPr>
        <w:tc>
          <w:tcPr>
            <w:tcW w:w="3243" w:type="dxa"/>
            <w:tcBorders>
              <w:top w:val="nil"/>
              <w:left w:val="nil"/>
              <w:bottom w:val="nil"/>
              <w:right w:val="nil"/>
            </w:tcBorders>
            <w:shd w:val="clear" w:color="auto" w:fill="auto"/>
            <w:vAlign w:val="center"/>
          </w:tcPr>
          <w:p w14:paraId="16AF0F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行业物联网应用类</w:t>
            </w:r>
          </w:p>
        </w:tc>
        <w:tc>
          <w:tcPr>
            <w:tcW w:w="2059" w:type="dxa"/>
            <w:tcBorders>
              <w:top w:val="nil"/>
              <w:left w:val="nil"/>
              <w:bottom w:val="nil"/>
              <w:right w:val="nil"/>
            </w:tcBorders>
            <w:shd w:val="clear" w:color="auto" w:fill="auto"/>
            <w:vAlign w:val="center"/>
          </w:tcPr>
          <w:p w14:paraId="4C8BF4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1.675亿元</w:t>
            </w:r>
          </w:p>
        </w:tc>
        <w:tc>
          <w:tcPr>
            <w:tcW w:w="1791" w:type="dxa"/>
            <w:tcBorders>
              <w:top w:val="nil"/>
              <w:left w:val="nil"/>
              <w:bottom w:val="nil"/>
              <w:right w:val="nil"/>
            </w:tcBorders>
            <w:shd w:val="clear" w:color="auto" w:fill="auto"/>
            <w:vAlign w:val="center"/>
          </w:tcPr>
          <w:p w14:paraId="4DC296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14.52%</w:t>
            </w:r>
          </w:p>
        </w:tc>
        <w:tc>
          <w:tcPr>
            <w:tcW w:w="1426" w:type="dxa"/>
            <w:tcBorders>
              <w:top w:val="nil"/>
              <w:left w:val="nil"/>
              <w:bottom w:val="nil"/>
              <w:right w:val="nil"/>
            </w:tcBorders>
            <w:shd w:val="clear" w:color="auto" w:fill="auto"/>
            <w:vAlign w:val="center"/>
          </w:tcPr>
          <w:p w14:paraId="6C0912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53.25%</w:t>
            </w:r>
          </w:p>
        </w:tc>
      </w:tr>
      <w:tr w14:paraId="767A0748">
        <w:trPr>
          <w:trHeight w:val="0" w:hRule="atLeast"/>
          <w:jc w:val="center"/>
        </w:trPr>
        <w:tc>
          <w:tcPr>
            <w:tcW w:w="3243" w:type="dxa"/>
            <w:tcBorders>
              <w:top w:val="nil"/>
              <w:left w:val="nil"/>
              <w:bottom w:val="single" w:color="000000" w:sz="12" w:space="0"/>
              <w:right w:val="nil"/>
            </w:tcBorders>
            <w:shd w:val="clear" w:color="auto" w:fill="auto"/>
            <w:vAlign w:val="center"/>
          </w:tcPr>
          <w:p w14:paraId="52C179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维保服务类</w:t>
            </w:r>
          </w:p>
        </w:tc>
        <w:tc>
          <w:tcPr>
            <w:tcW w:w="2059" w:type="dxa"/>
            <w:tcBorders>
              <w:top w:val="nil"/>
              <w:left w:val="nil"/>
              <w:bottom w:val="single" w:color="000000" w:sz="12" w:space="0"/>
              <w:right w:val="nil"/>
            </w:tcBorders>
            <w:shd w:val="clear" w:color="auto" w:fill="auto"/>
            <w:vAlign w:val="center"/>
          </w:tcPr>
          <w:p w14:paraId="63EB7FB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7060万元</w:t>
            </w:r>
          </w:p>
        </w:tc>
        <w:tc>
          <w:tcPr>
            <w:tcW w:w="1791" w:type="dxa"/>
            <w:tcBorders>
              <w:top w:val="nil"/>
              <w:left w:val="nil"/>
              <w:bottom w:val="single" w:color="000000" w:sz="12" w:space="0"/>
              <w:right w:val="nil"/>
            </w:tcBorders>
            <w:shd w:val="clear" w:color="auto" w:fill="auto"/>
            <w:vAlign w:val="center"/>
          </w:tcPr>
          <w:p w14:paraId="0591D1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6.12%</w:t>
            </w:r>
          </w:p>
        </w:tc>
        <w:tc>
          <w:tcPr>
            <w:tcW w:w="1426" w:type="dxa"/>
            <w:tcBorders>
              <w:top w:val="nil"/>
              <w:left w:val="nil"/>
              <w:bottom w:val="single" w:color="000000" w:sz="12" w:space="0"/>
              <w:right w:val="nil"/>
            </w:tcBorders>
            <w:shd w:val="clear" w:color="auto" w:fill="auto"/>
            <w:vAlign w:val="center"/>
          </w:tcPr>
          <w:p w14:paraId="4FE419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71.69%</w:t>
            </w:r>
          </w:p>
        </w:tc>
      </w:tr>
    </w:tbl>
    <w:p w14:paraId="03BDDF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6704EF3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公司核心收入主要来自指挥调度类和智能应用类产品，两类业务合计占主营收入约79%。其中，指挥调度类产品毛利率约为50%，是公司最主要的盈利来源；智能应用类产品收入占比较高，但毛利率相对较低，对企业整体利润贡献相对有限。与此同时，维保服务类业务虽然收入规模较小，但毛利率较高，为企业提供了一定的稳定利润来源。</w:t>
      </w:r>
      <w:r>
        <w:rPr>
          <w:rFonts w:hint="default" w:ascii="宋体" w:hAnsi="宋体" w:eastAsia="宋体" w:cs="Times New Roman"/>
          <w:b w:val="0"/>
          <w:sz w:val="24"/>
          <w:szCs w:val="24"/>
          <w:lang w:val="en-US" w:eastAsia="zh-CN"/>
        </w:rPr>
        <w:t>同时，</w:t>
      </w:r>
      <w:r>
        <w:rPr>
          <w:rFonts w:hint="default" w:ascii="宋体" w:hAnsi="宋体" w:eastAsia="宋体" w:cs="Times New Roman"/>
          <w:b w:val="0"/>
          <w:sz w:val="24"/>
          <w:szCs w:val="24"/>
        </w:rPr>
        <w:t>公司业务结构整体保持稳定。2020—2024年期间，交通行业收入占比长期维持在约60%左右，指挥调度类产品收入占比约为45%—55%。这说明公司在轨道交通和行业通信领域形成了较为稳定的市场需求基础，业务规模和收入结构变化不大。</w:t>
      </w:r>
    </w:p>
    <w:p w14:paraId="2D8DE6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随着人工智能技术在交通行业数字化建设中的应用不断增加，智能调度系统、智能通信系统以及行业物联网应用逐渐成为交通信息化建设的重要组成部分。《交通强国建设纲要》提出推动交通领域数字化和智能化发展，推动智能调度和智慧交通系统建设。在这一政策背景下，轨道交通和交通信息化领域对智能调度系统和行业通信系统的需求持续存在，也为相关企业提供了较为稳定的市场空间。</w:t>
      </w:r>
    </w:p>
    <w:p w14:paraId="7C8374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佳讯飞鸿总资产周转率整体保持稳定，一方面源于公司资产规模变化较小，另一方面也与交通行业信息化需求较为稳定有关。企业收入增长与资产规模变化基本同步，使得总资产周转率在样本期内维持在相对稳定的区间。</w:t>
      </w:r>
    </w:p>
    <w:p w14:paraId="6B545F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天地在线</w:t>
      </w:r>
    </w:p>
    <w:p w14:paraId="33349F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天地在线2020—2024年的总资产周转率由2.681下降至1.062，整体呈明显下降趋势，说明企业资产转化为营业收入的效率在样本期内持续降低。</w:t>
      </w:r>
    </w:p>
    <w:p w14:paraId="1DFB57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如表5-18所示，公司资产规模在样本期内整体呈下降趋势，由2020年的16.33亿元下降至2024年的12.25亿元，而营业收入下降幅度更为明显，由2021年的40.61亿元下降至2024年的13.38亿元。由于营业收入下降速度远快于资产规模变化，企业资产利用效率明显降低，从而导致总资产周转率快速下降。</w:t>
      </w:r>
    </w:p>
    <w:p w14:paraId="7412DFE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表5-18 天地在线资产规模与营业收入变化表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4FF50D29">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6F67DF7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622B2B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21C8209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3C4F16E6">
        <w:trPr>
          <w:trHeight w:val="0" w:hRule="atLeast"/>
          <w:jc w:val="center"/>
        </w:trPr>
        <w:tc>
          <w:tcPr>
            <w:tcW w:w="1271" w:type="dxa"/>
            <w:tcBorders>
              <w:top w:val="single" w:color="auto" w:sz="4" w:space="0"/>
              <w:left w:val="nil"/>
              <w:bottom w:val="nil"/>
              <w:right w:val="nil"/>
            </w:tcBorders>
            <w:shd w:val="clear" w:color="auto" w:fill="auto"/>
            <w:vAlign w:val="center"/>
          </w:tcPr>
          <w:p w14:paraId="1E5DF4F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1D4C05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1,633,328,105</w:t>
            </w:r>
          </w:p>
        </w:tc>
        <w:tc>
          <w:tcPr>
            <w:tcW w:w="3837" w:type="dxa"/>
            <w:tcBorders>
              <w:top w:val="single" w:color="auto" w:sz="4" w:space="0"/>
              <w:left w:val="nil"/>
              <w:bottom w:val="nil"/>
              <w:right w:val="nil"/>
            </w:tcBorders>
            <w:shd w:val="clear" w:color="auto" w:fill="auto"/>
            <w:vAlign w:val="center"/>
          </w:tcPr>
          <w:p w14:paraId="200FB18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3,270,120,932</w:t>
            </w:r>
          </w:p>
        </w:tc>
      </w:tr>
      <w:tr w14:paraId="1AC2C744">
        <w:trPr>
          <w:trHeight w:val="0" w:hRule="atLeast"/>
          <w:jc w:val="center"/>
        </w:trPr>
        <w:tc>
          <w:tcPr>
            <w:tcW w:w="1271" w:type="dxa"/>
            <w:tcBorders>
              <w:top w:val="nil"/>
              <w:left w:val="nil"/>
              <w:bottom w:val="nil"/>
              <w:right w:val="nil"/>
            </w:tcBorders>
            <w:shd w:val="clear" w:color="auto" w:fill="auto"/>
            <w:vAlign w:val="center"/>
          </w:tcPr>
          <w:p w14:paraId="3779B7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0956D4D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1,662,828,820</w:t>
            </w:r>
          </w:p>
        </w:tc>
        <w:tc>
          <w:tcPr>
            <w:tcW w:w="3837" w:type="dxa"/>
            <w:tcBorders>
              <w:top w:val="nil"/>
              <w:left w:val="nil"/>
              <w:bottom w:val="nil"/>
              <w:right w:val="nil"/>
            </w:tcBorders>
            <w:shd w:val="clear" w:color="auto" w:fill="auto"/>
            <w:vAlign w:val="center"/>
          </w:tcPr>
          <w:p w14:paraId="7D6D38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4,060,841,650</w:t>
            </w:r>
          </w:p>
        </w:tc>
      </w:tr>
      <w:tr w14:paraId="1DC4059D">
        <w:trPr>
          <w:trHeight w:val="0" w:hRule="atLeast"/>
          <w:jc w:val="center"/>
        </w:trPr>
        <w:tc>
          <w:tcPr>
            <w:tcW w:w="1271" w:type="dxa"/>
            <w:tcBorders>
              <w:top w:val="nil"/>
              <w:left w:val="nil"/>
              <w:bottom w:val="nil"/>
              <w:right w:val="nil"/>
            </w:tcBorders>
            <w:shd w:val="clear" w:color="auto" w:fill="auto"/>
            <w:vAlign w:val="center"/>
          </w:tcPr>
          <w:p w14:paraId="375E51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4381BF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1,429,550,289</w:t>
            </w:r>
          </w:p>
        </w:tc>
        <w:tc>
          <w:tcPr>
            <w:tcW w:w="3837" w:type="dxa"/>
            <w:tcBorders>
              <w:top w:val="nil"/>
              <w:left w:val="nil"/>
              <w:bottom w:val="nil"/>
              <w:right w:val="nil"/>
            </w:tcBorders>
            <w:shd w:val="clear" w:color="auto" w:fill="auto"/>
            <w:vAlign w:val="center"/>
          </w:tcPr>
          <w:p w14:paraId="2F03AF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3,044,650,273</w:t>
            </w:r>
          </w:p>
        </w:tc>
      </w:tr>
      <w:tr w14:paraId="12A618F1">
        <w:trPr>
          <w:trHeight w:val="0" w:hRule="atLeast"/>
          <w:jc w:val="center"/>
        </w:trPr>
        <w:tc>
          <w:tcPr>
            <w:tcW w:w="1271" w:type="dxa"/>
            <w:tcBorders>
              <w:top w:val="nil"/>
              <w:left w:val="nil"/>
              <w:bottom w:val="nil"/>
              <w:right w:val="nil"/>
            </w:tcBorders>
            <w:shd w:val="clear" w:color="auto" w:fill="auto"/>
            <w:vAlign w:val="center"/>
          </w:tcPr>
          <w:p w14:paraId="673F292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33CFF3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1,295,480,700</w:t>
            </w:r>
          </w:p>
        </w:tc>
        <w:tc>
          <w:tcPr>
            <w:tcW w:w="3837" w:type="dxa"/>
            <w:tcBorders>
              <w:top w:val="nil"/>
              <w:left w:val="nil"/>
              <w:bottom w:val="nil"/>
              <w:right w:val="nil"/>
            </w:tcBorders>
            <w:shd w:val="clear" w:color="auto" w:fill="auto"/>
            <w:vAlign w:val="center"/>
          </w:tcPr>
          <w:p w14:paraId="01E078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1,844,767,136</w:t>
            </w:r>
          </w:p>
        </w:tc>
      </w:tr>
      <w:tr w14:paraId="470BD95F">
        <w:trPr>
          <w:trHeight w:val="0" w:hRule="atLeast"/>
          <w:jc w:val="center"/>
        </w:trPr>
        <w:tc>
          <w:tcPr>
            <w:tcW w:w="1271" w:type="dxa"/>
            <w:tcBorders>
              <w:top w:val="nil"/>
              <w:left w:val="nil"/>
              <w:bottom w:val="single" w:color="auto" w:sz="12" w:space="0"/>
              <w:right w:val="nil"/>
            </w:tcBorders>
            <w:shd w:val="clear" w:color="auto" w:fill="auto"/>
            <w:vAlign w:val="center"/>
          </w:tcPr>
          <w:p w14:paraId="1549D4D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6E8771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1,224,640,744</w:t>
            </w:r>
          </w:p>
        </w:tc>
        <w:tc>
          <w:tcPr>
            <w:tcW w:w="3837" w:type="dxa"/>
            <w:tcBorders>
              <w:top w:val="nil"/>
              <w:left w:val="nil"/>
              <w:bottom w:val="single" w:color="auto" w:sz="12" w:space="0"/>
              <w:right w:val="nil"/>
            </w:tcBorders>
            <w:shd w:val="clear" w:color="auto" w:fill="auto"/>
            <w:vAlign w:val="center"/>
          </w:tcPr>
          <w:p w14:paraId="6B71E4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1,337,598,463</w:t>
            </w:r>
          </w:p>
        </w:tc>
      </w:tr>
    </w:tbl>
    <w:p w14:paraId="36B46E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399CEEB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进一步从主营业务结构来看，公司收入高度集中于互联网营销服务业务。根据公司年报披露，2024年互联网和相关服务业收入占主营收入的99.79%，其中数字化营销服务是企业最主要的收入来源，如表5-19所示。</w:t>
      </w:r>
    </w:p>
    <w:p w14:paraId="4869810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表5-19 天地在线主营业务结构表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95"/>
        <w:gridCol w:w="2150"/>
        <w:gridCol w:w="1875"/>
        <w:gridCol w:w="1499"/>
      </w:tblGrid>
      <w:tr w14:paraId="3372E094">
        <w:trPr>
          <w:trHeight w:val="0" w:hRule="atLeast"/>
          <w:tblHeader/>
          <w:jc w:val="center"/>
        </w:trPr>
        <w:tc>
          <w:tcPr>
            <w:tcW w:w="2995" w:type="dxa"/>
            <w:tcBorders>
              <w:top w:val="single" w:color="auto" w:sz="12" w:space="0"/>
              <w:left w:val="nil"/>
              <w:bottom w:val="single" w:color="auto" w:sz="4" w:space="0"/>
              <w:right w:val="nil"/>
            </w:tcBorders>
            <w:shd w:val="clear" w:color="auto" w:fill="auto"/>
            <w:vAlign w:val="center"/>
          </w:tcPr>
          <w:p w14:paraId="0DC5AD3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2150" w:type="dxa"/>
            <w:tcBorders>
              <w:top w:val="single" w:color="auto" w:sz="12" w:space="0"/>
              <w:left w:val="nil"/>
              <w:bottom w:val="single" w:color="auto" w:sz="4" w:space="0"/>
              <w:right w:val="nil"/>
            </w:tcBorders>
            <w:shd w:val="clear" w:color="auto" w:fill="auto"/>
            <w:vAlign w:val="center"/>
          </w:tcPr>
          <w:p w14:paraId="6FD272A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875" w:type="dxa"/>
            <w:tcBorders>
              <w:top w:val="single" w:color="auto" w:sz="12" w:space="0"/>
              <w:left w:val="nil"/>
              <w:bottom w:val="single" w:color="auto" w:sz="4" w:space="0"/>
              <w:right w:val="nil"/>
            </w:tcBorders>
            <w:shd w:val="clear" w:color="auto" w:fill="auto"/>
            <w:vAlign w:val="center"/>
          </w:tcPr>
          <w:p w14:paraId="0955DF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499" w:type="dxa"/>
            <w:tcBorders>
              <w:top w:val="single" w:color="auto" w:sz="12" w:space="0"/>
              <w:left w:val="nil"/>
              <w:bottom w:val="single" w:color="auto" w:sz="4" w:space="0"/>
              <w:right w:val="nil"/>
            </w:tcBorders>
            <w:shd w:val="clear" w:color="auto" w:fill="auto"/>
            <w:vAlign w:val="center"/>
          </w:tcPr>
          <w:p w14:paraId="46AA2C3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7A1D18ED">
        <w:trPr>
          <w:trHeight w:val="0" w:hRule="atLeast"/>
          <w:jc w:val="center"/>
        </w:trPr>
        <w:tc>
          <w:tcPr>
            <w:tcW w:w="2995" w:type="dxa"/>
            <w:tcBorders>
              <w:top w:val="single" w:color="auto" w:sz="4" w:space="0"/>
              <w:left w:val="nil"/>
              <w:bottom w:val="nil"/>
              <w:right w:val="nil"/>
            </w:tcBorders>
            <w:shd w:val="clear" w:color="auto" w:fill="auto"/>
            <w:vAlign w:val="center"/>
          </w:tcPr>
          <w:p w14:paraId="798C9D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数字化营销服务</w:t>
            </w:r>
          </w:p>
        </w:tc>
        <w:tc>
          <w:tcPr>
            <w:tcW w:w="2150" w:type="dxa"/>
            <w:tcBorders>
              <w:top w:val="single" w:color="auto" w:sz="4" w:space="0"/>
              <w:left w:val="nil"/>
              <w:bottom w:val="nil"/>
              <w:right w:val="nil"/>
            </w:tcBorders>
            <w:shd w:val="clear" w:color="auto" w:fill="auto"/>
            <w:vAlign w:val="center"/>
          </w:tcPr>
          <w:p w14:paraId="7E2279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12.14亿元</w:t>
            </w:r>
          </w:p>
        </w:tc>
        <w:tc>
          <w:tcPr>
            <w:tcW w:w="1875" w:type="dxa"/>
            <w:tcBorders>
              <w:top w:val="single" w:color="auto" w:sz="4" w:space="0"/>
              <w:left w:val="nil"/>
              <w:bottom w:val="nil"/>
              <w:right w:val="nil"/>
            </w:tcBorders>
            <w:shd w:val="clear" w:color="auto" w:fill="auto"/>
            <w:vAlign w:val="center"/>
          </w:tcPr>
          <w:p w14:paraId="70EA1A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90.73%</w:t>
            </w:r>
          </w:p>
        </w:tc>
        <w:tc>
          <w:tcPr>
            <w:tcW w:w="1499" w:type="dxa"/>
            <w:tcBorders>
              <w:top w:val="single" w:color="auto" w:sz="4" w:space="0"/>
              <w:left w:val="nil"/>
              <w:bottom w:val="nil"/>
              <w:right w:val="nil"/>
            </w:tcBorders>
            <w:shd w:val="clear" w:color="auto" w:fill="auto"/>
            <w:vAlign w:val="center"/>
          </w:tcPr>
          <w:p w14:paraId="3D5451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7.37%</w:t>
            </w:r>
          </w:p>
        </w:tc>
      </w:tr>
      <w:tr w14:paraId="0F61B4DD">
        <w:trPr>
          <w:trHeight w:val="0" w:hRule="atLeast"/>
          <w:jc w:val="center"/>
        </w:trPr>
        <w:tc>
          <w:tcPr>
            <w:tcW w:w="2995" w:type="dxa"/>
            <w:tcBorders>
              <w:top w:val="nil"/>
              <w:left w:val="nil"/>
              <w:bottom w:val="nil"/>
              <w:right w:val="nil"/>
            </w:tcBorders>
            <w:shd w:val="clear" w:color="auto" w:fill="auto"/>
            <w:vAlign w:val="center"/>
          </w:tcPr>
          <w:p w14:paraId="25DE5E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数智化综合服务</w:t>
            </w:r>
          </w:p>
        </w:tc>
        <w:tc>
          <w:tcPr>
            <w:tcW w:w="2150" w:type="dxa"/>
            <w:tcBorders>
              <w:top w:val="nil"/>
              <w:left w:val="nil"/>
              <w:bottom w:val="nil"/>
              <w:right w:val="nil"/>
            </w:tcBorders>
            <w:shd w:val="clear" w:color="auto" w:fill="auto"/>
            <w:vAlign w:val="center"/>
          </w:tcPr>
          <w:p w14:paraId="5CB170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1.212亿元</w:t>
            </w:r>
          </w:p>
        </w:tc>
        <w:tc>
          <w:tcPr>
            <w:tcW w:w="1875" w:type="dxa"/>
            <w:tcBorders>
              <w:top w:val="nil"/>
              <w:left w:val="nil"/>
              <w:bottom w:val="nil"/>
              <w:right w:val="nil"/>
            </w:tcBorders>
            <w:shd w:val="clear" w:color="auto" w:fill="auto"/>
            <w:vAlign w:val="center"/>
          </w:tcPr>
          <w:p w14:paraId="691C98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9.06%</w:t>
            </w:r>
          </w:p>
        </w:tc>
        <w:tc>
          <w:tcPr>
            <w:tcW w:w="1499" w:type="dxa"/>
            <w:tcBorders>
              <w:top w:val="nil"/>
              <w:left w:val="nil"/>
              <w:bottom w:val="nil"/>
              <w:right w:val="nil"/>
            </w:tcBorders>
            <w:shd w:val="clear" w:color="auto" w:fill="auto"/>
            <w:vAlign w:val="center"/>
          </w:tcPr>
          <w:p w14:paraId="5C7A10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9.44%</w:t>
            </w:r>
          </w:p>
        </w:tc>
      </w:tr>
      <w:tr w14:paraId="5A93DBBF">
        <w:trPr>
          <w:trHeight w:val="0" w:hRule="atLeast"/>
          <w:jc w:val="center"/>
        </w:trPr>
        <w:tc>
          <w:tcPr>
            <w:tcW w:w="2995" w:type="dxa"/>
            <w:tcBorders>
              <w:top w:val="nil"/>
              <w:left w:val="nil"/>
              <w:bottom w:val="single" w:color="auto" w:sz="12" w:space="0"/>
              <w:right w:val="nil"/>
            </w:tcBorders>
            <w:shd w:val="clear" w:color="auto" w:fill="auto"/>
            <w:vAlign w:val="center"/>
          </w:tcPr>
          <w:p w14:paraId="4DCDF3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w:t>
            </w:r>
          </w:p>
        </w:tc>
        <w:tc>
          <w:tcPr>
            <w:tcW w:w="2150" w:type="dxa"/>
            <w:tcBorders>
              <w:top w:val="nil"/>
              <w:left w:val="nil"/>
              <w:bottom w:val="single" w:color="auto" w:sz="12" w:space="0"/>
              <w:right w:val="nil"/>
            </w:tcBorders>
            <w:shd w:val="clear" w:color="auto" w:fill="auto"/>
            <w:vAlign w:val="center"/>
          </w:tcPr>
          <w:p w14:paraId="4BE9450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280万元</w:t>
            </w:r>
          </w:p>
        </w:tc>
        <w:tc>
          <w:tcPr>
            <w:tcW w:w="1875" w:type="dxa"/>
            <w:tcBorders>
              <w:top w:val="nil"/>
              <w:left w:val="nil"/>
              <w:bottom w:val="single" w:color="auto" w:sz="12" w:space="0"/>
              <w:right w:val="nil"/>
            </w:tcBorders>
            <w:shd w:val="clear" w:color="auto" w:fill="auto"/>
            <w:vAlign w:val="center"/>
          </w:tcPr>
          <w:p w14:paraId="356B2E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499" w:type="dxa"/>
            <w:tcBorders>
              <w:top w:val="nil"/>
              <w:left w:val="nil"/>
              <w:bottom w:val="single" w:color="auto" w:sz="12" w:space="0"/>
              <w:right w:val="nil"/>
            </w:tcBorders>
            <w:shd w:val="clear" w:color="auto" w:fill="auto"/>
            <w:vAlign w:val="center"/>
          </w:tcPr>
          <w:p w14:paraId="26FD4A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24.59%</w:t>
            </w:r>
          </w:p>
        </w:tc>
      </w:tr>
    </w:tbl>
    <w:p w14:paraId="1055F7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3C6D4E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公司主营业务高度依赖数字化营销服务，该业务长期占公司收入的90%以上。与此同时，数字化营销服务毛利率相对较低，例如2024年仅为7.37%，说明该业务属于典型的规模驱动型业务，即企业需要依靠较大的收入规模维持经营。</w:t>
      </w:r>
      <w:r>
        <w:rPr>
          <w:rFonts w:hint="default" w:ascii="宋体" w:hAnsi="宋体" w:eastAsia="宋体" w:cs="Times New Roman"/>
          <w:b w:val="0"/>
          <w:sz w:val="24"/>
          <w:szCs w:val="24"/>
          <w:lang w:val="en-US" w:eastAsia="zh-CN"/>
        </w:rPr>
        <w:t>整体来说，</w:t>
      </w:r>
      <w:r>
        <w:rPr>
          <w:rFonts w:hint="default" w:ascii="宋体" w:hAnsi="宋体" w:eastAsia="宋体" w:cs="Times New Roman"/>
          <w:b w:val="0"/>
          <w:sz w:val="24"/>
          <w:szCs w:val="24"/>
        </w:rPr>
        <w:t>公司主营业务结构在样本期内变化不大</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2020—2024年期间，互联网营销服务收入始终占公司主营收入的绝大部分，而数智化综合服务业务收入占比相对较小。例如2022年数智化综合服务收入占比仅为1.43%，2024年也仅提升至9%左右。这表明公司虽然开始布局数智化服务和人工智能相关应用，但相关业务规模仍然较小，对企业整体收入结构的影响有限。</w:t>
      </w:r>
    </w:p>
    <w:p w14:paraId="1682EB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随着人工智能技术在营销行业中的应用不断增加，部分企业开始探索AI营销工具、智能广告投放系统以及数字内容生成技术，以提升营销效率。但从公司主营业务结构来看，天地在线当前收入仍主要依赖传统数字营销业务，而新型数字化服务和AI相关业务尚未形成稳定收入来源。</w:t>
      </w:r>
    </w:p>
    <w:p w14:paraId="0A877BE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天地在线总资产周转率下降的主要原因在于企业营业收入规模明显下降，而资产规模变化相对有限。主营业务高度集中于数字化营销服务，同时AI相关业务规模仍处于发展阶段，使得企业收入增长未能形成新的动力，从而在样本期内表现为资产周转效率持续下降。</w:t>
      </w:r>
    </w:p>
    <w:p w14:paraId="0FE55218">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5.2.2.2 AI业务赋能型企业总资产周转率分析</w:t>
      </w:r>
    </w:p>
    <w:p w14:paraId="3A050B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 巨人网络</w:t>
      </w:r>
    </w:p>
    <w:p w14:paraId="31297B6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巨人网络2020—2024年的总资产周转率整体处于较为稳定的区间，在0.16—0.22之间波动，没有出现明显上升或下降趋势。</w:t>
      </w:r>
    </w:p>
    <w:p w14:paraId="76B7F40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从表5-20所示，公司资产规模在样本期内整体呈上升趋势，由2020年的108.35亿元增长至2024年的147.43亿元；营业收入则在2020—2022年阶段略有下降，2023年开始明显回升并维持在较高水平。由于资产规模和营业收入在整体上保持同步变化，企业资产利用效率没有出现明显波动，因此总资产周转率整体保持稳定。</w:t>
      </w:r>
    </w:p>
    <w:p w14:paraId="1429A08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表5-20 巨人网络资产规模与营业收入变化表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5AE7D25E">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5CE67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4757BA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1B8FF3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6FF0E41F">
        <w:trPr>
          <w:trHeight w:val="0" w:hRule="atLeast"/>
          <w:jc w:val="center"/>
        </w:trPr>
        <w:tc>
          <w:tcPr>
            <w:tcW w:w="1271" w:type="dxa"/>
            <w:tcBorders>
              <w:top w:val="single" w:color="auto" w:sz="4" w:space="0"/>
              <w:left w:val="nil"/>
              <w:bottom w:val="nil"/>
              <w:right w:val="nil"/>
            </w:tcBorders>
            <w:shd w:val="clear" w:color="auto" w:fill="auto"/>
            <w:vAlign w:val="center"/>
          </w:tcPr>
          <w:p w14:paraId="673178D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73E66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10,834,794,955</w:t>
            </w:r>
          </w:p>
        </w:tc>
        <w:tc>
          <w:tcPr>
            <w:tcW w:w="3837" w:type="dxa"/>
            <w:tcBorders>
              <w:top w:val="single" w:color="auto" w:sz="4" w:space="0"/>
              <w:left w:val="nil"/>
              <w:bottom w:val="nil"/>
              <w:right w:val="nil"/>
            </w:tcBorders>
            <w:shd w:val="clear" w:color="auto" w:fill="auto"/>
            <w:vAlign w:val="center"/>
          </w:tcPr>
          <w:p w14:paraId="3E1D6F0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2,217,294,341</w:t>
            </w:r>
          </w:p>
        </w:tc>
      </w:tr>
      <w:tr w14:paraId="007F6044">
        <w:trPr>
          <w:trHeight w:val="0" w:hRule="atLeast"/>
          <w:jc w:val="center"/>
        </w:trPr>
        <w:tc>
          <w:tcPr>
            <w:tcW w:w="1271" w:type="dxa"/>
            <w:tcBorders>
              <w:top w:val="nil"/>
              <w:left w:val="nil"/>
              <w:bottom w:val="nil"/>
              <w:right w:val="nil"/>
            </w:tcBorders>
            <w:shd w:val="clear" w:color="auto" w:fill="auto"/>
            <w:vAlign w:val="center"/>
          </w:tcPr>
          <w:p w14:paraId="1FAFE43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211BB9B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11,925,121,573</w:t>
            </w:r>
          </w:p>
        </w:tc>
        <w:tc>
          <w:tcPr>
            <w:tcW w:w="3837" w:type="dxa"/>
            <w:tcBorders>
              <w:top w:val="nil"/>
              <w:left w:val="nil"/>
              <w:bottom w:val="nil"/>
              <w:right w:val="nil"/>
            </w:tcBorders>
            <w:shd w:val="clear" w:color="auto" w:fill="auto"/>
            <w:vAlign w:val="center"/>
          </w:tcPr>
          <w:p w14:paraId="306E851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2,124,268,637</w:t>
            </w:r>
          </w:p>
        </w:tc>
      </w:tr>
      <w:tr w14:paraId="6AEC1D35">
        <w:trPr>
          <w:trHeight w:val="0" w:hRule="atLeast"/>
          <w:jc w:val="center"/>
        </w:trPr>
        <w:tc>
          <w:tcPr>
            <w:tcW w:w="1271" w:type="dxa"/>
            <w:tcBorders>
              <w:top w:val="nil"/>
              <w:left w:val="nil"/>
              <w:bottom w:val="nil"/>
              <w:right w:val="nil"/>
            </w:tcBorders>
            <w:shd w:val="clear" w:color="auto" w:fill="auto"/>
            <w:vAlign w:val="center"/>
          </w:tcPr>
          <w:p w14:paraId="3DA58DC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33E3ED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13,209,068,645</w:t>
            </w:r>
          </w:p>
        </w:tc>
        <w:tc>
          <w:tcPr>
            <w:tcW w:w="3837" w:type="dxa"/>
            <w:tcBorders>
              <w:top w:val="nil"/>
              <w:left w:val="nil"/>
              <w:bottom w:val="nil"/>
              <w:right w:val="nil"/>
            </w:tcBorders>
            <w:shd w:val="clear" w:color="auto" w:fill="auto"/>
            <w:vAlign w:val="center"/>
          </w:tcPr>
          <w:p w14:paraId="22D940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2,037,707,421</w:t>
            </w:r>
          </w:p>
        </w:tc>
      </w:tr>
      <w:tr w14:paraId="0B8DE6AF">
        <w:trPr>
          <w:trHeight w:val="0" w:hRule="atLeast"/>
          <w:jc w:val="center"/>
        </w:trPr>
        <w:tc>
          <w:tcPr>
            <w:tcW w:w="1271" w:type="dxa"/>
            <w:tcBorders>
              <w:top w:val="nil"/>
              <w:left w:val="nil"/>
              <w:bottom w:val="nil"/>
              <w:right w:val="nil"/>
            </w:tcBorders>
            <w:shd w:val="clear" w:color="auto" w:fill="auto"/>
            <w:vAlign w:val="center"/>
          </w:tcPr>
          <w:p w14:paraId="33932C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2D7D11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13,370,515,052</w:t>
            </w:r>
          </w:p>
        </w:tc>
        <w:tc>
          <w:tcPr>
            <w:tcW w:w="3837" w:type="dxa"/>
            <w:tcBorders>
              <w:top w:val="nil"/>
              <w:left w:val="nil"/>
              <w:bottom w:val="nil"/>
              <w:right w:val="nil"/>
            </w:tcBorders>
            <w:shd w:val="clear" w:color="auto" w:fill="auto"/>
            <w:vAlign w:val="center"/>
          </w:tcPr>
          <w:p w14:paraId="0177D9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2,924,173,672</w:t>
            </w:r>
          </w:p>
        </w:tc>
      </w:tr>
      <w:tr w14:paraId="0AE4373D">
        <w:trPr>
          <w:trHeight w:val="0" w:hRule="atLeast"/>
          <w:jc w:val="center"/>
        </w:trPr>
        <w:tc>
          <w:tcPr>
            <w:tcW w:w="1271" w:type="dxa"/>
            <w:tcBorders>
              <w:top w:val="nil"/>
              <w:left w:val="nil"/>
              <w:bottom w:val="single" w:color="auto" w:sz="12" w:space="0"/>
              <w:right w:val="nil"/>
            </w:tcBorders>
            <w:shd w:val="clear" w:color="auto" w:fill="auto"/>
            <w:vAlign w:val="center"/>
          </w:tcPr>
          <w:p w14:paraId="277192D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4C3A04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14,742,575,985</w:t>
            </w:r>
          </w:p>
        </w:tc>
        <w:tc>
          <w:tcPr>
            <w:tcW w:w="3837" w:type="dxa"/>
            <w:tcBorders>
              <w:top w:val="nil"/>
              <w:left w:val="nil"/>
              <w:bottom w:val="single" w:color="auto" w:sz="12" w:space="0"/>
              <w:right w:val="nil"/>
            </w:tcBorders>
            <w:shd w:val="clear" w:color="auto" w:fill="auto"/>
            <w:vAlign w:val="center"/>
          </w:tcPr>
          <w:p w14:paraId="1A3F1E9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2,922,846,402</w:t>
            </w:r>
          </w:p>
        </w:tc>
      </w:tr>
    </w:tbl>
    <w:p w14:paraId="6E5BCE5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9379A7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进一步从主营业务结构来看，公司收入高度集中于游戏业务。根据公司年报披露，2024年游戏相关业务收入占主营收入的99.86%，其中移动端网络游戏和电脑端网络游戏构成主要收入来源，如表5-21所示。</w:t>
      </w:r>
    </w:p>
    <w:p w14:paraId="28F7179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表5-21 2024年巨人网络主营业务结构表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79"/>
        <w:gridCol w:w="1699"/>
        <w:gridCol w:w="1699"/>
        <w:gridCol w:w="1542"/>
      </w:tblGrid>
      <w:tr w14:paraId="1F495E59">
        <w:trPr>
          <w:trHeight w:val="0" w:hRule="atLeast"/>
          <w:tblHeader/>
          <w:jc w:val="center"/>
        </w:trPr>
        <w:tc>
          <w:tcPr>
            <w:tcW w:w="3579" w:type="dxa"/>
            <w:tcBorders>
              <w:top w:val="single" w:color="auto" w:sz="12" w:space="0"/>
              <w:left w:val="nil"/>
              <w:bottom w:val="single" w:color="auto" w:sz="4" w:space="0"/>
              <w:right w:val="nil"/>
            </w:tcBorders>
            <w:shd w:val="clear" w:color="auto" w:fill="auto"/>
            <w:vAlign w:val="center"/>
          </w:tcPr>
          <w:p w14:paraId="2F68FA4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699" w:type="dxa"/>
            <w:tcBorders>
              <w:top w:val="single" w:color="auto" w:sz="12" w:space="0"/>
              <w:left w:val="nil"/>
              <w:bottom w:val="single" w:color="auto" w:sz="4" w:space="0"/>
              <w:right w:val="nil"/>
            </w:tcBorders>
            <w:shd w:val="clear" w:color="auto" w:fill="auto"/>
            <w:vAlign w:val="center"/>
          </w:tcPr>
          <w:p w14:paraId="522C29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699" w:type="dxa"/>
            <w:tcBorders>
              <w:top w:val="single" w:color="auto" w:sz="12" w:space="0"/>
              <w:left w:val="nil"/>
              <w:bottom w:val="single" w:color="auto" w:sz="4" w:space="0"/>
              <w:right w:val="nil"/>
            </w:tcBorders>
            <w:shd w:val="clear" w:color="auto" w:fill="auto"/>
            <w:vAlign w:val="center"/>
          </w:tcPr>
          <w:p w14:paraId="730E94D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542" w:type="dxa"/>
            <w:tcBorders>
              <w:top w:val="single" w:color="auto" w:sz="12" w:space="0"/>
              <w:left w:val="nil"/>
              <w:bottom w:val="single" w:color="auto" w:sz="4" w:space="0"/>
              <w:right w:val="nil"/>
            </w:tcBorders>
            <w:shd w:val="clear" w:color="auto" w:fill="auto"/>
            <w:vAlign w:val="center"/>
          </w:tcPr>
          <w:p w14:paraId="4F4605A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6F86F32B">
        <w:trPr>
          <w:trHeight w:val="0" w:hRule="atLeast"/>
          <w:jc w:val="center"/>
        </w:trPr>
        <w:tc>
          <w:tcPr>
            <w:tcW w:w="3579" w:type="dxa"/>
            <w:tcBorders>
              <w:top w:val="single" w:color="auto" w:sz="4" w:space="0"/>
              <w:left w:val="nil"/>
              <w:bottom w:val="nil"/>
              <w:right w:val="nil"/>
            </w:tcBorders>
            <w:shd w:val="clear" w:color="auto" w:fill="FFFFFF"/>
            <w:vAlign w:val="center"/>
          </w:tcPr>
          <w:p w14:paraId="7C898F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移动端网络游戏收入</w:t>
            </w:r>
          </w:p>
        </w:tc>
        <w:tc>
          <w:tcPr>
            <w:tcW w:w="1699" w:type="dxa"/>
            <w:tcBorders>
              <w:top w:val="single" w:color="auto" w:sz="4" w:space="0"/>
              <w:left w:val="nil"/>
              <w:bottom w:val="nil"/>
              <w:right w:val="nil"/>
            </w:tcBorders>
            <w:shd w:val="clear" w:color="auto" w:fill="FFFFFF"/>
            <w:vAlign w:val="center"/>
          </w:tcPr>
          <w:p w14:paraId="243DF5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21.80亿</w:t>
            </w:r>
          </w:p>
        </w:tc>
        <w:tc>
          <w:tcPr>
            <w:tcW w:w="1699" w:type="dxa"/>
            <w:tcBorders>
              <w:top w:val="single" w:color="auto" w:sz="4" w:space="0"/>
              <w:left w:val="nil"/>
              <w:bottom w:val="nil"/>
              <w:right w:val="nil"/>
            </w:tcBorders>
            <w:shd w:val="clear" w:color="auto" w:fill="FFFFFF"/>
            <w:vAlign w:val="center"/>
          </w:tcPr>
          <w:p w14:paraId="58FFC8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74.60%</w:t>
            </w:r>
          </w:p>
        </w:tc>
        <w:tc>
          <w:tcPr>
            <w:tcW w:w="1542" w:type="dxa"/>
            <w:tcBorders>
              <w:top w:val="single" w:color="auto" w:sz="4" w:space="0"/>
              <w:left w:val="nil"/>
              <w:bottom w:val="nil"/>
              <w:right w:val="nil"/>
            </w:tcBorders>
            <w:shd w:val="clear" w:color="auto" w:fill="FFFFFF"/>
            <w:vAlign w:val="center"/>
          </w:tcPr>
          <w:p w14:paraId="634543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88.10%</w:t>
            </w:r>
          </w:p>
        </w:tc>
      </w:tr>
      <w:tr w14:paraId="04700945">
        <w:trPr>
          <w:trHeight w:val="0" w:hRule="atLeast"/>
          <w:jc w:val="center"/>
        </w:trPr>
        <w:tc>
          <w:tcPr>
            <w:tcW w:w="3579" w:type="dxa"/>
            <w:tcBorders>
              <w:top w:val="nil"/>
              <w:left w:val="nil"/>
              <w:bottom w:val="nil"/>
              <w:right w:val="nil"/>
            </w:tcBorders>
            <w:shd w:val="clear" w:color="auto" w:fill="FFFFFF"/>
            <w:vAlign w:val="center"/>
          </w:tcPr>
          <w:p w14:paraId="166BD4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电脑端网络游戏收入</w:t>
            </w:r>
          </w:p>
        </w:tc>
        <w:tc>
          <w:tcPr>
            <w:tcW w:w="1699" w:type="dxa"/>
            <w:tcBorders>
              <w:top w:val="nil"/>
              <w:left w:val="nil"/>
              <w:bottom w:val="nil"/>
              <w:right w:val="nil"/>
            </w:tcBorders>
            <w:shd w:val="clear" w:color="auto" w:fill="FFFFFF"/>
            <w:vAlign w:val="center"/>
          </w:tcPr>
          <w:p w14:paraId="5AA4F9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6.810亿</w:t>
            </w:r>
          </w:p>
        </w:tc>
        <w:tc>
          <w:tcPr>
            <w:tcW w:w="1699" w:type="dxa"/>
            <w:tcBorders>
              <w:top w:val="nil"/>
              <w:left w:val="nil"/>
              <w:bottom w:val="nil"/>
              <w:right w:val="nil"/>
            </w:tcBorders>
            <w:shd w:val="clear" w:color="auto" w:fill="FFFFFF"/>
            <w:vAlign w:val="center"/>
          </w:tcPr>
          <w:p w14:paraId="4C03EDF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23.30%</w:t>
            </w:r>
          </w:p>
        </w:tc>
        <w:tc>
          <w:tcPr>
            <w:tcW w:w="1542" w:type="dxa"/>
            <w:tcBorders>
              <w:top w:val="nil"/>
              <w:left w:val="nil"/>
              <w:bottom w:val="nil"/>
              <w:right w:val="nil"/>
            </w:tcBorders>
            <w:shd w:val="clear" w:color="auto" w:fill="FFFFFF"/>
            <w:vAlign w:val="center"/>
          </w:tcPr>
          <w:p w14:paraId="7963DC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85.94%</w:t>
            </w:r>
          </w:p>
        </w:tc>
      </w:tr>
      <w:tr w14:paraId="03997D88">
        <w:trPr>
          <w:trHeight w:val="0" w:hRule="atLeast"/>
          <w:jc w:val="center"/>
        </w:trPr>
        <w:tc>
          <w:tcPr>
            <w:tcW w:w="3579" w:type="dxa"/>
            <w:tcBorders>
              <w:top w:val="nil"/>
              <w:left w:val="nil"/>
              <w:bottom w:val="nil"/>
              <w:right w:val="nil"/>
            </w:tcBorders>
            <w:shd w:val="clear" w:color="auto" w:fill="FFFFFF"/>
            <w:vAlign w:val="center"/>
          </w:tcPr>
          <w:p w14:paraId="069A95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其他游戏相关业务收入</w:t>
            </w:r>
          </w:p>
        </w:tc>
        <w:tc>
          <w:tcPr>
            <w:tcW w:w="1699" w:type="dxa"/>
            <w:tcBorders>
              <w:top w:val="nil"/>
              <w:left w:val="nil"/>
              <w:bottom w:val="nil"/>
              <w:right w:val="nil"/>
            </w:tcBorders>
            <w:shd w:val="clear" w:color="auto" w:fill="FFFFFF"/>
            <w:vAlign w:val="center"/>
          </w:tcPr>
          <w:p w14:paraId="0184A1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5506万</w:t>
            </w:r>
          </w:p>
        </w:tc>
        <w:tc>
          <w:tcPr>
            <w:tcW w:w="1699" w:type="dxa"/>
            <w:tcBorders>
              <w:top w:val="nil"/>
              <w:left w:val="nil"/>
              <w:bottom w:val="nil"/>
              <w:right w:val="nil"/>
            </w:tcBorders>
            <w:shd w:val="clear" w:color="auto" w:fill="FFFFFF"/>
            <w:vAlign w:val="center"/>
          </w:tcPr>
          <w:p w14:paraId="5A7D9E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w:t>
            </w:r>
          </w:p>
        </w:tc>
        <w:tc>
          <w:tcPr>
            <w:tcW w:w="1542" w:type="dxa"/>
            <w:tcBorders>
              <w:top w:val="nil"/>
              <w:left w:val="nil"/>
              <w:bottom w:val="nil"/>
              <w:right w:val="nil"/>
            </w:tcBorders>
            <w:shd w:val="clear" w:color="auto" w:fill="FFFFFF"/>
            <w:vAlign w:val="center"/>
          </w:tcPr>
          <w:p w14:paraId="4E167B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r w14:paraId="3680E271">
        <w:trPr>
          <w:trHeight w:val="0" w:hRule="atLeast"/>
          <w:jc w:val="center"/>
        </w:trPr>
        <w:tc>
          <w:tcPr>
            <w:tcW w:w="3579" w:type="dxa"/>
            <w:tcBorders>
              <w:top w:val="nil"/>
              <w:left w:val="nil"/>
              <w:bottom w:val="nil"/>
              <w:right w:val="nil"/>
            </w:tcBorders>
            <w:shd w:val="clear" w:color="auto" w:fill="FFFFFF"/>
            <w:vAlign w:val="center"/>
          </w:tcPr>
          <w:p w14:paraId="7DB906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1699" w:type="dxa"/>
            <w:tcBorders>
              <w:top w:val="nil"/>
              <w:left w:val="nil"/>
              <w:bottom w:val="nil"/>
              <w:right w:val="nil"/>
            </w:tcBorders>
            <w:shd w:val="clear" w:color="auto" w:fill="FFFFFF"/>
            <w:vAlign w:val="center"/>
          </w:tcPr>
          <w:p w14:paraId="236600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423.9万</w:t>
            </w:r>
          </w:p>
        </w:tc>
        <w:tc>
          <w:tcPr>
            <w:tcW w:w="1699" w:type="dxa"/>
            <w:tcBorders>
              <w:top w:val="nil"/>
              <w:left w:val="nil"/>
              <w:bottom w:val="nil"/>
              <w:right w:val="nil"/>
            </w:tcBorders>
            <w:shd w:val="clear" w:color="auto" w:fill="FFFFFF"/>
            <w:vAlign w:val="center"/>
          </w:tcPr>
          <w:p w14:paraId="20799A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542" w:type="dxa"/>
            <w:tcBorders>
              <w:top w:val="nil"/>
              <w:left w:val="nil"/>
              <w:bottom w:val="nil"/>
              <w:right w:val="nil"/>
            </w:tcBorders>
            <w:shd w:val="clear" w:color="auto" w:fill="FFFFFF"/>
            <w:vAlign w:val="center"/>
          </w:tcPr>
          <w:p w14:paraId="467CB3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-76.43%</w:t>
            </w:r>
          </w:p>
        </w:tc>
      </w:tr>
      <w:tr w14:paraId="3DE7B8D9">
        <w:trPr>
          <w:trHeight w:val="0" w:hRule="atLeast"/>
          <w:jc w:val="center"/>
        </w:trPr>
        <w:tc>
          <w:tcPr>
            <w:tcW w:w="3579" w:type="dxa"/>
            <w:tcBorders>
              <w:top w:val="nil"/>
              <w:left w:val="nil"/>
              <w:bottom w:val="single" w:color="auto" w:sz="12" w:space="0"/>
              <w:right w:val="nil"/>
            </w:tcBorders>
            <w:shd w:val="clear" w:color="auto" w:fill="FFFFFF"/>
            <w:vAlign w:val="center"/>
          </w:tcPr>
          <w:p w14:paraId="6718C5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互联网社区工具收入</w:t>
            </w:r>
          </w:p>
        </w:tc>
        <w:tc>
          <w:tcPr>
            <w:tcW w:w="1699" w:type="dxa"/>
            <w:tcBorders>
              <w:top w:val="nil"/>
              <w:left w:val="nil"/>
              <w:bottom w:val="single" w:color="auto" w:sz="12" w:space="0"/>
              <w:right w:val="nil"/>
            </w:tcBorders>
            <w:shd w:val="clear" w:color="auto" w:fill="FFFFFF"/>
            <w:vAlign w:val="center"/>
          </w:tcPr>
          <w:p w14:paraId="3D7E5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213.6万</w:t>
            </w:r>
          </w:p>
        </w:tc>
        <w:tc>
          <w:tcPr>
            <w:tcW w:w="1699" w:type="dxa"/>
            <w:tcBorders>
              <w:top w:val="nil"/>
              <w:left w:val="nil"/>
              <w:bottom w:val="single" w:color="auto" w:sz="12" w:space="0"/>
              <w:right w:val="nil"/>
            </w:tcBorders>
            <w:shd w:val="clear" w:color="auto" w:fill="FFFFFF"/>
            <w:vAlign w:val="center"/>
          </w:tcPr>
          <w:p w14:paraId="1DF5DB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w:t>
            </w:r>
          </w:p>
        </w:tc>
        <w:tc>
          <w:tcPr>
            <w:tcW w:w="1542" w:type="dxa"/>
            <w:tcBorders>
              <w:top w:val="nil"/>
              <w:left w:val="nil"/>
              <w:bottom w:val="single" w:color="auto" w:sz="12" w:space="0"/>
              <w:right w:val="nil"/>
            </w:tcBorders>
            <w:shd w:val="clear" w:color="auto" w:fill="FFFFFF"/>
            <w:vAlign w:val="center"/>
          </w:tcPr>
          <w:p w14:paraId="6B74643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bl>
    <w:p w14:paraId="32582B6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8466E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结构看，公司收入主要来自成熟的游戏产品运营。游戏产品具有明显的数字内容特征，一旦形成稳定用户群体，产品生命周期较长，收入可以持续释放，同时企业并不需要持续扩大固定资产规模。因此，相比制造业企业需要不断扩大产能来获取收入，游戏企业的资产结构相对稳定，这也使得总资产周转率通常保持在较为平稳的区间。</w:t>
      </w:r>
    </w:p>
    <w:p w14:paraId="02F41C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近年来，人工智能技术逐渐被引入游戏研发与运营环节。根据</w:t>
      </w:r>
      <w:r>
        <w:rPr>
          <w:rFonts w:hint="default" w:ascii="宋体" w:hAnsi="宋体" w:eastAsia="宋体" w:cs="Times New Roman"/>
          <w:b w:val="0"/>
          <w:sz w:val="24"/>
          <w:szCs w:val="24"/>
          <w:lang w:val="en-US" w:eastAsia="zh-CN"/>
        </w:rPr>
        <w:t>前文可知</w:t>
      </w:r>
      <w:r>
        <w:rPr>
          <w:rFonts w:hint="default" w:ascii="宋体" w:hAnsi="宋体" w:eastAsia="宋体" w:cs="Times New Roman"/>
          <w:b w:val="0"/>
          <w:sz w:val="24"/>
          <w:szCs w:val="24"/>
        </w:rPr>
        <w:t>，AI技术主要作用于研发效率与内容生产效率的提升，对企业资产规模的直接影响较小，因此并不会显著改变企业资产结构。</w:t>
      </w:r>
    </w:p>
    <w:p w14:paraId="6713E1D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巨人网络总资产周转率保持稳定，主要原因在于企业营业收入与资产规模整体保持同步变化，同时主营业务结构较为稳定。AI技术在公司业务中的应用更多体现在研发效率提升和内容生产效率提升，对资产规模扩张影响有限，因此整体资产周转效率并未出现明显变化。</w:t>
      </w:r>
    </w:p>
    <w:p w14:paraId="385D9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世纪天鸿</w:t>
      </w:r>
    </w:p>
    <w:p w14:paraId="2DA1A8F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世纪天鸿2020—2024年的总资产周转率</w:t>
      </w:r>
      <w:r>
        <w:rPr>
          <w:rFonts w:hint="default" w:ascii="宋体" w:hAnsi="宋体" w:eastAsia="宋体" w:cs="Times New Roman"/>
          <w:b w:val="0"/>
          <w:sz w:val="24"/>
          <w:szCs w:val="24"/>
          <w:lang w:eastAsia="zh-CN"/>
        </w:rPr>
        <w:t>的</w:t>
      </w:r>
      <w:r>
        <w:rPr>
          <w:rFonts w:hint="default" w:ascii="宋体" w:hAnsi="宋体" w:eastAsia="宋体" w:cs="Times New Roman"/>
          <w:b w:val="0"/>
          <w:sz w:val="24"/>
          <w:szCs w:val="24"/>
        </w:rPr>
        <w:t>整体波动幅度较小</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从五年变化看，2024年较2020年仅下降0.017，降幅约3.48%，说明公司资产规模与收入增长基本保持同步，资产运营效率整体较为稳定。</w:t>
      </w:r>
    </w:p>
    <w:p w14:paraId="1E8A45C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从表5-22所示的世纪天鸿资产规模与营业收入变化情况可以看出，公司营业收入在样本期内整体呈增长趋势，由2020年的3.57亿元增长至2024年的5.31亿元。同时，资产规模也同步扩大，由2020年的7.41亿元增长至2024年的11.27亿元。由于营业收入和资产规模基本保持同步增长，企业资产利用效率没有出现明显变化，因此总资产周转率整体保持稳定。</w:t>
      </w:r>
    </w:p>
    <w:p w14:paraId="7C4CA100">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表5-22 世纪天鸿资产规模与营业收入变化表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22887091">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76368A7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C0BAA8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740DE6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540149E7">
        <w:trPr>
          <w:trHeight w:val="0" w:hRule="atLeast"/>
          <w:jc w:val="center"/>
        </w:trPr>
        <w:tc>
          <w:tcPr>
            <w:tcW w:w="1271" w:type="dxa"/>
            <w:tcBorders>
              <w:top w:val="single" w:color="auto" w:sz="4" w:space="0"/>
              <w:left w:val="nil"/>
              <w:bottom w:val="nil"/>
              <w:right w:val="nil"/>
            </w:tcBorders>
            <w:shd w:val="clear" w:color="auto" w:fill="auto"/>
            <w:vAlign w:val="center"/>
          </w:tcPr>
          <w:p w14:paraId="3F2575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2BBA3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740,945,173.80</w:t>
            </w:r>
          </w:p>
        </w:tc>
        <w:tc>
          <w:tcPr>
            <w:tcW w:w="3837" w:type="dxa"/>
            <w:tcBorders>
              <w:top w:val="single" w:color="auto" w:sz="4" w:space="0"/>
              <w:left w:val="nil"/>
              <w:bottom w:val="nil"/>
              <w:right w:val="nil"/>
            </w:tcBorders>
            <w:shd w:val="clear" w:color="auto" w:fill="auto"/>
            <w:vAlign w:val="center"/>
          </w:tcPr>
          <w:p w14:paraId="5969D8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357,177,555.40</w:t>
            </w:r>
          </w:p>
        </w:tc>
      </w:tr>
      <w:tr w14:paraId="22B81FE9">
        <w:trPr>
          <w:trHeight w:val="0" w:hRule="atLeast"/>
          <w:jc w:val="center"/>
        </w:trPr>
        <w:tc>
          <w:tcPr>
            <w:tcW w:w="1271" w:type="dxa"/>
            <w:tcBorders>
              <w:top w:val="nil"/>
              <w:left w:val="nil"/>
              <w:bottom w:val="nil"/>
              <w:right w:val="nil"/>
            </w:tcBorders>
            <w:shd w:val="clear" w:color="auto" w:fill="auto"/>
            <w:vAlign w:val="center"/>
          </w:tcPr>
          <w:p w14:paraId="120E19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211D0F2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774,866,979.80</w:t>
            </w:r>
          </w:p>
        </w:tc>
        <w:tc>
          <w:tcPr>
            <w:tcW w:w="3837" w:type="dxa"/>
            <w:tcBorders>
              <w:top w:val="nil"/>
              <w:left w:val="nil"/>
              <w:bottom w:val="nil"/>
              <w:right w:val="nil"/>
            </w:tcBorders>
            <w:shd w:val="clear" w:color="auto" w:fill="auto"/>
            <w:vAlign w:val="center"/>
          </w:tcPr>
          <w:p w14:paraId="44FC448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411,354,179.40</w:t>
            </w:r>
          </w:p>
        </w:tc>
      </w:tr>
      <w:tr w14:paraId="235BF245">
        <w:trPr>
          <w:trHeight w:val="0" w:hRule="atLeast"/>
          <w:jc w:val="center"/>
        </w:trPr>
        <w:tc>
          <w:tcPr>
            <w:tcW w:w="1271" w:type="dxa"/>
            <w:tcBorders>
              <w:top w:val="nil"/>
              <w:left w:val="nil"/>
              <w:bottom w:val="nil"/>
              <w:right w:val="nil"/>
            </w:tcBorders>
            <w:shd w:val="clear" w:color="auto" w:fill="auto"/>
            <w:vAlign w:val="center"/>
          </w:tcPr>
          <w:p w14:paraId="4BC867F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21C25F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1,041,883,057</w:t>
            </w:r>
          </w:p>
        </w:tc>
        <w:tc>
          <w:tcPr>
            <w:tcW w:w="3837" w:type="dxa"/>
            <w:tcBorders>
              <w:top w:val="nil"/>
              <w:left w:val="nil"/>
              <w:bottom w:val="nil"/>
              <w:right w:val="nil"/>
            </w:tcBorders>
            <w:shd w:val="clear" w:color="auto" w:fill="auto"/>
            <w:vAlign w:val="center"/>
          </w:tcPr>
          <w:p w14:paraId="1F1BED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432,962,210.90</w:t>
            </w:r>
          </w:p>
        </w:tc>
      </w:tr>
      <w:tr w14:paraId="4B89D7C1">
        <w:trPr>
          <w:trHeight w:val="0" w:hRule="atLeast"/>
          <w:jc w:val="center"/>
        </w:trPr>
        <w:tc>
          <w:tcPr>
            <w:tcW w:w="1271" w:type="dxa"/>
            <w:tcBorders>
              <w:top w:val="nil"/>
              <w:left w:val="nil"/>
              <w:bottom w:val="nil"/>
              <w:right w:val="nil"/>
            </w:tcBorders>
            <w:shd w:val="clear" w:color="auto" w:fill="auto"/>
            <w:vAlign w:val="center"/>
          </w:tcPr>
          <w:p w14:paraId="4E6813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5EAE6B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1,123,506,725</w:t>
            </w:r>
          </w:p>
        </w:tc>
        <w:tc>
          <w:tcPr>
            <w:tcW w:w="3837" w:type="dxa"/>
            <w:tcBorders>
              <w:top w:val="nil"/>
              <w:left w:val="nil"/>
              <w:bottom w:val="nil"/>
              <w:right w:val="nil"/>
            </w:tcBorders>
            <w:shd w:val="clear" w:color="auto" w:fill="auto"/>
            <w:vAlign w:val="center"/>
          </w:tcPr>
          <w:p w14:paraId="0067FC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507,410,689</w:t>
            </w:r>
          </w:p>
        </w:tc>
      </w:tr>
      <w:tr w14:paraId="16DAACD5">
        <w:trPr>
          <w:trHeight w:val="0" w:hRule="atLeast"/>
          <w:jc w:val="center"/>
        </w:trPr>
        <w:tc>
          <w:tcPr>
            <w:tcW w:w="1271" w:type="dxa"/>
            <w:tcBorders>
              <w:top w:val="nil"/>
              <w:left w:val="nil"/>
              <w:bottom w:val="single" w:color="auto" w:sz="12" w:space="0"/>
              <w:right w:val="nil"/>
            </w:tcBorders>
            <w:shd w:val="clear" w:color="auto" w:fill="auto"/>
            <w:vAlign w:val="center"/>
          </w:tcPr>
          <w:p w14:paraId="638B958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2C5B1F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1,127,350,271</w:t>
            </w:r>
          </w:p>
        </w:tc>
        <w:tc>
          <w:tcPr>
            <w:tcW w:w="3837" w:type="dxa"/>
            <w:tcBorders>
              <w:top w:val="nil"/>
              <w:left w:val="nil"/>
              <w:bottom w:val="single" w:color="auto" w:sz="12" w:space="0"/>
              <w:right w:val="nil"/>
            </w:tcBorders>
            <w:shd w:val="clear" w:color="auto" w:fill="auto"/>
            <w:vAlign w:val="center"/>
          </w:tcPr>
          <w:p w14:paraId="0E60FB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530,950,692.70</w:t>
            </w:r>
          </w:p>
        </w:tc>
      </w:tr>
    </w:tbl>
    <w:p w14:paraId="661CCEC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F5116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进一步从主营业务结构来看，公司收入主要来源于教辅图书业务。根据公司年报披露，2024年教辅图书收入占主营收入的86.57%，策划费收入占比9.15%，其他业务占比较小，如表5-23所示。</w:t>
      </w:r>
    </w:p>
    <w:p w14:paraId="02A6A11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表5-23 世纪天鸿主营业务结构表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9"/>
        <w:gridCol w:w="2295"/>
        <w:gridCol w:w="2078"/>
        <w:gridCol w:w="1887"/>
      </w:tblGrid>
      <w:tr w14:paraId="6350C3F0">
        <w:trPr>
          <w:trHeight w:val="0" w:hRule="atLeast"/>
          <w:tblHeader/>
          <w:jc w:val="center"/>
        </w:trPr>
        <w:tc>
          <w:tcPr>
            <w:tcW w:w="2259" w:type="dxa"/>
            <w:tcBorders>
              <w:top w:val="single" w:color="auto" w:sz="12" w:space="0"/>
              <w:left w:val="nil"/>
              <w:bottom w:val="single" w:color="auto" w:sz="4" w:space="0"/>
              <w:right w:val="nil"/>
            </w:tcBorders>
            <w:shd w:val="clear" w:color="auto" w:fill="auto"/>
            <w:vAlign w:val="center"/>
          </w:tcPr>
          <w:p w14:paraId="56D0256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2295" w:type="dxa"/>
            <w:tcBorders>
              <w:top w:val="single" w:color="auto" w:sz="12" w:space="0"/>
              <w:left w:val="nil"/>
              <w:bottom w:val="single" w:color="auto" w:sz="4" w:space="0"/>
              <w:right w:val="nil"/>
            </w:tcBorders>
            <w:shd w:val="clear" w:color="auto" w:fill="auto"/>
            <w:vAlign w:val="center"/>
          </w:tcPr>
          <w:p w14:paraId="755713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2078" w:type="dxa"/>
            <w:tcBorders>
              <w:top w:val="single" w:color="auto" w:sz="12" w:space="0"/>
              <w:left w:val="nil"/>
              <w:bottom w:val="single" w:color="auto" w:sz="4" w:space="0"/>
              <w:right w:val="nil"/>
            </w:tcBorders>
            <w:shd w:val="clear" w:color="auto" w:fill="auto"/>
            <w:vAlign w:val="center"/>
          </w:tcPr>
          <w:p w14:paraId="61ED0D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887" w:type="dxa"/>
            <w:tcBorders>
              <w:top w:val="single" w:color="auto" w:sz="12" w:space="0"/>
              <w:left w:val="nil"/>
              <w:bottom w:val="single" w:color="auto" w:sz="4" w:space="0"/>
              <w:right w:val="nil"/>
            </w:tcBorders>
            <w:shd w:val="clear" w:color="auto" w:fill="auto"/>
            <w:vAlign w:val="center"/>
          </w:tcPr>
          <w:p w14:paraId="124E697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3D8AF759">
        <w:trPr>
          <w:trHeight w:val="0" w:hRule="atLeast"/>
          <w:jc w:val="center"/>
        </w:trPr>
        <w:tc>
          <w:tcPr>
            <w:tcW w:w="2259" w:type="dxa"/>
            <w:tcBorders>
              <w:top w:val="single" w:color="auto" w:sz="4" w:space="0"/>
              <w:left w:val="nil"/>
              <w:bottom w:val="nil"/>
              <w:right w:val="nil"/>
            </w:tcBorders>
            <w:shd w:val="clear" w:color="auto" w:fill="FFFFFF"/>
            <w:vAlign w:val="center"/>
          </w:tcPr>
          <w:p w14:paraId="0F0DB1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教辅图书</w:t>
            </w:r>
          </w:p>
        </w:tc>
        <w:tc>
          <w:tcPr>
            <w:tcW w:w="2295" w:type="dxa"/>
            <w:tcBorders>
              <w:top w:val="single" w:color="auto" w:sz="4" w:space="0"/>
              <w:left w:val="nil"/>
              <w:bottom w:val="nil"/>
              <w:right w:val="nil"/>
            </w:tcBorders>
            <w:shd w:val="clear" w:color="auto" w:fill="FFFFFF"/>
            <w:vAlign w:val="center"/>
          </w:tcPr>
          <w:p w14:paraId="5482497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4.596亿元</w:t>
            </w:r>
          </w:p>
        </w:tc>
        <w:tc>
          <w:tcPr>
            <w:tcW w:w="2078" w:type="dxa"/>
            <w:tcBorders>
              <w:top w:val="single" w:color="auto" w:sz="4" w:space="0"/>
              <w:left w:val="nil"/>
              <w:bottom w:val="nil"/>
              <w:right w:val="nil"/>
            </w:tcBorders>
            <w:shd w:val="clear" w:color="auto" w:fill="FFFFFF"/>
            <w:vAlign w:val="center"/>
          </w:tcPr>
          <w:p w14:paraId="2D8E8A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86.57%</w:t>
            </w:r>
          </w:p>
        </w:tc>
        <w:tc>
          <w:tcPr>
            <w:tcW w:w="1887" w:type="dxa"/>
            <w:tcBorders>
              <w:top w:val="single" w:color="auto" w:sz="4" w:space="0"/>
              <w:left w:val="nil"/>
              <w:bottom w:val="nil"/>
              <w:right w:val="nil"/>
            </w:tcBorders>
            <w:shd w:val="clear" w:color="auto" w:fill="FFFFFF"/>
            <w:vAlign w:val="center"/>
          </w:tcPr>
          <w:p w14:paraId="4BD8486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36.87%</w:t>
            </w:r>
          </w:p>
        </w:tc>
      </w:tr>
      <w:tr w14:paraId="342A29E4">
        <w:trPr>
          <w:trHeight w:val="0" w:hRule="atLeast"/>
          <w:jc w:val="center"/>
        </w:trPr>
        <w:tc>
          <w:tcPr>
            <w:tcW w:w="2259" w:type="dxa"/>
            <w:tcBorders>
              <w:top w:val="nil"/>
              <w:left w:val="nil"/>
              <w:bottom w:val="nil"/>
              <w:right w:val="nil"/>
            </w:tcBorders>
            <w:shd w:val="clear" w:color="auto" w:fill="FFFFFF"/>
            <w:vAlign w:val="center"/>
          </w:tcPr>
          <w:p w14:paraId="4DBAF8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策划费</w:t>
            </w:r>
          </w:p>
        </w:tc>
        <w:tc>
          <w:tcPr>
            <w:tcW w:w="2295" w:type="dxa"/>
            <w:tcBorders>
              <w:top w:val="nil"/>
              <w:left w:val="nil"/>
              <w:bottom w:val="nil"/>
              <w:right w:val="nil"/>
            </w:tcBorders>
            <w:shd w:val="clear" w:color="auto" w:fill="FFFFFF"/>
            <w:vAlign w:val="center"/>
          </w:tcPr>
          <w:p w14:paraId="2A9F8F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4859万元</w:t>
            </w:r>
          </w:p>
        </w:tc>
        <w:tc>
          <w:tcPr>
            <w:tcW w:w="2078" w:type="dxa"/>
            <w:tcBorders>
              <w:top w:val="nil"/>
              <w:left w:val="nil"/>
              <w:bottom w:val="nil"/>
              <w:right w:val="nil"/>
            </w:tcBorders>
            <w:shd w:val="clear" w:color="auto" w:fill="FFFFFF"/>
            <w:vAlign w:val="center"/>
          </w:tcPr>
          <w:p w14:paraId="6D2483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9.15%</w:t>
            </w:r>
          </w:p>
        </w:tc>
        <w:tc>
          <w:tcPr>
            <w:tcW w:w="1887" w:type="dxa"/>
            <w:tcBorders>
              <w:top w:val="nil"/>
              <w:left w:val="nil"/>
              <w:bottom w:val="nil"/>
              <w:right w:val="nil"/>
            </w:tcBorders>
            <w:shd w:val="clear" w:color="auto" w:fill="FFFFFF"/>
            <w:vAlign w:val="center"/>
          </w:tcPr>
          <w:p w14:paraId="2614DB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46.07%</w:t>
            </w:r>
          </w:p>
        </w:tc>
      </w:tr>
      <w:tr w14:paraId="1FE40764">
        <w:trPr>
          <w:trHeight w:val="0" w:hRule="atLeast"/>
          <w:jc w:val="center"/>
        </w:trPr>
        <w:tc>
          <w:tcPr>
            <w:tcW w:w="2259" w:type="dxa"/>
            <w:tcBorders>
              <w:top w:val="nil"/>
              <w:left w:val="nil"/>
              <w:bottom w:val="nil"/>
              <w:right w:val="nil"/>
            </w:tcBorders>
            <w:shd w:val="clear" w:color="auto" w:fill="FFFFFF"/>
            <w:vAlign w:val="center"/>
          </w:tcPr>
          <w:p w14:paraId="5AF8D7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商品销售</w:t>
            </w:r>
          </w:p>
        </w:tc>
        <w:tc>
          <w:tcPr>
            <w:tcW w:w="2295" w:type="dxa"/>
            <w:tcBorders>
              <w:top w:val="nil"/>
              <w:left w:val="nil"/>
              <w:bottom w:val="nil"/>
              <w:right w:val="nil"/>
            </w:tcBorders>
            <w:shd w:val="clear" w:color="auto" w:fill="FFFFFF"/>
            <w:vAlign w:val="center"/>
          </w:tcPr>
          <w:p w14:paraId="37D568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1070万元</w:t>
            </w:r>
          </w:p>
        </w:tc>
        <w:tc>
          <w:tcPr>
            <w:tcW w:w="2078" w:type="dxa"/>
            <w:tcBorders>
              <w:top w:val="nil"/>
              <w:left w:val="nil"/>
              <w:bottom w:val="nil"/>
              <w:right w:val="nil"/>
            </w:tcBorders>
            <w:shd w:val="clear" w:color="auto" w:fill="FFFFFF"/>
            <w:vAlign w:val="center"/>
          </w:tcPr>
          <w:p w14:paraId="134935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w:t>
            </w:r>
          </w:p>
        </w:tc>
        <w:tc>
          <w:tcPr>
            <w:tcW w:w="1887" w:type="dxa"/>
            <w:tcBorders>
              <w:top w:val="nil"/>
              <w:left w:val="nil"/>
              <w:bottom w:val="nil"/>
              <w:right w:val="nil"/>
            </w:tcBorders>
            <w:shd w:val="clear" w:color="auto" w:fill="FFFFFF"/>
            <w:vAlign w:val="center"/>
          </w:tcPr>
          <w:p w14:paraId="42CC6B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11.02%</w:t>
            </w:r>
          </w:p>
        </w:tc>
      </w:tr>
      <w:tr w14:paraId="5B8F2557">
        <w:trPr>
          <w:trHeight w:val="0" w:hRule="atLeast"/>
          <w:jc w:val="center"/>
        </w:trPr>
        <w:tc>
          <w:tcPr>
            <w:tcW w:w="2259" w:type="dxa"/>
            <w:tcBorders>
              <w:top w:val="nil"/>
              <w:left w:val="nil"/>
              <w:bottom w:val="nil"/>
              <w:right w:val="nil"/>
            </w:tcBorders>
            <w:shd w:val="clear" w:color="auto" w:fill="FFFFFF"/>
            <w:vAlign w:val="center"/>
          </w:tcPr>
          <w:p w14:paraId="5FC6AB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2295" w:type="dxa"/>
            <w:tcBorders>
              <w:top w:val="nil"/>
              <w:left w:val="nil"/>
              <w:bottom w:val="nil"/>
              <w:right w:val="nil"/>
            </w:tcBorders>
            <w:shd w:val="clear" w:color="auto" w:fill="FFFFFF"/>
            <w:vAlign w:val="center"/>
          </w:tcPr>
          <w:p w14:paraId="335F59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560.7万元</w:t>
            </w:r>
          </w:p>
        </w:tc>
        <w:tc>
          <w:tcPr>
            <w:tcW w:w="2078" w:type="dxa"/>
            <w:tcBorders>
              <w:top w:val="nil"/>
              <w:left w:val="nil"/>
              <w:bottom w:val="nil"/>
              <w:right w:val="nil"/>
            </w:tcBorders>
            <w:shd w:val="clear" w:color="auto" w:fill="FFFFFF"/>
            <w:vAlign w:val="center"/>
          </w:tcPr>
          <w:p w14:paraId="36098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w:t>
            </w:r>
          </w:p>
        </w:tc>
        <w:tc>
          <w:tcPr>
            <w:tcW w:w="1887" w:type="dxa"/>
            <w:tcBorders>
              <w:top w:val="nil"/>
              <w:left w:val="nil"/>
              <w:bottom w:val="nil"/>
              <w:right w:val="nil"/>
            </w:tcBorders>
            <w:shd w:val="clear" w:color="auto" w:fill="FFFFFF"/>
            <w:vAlign w:val="center"/>
          </w:tcPr>
          <w:p w14:paraId="3D1C22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57.59%</w:t>
            </w:r>
          </w:p>
        </w:tc>
      </w:tr>
      <w:tr w14:paraId="4A0C19B1">
        <w:trPr>
          <w:trHeight w:val="0" w:hRule="atLeast"/>
          <w:jc w:val="center"/>
        </w:trPr>
        <w:tc>
          <w:tcPr>
            <w:tcW w:w="2259" w:type="dxa"/>
            <w:tcBorders>
              <w:top w:val="nil"/>
              <w:left w:val="nil"/>
              <w:bottom w:val="nil"/>
              <w:right w:val="nil"/>
            </w:tcBorders>
            <w:shd w:val="clear" w:color="auto" w:fill="FFFFFF"/>
            <w:vAlign w:val="center"/>
          </w:tcPr>
          <w:p w14:paraId="6ED0311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咨询服务</w:t>
            </w:r>
          </w:p>
        </w:tc>
        <w:tc>
          <w:tcPr>
            <w:tcW w:w="2295" w:type="dxa"/>
            <w:tcBorders>
              <w:top w:val="nil"/>
              <w:left w:val="nil"/>
              <w:bottom w:val="nil"/>
              <w:right w:val="nil"/>
            </w:tcBorders>
            <w:shd w:val="clear" w:color="auto" w:fill="FFFFFF"/>
            <w:vAlign w:val="center"/>
          </w:tcPr>
          <w:p w14:paraId="5B96E9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530.6万元</w:t>
            </w:r>
          </w:p>
        </w:tc>
        <w:tc>
          <w:tcPr>
            <w:tcW w:w="2078" w:type="dxa"/>
            <w:tcBorders>
              <w:top w:val="nil"/>
              <w:left w:val="nil"/>
              <w:bottom w:val="nil"/>
              <w:right w:val="nil"/>
            </w:tcBorders>
            <w:shd w:val="clear" w:color="auto" w:fill="FFFFFF"/>
            <w:vAlign w:val="center"/>
          </w:tcPr>
          <w:p w14:paraId="381007A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1.00%</w:t>
            </w:r>
          </w:p>
        </w:tc>
        <w:tc>
          <w:tcPr>
            <w:tcW w:w="1887" w:type="dxa"/>
            <w:tcBorders>
              <w:top w:val="nil"/>
              <w:left w:val="nil"/>
              <w:bottom w:val="nil"/>
              <w:right w:val="nil"/>
            </w:tcBorders>
            <w:shd w:val="clear" w:color="auto" w:fill="FFFFFF"/>
            <w:vAlign w:val="center"/>
          </w:tcPr>
          <w:p w14:paraId="12EB9F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76.16%</w:t>
            </w:r>
          </w:p>
        </w:tc>
      </w:tr>
      <w:tr w14:paraId="60BC21D3">
        <w:trPr>
          <w:trHeight w:val="0" w:hRule="atLeast"/>
          <w:jc w:val="center"/>
        </w:trPr>
        <w:tc>
          <w:tcPr>
            <w:tcW w:w="2259" w:type="dxa"/>
            <w:tcBorders>
              <w:top w:val="nil"/>
              <w:left w:val="nil"/>
              <w:bottom w:val="single" w:color="auto" w:sz="12" w:space="0"/>
              <w:right w:val="nil"/>
            </w:tcBorders>
            <w:shd w:val="clear" w:color="auto" w:fill="FFFFFF"/>
            <w:vAlign w:val="center"/>
          </w:tcPr>
          <w:p w14:paraId="46BE17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技术服务</w:t>
            </w:r>
          </w:p>
        </w:tc>
        <w:tc>
          <w:tcPr>
            <w:tcW w:w="2295" w:type="dxa"/>
            <w:tcBorders>
              <w:top w:val="nil"/>
              <w:left w:val="nil"/>
              <w:bottom w:val="single" w:color="auto" w:sz="12" w:space="0"/>
              <w:right w:val="nil"/>
            </w:tcBorders>
            <w:shd w:val="clear" w:color="auto" w:fill="FFFFFF"/>
            <w:vAlign w:val="center"/>
          </w:tcPr>
          <w:p w14:paraId="2EDA98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111.2万元</w:t>
            </w:r>
          </w:p>
        </w:tc>
        <w:tc>
          <w:tcPr>
            <w:tcW w:w="2078" w:type="dxa"/>
            <w:tcBorders>
              <w:top w:val="nil"/>
              <w:left w:val="nil"/>
              <w:bottom w:val="single" w:color="auto" w:sz="12" w:space="0"/>
              <w:right w:val="nil"/>
            </w:tcBorders>
            <w:shd w:val="clear" w:color="auto" w:fill="FFFFFF"/>
            <w:vAlign w:val="center"/>
          </w:tcPr>
          <w:p w14:paraId="39FD15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887" w:type="dxa"/>
            <w:tcBorders>
              <w:top w:val="nil"/>
              <w:left w:val="nil"/>
              <w:bottom w:val="single" w:color="auto" w:sz="12" w:space="0"/>
              <w:right w:val="nil"/>
            </w:tcBorders>
            <w:shd w:val="clear" w:color="auto" w:fill="FFFFFF"/>
            <w:vAlign w:val="center"/>
          </w:tcPr>
          <w:p w14:paraId="3CE5A7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-10.11%</w:t>
            </w:r>
          </w:p>
        </w:tc>
      </w:tr>
    </w:tbl>
    <w:p w14:paraId="1D3DE9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7A8CD6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期间，教辅图书收入长期占公司主营收入的80%以上，是企业收入的主要来源。例如2020年教辅图书收入占比为88.78%，2024年仍保持在86.57%。由于出版发行类业务具有较为稳定的市场需求和发行渠道体系，企业收入规模通常不会出现剧烈波动，这也使得营业收入增长节奏相对平稳。</w:t>
      </w:r>
    </w:p>
    <w:p w14:paraId="11407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公司开始探索人工智能在教育领域的应用，例如教育内容数字化、AI学习辅助工具等。但从主营业务结构来看，相关技术服务和数字化产品收入占比仍然较小。例如2024年技术服务收入仅占主营收入约0.21%，说明AI相关业务目前仍处于探索和培育阶段，对整体收入规模影响有限。</w:t>
      </w:r>
    </w:p>
    <w:p w14:paraId="23B0FBB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世纪天鸿总资产周转率保持稳定，主要原因在于企业营业收入增长与资产规模扩张基本同步，同时主营业务结构较为稳定。AI相关业务虽然开始布局，但目前仍处于早期发展阶段，对企业资产结构和收入规模的影响尚未明显体现，因此企业整体资产周转效率未出现明显变化。</w:t>
      </w:r>
    </w:p>
    <w:p w14:paraId="268656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思美传媒</w:t>
      </w:r>
    </w:p>
    <w:p w14:paraId="203ECFE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思美传媒2020—2024年的总资产周转率由1.083提升至2.301，在样本企业中处于较高水平，并呈持续上升趋势，是样本企业中资产周转率较高的一类。</w:t>
      </w:r>
    </w:p>
    <w:p w14:paraId="04554C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从表5-24可见，公司营业收入在样本期内整体呈增长趋势，由2020年的39.61亿元增长至2024年的61.76亿元，增长幅度较为明显；与此同时，公司资产规模整体变化相对有限，2020—2024年基本维持在25亿—29亿元之间波动。由于营业收入增长速度明显快于资产规模变化，企业利用既有资产创造收入的能力持续提升，从而推动总资产周转率不断提高。</w:t>
      </w:r>
    </w:p>
    <w:p w14:paraId="032E0678">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表5-24 思美传媒资产规模与营业收入变化表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108F2405">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272FAA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608CAC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61747A1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营业总收入（元）</w:t>
            </w:r>
          </w:p>
        </w:tc>
      </w:tr>
      <w:tr w14:paraId="68597037">
        <w:trPr>
          <w:trHeight w:val="0" w:hRule="atLeast"/>
          <w:jc w:val="center"/>
        </w:trPr>
        <w:tc>
          <w:tcPr>
            <w:tcW w:w="1251" w:type="dxa"/>
            <w:tcBorders>
              <w:top w:val="nil"/>
              <w:left w:val="nil"/>
              <w:bottom w:val="nil"/>
              <w:right w:val="nil"/>
            </w:tcBorders>
            <w:shd w:val="clear" w:color="auto" w:fill="auto"/>
            <w:vAlign w:val="center"/>
          </w:tcPr>
          <w:p w14:paraId="6E74FE2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2020</w:t>
            </w:r>
          </w:p>
        </w:tc>
        <w:tc>
          <w:tcPr>
            <w:tcW w:w="3417" w:type="dxa"/>
            <w:tcBorders>
              <w:top w:val="nil"/>
              <w:left w:val="nil"/>
              <w:bottom w:val="nil"/>
              <w:right w:val="nil"/>
            </w:tcBorders>
            <w:shd w:val="clear" w:color="auto" w:fill="auto"/>
            <w:vAlign w:val="center"/>
          </w:tcPr>
          <w:p w14:paraId="1152F1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2,746,908,355</w:t>
            </w:r>
          </w:p>
        </w:tc>
        <w:tc>
          <w:tcPr>
            <w:tcW w:w="3851" w:type="dxa"/>
            <w:tcBorders>
              <w:top w:val="nil"/>
              <w:left w:val="nil"/>
              <w:bottom w:val="nil"/>
              <w:right w:val="nil"/>
            </w:tcBorders>
            <w:shd w:val="clear" w:color="auto" w:fill="auto"/>
            <w:vAlign w:val="center"/>
          </w:tcPr>
          <w:p w14:paraId="5B409B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3,960,546,275</w:t>
            </w:r>
          </w:p>
        </w:tc>
      </w:tr>
      <w:tr w14:paraId="079AAB61">
        <w:trPr>
          <w:trHeight w:val="0" w:hRule="atLeast"/>
          <w:jc w:val="center"/>
        </w:trPr>
        <w:tc>
          <w:tcPr>
            <w:tcW w:w="1251" w:type="dxa"/>
            <w:tcBorders>
              <w:top w:val="nil"/>
              <w:left w:val="nil"/>
              <w:bottom w:val="nil"/>
              <w:right w:val="nil"/>
            </w:tcBorders>
            <w:shd w:val="clear" w:color="auto" w:fill="auto"/>
            <w:vAlign w:val="center"/>
          </w:tcPr>
          <w:p w14:paraId="2AC22D0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2021</w:t>
            </w:r>
          </w:p>
        </w:tc>
        <w:tc>
          <w:tcPr>
            <w:tcW w:w="3417" w:type="dxa"/>
            <w:tcBorders>
              <w:top w:val="nil"/>
              <w:left w:val="nil"/>
              <w:bottom w:val="nil"/>
              <w:right w:val="nil"/>
            </w:tcBorders>
            <w:shd w:val="clear" w:color="auto" w:fill="auto"/>
            <w:vAlign w:val="center"/>
          </w:tcPr>
          <w:p w14:paraId="30A52D8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2,951,804,104</w:t>
            </w:r>
          </w:p>
        </w:tc>
        <w:tc>
          <w:tcPr>
            <w:tcW w:w="3851" w:type="dxa"/>
            <w:tcBorders>
              <w:top w:val="nil"/>
              <w:left w:val="nil"/>
              <w:bottom w:val="nil"/>
              <w:right w:val="nil"/>
            </w:tcBorders>
            <w:shd w:val="clear" w:color="auto" w:fill="auto"/>
            <w:vAlign w:val="center"/>
          </w:tcPr>
          <w:p w14:paraId="4AA5AE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4,450,594,972</w:t>
            </w:r>
          </w:p>
        </w:tc>
      </w:tr>
      <w:tr w14:paraId="18DA66B0">
        <w:trPr>
          <w:trHeight w:val="0" w:hRule="atLeast"/>
          <w:jc w:val="center"/>
        </w:trPr>
        <w:tc>
          <w:tcPr>
            <w:tcW w:w="1251" w:type="dxa"/>
            <w:tcBorders>
              <w:top w:val="nil"/>
              <w:left w:val="nil"/>
              <w:bottom w:val="nil"/>
              <w:right w:val="nil"/>
            </w:tcBorders>
            <w:shd w:val="clear" w:color="auto" w:fill="auto"/>
            <w:vAlign w:val="center"/>
          </w:tcPr>
          <w:p w14:paraId="7D1004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2022</w:t>
            </w:r>
          </w:p>
        </w:tc>
        <w:tc>
          <w:tcPr>
            <w:tcW w:w="3417" w:type="dxa"/>
            <w:tcBorders>
              <w:top w:val="nil"/>
              <w:left w:val="nil"/>
              <w:bottom w:val="nil"/>
              <w:right w:val="nil"/>
            </w:tcBorders>
            <w:shd w:val="clear" w:color="auto" w:fill="auto"/>
            <w:vAlign w:val="center"/>
          </w:tcPr>
          <w:p w14:paraId="6DFFBC0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2,396,965,991</w:t>
            </w:r>
          </w:p>
        </w:tc>
        <w:tc>
          <w:tcPr>
            <w:tcW w:w="3851" w:type="dxa"/>
            <w:tcBorders>
              <w:top w:val="nil"/>
              <w:left w:val="nil"/>
              <w:bottom w:val="nil"/>
              <w:right w:val="nil"/>
            </w:tcBorders>
            <w:shd w:val="clear" w:color="auto" w:fill="auto"/>
            <w:vAlign w:val="center"/>
          </w:tcPr>
          <w:p w14:paraId="7F8FD1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4,185,681,285</w:t>
            </w:r>
          </w:p>
        </w:tc>
      </w:tr>
      <w:tr w14:paraId="087369DE">
        <w:trPr>
          <w:trHeight w:val="0" w:hRule="atLeast"/>
          <w:jc w:val="center"/>
        </w:trPr>
        <w:tc>
          <w:tcPr>
            <w:tcW w:w="1251" w:type="dxa"/>
            <w:tcBorders>
              <w:top w:val="nil"/>
              <w:left w:val="nil"/>
              <w:bottom w:val="nil"/>
              <w:right w:val="nil"/>
            </w:tcBorders>
            <w:shd w:val="clear" w:color="auto" w:fill="auto"/>
            <w:vAlign w:val="center"/>
          </w:tcPr>
          <w:p w14:paraId="2BDD5D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2023</w:t>
            </w:r>
          </w:p>
        </w:tc>
        <w:tc>
          <w:tcPr>
            <w:tcW w:w="3417" w:type="dxa"/>
            <w:tcBorders>
              <w:top w:val="nil"/>
              <w:left w:val="nil"/>
              <w:bottom w:val="nil"/>
              <w:right w:val="nil"/>
            </w:tcBorders>
            <w:shd w:val="clear" w:color="auto" w:fill="auto"/>
            <w:vAlign w:val="center"/>
          </w:tcPr>
          <w:p w14:paraId="27E1425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2,499,498,172</w:t>
            </w:r>
          </w:p>
        </w:tc>
        <w:tc>
          <w:tcPr>
            <w:tcW w:w="3851" w:type="dxa"/>
            <w:tcBorders>
              <w:top w:val="nil"/>
              <w:left w:val="nil"/>
              <w:bottom w:val="nil"/>
              <w:right w:val="nil"/>
            </w:tcBorders>
            <w:shd w:val="clear" w:color="auto" w:fill="auto"/>
            <w:vAlign w:val="center"/>
          </w:tcPr>
          <w:p w14:paraId="6A7E6D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5,558,547,077</w:t>
            </w:r>
          </w:p>
        </w:tc>
      </w:tr>
      <w:tr w14:paraId="7CE2E7FF">
        <w:trPr>
          <w:trHeight w:val="0" w:hRule="atLeast"/>
          <w:jc w:val="center"/>
        </w:trPr>
        <w:tc>
          <w:tcPr>
            <w:tcW w:w="1251" w:type="dxa"/>
            <w:tcBorders>
              <w:top w:val="nil"/>
              <w:left w:val="nil"/>
              <w:bottom w:val="single" w:color="000000" w:sz="12" w:space="0"/>
              <w:right w:val="nil"/>
            </w:tcBorders>
            <w:shd w:val="clear" w:color="auto" w:fill="auto"/>
            <w:vAlign w:val="center"/>
          </w:tcPr>
          <w:p w14:paraId="25436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6E331AC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2,869,686,762</w:t>
            </w:r>
          </w:p>
        </w:tc>
        <w:tc>
          <w:tcPr>
            <w:tcW w:w="3851" w:type="dxa"/>
            <w:tcBorders>
              <w:top w:val="nil"/>
              <w:left w:val="nil"/>
              <w:bottom w:val="single" w:color="000000" w:sz="12" w:space="0"/>
              <w:right w:val="nil"/>
            </w:tcBorders>
            <w:shd w:val="clear" w:color="auto" w:fill="auto"/>
            <w:vAlign w:val="center"/>
          </w:tcPr>
          <w:p w14:paraId="6E49C0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6,176,146,965</w:t>
            </w:r>
          </w:p>
        </w:tc>
      </w:tr>
    </w:tbl>
    <w:p w14:paraId="1FDB9A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5B59A4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进一步从主营业务结构来看，公司收入主要来源于营销服务业务。根据公司年报披露，2024年营销服务收入占主营收入的99.63%，是企业最主要的收入来源，如表5-25所示。</w:t>
      </w:r>
    </w:p>
    <w:p w14:paraId="0B8F3EA9">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表5-25 思美传媒主营业务结构表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10"/>
        <w:gridCol w:w="1728"/>
        <w:gridCol w:w="1728"/>
        <w:gridCol w:w="1753"/>
      </w:tblGrid>
      <w:tr w14:paraId="0EFBB0F8">
        <w:trPr>
          <w:trHeight w:val="0" w:hRule="atLeast"/>
          <w:tblHeader/>
          <w:jc w:val="center"/>
        </w:trPr>
        <w:tc>
          <w:tcPr>
            <w:tcW w:w="3310" w:type="dxa"/>
            <w:tcBorders>
              <w:top w:val="single" w:color="auto" w:sz="12" w:space="0"/>
              <w:left w:val="nil"/>
              <w:bottom w:val="single" w:color="auto" w:sz="4" w:space="0"/>
              <w:right w:val="nil"/>
            </w:tcBorders>
            <w:shd w:val="clear" w:color="auto" w:fill="auto"/>
            <w:vAlign w:val="center"/>
          </w:tcPr>
          <w:p w14:paraId="005A0FC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728" w:type="dxa"/>
            <w:tcBorders>
              <w:top w:val="single" w:color="auto" w:sz="12" w:space="0"/>
              <w:left w:val="nil"/>
              <w:bottom w:val="single" w:color="auto" w:sz="4" w:space="0"/>
              <w:right w:val="nil"/>
            </w:tcBorders>
            <w:shd w:val="clear" w:color="auto" w:fill="auto"/>
            <w:vAlign w:val="center"/>
          </w:tcPr>
          <w:p w14:paraId="0B91C20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728" w:type="dxa"/>
            <w:tcBorders>
              <w:top w:val="single" w:color="auto" w:sz="12" w:space="0"/>
              <w:left w:val="nil"/>
              <w:bottom w:val="single" w:color="auto" w:sz="4" w:space="0"/>
              <w:right w:val="nil"/>
            </w:tcBorders>
            <w:shd w:val="clear" w:color="auto" w:fill="auto"/>
            <w:vAlign w:val="center"/>
          </w:tcPr>
          <w:p w14:paraId="0801105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753" w:type="dxa"/>
            <w:tcBorders>
              <w:top w:val="single" w:color="auto" w:sz="12" w:space="0"/>
              <w:left w:val="nil"/>
              <w:bottom w:val="single" w:color="auto" w:sz="4" w:space="0"/>
              <w:right w:val="nil"/>
            </w:tcBorders>
            <w:shd w:val="clear" w:color="auto" w:fill="auto"/>
            <w:vAlign w:val="center"/>
          </w:tcPr>
          <w:p w14:paraId="2F0EC2B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5D5CBE68">
        <w:trPr>
          <w:trHeight w:val="0" w:hRule="atLeast"/>
          <w:jc w:val="center"/>
        </w:trPr>
        <w:tc>
          <w:tcPr>
            <w:tcW w:w="3310" w:type="dxa"/>
            <w:tcBorders>
              <w:top w:val="single" w:color="auto" w:sz="4" w:space="0"/>
              <w:left w:val="nil"/>
              <w:bottom w:val="nil"/>
              <w:right w:val="nil"/>
            </w:tcBorders>
            <w:shd w:val="clear" w:color="auto" w:fill="FFFFFF"/>
            <w:vAlign w:val="center"/>
          </w:tcPr>
          <w:p w14:paraId="17439E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商务服务业</w:t>
            </w:r>
          </w:p>
        </w:tc>
        <w:tc>
          <w:tcPr>
            <w:tcW w:w="1728" w:type="dxa"/>
            <w:tcBorders>
              <w:top w:val="single" w:color="auto" w:sz="4" w:space="0"/>
              <w:left w:val="nil"/>
              <w:bottom w:val="nil"/>
              <w:right w:val="nil"/>
            </w:tcBorders>
            <w:shd w:val="clear" w:color="auto" w:fill="FFFFFF"/>
            <w:vAlign w:val="center"/>
          </w:tcPr>
          <w:p w14:paraId="11B78A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61.76亿</w:t>
            </w:r>
          </w:p>
        </w:tc>
        <w:tc>
          <w:tcPr>
            <w:tcW w:w="1728" w:type="dxa"/>
            <w:tcBorders>
              <w:top w:val="single" w:color="auto" w:sz="4" w:space="0"/>
              <w:left w:val="nil"/>
              <w:bottom w:val="nil"/>
              <w:right w:val="nil"/>
            </w:tcBorders>
            <w:shd w:val="clear" w:color="auto" w:fill="FFFFFF"/>
            <w:vAlign w:val="center"/>
          </w:tcPr>
          <w:p w14:paraId="64E8988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100.00%</w:t>
            </w:r>
          </w:p>
        </w:tc>
        <w:tc>
          <w:tcPr>
            <w:tcW w:w="1753" w:type="dxa"/>
            <w:tcBorders>
              <w:top w:val="single" w:color="auto" w:sz="4" w:space="0"/>
              <w:left w:val="nil"/>
              <w:bottom w:val="nil"/>
              <w:right w:val="nil"/>
            </w:tcBorders>
            <w:shd w:val="clear" w:color="auto" w:fill="FFFFFF"/>
            <w:vAlign w:val="center"/>
          </w:tcPr>
          <w:p w14:paraId="455DF7C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3.86%</w:t>
            </w:r>
          </w:p>
        </w:tc>
      </w:tr>
      <w:tr w14:paraId="643093A9">
        <w:trPr>
          <w:trHeight w:val="0" w:hRule="atLeast"/>
          <w:jc w:val="center"/>
        </w:trPr>
        <w:tc>
          <w:tcPr>
            <w:tcW w:w="3310" w:type="dxa"/>
            <w:tcBorders>
              <w:top w:val="nil"/>
              <w:left w:val="nil"/>
              <w:bottom w:val="nil"/>
              <w:right w:val="nil"/>
            </w:tcBorders>
            <w:shd w:val="clear" w:color="auto" w:fill="FFFFFF"/>
            <w:vAlign w:val="center"/>
          </w:tcPr>
          <w:p w14:paraId="098224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营销服务</w:t>
            </w:r>
          </w:p>
        </w:tc>
        <w:tc>
          <w:tcPr>
            <w:tcW w:w="1728" w:type="dxa"/>
            <w:tcBorders>
              <w:top w:val="nil"/>
              <w:left w:val="nil"/>
              <w:bottom w:val="nil"/>
              <w:right w:val="nil"/>
            </w:tcBorders>
            <w:shd w:val="clear" w:color="auto" w:fill="FFFFFF"/>
            <w:vAlign w:val="center"/>
          </w:tcPr>
          <w:p w14:paraId="5FFDFB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61.53亿</w:t>
            </w:r>
          </w:p>
        </w:tc>
        <w:tc>
          <w:tcPr>
            <w:tcW w:w="1728" w:type="dxa"/>
            <w:tcBorders>
              <w:top w:val="nil"/>
              <w:left w:val="nil"/>
              <w:bottom w:val="nil"/>
              <w:right w:val="nil"/>
            </w:tcBorders>
            <w:shd w:val="clear" w:color="auto" w:fill="FFFFFF"/>
            <w:vAlign w:val="center"/>
          </w:tcPr>
          <w:p w14:paraId="2348DA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99.63%</w:t>
            </w:r>
          </w:p>
        </w:tc>
        <w:tc>
          <w:tcPr>
            <w:tcW w:w="1753" w:type="dxa"/>
            <w:tcBorders>
              <w:top w:val="nil"/>
              <w:left w:val="nil"/>
              <w:bottom w:val="nil"/>
              <w:right w:val="nil"/>
            </w:tcBorders>
            <w:shd w:val="clear" w:color="auto" w:fill="FFFFFF"/>
            <w:vAlign w:val="center"/>
          </w:tcPr>
          <w:p w14:paraId="7A0EB4A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3.94%</w:t>
            </w:r>
          </w:p>
        </w:tc>
      </w:tr>
      <w:tr w14:paraId="5519F464">
        <w:trPr>
          <w:trHeight w:val="0" w:hRule="atLeast"/>
          <w:jc w:val="center"/>
        </w:trPr>
        <w:tc>
          <w:tcPr>
            <w:tcW w:w="3310" w:type="dxa"/>
            <w:tcBorders>
              <w:top w:val="nil"/>
              <w:left w:val="nil"/>
              <w:bottom w:val="nil"/>
              <w:right w:val="nil"/>
            </w:tcBorders>
            <w:shd w:val="clear" w:color="auto" w:fill="FFFFFF"/>
            <w:vAlign w:val="center"/>
          </w:tcPr>
          <w:p w14:paraId="1B4693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数字版权运营及服务</w:t>
            </w:r>
          </w:p>
        </w:tc>
        <w:tc>
          <w:tcPr>
            <w:tcW w:w="1728" w:type="dxa"/>
            <w:tcBorders>
              <w:top w:val="nil"/>
              <w:left w:val="nil"/>
              <w:bottom w:val="nil"/>
              <w:right w:val="nil"/>
            </w:tcBorders>
            <w:shd w:val="clear" w:color="auto" w:fill="FFFFFF"/>
            <w:vAlign w:val="center"/>
          </w:tcPr>
          <w:p w14:paraId="72F613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2041万</w:t>
            </w:r>
          </w:p>
        </w:tc>
        <w:tc>
          <w:tcPr>
            <w:tcW w:w="1728" w:type="dxa"/>
            <w:tcBorders>
              <w:top w:val="nil"/>
              <w:left w:val="nil"/>
              <w:bottom w:val="nil"/>
              <w:right w:val="nil"/>
            </w:tcBorders>
            <w:shd w:val="clear" w:color="auto" w:fill="FFFFFF"/>
            <w:vAlign w:val="center"/>
          </w:tcPr>
          <w:p w14:paraId="3DB8A9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0.33%</w:t>
            </w:r>
          </w:p>
        </w:tc>
        <w:tc>
          <w:tcPr>
            <w:tcW w:w="1753" w:type="dxa"/>
            <w:tcBorders>
              <w:top w:val="nil"/>
              <w:left w:val="nil"/>
              <w:bottom w:val="nil"/>
              <w:right w:val="nil"/>
            </w:tcBorders>
            <w:shd w:val="clear" w:color="auto" w:fill="FFFFFF"/>
            <w:vAlign w:val="center"/>
          </w:tcPr>
          <w:p w14:paraId="2CA570D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-32.19%</w:t>
            </w:r>
          </w:p>
        </w:tc>
      </w:tr>
      <w:tr w14:paraId="2BDC0A7C">
        <w:trPr>
          <w:trHeight w:val="0" w:hRule="atLeast"/>
          <w:jc w:val="center"/>
        </w:trPr>
        <w:tc>
          <w:tcPr>
            <w:tcW w:w="3310" w:type="dxa"/>
            <w:tcBorders>
              <w:top w:val="nil"/>
              <w:left w:val="nil"/>
              <w:bottom w:val="nil"/>
              <w:right w:val="nil"/>
            </w:tcBorders>
            <w:shd w:val="clear" w:color="auto" w:fill="FFFFFF"/>
            <w:vAlign w:val="center"/>
          </w:tcPr>
          <w:p w14:paraId="2BA227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1728" w:type="dxa"/>
            <w:tcBorders>
              <w:top w:val="nil"/>
              <w:left w:val="nil"/>
              <w:bottom w:val="nil"/>
              <w:right w:val="nil"/>
            </w:tcBorders>
            <w:shd w:val="clear" w:color="auto" w:fill="FFFFFF"/>
            <w:vAlign w:val="center"/>
          </w:tcPr>
          <w:p w14:paraId="4FEB95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263.4万</w:t>
            </w:r>
          </w:p>
        </w:tc>
        <w:tc>
          <w:tcPr>
            <w:tcW w:w="1728" w:type="dxa"/>
            <w:tcBorders>
              <w:top w:val="nil"/>
              <w:left w:val="nil"/>
              <w:bottom w:val="nil"/>
              <w:right w:val="nil"/>
            </w:tcBorders>
            <w:shd w:val="clear" w:color="auto" w:fill="FFFFFF"/>
            <w:vAlign w:val="center"/>
          </w:tcPr>
          <w:p w14:paraId="00D9BA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0.04%</w:t>
            </w:r>
          </w:p>
        </w:tc>
        <w:tc>
          <w:tcPr>
            <w:tcW w:w="1753" w:type="dxa"/>
            <w:tcBorders>
              <w:top w:val="nil"/>
              <w:left w:val="nil"/>
              <w:bottom w:val="nil"/>
              <w:right w:val="nil"/>
            </w:tcBorders>
            <w:shd w:val="clear" w:color="auto" w:fill="FFFFFF"/>
            <w:vAlign w:val="center"/>
          </w:tcPr>
          <w:p w14:paraId="0F0057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r w14:paraId="0A97973F">
        <w:trPr>
          <w:trHeight w:val="0" w:hRule="atLeast"/>
          <w:jc w:val="center"/>
        </w:trPr>
        <w:tc>
          <w:tcPr>
            <w:tcW w:w="3310" w:type="dxa"/>
            <w:tcBorders>
              <w:top w:val="nil"/>
              <w:left w:val="nil"/>
              <w:bottom w:val="single" w:color="auto" w:sz="12" w:space="0"/>
              <w:right w:val="nil"/>
            </w:tcBorders>
            <w:shd w:val="clear" w:color="auto" w:fill="FFFFFF"/>
            <w:vAlign w:val="center"/>
          </w:tcPr>
          <w:p w14:paraId="751315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影视内容</w:t>
            </w:r>
          </w:p>
        </w:tc>
        <w:tc>
          <w:tcPr>
            <w:tcW w:w="1728" w:type="dxa"/>
            <w:tcBorders>
              <w:top w:val="nil"/>
              <w:left w:val="nil"/>
              <w:bottom w:val="single" w:color="auto" w:sz="12" w:space="0"/>
              <w:right w:val="nil"/>
            </w:tcBorders>
            <w:shd w:val="clear" w:color="auto" w:fill="FFFFFF"/>
            <w:vAlign w:val="center"/>
          </w:tcPr>
          <w:p w14:paraId="6EF721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9.291万</w:t>
            </w:r>
          </w:p>
        </w:tc>
        <w:tc>
          <w:tcPr>
            <w:tcW w:w="1728" w:type="dxa"/>
            <w:tcBorders>
              <w:top w:val="nil"/>
              <w:left w:val="nil"/>
              <w:bottom w:val="single" w:color="auto" w:sz="12" w:space="0"/>
              <w:right w:val="nil"/>
            </w:tcBorders>
            <w:shd w:val="clear" w:color="auto" w:fill="FFFFFF"/>
            <w:vAlign w:val="center"/>
          </w:tcPr>
          <w:p w14:paraId="3CBCEA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c>
          <w:tcPr>
            <w:tcW w:w="1753" w:type="dxa"/>
            <w:tcBorders>
              <w:top w:val="nil"/>
              <w:left w:val="nil"/>
              <w:bottom w:val="single" w:color="auto" w:sz="12" w:space="0"/>
              <w:right w:val="nil"/>
            </w:tcBorders>
            <w:shd w:val="clear" w:color="auto" w:fill="FFFFFF"/>
            <w:vAlign w:val="center"/>
          </w:tcPr>
          <w:p w14:paraId="7BED4C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-155.77%</w:t>
            </w:r>
          </w:p>
        </w:tc>
      </w:tr>
    </w:tbl>
    <w:p w14:paraId="5D70C0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06EA37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结构变化来看，公司主营收入长期集中在营销服务领域。2020—2024年期间，营销服务收入占比始终保持在90%以上，是企业收入规模扩张的主要来源。营销服务属于典型的服务型业务，企业通常通过整合媒体资源、客户资源以及创意内容生产开展业务，自身资产规模相对较小，因此在收入规模扩张时，总资产周转率往往会随之提升。</w:t>
      </w:r>
    </w:p>
    <w:p w14:paraId="37B34F2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公司也在探索数字版权运营、内容营销以及数字化营销工具等新业务。例如公司在营销业务中逐步引入数据分析平台、数字内容制作以及智能营销工具，以提升广告投放效率和内容生产效率。但从主营业务结构来看，相关数字化业务收入规模仍然较小，对公司整体收入结构的影响有限。</w:t>
      </w:r>
    </w:p>
    <w:p w14:paraId="2C01F4D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思美传媒总资产周转率持续上升的主要原因在于企业营业收入规模快速增长，而资产规模变化相对有限。在营销服务业务的带动下，公司利用既有资产创造收入的能力不断提高，从而在样本期内表现出较高的资产周转效率。</w:t>
      </w:r>
    </w:p>
    <w:p w14:paraId="56A703C7">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5.2.2.3 本节小结</w:t>
      </w:r>
    </w:p>
    <w:p w14:paraId="59631B0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样本企业总资产周转率的差异主要来源于业务模式和收入增长方式的不同。技术产品型企业通常需要持续投入研发和平台建设，资产规模扩张相对较快，而新产品商业化存在一定周期，因此营业收入增长往往滞后于资产扩张，导致资产周转率整体偏低或呈下降趋势；出版内容类企业依托稳定的发行渠道和市场需求，资产规模与收入规模变化较为同步，因此周转率整体保持稳定；营销服务类企业资产结构相对较轻，当收入规模快速扩大时，更容易形成较高的资产周转水平。</w:t>
      </w:r>
    </w:p>
    <w:p w14:paraId="04293B0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总资产周转率分析进一步揭示了人工智能应用层中小企业盈利分化的另一层逻辑：高周转并不一定意味着高盈利，低周转也不一定意味着低盈利。真正关键的是，企业的周转速度必须与利润率结构和业务模式相匹配。对于方直科技和巨人网络这类高附加值企业而言，低周转可以被高利润率所补偿；对于思美传媒和天地在线这类服务型企业而言，即使周转率较高，只要利润率过低或持续恶化，资本回报仍然难以改善。</w:t>
      </w:r>
    </w:p>
    <w:p w14:paraId="0972E95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杜邦分析的视角看，总资产周转率主要回答的是企业收入形成得快不快，而并不直接决定企业最终赚得多不多。对人工智能应用层中小企业而言，只有当周转效率、利润空间和业务模式三者同时协调时，企业盈利能力才可能实现稳定提升。基于这一判断，下一节将进一步从权益乘数角度展开分析，以判断资本结构变化是否放大或缓冲了企业盈利波动。</w:t>
      </w:r>
    </w:p>
    <w:p w14:paraId="56FEA9A7">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5.2.3权益乘数分析</w:t>
      </w:r>
    </w:p>
    <w:p w14:paraId="28D14DF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权益乘数</w:t>
      </w:r>
      <w:r>
        <w:rPr>
          <w:rFonts w:hint="default" w:ascii="宋体" w:hAnsi="宋体" w:eastAsia="宋体" w:cs="Times New Roman"/>
          <w:b w:val="0"/>
          <w:sz w:val="24"/>
          <w:szCs w:val="24"/>
          <w:lang w:val="en-US" w:eastAsia="zh-CN"/>
        </w:rPr>
        <w:t>主要用来</w:t>
      </w:r>
      <w:r>
        <w:rPr>
          <w:rFonts w:hint="default" w:ascii="宋体" w:hAnsi="宋体" w:eastAsia="宋体" w:cs="Times New Roman"/>
          <w:b w:val="0"/>
          <w:sz w:val="24"/>
          <w:szCs w:val="24"/>
        </w:rPr>
        <w:t>衡量企业资本结构，反映企业资产中有多少比例来源于负债融资</w:t>
      </w:r>
      <w:r>
        <w:rPr>
          <w:rFonts w:hint="default" w:ascii="宋体" w:hAnsi="宋体" w:eastAsia="宋体" w:cs="Times New Roman"/>
          <w:b w:val="0"/>
          <w:sz w:val="24"/>
          <w:szCs w:val="24"/>
          <w:lang w:val="en-US" w:eastAsia="zh-CN"/>
        </w:rPr>
        <w:t>。</w:t>
      </w:r>
      <w:r>
        <w:rPr>
          <w:rFonts w:hint="default" w:ascii="宋体" w:hAnsi="宋体" w:eastAsia="宋体" w:cs="Times New Roman"/>
          <w:b w:val="0"/>
          <w:sz w:val="24"/>
          <w:szCs w:val="24"/>
        </w:rPr>
        <w:t>在杜邦分析体系中，权益乘数体现的是企业的财务杠杆水平，其计算公式为：</w:t>
      </w:r>
    </w:p>
    <w:p w14:paraId="38537E3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lang w:val="en-US" w:eastAsia="zh-CN"/>
            </w:rPr>
            <m:t>权益乘数</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lang w:val="en-US" w:eastAsia="zh-CN"/>
                </w:rPr>
                <m:t>总资产</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lang w:val="en-US" w:eastAsia="zh-CN"/>
                </w:rPr>
                <m:t>股东权益</m:t>
              </m:r>
              <m:ctrlPr>
                <w:rPr>
                  <w:rFonts w:hint="default" w:ascii="Cambria Math" w:hAnsi="Cambria Math" w:eastAsia="宋体" w:cs="Times New Roman"/>
                  <w:sz w:val="24"/>
                </w:rPr>
              </m:ctrlPr>
            </m:den>
          </m:f>
        </m:oMath>
      </m:oMathPara>
    </w:p>
    <w:p w14:paraId="1678601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w:p>
    <w:p w14:paraId="4CB66D5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当企业在保持股东权益相对稳定的情况下增加负债融资、扩大资产规模时，权益乘数通常会上升；反之，当企业负债规模下降或股东权益增长较快时，权益乘数则可能下降。因此，权益乘数不仅反映企业资本结构特征，也在一定程度上体现企业的财务风险水平。</w:t>
      </w:r>
    </w:p>
    <w:p w14:paraId="435181C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t>对于人工智能应用层企业而言，企业普遍处于技术研发与业务拓展阶段，收入模式和市场空间仍在不断探索。根据艾瑞咨询《2024年中国人工智能产业研究报告》，AI赛道股权投资事件占比高达77.9%，约70%的项目仍处于A轮及以前阶段，显示出企业高度依赖股权融资而非债权融资的特征。艾媒咨询《2025年中国人工智能产业市场状况及标杆企业经营数据分析报告》也显示，人工智能应用层企业资产负债率普遍较低，负债率最低的十家企业平均资产负债率低于15%，显著低于传统制造业水平。这一融资结构特点反映出，部分企业在早期发展阶段更倾向于依赖自有资本和股权融资维持经营规模，而非通过大规模举债扩大资产规模，与其轻资产运营、持续研发投入的行业特性密切相关。因此，从样本企业整体情况来看，多数企业的财务杠杆水平相对温和。为了进一步分析不同企业资本结构的差异，本文对典型样本企业2020—2024年的权益乘数进行计算，结果如表5-26所示。</w:t>
      </w:r>
    </w:p>
    <w:p w14:paraId="6FBB89C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表5-26 典型样本企业权益乘数表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629A0B1C">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3ABCDE9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B9C7D1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1BF55CE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760659F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4BCB04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6F9C016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3EFA73A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25033D0A">
        <w:trPr>
          <w:trHeight w:val="0" w:hRule="atLeast"/>
          <w:jc w:val="center"/>
        </w:trPr>
        <w:tc>
          <w:tcPr>
            <w:tcW w:w="1613" w:type="dxa"/>
            <w:tcBorders>
              <w:top w:val="single" w:color="auto" w:sz="4" w:space="0"/>
              <w:left w:val="nil"/>
              <w:bottom w:val="nil"/>
              <w:right w:val="nil"/>
            </w:tcBorders>
            <w:shd w:val="clear" w:color="auto" w:fill="auto"/>
            <w:vAlign w:val="center"/>
          </w:tcPr>
          <w:p w14:paraId="25F6481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4B65D53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0064E05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1.045</w:t>
            </w:r>
          </w:p>
        </w:tc>
        <w:tc>
          <w:tcPr>
            <w:tcW w:w="1074" w:type="dxa"/>
            <w:tcBorders>
              <w:top w:val="single" w:color="auto" w:sz="4" w:space="0"/>
              <w:left w:val="nil"/>
              <w:bottom w:val="nil"/>
              <w:right w:val="nil"/>
            </w:tcBorders>
            <w:shd w:val="clear" w:color="auto" w:fill="auto"/>
            <w:vAlign w:val="center"/>
          </w:tcPr>
          <w:p w14:paraId="6EF5455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1.033</w:t>
            </w:r>
          </w:p>
        </w:tc>
        <w:tc>
          <w:tcPr>
            <w:tcW w:w="1074" w:type="dxa"/>
            <w:tcBorders>
              <w:top w:val="single" w:color="auto" w:sz="4" w:space="0"/>
              <w:left w:val="nil"/>
              <w:bottom w:val="nil"/>
              <w:right w:val="nil"/>
            </w:tcBorders>
            <w:shd w:val="clear" w:color="auto" w:fill="auto"/>
            <w:vAlign w:val="center"/>
          </w:tcPr>
          <w:p w14:paraId="580776F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c>
          <w:tcPr>
            <w:tcW w:w="1074" w:type="dxa"/>
            <w:tcBorders>
              <w:top w:val="single" w:color="auto" w:sz="4" w:space="0"/>
              <w:left w:val="nil"/>
              <w:bottom w:val="nil"/>
              <w:right w:val="nil"/>
            </w:tcBorders>
            <w:shd w:val="clear" w:color="auto" w:fill="auto"/>
            <w:vAlign w:val="center"/>
          </w:tcPr>
          <w:p w14:paraId="546EC0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1.022</w:t>
            </w:r>
          </w:p>
        </w:tc>
        <w:tc>
          <w:tcPr>
            <w:tcW w:w="1074" w:type="dxa"/>
            <w:tcBorders>
              <w:top w:val="single" w:color="auto" w:sz="4" w:space="0"/>
              <w:left w:val="nil"/>
              <w:bottom w:val="nil"/>
              <w:right w:val="nil"/>
            </w:tcBorders>
            <w:shd w:val="clear" w:color="auto" w:fill="auto"/>
            <w:vAlign w:val="center"/>
          </w:tcPr>
          <w:p w14:paraId="2C39507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r>
      <w:tr w14:paraId="16DFA3B9">
        <w:trPr>
          <w:trHeight w:val="0" w:hRule="atLeast"/>
          <w:jc w:val="center"/>
        </w:trPr>
        <w:tc>
          <w:tcPr>
            <w:tcW w:w="1613" w:type="dxa"/>
            <w:tcBorders>
              <w:top w:val="nil"/>
              <w:left w:val="nil"/>
              <w:bottom w:val="nil"/>
              <w:right w:val="nil"/>
            </w:tcBorders>
            <w:shd w:val="clear" w:color="auto" w:fill="auto"/>
            <w:vAlign w:val="center"/>
          </w:tcPr>
          <w:p w14:paraId="67C4F5A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466068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074" w:type="dxa"/>
            <w:tcBorders>
              <w:top w:val="nil"/>
              <w:left w:val="nil"/>
              <w:bottom w:val="nil"/>
              <w:right w:val="nil"/>
            </w:tcBorders>
            <w:shd w:val="clear" w:color="auto" w:fill="auto"/>
            <w:vAlign w:val="center"/>
          </w:tcPr>
          <w:p w14:paraId="242EE90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1.415</w:t>
            </w:r>
          </w:p>
        </w:tc>
        <w:tc>
          <w:tcPr>
            <w:tcW w:w="1074" w:type="dxa"/>
            <w:tcBorders>
              <w:top w:val="nil"/>
              <w:left w:val="nil"/>
              <w:bottom w:val="nil"/>
              <w:right w:val="nil"/>
            </w:tcBorders>
            <w:shd w:val="clear" w:color="auto" w:fill="auto"/>
            <w:vAlign w:val="center"/>
          </w:tcPr>
          <w:p w14:paraId="76EC36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1.39</w:t>
            </w:r>
          </w:p>
        </w:tc>
        <w:tc>
          <w:tcPr>
            <w:tcW w:w="1074" w:type="dxa"/>
            <w:tcBorders>
              <w:top w:val="nil"/>
              <w:left w:val="nil"/>
              <w:bottom w:val="nil"/>
              <w:right w:val="nil"/>
            </w:tcBorders>
            <w:shd w:val="clear" w:color="auto" w:fill="auto"/>
            <w:vAlign w:val="center"/>
          </w:tcPr>
          <w:p w14:paraId="01A29EA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1.358</w:t>
            </w:r>
          </w:p>
        </w:tc>
        <w:tc>
          <w:tcPr>
            <w:tcW w:w="1074" w:type="dxa"/>
            <w:tcBorders>
              <w:top w:val="nil"/>
              <w:left w:val="nil"/>
              <w:bottom w:val="nil"/>
              <w:right w:val="nil"/>
            </w:tcBorders>
            <w:shd w:val="clear" w:color="auto" w:fill="auto"/>
            <w:vAlign w:val="center"/>
          </w:tcPr>
          <w:p w14:paraId="7200477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1.424</w:t>
            </w:r>
          </w:p>
        </w:tc>
        <w:tc>
          <w:tcPr>
            <w:tcW w:w="1074" w:type="dxa"/>
            <w:tcBorders>
              <w:top w:val="nil"/>
              <w:left w:val="nil"/>
              <w:bottom w:val="nil"/>
              <w:right w:val="nil"/>
            </w:tcBorders>
            <w:shd w:val="clear" w:color="auto" w:fill="auto"/>
            <w:vAlign w:val="center"/>
          </w:tcPr>
          <w:p w14:paraId="2C2A49D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1.407</w:t>
            </w:r>
          </w:p>
        </w:tc>
      </w:tr>
      <w:tr w14:paraId="30E2503A">
        <w:trPr>
          <w:trHeight w:val="0" w:hRule="atLeast"/>
          <w:jc w:val="center"/>
        </w:trPr>
        <w:tc>
          <w:tcPr>
            <w:tcW w:w="1613" w:type="dxa"/>
            <w:tcBorders>
              <w:top w:val="nil"/>
              <w:left w:val="nil"/>
              <w:bottom w:val="nil"/>
              <w:right w:val="nil"/>
            </w:tcBorders>
            <w:shd w:val="clear" w:color="auto" w:fill="auto"/>
            <w:vAlign w:val="center"/>
          </w:tcPr>
          <w:p w14:paraId="6EC9F6D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3D3A224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074" w:type="dxa"/>
            <w:tcBorders>
              <w:top w:val="nil"/>
              <w:left w:val="nil"/>
              <w:bottom w:val="nil"/>
              <w:right w:val="nil"/>
            </w:tcBorders>
            <w:shd w:val="clear" w:color="auto" w:fill="auto"/>
            <w:vAlign w:val="center"/>
          </w:tcPr>
          <w:p w14:paraId="6363927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1.577</w:t>
            </w:r>
          </w:p>
        </w:tc>
        <w:tc>
          <w:tcPr>
            <w:tcW w:w="1074" w:type="dxa"/>
            <w:tcBorders>
              <w:top w:val="nil"/>
              <w:left w:val="nil"/>
              <w:bottom w:val="nil"/>
              <w:right w:val="nil"/>
            </w:tcBorders>
            <w:shd w:val="clear" w:color="auto" w:fill="auto"/>
            <w:vAlign w:val="center"/>
          </w:tcPr>
          <w:p w14:paraId="4ACB48D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1.565</w:t>
            </w:r>
          </w:p>
        </w:tc>
        <w:tc>
          <w:tcPr>
            <w:tcW w:w="1074" w:type="dxa"/>
            <w:tcBorders>
              <w:top w:val="nil"/>
              <w:left w:val="nil"/>
              <w:bottom w:val="nil"/>
              <w:right w:val="nil"/>
            </w:tcBorders>
            <w:shd w:val="clear" w:color="auto" w:fill="auto"/>
            <w:vAlign w:val="center"/>
          </w:tcPr>
          <w:p w14:paraId="6B011EB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1.368</w:t>
            </w:r>
          </w:p>
        </w:tc>
        <w:tc>
          <w:tcPr>
            <w:tcW w:w="1074" w:type="dxa"/>
            <w:tcBorders>
              <w:top w:val="nil"/>
              <w:left w:val="nil"/>
              <w:bottom w:val="nil"/>
              <w:right w:val="nil"/>
            </w:tcBorders>
            <w:shd w:val="clear" w:color="auto" w:fill="auto"/>
            <w:vAlign w:val="center"/>
          </w:tcPr>
          <w:p w14:paraId="2344F9D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1.294</w:t>
            </w:r>
          </w:p>
        </w:tc>
        <w:tc>
          <w:tcPr>
            <w:tcW w:w="1074" w:type="dxa"/>
            <w:tcBorders>
              <w:top w:val="nil"/>
              <w:left w:val="nil"/>
              <w:bottom w:val="nil"/>
              <w:right w:val="nil"/>
            </w:tcBorders>
            <w:shd w:val="clear" w:color="auto" w:fill="auto"/>
            <w:vAlign w:val="center"/>
          </w:tcPr>
          <w:p w14:paraId="4C94C8B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w:t>
            </w:r>
          </w:p>
        </w:tc>
      </w:tr>
      <w:tr w14:paraId="11353790">
        <w:trPr>
          <w:trHeight w:val="0" w:hRule="atLeast"/>
          <w:jc w:val="center"/>
        </w:trPr>
        <w:tc>
          <w:tcPr>
            <w:tcW w:w="1613" w:type="dxa"/>
            <w:tcBorders>
              <w:top w:val="nil"/>
              <w:left w:val="nil"/>
              <w:bottom w:val="nil"/>
              <w:right w:val="nil"/>
            </w:tcBorders>
            <w:shd w:val="clear" w:color="auto" w:fill="auto"/>
            <w:vAlign w:val="center"/>
          </w:tcPr>
          <w:p w14:paraId="7EA2F51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164D68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074" w:type="dxa"/>
            <w:tcBorders>
              <w:top w:val="nil"/>
              <w:left w:val="nil"/>
              <w:bottom w:val="nil"/>
              <w:right w:val="nil"/>
            </w:tcBorders>
            <w:shd w:val="clear" w:color="auto" w:fill="auto"/>
            <w:vAlign w:val="center"/>
          </w:tcPr>
          <w:p w14:paraId="0AB72AA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1.138</w:t>
            </w:r>
          </w:p>
        </w:tc>
        <w:tc>
          <w:tcPr>
            <w:tcW w:w="1074" w:type="dxa"/>
            <w:tcBorders>
              <w:top w:val="nil"/>
              <w:left w:val="nil"/>
              <w:bottom w:val="nil"/>
              <w:right w:val="nil"/>
            </w:tcBorders>
            <w:shd w:val="clear" w:color="auto" w:fill="auto"/>
            <w:vAlign w:val="center"/>
          </w:tcPr>
          <w:p w14:paraId="275379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1.126</w:t>
            </w:r>
          </w:p>
        </w:tc>
        <w:tc>
          <w:tcPr>
            <w:tcW w:w="1074" w:type="dxa"/>
            <w:tcBorders>
              <w:top w:val="nil"/>
              <w:left w:val="nil"/>
              <w:bottom w:val="nil"/>
              <w:right w:val="nil"/>
            </w:tcBorders>
            <w:shd w:val="clear" w:color="auto" w:fill="auto"/>
            <w:vAlign w:val="center"/>
          </w:tcPr>
          <w:p w14:paraId="594F31B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w:t>
            </w:r>
          </w:p>
        </w:tc>
        <w:tc>
          <w:tcPr>
            <w:tcW w:w="1074" w:type="dxa"/>
            <w:tcBorders>
              <w:top w:val="nil"/>
              <w:left w:val="nil"/>
              <w:bottom w:val="nil"/>
              <w:right w:val="nil"/>
            </w:tcBorders>
            <w:shd w:val="clear" w:color="auto" w:fill="auto"/>
            <w:vAlign w:val="center"/>
          </w:tcPr>
          <w:p w14:paraId="781EEFE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074" w:type="dxa"/>
            <w:tcBorders>
              <w:top w:val="nil"/>
              <w:left w:val="nil"/>
              <w:bottom w:val="nil"/>
              <w:right w:val="nil"/>
            </w:tcBorders>
            <w:shd w:val="clear" w:color="auto" w:fill="auto"/>
            <w:vAlign w:val="center"/>
          </w:tcPr>
          <w:p w14:paraId="3E07E7A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1.146</w:t>
            </w:r>
          </w:p>
        </w:tc>
      </w:tr>
      <w:tr w14:paraId="6B49A329">
        <w:trPr>
          <w:trHeight w:val="0" w:hRule="atLeast"/>
          <w:jc w:val="center"/>
        </w:trPr>
        <w:tc>
          <w:tcPr>
            <w:tcW w:w="1613" w:type="dxa"/>
            <w:tcBorders>
              <w:top w:val="nil"/>
              <w:left w:val="nil"/>
              <w:bottom w:val="nil"/>
              <w:right w:val="nil"/>
            </w:tcBorders>
            <w:shd w:val="clear" w:color="auto" w:fill="auto"/>
            <w:vAlign w:val="center"/>
          </w:tcPr>
          <w:p w14:paraId="3A4685F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DB145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70A0D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1.476</w:t>
            </w:r>
          </w:p>
        </w:tc>
        <w:tc>
          <w:tcPr>
            <w:tcW w:w="1074" w:type="dxa"/>
            <w:tcBorders>
              <w:top w:val="nil"/>
              <w:left w:val="nil"/>
              <w:bottom w:val="nil"/>
              <w:right w:val="nil"/>
            </w:tcBorders>
            <w:shd w:val="clear" w:color="auto" w:fill="auto"/>
            <w:vAlign w:val="center"/>
          </w:tcPr>
          <w:p w14:paraId="5E6558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1.481</w:t>
            </w:r>
          </w:p>
        </w:tc>
        <w:tc>
          <w:tcPr>
            <w:tcW w:w="1074" w:type="dxa"/>
            <w:tcBorders>
              <w:top w:val="nil"/>
              <w:left w:val="nil"/>
              <w:bottom w:val="nil"/>
              <w:right w:val="nil"/>
            </w:tcBorders>
            <w:shd w:val="clear" w:color="auto" w:fill="auto"/>
            <w:vAlign w:val="center"/>
          </w:tcPr>
          <w:p w14:paraId="44E6F02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1.318</w:t>
            </w:r>
          </w:p>
        </w:tc>
        <w:tc>
          <w:tcPr>
            <w:tcW w:w="1074" w:type="dxa"/>
            <w:tcBorders>
              <w:top w:val="nil"/>
              <w:left w:val="nil"/>
              <w:bottom w:val="nil"/>
              <w:right w:val="nil"/>
            </w:tcBorders>
            <w:shd w:val="clear" w:color="auto" w:fill="auto"/>
            <w:vAlign w:val="center"/>
          </w:tcPr>
          <w:p w14:paraId="3987795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1.344</w:t>
            </w:r>
          </w:p>
        </w:tc>
        <w:tc>
          <w:tcPr>
            <w:tcW w:w="1074" w:type="dxa"/>
            <w:tcBorders>
              <w:top w:val="nil"/>
              <w:left w:val="nil"/>
              <w:bottom w:val="nil"/>
              <w:right w:val="nil"/>
            </w:tcBorders>
            <w:shd w:val="clear" w:color="auto" w:fill="auto"/>
            <w:vAlign w:val="center"/>
          </w:tcPr>
          <w:p w14:paraId="0CDBE9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w:t>
            </w:r>
          </w:p>
        </w:tc>
      </w:tr>
      <w:tr w14:paraId="5B7A6213">
        <w:trPr>
          <w:trHeight w:val="0" w:hRule="atLeast"/>
          <w:jc w:val="center"/>
        </w:trPr>
        <w:tc>
          <w:tcPr>
            <w:tcW w:w="1613" w:type="dxa"/>
            <w:tcBorders>
              <w:top w:val="nil"/>
              <w:left w:val="nil"/>
              <w:bottom w:val="single" w:color="auto" w:sz="12" w:space="0"/>
              <w:right w:val="nil"/>
            </w:tcBorders>
            <w:shd w:val="clear" w:color="auto" w:fill="auto"/>
            <w:vAlign w:val="center"/>
          </w:tcPr>
          <w:p w14:paraId="41A730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1D64D6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3596DB6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1.373</w:t>
            </w:r>
          </w:p>
        </w:tc>
        <w:tc>
          <w:tcPr>
            <w:tcW w:w="1074" w:type="dxa"/>
            <w:tcBorders>
              <w:top w:val="nil"/>
              <w:left w:val="nil"/>
              <w:bottom w:val="single" w:color="auto" w:sz="12" w:space="0"/>
              <w:right w:val="nil"/>
            </w:tcBorders>
            <w:shd w:val="clear" w:color="auto" w:fill="auto"/>
            <w:vAlign w:val="center"/>
          </w:tcPr>
          <w:p w14:paraId="602C6C2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w:t>
            </w:r>
          </w:p>
        </w:tc>
        <w:tc>
          <w:tcPr>
            <w:tcW w:w="1074" w:type="dxa"/>
            <w:tcBorders>
              <w:top w:val="nil"/>
              <w:left w:val="nil"/>
              <w:bottom w:val="single" w:color="auto" w:sz="12" w:space="0"/>
              <w:right w:val="nil"/>
            </w:tcBorders>
            <w:shd w:val="clear" w:color="auto" w:fill="auto"/>
            <w:vAlign w:val="center"/>
          </w:tcPr>
          <w:p w14:paraId="7EF530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1.511</w:t>
            </w:r>
          </w:p>
        </w:tc>
        <w:tc>
          <w:tcPr>
            <w:tcW w:w="1074" w:type="dxa"/>
            <w:tcBorders>
              <w:top w:val="nil"/>
              <w:left w:val="nil"/>
              <w:bottom w:val="single" w:color="auto" w:sz="12" w:space="0"/>
              <w:right w:val="nil"/>
            </w:tcBorders>
            <w:shd w:val="clear" w:color="auto" w:fill="auto"/>
            <w:vAlign w:val="center"/>
          </w:tcPr>
          <w:p w14:paraId="5DF4897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1.704</w:t>
            </w:r>
          </w:p>
        </w:tc>
        <w:tc>
          <w:tcPr>
            <w:tcW w:w="1074" w:type="dxa"/>
            <w:tcBorders>
              <w:top w:val="nil"/>
              <w:left w:val="nil"/>
              <w:bottom w:val="single" w:color="auto" w:sz="12" w:space="0"/>
              <w:right w:val="nil"/>
            </w:tcBorders>
            <w:shd w:val="clear" w:color="auto" w:fill="auto"/>
            <w:vAlign w:val="center"/>
          </w:tcPr>
          <w:p w14:paraId="312FDA1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2.013</w:t>
            </w:r>
          </w:p>
        </w:tc>
      </w:tr>
    </w:tbl>
    <w:p w14:paraId="03899B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BAC5D7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总体来看，典型样本企业在财务杠杆使用程度上存在一定差异，但整体杠杆水平普遍不高，如图5-5所示，多数企业权益乘数维持在1—1.5之间，说明企业资产结构中负债占比相对有限，经营活动更多依赖股东资本和企业内部积累。与此同时，个别企业权益乘数在样本期内出现明显上升，例如思美传媒，其权益乘数由2020年的1.373上升至2024年的2.013，说明企业在后期逐渐提高了负债融资比例，从而扩大资产规模。</w:t>
      </w:r>
    </w:p>
    <w:p w14:paraId="12D67442">
      <w:pPr>
        <w:widowControl/>
        <w:tabs>
          <w:tab w:val="left" w:pos="377"/>
        </w:tabs>
        <w:autoSpaceDE/>
        <w:autoSpaceDN/>
        <w:snapToGrid/>
        <w:spacing w:before="156" w:beforeLines="50" w:line="400" w:lineRule="exact"/>
        <w:ind w:firstLine="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4310" cy="2874010"/>
            <wp:effectExtent l="6350" t="6350" r="27940" b="15240"/>
            <wp:docPr id="2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0AA7F8A">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图5-5 典型样本企业权益乘数变化趋势图</w:t>
      </w:r>
    </w:p>
    <w:p w14:paraId="063D81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48D2584C">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5.2.3.1 AI独立产品型企业权益乘数分析</w:t>
      </w:r>
    </w:p>
    <w:p w14:paraId="455A1DA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 方直科技</w:t>
      </w:r>
    </w:p>
    <w:p w14:paraId="342F39D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方直科技2020—2024年的权益乘数始终维持在1.02—1.05之间，整体波动幅度很小，是样本企业中财务杠杆水平最低的企业之一</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为进一步观察企业资本结构变化，</w:t>
      </w:r>
      <w:r>
        <w:rPr>
          <w:rFonts w:hint="default" w:ascii="宋体" w:hAnsi="宋体" w:eastAsia="宋体" w:cs="Times New Roman"/>
          <w:b w:val="0"/>
          <w:sz w:val="24"/>
          <w:szCs w:val="24"/>
          <w:lang w:val="en-US" w:eastAsia="zh-CN"/>
        </w:rPr>
        <w:t>本文继续</w:t>
      </w:r>
      <w:r>
        <w:rPr>
          <w:rFonts w:hint="default" w:ascii="宋体" w:hAnsi="宋体" w:eastAsia="宋体" w:cs="Times New Roman"/>
          <w:b w:val="0"/>
          <w:sz w:val="24"/>
          <w:szCs w:val="24"/>
        </w:rPr>
        <w:t>结合资产规模与负债规模变化进行分析。</w:t>
      </w:r>
    </w:p>
    <w:p w14:paraId="3F7A696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表5-27 方直科技资产规模与负债规模变化表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24AF4004">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2F39AC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302580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3BDE2D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79DC4C5E">
        <w:trPr>
          <w:trHeight w:val="0" w:hRule="atLeast"/>
          <w:jc w:val="center"/>
        </w:trPr>
        <w:tc>
          <w:tcPr>
            <w:tcW w:w="1339" w:type="dxa"/>
            <w:tcBorders>
              <w:top w:val="single" w:color="auto" w:sz="4" w:space="0"/>
              <w:left w:val="nil"/>
              <w:bottom w:val="nil"/>
              <w:right w:val="nil"/>
            </w:tcBorders>
            <w:shd w:val="clear" w:color="auto" w:fill="auto"/>
            <w:vAlign w:val="center"/>
          </w:tcPr>
          <w:p w14:paraId="1781ACE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236EF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678,658,437</w:t>
            </w:r>
          </w:p>
        </w:tc>
        <w:tc>
          <w:tcPr>
            <w:tcW w:w="3591" w:type="dxa"/>
            <w:tcBorders>
              <w:top w:val="single" w:color="auto" w:sz="4" w:space="0"/>
              <w:left w:val="nil"/>
              <w:bottom w:val="nil"/>
              <w:right w:val="nil"/>
            </w:tcBorders>
            <w:shd w:val="clear" w:color="auto" w:fill="auto"/>
            <w:vAlign w:val="center"/>
          </w:tcPr>
          <w:p w14:paraId="34B4B87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29,241,996</w:t>
            </w:r>
          </w:p>
        </w:tc>
      </w:tr>
      <w:tr w14:paraId="422396FA">
        <w:trPr>
          <w:trHeight w:val="0" w:hRule="atLeast"/>
          <w:jc w:val="center"/>
        </w:trPr>
        <w:tc>
          <w:tcPr>
            <w:tcW w:w="1339" w:type="dxa"/>
            <w:tcBorders>
              <w:top w:val="nil"/>
              <w:left w:val="nil"/>
              <w:bottom w:val="nil"/>
              <w:right w:val="nil"/>
            </w:tcBorders>
            <w:shd w:val="clear" w:color="auto" w:fill="auto"/>
            <w:vAlign w:val="center"/>
          </w:tcPr>
          <w:p w14:paraId="77702E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4CFBA2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685,266,193</w:t>
            </w:r>
          </w:p>
        </w:tc>
        <w:tc>
          <w:tcPr>
            <w:tcW w:w="3591" w:type="dxa"/>
            <w:tcBorders>
              <w:top w:val="nil"/>
              <w:left w:val="nil"/>
              <w:bottom w:val="nil"/>
              <w:right w:val="nil"/>
            </w:tcBorders>
            <w:shd w:val="clear" w:color="auto" w:fill="auto"/>
            <w:vAlign w:val="center"/>
          </w:tcPr>
          <w:p w14:paraId="73E42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22,207,921</w:t>
            </w:r>
          </w:p>
        </w:tc>
      </w:tr>
      <w:tr w14:paraId="7CE5A4E1">
        <w:trPr>
          <w:trHeight w:val="0" w:hRule="atLeast"/>
          <w:jc w:val="center"/>
        </w:trPr>
        <w:tc>
          <w:tcPr>
            <w:tcW w:w="1339" w:type="dxa"/>
            <w:tcBorders>
              <w:top w:val="nil"/>
              <w:left w:val="nil"/>
              <w:bottom w:val="nil"/>
              <w:right w:val="nil"/>
            </w:tcBorders>
            <w:shd w:val="clear" w:color="auto" w:fill="auto"/>
            <w:vAlign w:val="center"/>
          </w:tcPr>
          <w:p w14:paraId="1896309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59001BC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704,654,098</w:t>
            </w:r>
          </w:p>
        </w:tc>
        <w:tc>
          <w:tcPr>
            <w:tcW w:w="3591" w:type="dxa"/>
            <w:tcBorders>
              <w:top w:val="nil"/>
              <w:left w:val="nil"/>
              <w:bottom w:val="nil"/>
              <w:right w:val="nil"/>
            </w:tcBorders>
            <w:shd w:val="clear" w:color="auto" w:fill="auto"/>
            <w:vAlign w:val="center"/>
          </w:tcPr>
          <w:p w14:paraId="040D2E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21,906,984</w:t>
            </w:r>
          </w:p>
        </w:tc>
      </w:tr>
      <w:tr w14:paraId="4FE82A2F">
        <w:trPr>
          <w:trHeight w:val="0" w:hRule="atLeast"/>
          <w:jc w:val="center"/>
        </w:trPr>
        <w:tc>
          <w:tcPr>
            <w:tcW w:w="1339" w:type="dxa"/>
            <w:tcBorders>
              <w:top w:val="nil"/>
              <w:left w:val="nil"/>
              <w:bottom w:val="nil"/>
              <w:right w:val="nil"/>
            </w:tcBorders>
            <w:shd w:val="clear" w:color="auto" w:fill="auto"/>
            <w:vAlign w:val="center"/>
          </w:tcPr>
          <w:p w14:paraId="529262D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782A1E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723,448,126</w:t>
            </w:r>
          </w:p>
        </w:tc>
        <w:tc>
          <w:tcPr>
            <w:tcW w:w="3591" w:type="dxa"/>
            <w:tcBorders>
              <w:top w:val="nil"/>
              <w:left w:val="nil"/>
              <w:bottom w:val="nil"/>
              <w:right w:val="nil"/>
            </w:tcBorders>
            <w:shd w:val="clear" w:color="auto" w:fill="auto"/>
            <w:vAlign w:val="center"/>
          </w:tcPr>
          <w:p w14:paraId="014A7E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15,249,409</w:t>
            </w:r>
          </w:p>
        </w:tc>
      </w:tr>
      <w:tr w14:paraId="1F1B105B">
        <w:trPr>
          <w:trHeight w:val="0" w:hRule="atLeast"/>
          <w:jc w:val="center"/>
        </w:trPr>
        <w:tc>
          <w:tcPr>
            <w:tcW w:w="1339" w:type="dxa"/>
            <w:tcBorders>
              <w:top w:val="nil"/>
              <w:left w:val="nil"/>
              <w:bottom w:val="single" w:color="auto" w:sz="12" w:space="0"/>
              <w:right w:val="nil"/>
            </w:tcBorders>
            <w:shd w:val="clear" w:color="auto" w:fill="auto"/>
            <w:vAlign w:val="center"/>
          </w:tcPr>
          <w:p w14:paraId="7D45399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C8B297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723,296,827</w:t>
            </w:r>
          </w:p>
        </w:tc>
        <w:tc>
          <w:tcPr>
            <w:tcW w:w="3591" w:type="dxa"/>
            <w:tcBorders>
              <w:top w:val="nil"/>
              <w:left w:val="nil"/>
              <w:bottom w:val="single" w:color="auto" w:sz="12" w:space="0"/>
              <w:right w:val="nil"/>
            </w:tcBorders>
            <w:shd w:val="clear" w:color="auto" w:fill="auto"/>
            <w:vAlign w:val="center"/>
          </w:tcPr>
          <w:p w14:paraId="667C88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19,667,517</w:t>
            </w:r>
          </w:p>
        </w:tc>
      </w:tr>
    </w:tbl>
    <w:p w14:paraId="464E1FA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919B21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t>如方直科技资产规模与负债规模变化表（表5-27）所示，公司资产规模在样本期内整体保持稳定增长，由2020年的6.79亿元增加至2024年的7.23亿元，而负债规模则始终处于较低水平，五年间基本维持在1500万元至3000万元之间。以2024年为例，公司总资产约为7.23亿元，而负债规模仅约1967万元，负债占资产比例不足3%。在这种资本结构下，企业资产绝大部分由股东权益构成，因此权益乘数长期接近1。</w:t>
      </w:r>
    </w:p>
    <w:p w14:paraId="69A66D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eastAsia="zh-CN"/>
        </w:rPr>
        <w:t>从资本结构角度看，这种低杠杆结构在技术型企业中较为常见。方直科技主要从事教育软件及数字教育产品研发，企业资产结构以研发投入、软件系统和内容资源为主，对固定资产和外部融资的依赖程度相对较低。同时，技术产品研发周期具有一定不确定性，企业通常更倾向于保持稳健的资本结构，以降低财务风险。</w:t>
      </w:r>
      <w:r>
        <w:rPr>
          <w:rFonts w:hint="default" w:ascii="宋体" w:hAnsi="宋体" w:eastAsia="宋体" w:cs="Times New Roman"/>
          <w:b w:val="0"/>
          <w:sz w:val="24"/>
          <w:szCs w:val="24"/>
          <w:lang w:val="en-US" w:eastAsia="zh-CN"/>
        </w:rPr>
        <w:t>由前文可知，</w:t>
      </w:r>
      <w:r>
        <w:rPr>
          <w:rFonts w:hint="default" w:ascii="宋体" w:hAnsi="宋体" w:eastAsia="宋体" w:cs="Times New Roman"/>
          <w:b w:val="0"/>
          <w:sz w:val="24"/>
          <w:szCs w:val="24"/>
          <w:lang w:eastAsia="zh-CN"/>
        </w:rPr>
        <w:t>人工智能教育产品类的业务仍处于持续研发与推广阶段，需要保持较为稳定的资金支持。因此，从资本结构安排来看，公司并未通过增加负债融资扩大经营规模，而是以自有资本为主维持业务发展。</w:t>
      </w:r>
    </w:p>
    <w:p w14:paraId="13B518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佳讯飞鸿</w:t>
      </w:r>
    </w:p>
    <w:p w14:paraId="41D16F6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佳讯飞鸿2020—2024年的权益乘数整体维持在1.35—1.42之间，波动幅度较小，说明企业在保持财务稳健的同时，也通过一定程度的负债融资支持业务发展。</w:t>
      </w:r>
    </w:p>
    <w:p w14:paraId="5D33DC3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表5-28 佳讯飞鸿资产规模与负债规模变化表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23E5E49">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557AD9EB">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72FDF67A">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766904A8">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1D98D952">
        <w:trPr>
          <w:trHeight w:val="0" w:hRule="atLeast"/>
          <w:jc w:val="center"/>
        </w:trPr>
        <w:tc>
          <w:tcPr>
            <w:tcW w:w="1339" w:type="dxa"/>
            <w:tcBorders>
              <w:top w:val="single" w:color="auto" w:sz="4" w:space="0"/>
              <w:left w:val="nil"/>
              <w:bottom w:val="nil"/>
              <w:right w:val="nil"/>
            </w:tcBorders>
            <w:shd w:val="clear" w:color="auto" w:fill="auto"/>
            <w:vAlign w:val="center"/>
          </w:tcPr>
          <w:p w14:paraId="59520943">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75DD1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3,034,679,403</w:t>
            </w:r>
          </w:p>
        </w:tc>
        <w:tc>
          <w:tcPr>
            <w:tcW w:w="3591" w:type="dxa"/>
            <w:tcBorders>
              <w:top w:val="single" w:color="auto" w:sz="4" w:space="0"/>
              <w:left w:val="nil"/>
              <w:bottom w:val="nil"/>
              <w:right w:val="nil"/>
            </w:tcBorders>
            <w:shd w:val="clear" w:color="auto" w:fill="auto"/>
            <w:vAlign w:val="center"/>
          </w:tcPr>
          <w:p w14:paraId="06FDC80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889,273,633</w:t>
            </w:r>
          </w:p>
        </w:tc>
      </w:tr>
      <w:tr w14:paraId="6E370FA6">
        <w:trPr>
          <w:trHeight w:val="0" w:hRule="atLeast"/>
          <w:jc w:val="center"/>
        </w:trPr>
        <w:tc>
          <w:tcPr>
            <w:tcW w:w="1339" w:type="dxa"/>
            <w:tcBorders>
              <w:top w:val="nil"/>
              <w:left w:val="nil"/>
              <w:bottom w:val="nil"/>
              <w:right w:val="nil"/>
            </w:tcBorders>
            <w:shd w:val="clear" w:color="auto" w:fill="auto"/>
            <w:vAlign w:val="center"/>
          </w:tcPr>
          <w:p w14:paraId="5C787459">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5422B2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3,031,943,430</w:t>
            </w:r>
          </w:p>
        </w:tc>
        <w:tc>
          <w:tcPr>
            <w:tcW w:w="3591" w:type="dxa"/>
            <w:tcBorders>
              <w:top w:val="nil"/>
              <w:left w:val="nil"/>
              <w:bottom w:val="nil"/>
              <w:right w:val="nil"/>
            </w:tcBorders>
            <w:shd w:val="clear" w:color="auto" w:fill="auto"/>
            <w:vAlign w:val="center"/>
          </w:tcPr>
          <w:p w14:paraId="674077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850,827,808</w:t>
            </w:r>
          </w:p>
        </w:tc>
      </w:tr>
      <w:tr w14:paraId="360922F2">
        <w:trPr>
          <w:trHeight w:val="0" w:hRule="atLeast"/>
          <w:jc w:val="center"/>
        </w:trPr>
        <w:tc>
          <w:tcPr>
            <w:tcW w:w="1339" w:type="dxa"/>
            <w:tcBorders>
              <w:top w:val="nil"/>
              <w:left w:val="nil"/>
              <w:bottom w:val="nil"/>
              <w:right w:val="nil"/>
            </w:tcBorders>
            <w:shd w:val="clear" w:color="auto" w:fill="auto"/>
            <w:vAlign w:val="center"/>
          </w:tcPr>
          <w:p w14:paraId="7425EED3">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6DDC379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3,034,792,648</w:t>
            </w:r>
          </w:p>
        </w:tc>
        <w:tc>
          <w:tcPr>
            <w:tcW w:w="3591" w:type="dxa"/>
            <w:tcBorders>
              <w:top w:val="nil"/>
              <w:left w:val="nil"/>
              <w:bottom w:val="nil"/>
              <w:right w:val="nil"/>
            </w:tcBorders>
            <w:shd w:val="clear" w:color="auto" w:fill="auto"/>
            <w:vAlign w:val="center"/>
          </w:tcPr>
          <w:p w14:paraId="45A8DB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798,113,606</w:t>
            </w:r>
          </w:p>
        </w:tc>
      </w:tr>
      <w:tr w14:paraId="25B9AFAE">
        <w:trPr>
          <w:trHeight w:val="0" w:hRule="atLeast"/>
          <w:jc w:val="center"/>
        </w:trPr>
        <w:tc>
          <w:tcPr>
            <w:tcW w:w="1339" w:type="dxa"/>
            <w:tcBorders>
              <w:top w:val="nil"/>
              <w:left w:val="nil"/>
              <w:bottom w:val="nil"/>
              <w:right w:val="nil"/>
            </w:tcBorders>
            <w:shd w:val="clear" w:color="auto" w:fill="auto"/>
            <w:vAlign w:val="center"/>
          </w:tcPr>
          <w:p w14:paraId="678268F0">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13AFC4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3,166,828,604</w:t>
            </w:r>
          </w:p>
        </w:tc>
        <w:tc>
          <w:tcPr>
            <w:tcW w:w="3591" w:type="dxa"/>
            <w:tcBorders>
              <w:top w:val="nil"/>
              <w:left w:val="nil"/>
              <w:bottom w:val="nil"/>
              <w:right w:val="nil"/>
            </w:tcBorders>
            <w:shd w:val="clear" w:color="auto" w:fill="auto"/>
            <w:vAlign w:val="center"/>
          </w:tcPr>
          <w:p w14:paraId="7A56EE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942,784,437</w:t>
            </w:r>
          </w:p>
        </w:tc>
      </w:tr>
      <w:tr w14:paraId="7829EB73">
        <w:trPr>
          <w:trHeight w:val="0" w:hRule="atLeast"/>
          <w:jc w:val="center"/>
        </w:trPr>
        <w:tc>
          <w:tcPr>
            <w:tcW w:w="1339" w:type="dxa"/>
            <w:tcBorders>
              <w:top w:val="nil"/>
              <w:left w:val="nil"/>
              <w:bottom w:val="single" w:color="auto" w:sz="12" w:space="0"/>
              <w:right w:val="nil"/>
            </w:tcBorders>
            <w:shd w:val="clear" w:color="auto" w:fill="auto"/>
            <w:vAlign w:val="center"/>
          </w:tcPr>
          <w:p w14:paraId="554537A4">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B63D0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3,143,722,135</w:t>
            </w:r>
          </w:p>
        </w:tc>
        <w:tc>
          <w:tcPr>
            <w:tcW w:w="3591" w:type="dxa"/>
            <w:tcBorders>
              <w:top w:val="nil"/>
              <w:left w:val="nil"/>
              <w:bottom w:val="single" w:color="auto" w:sz="12" w:space="0"/>
              <w:right w:val="nil"/>
            </w:tcBorders>
            <w:shd w:val="clear" w:color="auto" w:fill="auto"/>
            <w:vAlign w:val="center"/>
          </w:tcPr>
          <w:p w14:paraId="3DE51E6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909,054,838</w:t>
            </w:r>
          </w:p>
        </w:tc>
      </w:tr>
    </w:tbl>
    <w:p w14:paraId="24E55D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B2D7C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表5-28列出了佳讯飞鸿的资产规模与负债规模变化，公司资产规模在样本期内整体保持稳定，基本维持在30亿元左右。与此同时，公司负债规模则在8亿—9亿元之间波动。以2024年为例，公司总资产约为31.44亿元，负债规模约为9.09亿元，负债占资产比例约为29%。在这种资本结构下，企业既保持了一定程度的财务杠杆，又没有出现过度依赖负债融资的情况，因此权益乘数整体保持稳定。</w:t>
      </w:r>
    </w:p>
    <w:p w14:paraId="4B70C08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特征来看，佳讯飞鸿主要从事行业智能化解决方案业务，企业在系统研发、项目实施以及后期维护过程中需要一定的营运资金支持，因此企业通常会保持适度的负债规模，以维持项目实施和日常经营活动的资金需求。同时，公司在轨道交通、政府及能源等行业场景中持续推进智能化系统应用，其中也包括人工智能技术在调度系统、视频分析及行业物联网系统中的应用。这类业务在项目实施阶段通常需要一定的资金周转，因此企业资本结构中会保持一定比例的负债。</w:t>
      </w:r>
    </w:p>
    <w:p w14:paraId="737FAB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天地在线</w:t>
      </w:r>
    </w:p>
    <w:p w14:paraId="2C9A68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天地在线2020—2024年的权益乘数由1.577逐步下降至1.310，整体呈下降趋势，说明企业在样本期内逐渐降低了财务杠杆水平。</w:t>
      </w:r>
    </w:p>
    <w:p w14:paraId="2BF5634C">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表5-29 天地在线资产规模与负债规模变化表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7DFF8B82">
        <w:trPr>
          <w:trHeight w:val="0" w:hRule="atLeast"/>
          <w:tblHeader/>
          <w:jc w:val="center"/>
        </w:trPr>
        <w:tc>
          <w:tcPr>
            <w:tcW w:w="1319" w:type="dxa"/>
            <w:tcBorders>
              <w:top w:val="single" w:color="000000" w:sz="12" w:space="0"/>
              <w:left w:val="nil"/>
              <w:bottom w:val="single" w:color="000000" w:sz="8" w:space="0"/>
              <w:right w:val="nil"/>
            </w:tcBorders>
            <w:shd w:val="clear" w:color="auto" w:fill="auto"/>
            <w:vAlign w:val="center"/>
          </w:tcPr>
          <w:p w14:paraId="05B5EB1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000000" w:sz="12" w:space="0"/>
              <w:left w:val="nil"/>
              <w:bottom w:val="single" w:color="000000" w:sz="8" w:space="0"/>
              <w:right w:val="nil"/>
            </w:tcBorders>
            <w:shd w:val="clear" w:color="auto" w:fill="auto"/>
            <w:vAlign w:val="center"/>
          </w:tcPr>
          <w:p w14:paraId="712A22F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000000" w:sz="12" w:space="0"/>
              <w:left w:val="nil"/>
              <w:bottom w:val="single" w:color="000000" w:sz="8" w:space="0"/>
              <w:right w:val="nil"/>
            </w:tcBorders>
            <w:shd w:val="clear" w:color="auto" w:fill="auto"/>
            <w:vAlign w:val="center"/>
          </w:tcPr>
          <w:p w14:paraId="24E7DB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003C8DE8">
        <w:trPr>
          <w:trHeight w:val="0" w:hRule="atLeast"/>
          <w:jc w:val="center"/>
        </w:trPr>
        <w:tc>
          <w:tcPr>
            <w:tcW w:w="1319" w:type="dxa"/>
            <w:tcBorders>
              <w:top w:val="nil"/>
              <w:left w:val="nil"/>
              <w:bottom w:val="nil"/>
              <w:right w:val="nil"/>
            </w:tcBorders>
            <w:shd w:val="clear" w:color="auto" w:fill="auto"/>
            <w:vAlign w:val="center"/>
          </w:tcPr>
          <w:p w14:paraId="19F9261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nil"/>
              <w:left w:val="nil"/>
              <w:bottom w:val="nil"/>
              <w:right w:val="nil"/>
            </w:tcBorders>
            <w:shd w:val="clear" w:color="auto" w:fill="auto"/>
            <w:vAlign w:val="center"/>
          </w:tcPr>
          <w:p w14:paraId="55292A1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1,633,328,105</w:t>
            </w:r>
          </w:p>
        </w:tc>
        <w:tc>
          <w:tcPr>
            <w:tcW w:w="3600" w:type="dxa"/>
            <w:tcBorders>
              <w:top w:val="nil"/>
              <w:left w:val="nil"/>
              <w:bottom w:val="nil"/>
              <w:right w:val="nil"/>
            </w:tcBorders>
            <w:shd w:val="clear" w:color="auto" w:fill="auto"/>
            <w:vAlign w:val="center"/>
          </w:tcPr>
          <w:p w14:paraId="184DFB5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597,372,393</w:t>
            </w:r>
          </w:p>
        </w:tc>
      </w:tr>
      <w:tr w14:paraId="70C44E17">
        <w:trPr>
          <w:trHeight w:val="0" w:hRule="atLeast"/>
          <w:jc w:val="center"/>
        </w:trPr>
        <w:tc>
          <w:tcPr>
            <w:tcW w:w="1319" w:type="dxa"/>
            <w:tcBorders>
              <w:top w:val="nil"/>
              <w:left w:val="nil"/>
              <w:bottom w:val="nil"/>
              <w:right w:val="nil"/>
            </w:tcBorders>
            <w:shd w:val="clear" w:color="auto" w:fill="auto"/>
            <w:vAlign w:val="center"/>
          </w:tcPr>
          <w:p w14:paraId="501241A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08F1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1,662,828,820</w:t>
            </w:r>
          </w:p>
        </w:tc>
        <w:tc>
          <w:tcPr>
            <w:tcW w:w="3600" w:type="dxa"/>
            <w:tcBorders>
              <w:top w:val="nil"/>
              <w:left w:val="nil"/>
              <w:bottom w:val="nil"/>
              <w:right w:val="nil"/>
            </w:tcBorders>
            <w:shd w:val="clear" w:color="auto" w:fill="auto"/>
            <w:vAlign w:val="center"/>
          </w:tcPr>
          <w:p w14:paraId="2D95ABF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600,120,426</w:t>
            </w:r>
          </w:p>
        </w:tc>
      </w:tr>
      <w:tr w14:paraId="2792D0B7">
        <w:trPr>
          <w:trHeight w:val="0" w:hRule="atLeast"/>
          <w:jc w:val="center"/>
        </w:trPr>
        <w:tc>
          <w:tcPr>
            <w:tcW w:w="1319" w:type="dxa"/>
            <w:tcBorders>
              <w:top w:val="nil"/>
              <w:left w:val="nil"/>
              <w:bottom w:val="nil"/>
              <w:right w:val="nil"/>
            </w:tcBorders>
            <w:shd w:val="clear" w:color="auto" w:fill="auto"/>
            <w:vAlign w:val="center"/>
          </w:tcPr>
          <w:p w14:paraId="4970B0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643205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1,429,550,289</w:t>
            </w:r>
          </w:p>
        </w:tc>
        <w:tc>
          <w:tcPr>
            <w:tcW w:w="3600" w:type="dxa"/>
            <w:tcBorders>
              <w:top w:val="nil"/>
              <w:left w:val="nil"/>
              <w:bottom w:val="nil"/>
              <w:right w:val="nil"/>
            </w:tcBorders>
            <w:shd w:val="clear" w:color="auto" w:fill="auto"/>
            <w:vAlign w:val="center"/>
          </w:tcPr>
          <w:p w14:paraId="3BA9F5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384,279,700</w:t>
            </w:r>
          </w:p>
        </w:tc>
      </w:tr>
      <w:tr w14:paraId="766147D2">
        <w:trPr>
          <w:trHeight w:val="0" w:hRule="atLeast"/>
          <w:jc w:val="center"/>
        </w:trPr>
        <w:tc>
          <w:tcPr>
            <w:tcW w:w="1319" w:type="dxa"/>
            <w:tcBorders>
              <w:top w:val="nil"/>
              <w:left w:val="nil"/>
              <w:bottom w:val="nil"/>
              <w:right w:val="nil"/>
            </w:tcBorders>
            <w:shd w:val="clear" w:color="auto" w:fill="auto"/>
            <w:vAlign w:val="center"/>
          </w:tcPr>
          <w:p w14:paraId="49897D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07A2A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1,295,480,700</w:t>
            </w:r>
          </w:p>
        </w:tc>
        <w:tc>
          <w:tcPr>
            <w:tcW w:w="3600" w:type="dxa"/>
            <w:tcBorders>
              <w:top w:val="nil"/>
              <w:left w:val="nil"/>
              <w:bottom w:val="nil"/>
              <w:right w:val="nil"/>
            </w:tcBorders>
            <w:shd w:val="clear" w:color="auto" w:fill="auto"/>
            <w:vAlign w:val="center"/>
          </w:tcPr>
          <w:p w14:paraId="399B3B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293,951,266</w:t>
            </w:r>
          </w:p>
        </w:tc>
      </w:tr>
      <w:tr w14:paraId="53F3B7D1">
        <w:trPr>
          <w:trHeight w:val="0" w:hRule="atLeast"/>
          <w:jc w:val="center"/>
        </w:trPr>
        <w:tc>
          <w:tcPr>
            <w:tcW w:w="1319" w:type="dxa"/>
            <w:tcBorders>
              <w:top w:val="nil"/>
              <w:left w:val="nil"/>
              <w:bottom w:val="single" w:color="000000" w:sz="12" w:space="0"/>
              <w:right w:val="nil"/>
            </w:tcBorders>
            <w:shd w:val="clear" w:color="auto" w:fill="auto"/>
            <w:vAlign w:val="center"/>
          </w:tcPr>
          <w:p w14:paraId="7170DE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000000" w:sz="12" w:space="0"/>
              <w:right w:val="nil"/>
            </w:tcBorders>
            <w:shd w:val="clear" w:color="auto" w:fill="auto"/>
            <w:vAlign w:val="center"/>
          </w:tcPr>
          <w:p w14:paraId="51DCA8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1,224,640,744</w:t>
            </w:r>
          </w:p>
        </w:tc>
        <w:tc>
          <w:tcPr>
            <w:tcW w:w="3600" w:type="dxa"/>
            <w:tcBorders>
              <w:top w:val="nil"/>
              <w:left w:val="nil"/>
              <w:bottom w:val="single" w:color="000000" w:sz="12" w:space="0"/>
              <w:right w:val="nil"/>
            </w:tcBorders>
            <w:shd w:val="clear" w:color="auto" w:fill="auto"/>
            <w:vAlign w:val="center"/>
          </w:tcPr>
          <w:p w14:paraId="11A179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290,101,832</w:t>
            </w:r>
          </w:p>
        </w:tc>
      </w:tr>
    </w:tbl>
    <w:p w14:paraId="43FAB30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4AB6B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t>从天地在线资产规模与负债规模变化表（表5-29）可以看出，公司资产规模在样本期内呈下降趋势，由2020年的16.33亿元下降至2024年的12.25亿元。同时，公司负债规模下降更为明显，由2020年的约5.97亿元下降至2024年的约2.90亿元。负债规模的大幅下降，使得企业资产中由负债形成的比例逐渐降低，从而推动权益乘数持续下降。</w:t>
      </w:r>
    </w:p>
    <w:p w14:paraId="69952EA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以2024年为例，公司总资产约为12.25亿元，而负债规模约为2.90亿元，负债占资产比例约为24%。相比2020年约36%的负债占比，企业财务杠杆水平明显降低。在这种情况下，企业资产中更多部分由股东权益构成，因此权益乘数逐渐下降并稳定在1.3左右。</w:t>
      </w:r>
    </w:p>
    <w:p w14:paraId="630209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eastAsia" w:ascii="宋体" w:hAnsi="宋体" w:eastAsia="宋体" w:cs="Times New Roman"/>
          <w:b w:val="0"/>
          <w:sz w:val="24"/>
          <w:szCs w:val="24"/>
          <w:lang w:val="en-US" w:eastAsia="zh-CN"/>
        </w:rPr>
        <w:t>这说明</w:t>
      </w:r>
      <w:r>
        <w:rPr>
          <w:rFonts w:hint="default" w:ascii="宋体" w:hAnsi="宋体" w:eastAsia="宋体" w:cs="Times New Roman"/>
          <w:b w:val="0"/>
          <w:sz w:val="24"/>
          <w:szCs w:val="24"/>
          <w:lang w:val="en-US" w:eastAsia="zh-CN"/>
        </w:rPr>
        <w:t>公司在盈利能力走弱的过程中，并没有继续依赖提高杠杆维持扩张，反而在2022年以后逐步降低了财务放大程度。但即便如此，公司ROE仍由14.2396%快速滑落至-6.9893%，说明杠杆收缩并未改变其盈利恶化的基本趋势。</w:t>
      </w:r>
    </w:p>
    <w:p w14:paraId="30A795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结果进一步印证了天地在线问题的核心不在资本结构，而在利润率和周转率同步下滑。公司传统数字营销业务毛利空间有限，新布局的AI数字人、XR直播和SaaS类业务尚处于培育阶段，因此即使杠杆水平回落，也无法对ROE形成实质性修复。对天地在线而言，权益乘数更多体现为风险防御而非收益创造工具，其盈利修复仍取决于业务结构改善和新业务商业化，而非融资结构调整。</w:t>
      </w:r>
    </w:p>
    <w:p w14:paraId="5B5B53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综合来看，AI独立产品型企业在权益乘数上的差异并不大。方直科技代表极低杠杆、依靠内生积累的教育AI产品模式，佳讯飞鸿代表适度杠杆、项目交付驱动的行业解决方案模式，天地在线则显示出盈利下行阶段主动收杠杆的过渡型特征。三者共同说明，AI独立产品型企业ROE的差异，主要不是财务杠杆造成的，而是经营结构和商业化效率差异的结果。</w:t>
      </w:r>
    </w:p>
    <w:p w14:paraId="2183C01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5.2.3.2 AI业务赋能型企业权益乘数分析</w:t>
      </w:r>
    </w:p>
    <w:p w14:paraId="1F6B94F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kern w:val="2"/>
          <w:sz w:val="24"/>
          <w:szCs w:val="24"/>
          <w:lang w:val="en-US" w:eastAsia="zh-CN" w:bidi="ar-SA"/>
        </w:rPr>
        <w:t>1. 巨人网络</w:t>
      </w:r>
    </w:p>
    <w:p w14:paraId="46A989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巨人网络2020—2024年的权益乘数整体维持在1.11—1.15之间，是六家典型样本中资本结构最稳健的企业之一。</w:t>
      </w:r>
    </w:p>
    <w:p w14:paraId="780CFCBC">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表5-30 巨人网络资产规模与负债规模变化表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67B4F28C">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2742440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7980B7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61D35A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30A861BC">
        <w:trPr>
          <w:trHeight w:val="0" w:hRule="atLeast"/>
          <w:jc w:val="center"/>
        </w:trPr>
        <w:tc>
          <w:tcPr>
            <w:tcW w:w="1319" w:type="dxa"/>
            <w:tcBorders>
              <w:top w:val="single" w:color="auto" w:sz="4" w:space="0"/>
              <w:left w:val="nil"/>
              <w:bottom w:val="nil"/>
              <w:right w:val="nil"/>
            </w:tcBorders>
            <w:shd w:val="clear" w:color="auto" w:fill="auto"/>
            <w:vAlign w:val="center"/>
          </w:tcPr>
          <w:p w14:paraId="639976F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3E0969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10,834,794,955</w:t>
            </w:r>
          </w:p>
        </w:tc>
        <w:tc>
          <w:tcPr>
            <w:tcW w:w="3600" w:type="dxa"/>
            <w:tcBorders>
              <w:top w:val="single" w:color="auto" w:sz="4" w:space="0"/>
              <w:left w:val="nil"/>
              <w:bottom w:val="nil"/>
              <w:right w:val="nil"/>
            </w:tcBorders>
            <w:shd w:val="clear" w:color="auto" w:fill="auto"/>
            <w:vAlign w:val="center"/>
          </w:tcPr>
          <w:p w14:paraId="1A75A5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1,310,586,410</w:t>
            </w:r>
          </w:p>
        </w:tc>
      </w:tr>
      <w:tr w14:paraId="5571CFD8">
        <w:trPr>
          <w:trHeight w:val="0" w:hRule="atLeast"/>
          <w:jc w:val="center"/>
        </w:trPr>
        <w:tc>
          <w:tcPr>
            <w:tcW w:w="1319" w:type="dxa"/>
            <w:tcBorders>
              <w:top w:val="nil"/>
              <w:left w:val="nil"/>
              <w:bottom w:val="nil"/>
              <w:right w:val="nil"/>
            </w:tcBorders>
            <w:shd w:val="clear" w:color="auto" w:fill="auto"/>
            <w:vAlign w:val="center"/>
          </w:tcPr>
          <w:p w14:paraId="62BCC5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AA5B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11,925,121,573</w:t>
            </w:r>
          </w:p>
        </w:tc>
        <w:tc>
          <w:tcPr>
            <w:tcW w:w="3600" w:type="dxa"/>
            <w:tcBorders>
              <w:top w:val="nil"/>
              <w:left w:val="nil"/>
              <w:bottom w:val="nil"/>
              <w:right w:val="nil"/>
            </w:tcBorders>
            <w:shd w:val="clear" w:color="auto" w:fill="auto"/>
            <w:vAlign w:val="center"/>
          </w:tcPr>
          <w:p w14:paraId="291E0E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1,330,116,960</w:t>
            </w:r>
          </w:p>
        </w:tc>
      </w:tr>
      <w:tr w14:paraId="245E2219">
        <w:trPr>
          <w:trHeight w:val="0" w:hRule="atLeast"/>
          <w:jc w:val="center"/>
        </w:trPr>
        <w:tc>
          <w:tcPr>
            <w:tcW w:w="1319" w:type="dxa"/>
            <w:tcBorders>
              <w:top w:val="nil"/>
              <w:left w:val="nil"/>
              <w:bottom w:val="nil"/>
              <w:right w:val="nil"/>
            </w:tcBorders>
            <w:shd w:val="clear" w:color="auto" w:fill="auto"/>
            <w:vAlign w:val="center"/>
          </w:tcPr>
          <w:p w14:paraId="469B66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781FEF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13,209,068,645</w:t>
            </w:r>
          </w:p>
        </w:tc>
        <w:tc>
          <w:tcPr>
            <w:tcW w:w="3600" w:type="dxa"/>
            <w:tcBorders>
              <w:top w:val="nil"/>
              <w:left w:val="nil"/>
              <w:bottom w:val="nil"/>
              <w:right w:val="nil"/>
            </w:tcBorders>
            <w:shd w:val="clear" w:color="auto" w:fill="auto"/>
            <w:vAlign w:val="center"/>
          </w:tcPr>
          <w:p w14:paraId="78D291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1,307,533,578</w:t>
            </w:r>
          </w:p>
        </w:tc>
      </w:tr>
      <w:tr w14:paraId="0256A47C">
        <w:trPr>
          <w:trHeight w:val="0" w:hRule="atLeast"/>
          <w:jc w:val="center"/>
        </w:trPr>
        <w:tc>
          <w:tcPr>
            <w:tcW w:w="1319" w:type="dxa"/>
            <w:tcBorders>
              <w:top w:val="nil"/>
              <w:left w:val="nil"/>
              <w:bottom w:val="nil"/>
              <w:right w:val="nil"/>
            </w:tcBorders>
            <w:shd w:val="clear" w:color="auto" w:fill="auto"/>
            <w:vAlign w:val="center"/>
          </w:tcPr>
          <w:p w14:paraId="7FE30D1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5A2DC5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13,370,515,052</w:t>
            </w:r>
          </w:p>
        </w:tc>
        <w:tc>
          <w:tcPr>
            <w:tcW w:w="3600" w:type="dxa"/>
            <w:tcBorders>
              <w:top w:val="nil"/>
              <w:left w:val="nil"/>
              <w:bottom w:val="nil"/>
              <w:right w:val="nil"/>
            </w:tcBorders>
            <w:shd w:val="clear" w:color="auto" w:fill="auto"/>
            <w:vAlign w:val="center"/>
          </w:tcPr>
          <w:p w14:paraId="6F9BF4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1,638,581,089</w:t>
            </w:r>
          </w:p>
        </w:tc>
      </w:tr>
      <w:tr w14:paraId="2CD09E8F">
        <w:trPr>
          <w:trHeight w:val="0" w:hRule="atLeast"/>
          <w:jc w:val="center"/>
        </w:trPr>
        <w:tc>
          <w:tcPr>
            <w:tcW w:w="1319" w:type="dxa"/>
            <w:tcBorders>
              <w:top w:val="nil"/>
              <w:left w:val="nil"/>
              <w:bottom w:val="single" w:color="auto" w:sz="12" w:space="0"/>
              <w:right w:val="nil"/>
            </w:tcBorders>
            <w:shd w:val="clear" w:color="auto" w:fill="auto"/>
            <w:vAlign w:val="center"/>
          </w:tcPr>
          <w:p w14:paraId="72C845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42F811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14,742,575,985</w:t>
            </w:r>
          </w:p>
        </w:tc>
        <w:tc>
          <w:tcPr>
            <w:tcW w:w="3600" w:type="dxa"/>
            <w:tcBorders>
              <w:top w:val="nil"/>
              <w:left w:val="nil"/>
              <w:bottom w:val="single" w:color="auto" w:sz="12" w:space="0"/>
              <w:right w:val="nil"/>
            </w:tcBorders>
            <w:shd w:val="clear" w:color="auto" w:fill="auto"/>
            <w:vAlign w:val="center"/>
          </w:tcPr>
          <w:p w14:paraId="2ED18EF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1,881,497,502</w:t>
            </w:r>
          </w:p>
        </w:tc>
      </w:tr>
    </w:tbl>
    <w:p w14:paraId="6FA913F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DB1FCA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t>见表5-30数据显示，公司资产规模在样本期内持续增长，由2020年的108.35亿元增长至2024年的147.43亿元。与此同时，公司负债规模也由2020年的13.11亿元增长至2024年的18.81亿元，但整体增幅相对有限。以2024年为例，公司负债规模约占总资产的12.8%，负债占比处于较低水平。在这种资本结构下，企业资产大部分由股东权益形成，因此权益乘数长期维持在1.1左右。公司在扩大资产规模的过程中并未明显提高负债比例，而是更多依赖股东权益和企业内部积累形成资产规模。这种资本结构在互联网内容企业中较为常见，因为企业核心资产主要是研发团队、数字内容和用户资源，对大规模固定资产投资的依赖程度较低，因此负债融资需求相对有限。</w:t>
      </w:r>
    </w:p>
    <w:p w14:paraId="3B7D6B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结合其ROE始终维持高位可以发现，公司高回报并非来源于杠杆放大，而主要建立在高销售净利率基础上。换言之，巨人网络体现的是一种低杠杆</w:t>
      </w:r>
      <w:r>
        <w:rPr>
          <w:rFonts w:hint="eastAsia" w:ascii="宋体" w:hAnsi="宋体" w:eastAsia="宋体" w:cs="Times New Roman"/>
          <w:b w:val="0"/>
          <w:sz w:val="24"/>
          <w:szCs w:val="24"/>
          <w:lang w:val="en-US" w:eastAsia="zh-CN"/>
        </w:rPr>
        <w:t>，</w:t>
      </w:r>
      <w:r>
        <w:rPr>
          <w:rFonts w:hint="default" w:ascii="宋体" w:hAnsi="宋体" w:eastAsia="宋体" w:cs="Times New Roman"/>
          <w:b w:val="0"/>
          <w:sz w:val="24"/>
          <w:szCs w:val="24"/>
          <w:lang w:val="en-US" w:eastAsia="zh-CN"/>
        </w:rPr>
        <w:t>高利润的高质量盈利模式。</w:t>
      </w:r>
    </w:p>
    <w:p w14:paraId="34429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点与游戏行业经营逻辑一致。游戏企业一旦形成稳定产品矩阵和现金流，自有经营积累就足以支撑后续研发和运营投入，并不需要依赖大量债务融资。巨人网络2024年年报亦显示，公司将AI主要用于GiantGPT、AI美术生产平台、智能音频管理等内部研发和运营提效场景，AI的作用更多体现在提高高毛利主业的效率，而非通过资本扩张推动外延式增长。因此，其权益乘数稳定偏低，本身就是其经营质量较高的重要体现。</w:t>
      </w:r>
    </w:p>
    <w:p w14:paraId="7B44D6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2. 世纪天鸿</w:t>
      </w:r>
    </w:p>
    <w:p w14:paraId="08799CD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世纪天鸿2020—2024年的权益乘数整体维持在1.30—1.48之间，波动幅度相对有限，说明公司在样本期内财务杠杆水平整体较为稳定</w:t>
      </w:r>
      <w:r>
        <w:rPr>
          <w:rFonts w:hint="default" w:ascii="宋体" w:hAnsi="宋体" w:eastAsia="宋体" w:cs="Times New Roman"/>
          <w:b w:val="0"/>
          <w:sz w:val="24"/>
          <w:szCs w:val="24"/>
          <w:lang w:val="en-US" w:eastAsia="zh-CN"/>
        </w:rPr>
        <w:t>。</w:t>
      </w:r>
    </w:p>
    <w:p w14:paraId="1A8A6A7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表5-31 世纪天鸿资产规模与负债规模变化表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1CEEE247">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7A200F0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681C68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49B9CA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440D2DAD">
        <w:trPr>
          <w:trHeight w:val="0" w:hRule="atLeast"/>
          <w:jc w:val="center"/>
        </w:trPr>
        <w:tc>
          <w:tcPr>
            <w:tcW w:w="1319" w:type="dxa"/>
            <w:tcBorders>
              <w:top w:val="single" w:color="auto" w:sz="4" w:space="0"/>
              <w:left w:val="nil"/>
              <w:bottom w:val="nil"/>
              <w:right w:val="nil"/>
            </w:tcBorders>
            <w:shd w:val="clear" w:color="auto" w:fill="auto"/>
            <w:vAlign w:val="center"/>
          </w:tcPr>
          <w:p w14:paraId="510C00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4D24C6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740,945,173.80</w:t>
            </w:r>
          </w:p>
        </w:tc>
        <w:tc>
          <w:tcPr>
            <w:tcW w:w="3600" w:type="dxa"/>
            <w:tcBorders>
              <w:top w:val="single" w:color="auto" w:sz="4" w:space="0"/>
              <w:left w:val="nil"/>
              <w:bottom w:val="nil"/>
              <w:right w:val="nil"/>
            </w:tcBorders>
            <w:shd w:val="clear" w:color="auto" w:fill="auto"/>
            <w:vAlign w:val="center"/>
          </w:tcPr>
          <w:p w14:paraId="66DD856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239,091,849.80</w:t>
            </w:r>
          </w:p>
        </w:tc>
      </w:tr>
      <w:tr w14:paraId="0481C6F1">
        <w:trPr>
          <w:trHeight w:val="0" w:hRule="atLeast"/>
          <w:jc w:val="center"/>
        </w:trPr>
        <w:tc>
          <w:tcPr>
            <w:tcW w:w="1319" w:type="dxa"/>
            <w:tcBorders>
              <w:top w:val="nil"/>
              <w:left w:val="nil"/>
              <w:bottom w:val="nil"/>
              <w:right w:val="nil"/>
            </w:tcBorders>
            <w:shd w:val="clear" w:color="auto" w:fill="auto"/>
            <w:vAlign w:val="center"/>
          </w:tcPr>
          <w:p w14:paraId="312DF52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38D9F2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774,866,979.80</w:t>
            </w:r>
          </w:p>
        </w:tc>
        <w:tc>
          <w:tcPr>
            <w:tcW w:w="3600" w:type="dxa"/>
            <w:tcBorders>
              <w:top w:val="nil"/>
              <w:left w:val="nil"/>
              <w:bottom w:val="nil"/>
              <w:right w:val="nil"/>
            </w:tcBorders>
            <w:shd w:val="clear" w:color="auto" w:fill="auto"/>
            <w:vAlign w:val="center"/>
          </w:tcPr>
          <w:p w14:paraId="583338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251,753,846</w:t>
            </w:r>
          </w:p>
        </w:tc>
      </w:tr>
      <w:tr w14:paraId="30D55B78">
        <w:trPr>
          <w:trHeight w:val="0" w:hRule="atLeast"/>
          <w:jc w:val="center"/>
        </w:trPr>
        <w:tc>
          <w:tcPr>
            <w:tcW w:w="1319" w:type="dxa"/>
            <w:tcBorders>
              <w:top w:val="nil"/>
              <w:left w:val="nil"/>
              <w:bottom w:val="nil"/>
              <w:right w:val="nil"/>
            </w:tcBorders>
            <w:shd w:val="clear" w:color="auto" w:fill="auto"/>
            <w:vAlign w:val="center"/>
          </w:tcPr>
          <w:p w14:paraId="58BD4C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5312940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1,041,883,057</w:t>
            </w:r>
          </w:p>
        </w:tc>
        <w:tc>
          <w:tcPr>
            <w:tcW w:w="3600" w:type="dxa"/>
            <w:tcBorders>
              <w:top w:val="nil"/>
              <w:left w:val="nil"/>
              <w:bottom w:val="nil"/>
              <w:right w:val="nil"/>
            </w:tcBorders>
            <w:shd w:val="clear" w:color="auto" w:fill="auto"/>
            <w:vAlign w:val="center"/>
          </w:tcPr>
          <w:p w14:paraId="73ACE4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251,163,843.40</w:t>
            </w:r>
          </w:p>
        </w:tc>
      </w:tr>
      <w:tr w14:paraId="233C6E88">
        <w:trPr>
          <w:trHeight w:val="0" w:hRule="atLeast"/>
          <w:jc w:val="center"/>
        </w:trPr>
        <w:tc>
          <w:tcPr>
            <w:tcW w:w="1319" w:type="dxa"/>
            <w:tcBorders>
              <w:top w:val="nil"/>
              <w:left w:val="nil"/>
              <w:bottom w:val="nil"/>
              <w:right w:val="nil"/>
            </w:tcBorders>
            <w:shd w:val="clear" w:color="auto" w:fill="auto"/>
            <w:vAlign w:val="center"/>
          </w:tcPr>
          <w:p w14:paraId="3BCD6EC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6C61E2E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1,123,506,725</w:t>
            </w:r>
          </w:p>
        </w:tc>
        <w:tc>
          <w:tcPr>
            <w:tcW w:w="3600" w:type="dxa"/>
            <w:tcBorders>
              <w:top w:val="nil"/>
              <w:left w:val="nil"/>
              <w:bottom w:val="nil"/>
              <w:right w:val="nil"/>
            </w:tcBorders>
            <w:shd w:val="clear" w:color="auto" w:fill="auto"/>
            <w:vAlign w:val="center"/>
          </w:tcPr>
          <w:p w14:paraId="4E4CD2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287,365,330.70</w:t>
            </w:r>
          </w:p>
        </w:tc>
      </w:tr>
      <w:tr w14:paraId="59695E37">
        <w:trPr>
          <w:trHeight w:val="0" w:hRule="atLeast"/>
          <w:jc w:val="center"/>
        </w:trPr>
        <w:tc>
          <w:tcPr>
            <w:tcW w:w="1319" w:type="dxa"/>
            <w:tcBorders>
              <w:top w:val="nil"/>
              <w:left w:val="nil"/>
              <w:bottom w:val="single" w:color="auto" w:sz="12" w:space="0"/>
              <w:right w:val="nil"/>
            </w:tcBorders>
            <w:shd w:val="clear" w:color="auto" w:fill="auto"/>
            <w:vAlign w:val="center"/>
          </w:tcPr>
          <w:p w14:paraId="5D3972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5517BD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1,127,350,271</w:t>
            </w:r>
          </w:p>
        </w:tc>
        <w:tc>
          <w:tcPr>
            <w:tcW w:w="3600" w:type="dxa"/>
            <w:tcBorders>
              <w:top w:val="nil"/>
              <w:left w:val="nil"/>
              <w:bottom w:val="single" w:color="auto" w:sz="12" w:space="0"/>
              <w:right w:val="nil"/>
            </w:tcBorders>
            <w:shd w:val="clear" w:color="auto" w:fill="auto"/>
            <w:vAlign w:val="center"/>
          </w:tcPr>
          <w:p w14:paraId="7BC8C4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264,772,760.20</w:t>
            </w:r>
          </w:p>
        </w:tc>
      </w:tr>
    </w:tbl>
    <w:p w14:paraId="323FCC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688C18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t>从表5-31所示，公司资产规模在样本期内呈现逐步增长趋势，由2020年的7.41亿元增长至2024年的11.27亿元。同时，公司负债规模整体变化相对有限，基本维持在2.4亿—2.9亿元之间。以2024年为例，公司负债规模约为2.65亿元，占总资产比例约为23.5%。由于负债规模占比不高，公司资产中较大部分由股东权益构成，因此权益乘数整体保持在1.3左右。</w:t>
      </w:r>
    </w:p>
    <w:p w14:paraId="57228C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世纪天鸿的经营特征是传统教辅主业稳定，AI教育产品持续推进但尚未规模放量。在这一阶段，企业更需要维持稳健财务结构以应对教育行业政策变化、市场推广周期和渠道投入节奏，而不是通过高杠杆换取短期扩张。其权益乘数的稳定回落，说明公司在AI布局过程中总体采取较稳妥策略；但这也意味着，ROE提升不会依靠财务放大，而仍要依赖AI教育产品的规模化变现和费用结构优化。3. 思美传媒</w:t>
      </w:r>
    </w:p>
    <w:p w14:paraId="29FAE28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思美传媒2020—2024年的权益乘数由1.373上升至2.013，在样本企业中上升幅度最为明显，说明企业在样本期内逐渐提高了财务杠杆水平</w:t>
      </w:r>
      <w:r>
        <w:rPr>
          <w:rFonts w:hint="default" w:ascii="宋体" w:hAnsi="宋体" w:eastAsia="宋体" w:cs="Times New Roman"/>
          <w:b w:val="0"/>
          <w:sz w:val="24"/>
          <w:szCs w:val="24"/>
          <w:lang w:val="en-US" w:eastAsia="zh-CN"/>
        </w:rPr>
        <w:t>。</w:t>
      </w:r>
    </w:p>
    <w:p w14:paraId="5DC8D148">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表5-32 思美传媒资产规模与负债规模变化表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E3BAA17">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1FD3B7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1BFBC1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27E4EC5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57D52144">
        <w:trPr>
          <w:trHeight w:val="0" w:hRule="atLeast"/>
          <w:jc w:val="center"/>
        </w:trPr>
        <w:tc>
          <w:tcPr>
            <w:tcW w:w="1339" w:type="dxa"/>
            <w:tcBorders>
              <w:top w:val="single" w:color="auto" w:sz="4" w:space="0"/>
              <w:left w:val="nil"/>
              <w:bottom w:val="nil"/>
              <w:right w:val="nil"/>
            </w:tcBorders>
            <w:shd w:val="clear" w:color="auto" w:fill="auto"/>
            <w:vAlign w:val="center"/>
          </w:tcPr>
          <w:p w14:paraId="652700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17CEC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2,746,908,355</w:t>
            </w:r>
          </w:p>
        </w:tc>
        <w:tc>
          <w:tcPr>
            <w:tcW w:w="3591" w:type="dxa"/>
            <w:tcBorders>
              <w:top w:val="single" w:color="auto" w:sz="4" w:space="0"/>
              <w:left w:val="nil"/>
              <w:bottom w:val="nil"/>
              <w:right w:val="nil"/>
            </w:tcBorders>
            <w:shd w:val="clear" w:color="auto" w:fill="auto"/>
            <w:vAlign w:val="center"/>
          </w:tcPr>
          <w:p w14:paraId="0E2D3F8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746,347,188</w:t>
            </w:r>
          </w:p>
        </w:tc>
      </w:tr>
      <w:tr w14:paraId="261386BD">
        <w:trPr>
          <w:trHeight w:val="0" w:hRule="atLeast"/>
          <w:jc w:val="center"/>
        </w:trPr>
        <w:tc>
          <w:tcPr>
            <w:tcW w:w="1339" w:type="dxa"/>
            <w:tcBorders>
              <w:top w:val="nil"/>
              <w:left w:val="nil"/>
              <w:bottom w:val="nil"/>
              <w:right w:val="nil"/>
            </w:tcBorders>
            <w:shd w:val="clear" w:color="auto" w:fill="auto"/>
            <w:vAlign w:val="center"/>
          </w:tcPr>
          <w:p w14:paraId="48F024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5A1731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2,951,804,104</w:t>
            </w:r>
          </w:p>
        </w:tc>
        <w:tc>
          <w:tcPr>
            <w:tcW w:w="3591" w:type="dxa"/>
            <w:tcBorders>
              <w:top w:val="nil"/>
              <w:left w:val="nil"/>
              <w:bottom w:val="nil"/>
              <w:right w:val="nil"/>
            </w:tcBorders>
            <w:shd w:val="clear" w:color="auto" w:fill="auto"/>
            <w:vAlign w:val="center"/>
          </w:tcPr>
          <w:p w14:paraId="2A08A9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944,005,568</w:t>
            </w:r>
          </w:p>
        </w:tc>
      </w:tr>
      <w:tr w14:paraId="409437C9">
        <w:trPr>
          <w:trHeight w:val="0" w:hRule="atLeast"/>
          <w:jc w:val="center"/>
        </w:trPr>
        <w:tc>
          <w:tcPr>
            <w:tcW w:w="1339" w:type="dxa"/>
            <w:tcBorders>
              <w:top w:val="nil"/>
              <w:left w:val="nil"/>
              <w:bottom w:val="nil"/>
              <w:right w:val="nil"/>
            </w:tcBorders>
            <w:shd w:val="clear" w:color="auto" w:fill="auto"/>
            <w:vAlign w:val="center"/>
          </w:tcPr>
          <w:p w14:paraId="24DFBD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7729E7F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2,396,965,991</w:t>
            </w:r>
          </w:p>
        </w:tc>
        <w:tc>
          <w:tcPr>
            <w:tcW w:w="3591" w:type="dxa"/>
            <w:tcBorders>
              <w:top w:val="nil"/>
              <w:left w:val="nil"/>
              <w:bottom w:val="nil"/>
              <w:right w:val="nil"/>
            </w:tcBorders>
            <w:shd w:val="clear" w:color="auto" w:fill="auto"/>
            <w:vAlign w:val="center"/>
          </w:tcPr>
          <w:p w14:paraId="631D2FA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794,126,556</w:t>
            </w:r>
          </w:p>
        </w:tc>
      </w:tr>
      <w:tr w14:paraId="43E84985">
        <w:trPr>
          <w:trHeight w:val="0" w:hRule="atLeast"/>
          <w:jc w:val="center"/>
        </w:trPr>
        <w:tc>
          <w:tcPr>
            <w:tcW w:w="1339" w:type="dxa"/>
            <w:tcBorders>
              <w:top w:val="nil"/>
              <w:left w:val="nil"/>
              <w:bottom w:val="nil"/>
              <w:right w:val="nil"/>
            </w:tcBorders>
            <w:shd w:val="clear" w:color="auto" w:fill="auto"/>
            <w:vAlign w:val="center"/>
          </w:tcPr>
          <w:p w14:paraId="2917A94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2A4E37A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2,499,498,172</w:t>
            </w:r>
          </w:p>
        </w:tc>
        <w:tc>
          <w:tcPr>
            <w:tcW w:w="3591" w:type="dxa"/>
            <w:tcBorders>
              <w:top w:val="nil"/>
              <w:left w:val="nil"/>
              <w:bottom w:val="nil"/>
              <w:right w:val="nil"/>
            </w:tcBorders>
            <w:shd w:val="clear" w:color="auto" w:fill="auto"/>
            <w:vAlign w:val="center"/>
          </w:tcPr>
          <w:p w14:paraId="6F310E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1,032,936,034</w:t>
            </w:r>
          </w:p>
        </w:tc>
      </w:tr>
      <w:tr w14:paraId="0B48AB27">
        <w:trPr>
          <w:trHeight w:val="0" w:hRule="atLeast"/>
          <w:jc w:val="center"/>
        </w:trPr>
        <w:tc>
          <w:tcPr>
            <w:tcW w:w="1339" w:type="dxa"/>
            <w:tcBorders>
              <w:top w:val="nil"/>
              <w:left w:val="nil"/>
              <w:bottom w:val="single" w:color="auto" w:sz="12" w:space="0"/>
              <w:right w:val="nil"/>
            </w:tcBorders>
            <w:shd w:val="clear" w:color="auto" w:fill="auto"/>
            <w:vAlign w:val="center"/>
          </w:tcPr>
          <w:p w14:paraId="66C49C4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47254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2,869,686,762</w:t>
            </w:r>
          </w:p>
        </w:tc>
        <w:tc>
          <w:tcPr>
            <w:tcW w:w="3591" w:type="dxa"/>
            <w:tcBorders>
              <w:top w:val="nil"/>
              <w:left w:val="nil"/>
              <w:bottom w:val="single" w:color="auto" w:sz="12" w:space="0"/>
              <w:right w:val="nil"/>
            </w:tcBorders>
            <w:shd w:val="clear" w:color="auto" w:fill="auto"/>
            <w:vAlign w:val="center"/>
          </w:tcPr>
          <w:p w14:paraId="6CA038C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1,444,094,654</w:t>
            </w:r>
          </w:p>
        </w:tc>
      </w:tr>
    </w:tbl>
    <w:p w14:paraId="3055506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9C645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t>如表5-32，公司资产规模在样本期内整体呈增长趋势，由2020年的27.47亿元增长至2024年的28.70亿元，变化幅度相对有限。然而，公司负债规模增长较为明显，由2020年的7.46亿元增加至2024年的14.44亿元，五年间增长接近一倍。随着负债规模持续增加，企业资产中由负债形成的比例逐渐提高，从而推动权益乘数明显上升。以2024年为例，公司总资产约为28.70亿元，而负债规模已达到14.44亿元，负债占资产比例约为50%。相比2020年约27%的负债占比，企业财务杠杆水平显著提高。在这种情况下，企业通过负债融资扩大资产规模，使得权益乘数提升至2以上。</w:t>
      </w:r>
    </w:p>
    <w:p w14:paraId="3CBC910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这意味着，思美传媒并不是在高利润基础上利用杠杆放大收益，而是在低利润甚至亏损基础上承受更高杠杆带来的波动风险。</w:t>
      </w:r>
    </w:p>
    <w:p w14:paraId="261992D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特征具有较强的警示意义。思美传媒主营整合营销传播业务，营业成本率长期高于92%，说明其利润空间本就很薄；在此基础上，权益乘数由1.37升至2.01，意味着企业每单位净资产需要承担更高资产规模，一旦净利率继续承压，负向冲击就会更快传导至ROE。因此，思美传媒的案例说明，对于低毛利行业中的AI赋能型企业而言，若AI主要用于流程提效而尚未形成新的利润来源，杠杆上升不仅不能改善回报，反而可能放大脆弱性。</w:t>
      </w:r>
    </w:p>
    <w:p w14:paraId="559C198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综合来看，AI业务赋能型企业在权益乘数上的分化，主要反映原有主业经营基础的差异。巨人网络和世纪天鸿依托较稳健主业，采取低至中等杠杆即可维持经营；思美传媒则在低利润结构下出现杠杆上升，使财务风险进一步暴露。这说明，对AI业务赋能型企业而言，资本结构只能在次要层面影响ROE，真正决定盈利质量的仍然是主业利润空间及AI赋能后能否转化为可持续经营收益。</w:t>
      </w:r>
      <w:bookmarkStart w:id="30" w:name="_GoBack"/>
      <w:bookmarkEnd w:id="30"/>
    </w:p>
    <w:p w14:paraId="0EB3FB11">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5.2.3.3 本节小结</w:t>
      </w:r>
    </w:p>
    <w:p w14:paraId="2BAF3578">
      <w:pPr>
        <w:bidi w:val="0"/>
        <w:spacing w:line="400" w:lineRule="exact"/>
        <w:ind w:firstLineChars="0" w:firstLine="0"/>
        <w:jc w:val="left"/>
        <w:rPr>
          <w:rFonts w:hint="default" w:ascii="Times New Roman" w:hAnsi="Times New Roman" w:eastAsia="宋体" w:cs="Times New Roman"/>
          <w:kern w:val="0"/>
          <w:sz w:val="24"/>
          <w:szCs w:val="24"/>
          <w:lang w:val="en-US" w:eastAsia="zh-CN" w:bidi="ar"/>
        </w:rPr>
      </w:pPr>
      <w:r>
        <w:rPr>
          <w:rFonts w:hint="default" w:ascii="宋体" w:hAnsi="宋体" w:eastAsia="宋体" w:cs="Times New Roman"/>
          <w:b w:val="0"/>
          <w:kern w:val="0"/>
          <w:sz w:val="24"/>
          <w:szCs w:val="24"/>
          <w:lang w:val="en-US" w:eastAsia="zh-CN" w:bidi="ar"/>
        </w:rPr>
        <w:t>总体来看，六家典型样本企业的权益乘数普遍处于可控区间，只有思美传媒在样本后期呈现出较明显的杠杆上升。因此，从杜邦分析结果看，资本结构并不是样本企业盈利分化的主导因素。对于方直科技、佳讯飞鸿、巨人网络和世纪天鸿而言，ROE变化更多取决于销售净利率和总资产周转率；对天地在线而言，杠杆调整并未改变盈利下行趋势；对思美传媒而言，杠杆上升反而放大了低利润经营模式的脆弱性。</w:t>
      </w:r>
    </w:p>
    <w:p w14:paraId="70AE5B7F">
      <w:pPr>
        <w:bidi w:val="0"/>
        <w:spacing w:line="400" w:lineRule="exact"/>
        <w:ind w:firstLineChars="0" w:firstLine="0"/>
        <w:jc w:val="left"/>
        <w:rPr>
          <w:rFonts w:hint="default" w:ascii="Times New Roman" w:hAnsi="Times New Roman" w:eastAsia="宋体" w:cs="Times New Roman"/>
          <w:sz w:val="24"/>
          <w:szCs w:val="24"/>
        </w:rPr>
      </w:pPr>
      <w:r>
        <w:rPr>
          <w:rFonts w:hint="default" w:ascii="宋体" w:hAnsi="宋体" w:eastAsia="宋体" w:cs="Times New Roman"/>
          <w:b w:val="0"/>
          <w:kern w:val="0"/>
          <w:sz w:val="24"/>
          <w:szCs w:val="24"/>
          <w:lang w:val="en-US" w:eastAsia="zh-CN" w:bidi="ar"/>
        </w:rPr>
        <w:t>由此可以得出更明确的判断：在A股人工智能应用层中小企业样本中，权益乘数更多扮演放大器而非发动机的角色。只有当企业已经形成较稳定的利润率和周转效率时，杠杆才可能正向放大股东回报；若主营业务利润结构本身偏弱，财务杠杆不仅难以改善盈利，反而可能加重风险暴露。</w:t>
      </w:r>
    </w:p>
    <w:p w14:paraId="55289830">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5.2.4净资产收益率分析</w:t>
      </w:r>
    </w:p>
    <w:p w14:paraId="5B81563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净资产收益率是衡量企业股东权益获利能力的核心指标，</w:t>
      </w:r>
      <w:r>
        <w:rPr>
          <w:rFonts w:hint="default" w:ascii="宋体" w:hAnsi="宋体" w:eastAsia="宋体" w:cs="Times New Roman"/>
          <w:b w:val="0"/>
          <w:sz w:val="24"/>
          <w:szCs w:val="24"/>
        </w:rPr>
        <w:t>反映企业利用股东投入资本创造利润的能力。在杜邦分析框架中，净资产收益率由销售净利率、总资产周转率和权益乘数三个因素共同决定，其基本关系为：</w:t>
      </w:r>
    </w:p>
    <w:p w14:paraId="171C9EC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eastAsia="宋体" w:cs="Times New Roman"/>
              <w:b w:val="0"/>
              <w:i w:val="0"/>
              <w:sz w:val="24"/>
            </w:rPr>
            <m:t>净资产收益率=销售净利率×总资产周转率×权益乘数</m:t>
          </m:r>
        </m:oMath>
      </m:oMathPara>
    </w:p>
    <w:p w14:paraId="5E2126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t>其中，销售净利率反映企业收入转化为利润的能力，总资产周转率体现企业资产利用效率，而权益乘数则反映企业财务杠杆水平。三者共同决定企业最终的股东回报水平。因此，对净资产收益率的分析需要结合上述三个指标进行综合考察。在前文中，本文已经分别从销售净利率、总资产周转率和权益乘数三个方面对样本企业进行了分析。在此基础上，进一步对6家典型样本企业2020—2024年的净资产收益率变化情况进行比较分析，以综合考察不同企业盈利能力的形成机制。典型样本企业的净资产收益率比较如表5-33所示。</w:t>
      </w:r>
    </w:p>
    <w:p w14:paraId="6D40660A">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表5-33 典型样本企业净资产收益率比较表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1513"/>
        <w:gridCol w:w="1205"/>
        <w:gridCol w:w="907"/>
        <w:gridCol w:w="1205"/>
        <w:gridCol w:w="1053"/>
        <w:gridCol w:w="1053"/>
      </w:tblGrid>
      <w:tr w14:paraId="4F7D7AD9">
        <w:trPr>
          <w:trHeight w:val="0" w:hRule="atLeast"/>
          <w:tblHeader/>
          <w:jc w:val="center"/>
        </w:trPr>
        <w:tc>
          <w:tcPr>
            <w:tcW w:w="1583" w:type="dxa"/>
            <w:tcBorders>
              <w:top w:val="single" w:color="auto" w:sz="12" w:space="0"/>
              <w:left w:val="nil"/>
              <w:bottom w:val="single" w:color="auto" w:sz="4" w:space="0"/>
              <w:right w:val="nil"/>
            </w:tcBorders>
            <w:shd w:val="clear" w:color="auto" w:fill="auto"/>
            <w:vAlign w:val="center"/>
          </w:tcPr>
          <w:p w14:paraId="1D08D4A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13" w:type="dxa"/>
            <w:tcBorders>
              <w:top w:val="single" w:color="auto" w:sz="12" w:space="0"/>
              <w:left w:val="nil"/>
              <w:bottom w:val="single" w:color="auto" w:sz="4" w:space="0"/>
              <w:right w:val="nil"/>
            </w:tcBorders>
            <w:shd w:val="clear" w:color="auto" w:fill="auto"/>
            <w:vAlign w:val="center"/>
          </w:tcPr>
          <w:p w14:paraId="450F826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企业名称</w:t>
            </w:r>
          </w:p>
        </w:tc>
        <w:tc>
          <w:tcPr>
            <w:tcW w:w="1205" w:type="dxa"/>
            <w:tcBorders>
              <w:top w:val="single" w:color="auto" w:sz="12" w:space="0"/>
              <w:left w:val="nil"/>
              <w:bottom w:val="single" w:color="auto" w:sz="4" w:space="0"/>
              <w:right w:val="nil"/>
            </w:tcBorders>
            <w:shd w:val="clear" w:color="auto" w:fill="auto"/>
            <w:vAlign w:val="center"/>
          </w:tcPr>
          <w:p w14:paraId="732846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907" w:type="dxa"/>
            <w:tcBorders>
              <w:top w:val="single" w:color="auto" w:sz="12" w:space="0"/>
              <w:left w:val="nil"/>
              <w:bottom w:val="single" w:color="auto" w:sz="4" w:space="0"/>
              <w:right w:val="nil"/>
            </w:tcBorders>
            <w:shd w:val="clear" w:color="auto" w:fill="auto"/>
            <w:vAlign w:val="center"/>
          </w:tcPr>
          <w:p w14:paraId="3C9655B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205" w:type="dxa"/>
            <w:tcBorders>
              <w:top w:val="single" w:color="auto" w:sz="12" w:space="0"/>
              <w:left w:val="nil"/>
              <w:bottom w:val="single" w:color="auto" w:sz="4" w:space="0"/>
              <w:right w:val="nil"/>
            </w:tcBorders>
            <w:shd w:val="clear" w:color="auto" w:fill="auto"/>
            <w:vAlign w:val="center"/>
          </w:tcPr>
          <w:p w14:paraId="67C7899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53" w:type="dxa"/>
            <w:tcBorders>
              <w:top w:val="single" w:color="auto" w:sz="12" w:space="0"/>
              <w:left w:val="nil"/>
              <w:bottom w:val="single" w:color="auto" w:sz="4" w:space="0"/>
              <w:right w:val="nil"/>
            </w:tcBorders>
            <w:shd w:val="clear" w:color="auto" w:fill="auto"/>
            <w:vAlign w:val="center"/>
          </w:tcPr>
          <w:p w14:paraId="0AECC54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53" w:type="dxa"/>
            <w:tcBorders>
              <w:top w:val="single" w:color="auto" w:sz="12" w:space="0"/>
              <w:left w:val="nil"/>
              <w:bottom w:val="single" w:color="auto" w:sz="4" w:space="0"/>
              <w:right w:val="nil"/>
            </w:tcBorders>
            <w:shd w:val="clear" w:color="auto" w:fill="auto"/>
            <w:vAlign w:val="center"/>
          </w:tcPr>
          <w:p w14:paraId="08211D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7F354F6B">
        <w:trPr>
          <w:trHeight w:val="0" w:hRule="atLeast"/>
          <w:jc w:val="center"/>
        </w:trPr>
        <w:tc>
          <w:tcPr>
            <w:tcW w:w="1583" w:type="dxa"/>
            <w:tcBorders>
              <w:top w:val="single" w:color="auto" w:sz="4" w:space="0"/>
              <w:left w:val="nil"/>
              <w:bottom w:val="nil"/>
              <w:right w:val="nil"/>
            </w:tcBorders>
            <w:shd w:val="clear" w:color="auto" w:fill="auto"/>
            <w:vAlign w:val="center"/>
          </w:tcPr>
          <w:p w14:paraId="7E7959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single" w:color="auto" w:sz="4" w:space="0"/>
              <w:left w:val="nil"/>
              <w:bottom w:val="nil"/>
              <w:right w:val="nil"/>
            </w:tcBorders>
            <w:shd w:val="clear" w:color="auto" w:fill="auto"/>
            <w:vAlign w:val="center"/>
          </w:tcPr>
          <w:p w14:paraId="6A8E290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bottom"/>
          </w:tcPr>
          <w:p w14:paraId="01DEDF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w:t>
            </w:r>
          </w:p>
        </w:tc>
        <w:tc>
          <w:tcPr>
            <w:tcW w:w="907" w:type="dxa"/>
            <w:tcBorders>
              <w:top w:val="single" w:color="auto" w:sz="4" w:space="0"/>
              <w:left w:val="nil"/>
              <w:bottom w:val="nil"/>
              <w:right w:val="nil"/>
            </w:tcBorders>
            <w:shd w:val="clear" w:color="auto" w:fill="auto"/>
            <w:vAlign w:val="bottom"/>
          </w:tcPr>
          <w:p w14:paraId="157D1E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3.48%</w:t>
            </w:r>
          </w:p>
        </w:tc>
        <w:tc>
          <w:tcPr>
            <w:tcW w:w="1205" w:type="dxa"/>
            <w:tcBorders>
              <w:top w:val="single" w:color="auto" w:sz="4" w:space="0"/>
              <w:left w:val="nil"/>
              <w:bottom w:val="nil"/>
              <w:right w:val="nil"/>
            </w:tcBorders>
            <w:shd w:val="clear" w:color="auto" w:fill="auto"/>
            <w:vAlign w:val="bottom"/>
          </w:tcPr>
          <w:p w14:paraId="36D7F9C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3.47%</w:t>
            </w:r>
          </w:p>
        </w:tc>
        <w:tc>
          <w:tcPr>
            <w:tcW w:w="1053" w:type="dxa"/>
            <w:tcBorders>
              <w:top w:val="single" w:color="auto" w:sz="4" w:space="0"/>
              <w:left w:val="nil"/>
              <w:bottom w:val="nil"/>
              <w:right w:val="nil"/>
            </w:tcBorders>
            <w:shd w:val="clear" w:color="auto" w:fill="auto"/>
            <w:vAlign w:val="bottom"/>
          </w:tcPr>
          <w:p w14:paraId="655016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4.58%</w:t>
            </w:r>
          </w:p>
        </w:tc>
        <w:tc>
          <w:tcPr>
            <w:tcW w:w="1053" w:type="dxa"/>
            <w:tcBorders>
              <w:top w:val="single" w:color="auto" w:sz="4" w:space="0"/>
              <w:left w:val="nil"/>
              <w:bottom w:val="nil"/>
              <w:right w:val="nil"/>
            </w:tcBorders>
            <w:shd w:val="clear" w:color="auto" w:fill="auto"/>
            <w:vAlign w:val="bottom"/>
          </w:tcPr>
          <w:p w14:paraId="4579DA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2.46%</w:t>
            </w:r>
          </w:p>
        </w:tc>
      </w:tr>
      <w:tr w14:paraId="5E79169A">
        <w:trPr>
          <w:trHeight w:val="0" w:hRule="atLeast"/>
          <w:jc w:val="center"/>
        </w:trPr>
        <w:tc>
          <w:tcPr>
            <w:tcW w:w="1583" w:type="dxa"/>
            <w:tcBorders>
              <w:top w:val="nil"/>
              <w:left w:val="nil"/>
              <w:bottom w:val="nil"/>
              <w:right w:val="nil"/>
            </w:tcBorders>
            <w:shd w:val="clear" w:color="auto" w:fill="auto"/>
            <w:vAlign w:val="center"/>
          </w:tcPr>
          <w:p w14:paraId="56E47FF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746D7C3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205" w:type="dxa"/>
            <w:tcBorders>
              <w:top w:val="nil"/>
              <w:left w:val="nil"/>
              <w:bottom w:val="nil"/>
              <w:right w:val="nil"/>
            </w:tcBorders>
            <w:shd w:val="clear" w:color="auto" w:fill="auto"/>
            <w:vAlign w:val="bottom"/>
          </w:tcPr>
          <w:p w14:paraId="651D91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5.53%</w:t>
            </w:r>
          </w:p>
        </w:tc>
        <w:tc>
          <w:tcPr>
            <w:tcW w:w="907" w:type="dxa"/>
            <w:tcBorders>
              <w:top w:val="nil"/>
              <w:left w:val="nil"/>
              <w:bottom w:val="nil"/>
              <w:right w:val="nil"/>
            </w:tcBorders>
            <w:shd w:val="clear" w:color="auto" w:fill="auto"/>
            <w:vAlign w:val="bottom"/>
          </w:tcPr>
          <w:p w14:paraId="6389FE0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5.46%</w:t>
            </w:r>
          </w:p>
        </w:tc>
        <w:tc>
          <w:tcPr>
            <w:tcW w:w="1205" w:type="dxa"/>
            <w:tcBorders>
              <w:top w:val="nil"/>
              <w:left w:val="nil"/>
              <w:bottom w:val="nil"/>
              <w:right w:val="nil"/>
            </w:tcBorders>
            <w:shd w:val="clear" w:color="auto" w:fill="auto"/>
            <w:vAlign w:val="bottom"/>
          </w:tcPr>
          <w:p w14:paraId="3238A1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2.83%</w:t>
            </w:r>
          </w:p>
        </w:tc>
        <w:tc>
          <w:tcPr>
            <w:tcW w:w="1053" w:type="dxa"/>
            <w:tcBorders>
              <w:top w:val="nil"/>
              <w:left w:val="nil"/>
              <w:bottom w:val="nil"/>
              <w:right w:val="nil"/>
            </w:tcBorders>
            <w:shd w:val="clear" w:color="auto" w:fill="auto"/>
            <w:vAlign w:val="bottom"/>
          </w:tcPr>
          <w:p w14:paraId="0294EA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3.01%</w:t>
            </w:r>
          </w:p>
        </w:tc>
        <w:tc>
          <w:tcPr>
            <w:tcW w:w="1053" w:type="dxa"/>
            <w:tcBorders>
              <w:top w:val="nil"/>
              <w:left w:val="nil"/>
              <w:bottom w:val="nil"/>
              <w:right w:val="nil"/>
            </w:tcBorders>
            <w:shd w:val="clear" w:color="auto" w:fill="auto"/>
            <w:vAlign w:val="bottom"/>
          </w:tcPr>
          <w:p w14:paraId="0872D6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3.34%</w:t>
            </w:r>
          </w:p>
        </w:tc>
      </w:tr>
      <w:tr w14:paraId="5715E263">
        <w:trPr>
          <w:trHeight w:val="0" w:hRule="atLeast"/>
          <w:jc w:val="center"/>
        </w:trPr>
        <w:tc>
          <w:tcPr>
            <w:tcW w:w="1583" w:type="dxa"/>
            <w:tcBorders>
              <w:top w:val="nil"/>
              <w:left w:val="nil"/>
              <w:bottom w:val="nil"/>
              <w:right w:val="nil"/>
            </w:tcBorders>
            <w:shd w:val="clear" w:color="auto" w:fill="auto"/>
            <w:vAlign w:val="center"/>
          </w:tcPr>
          <w:p w14:paraId="36D31D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074D5D7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205" w:type="dxa"/>
            <w:tcBorders>
              <w:top w:val="nil"/>
              <w:left w:val="nil"/>
              <w:bottom w:val="nil"/>
              <w:right w:val="nil"/>
            </w:tcBorders>
            <w:shd w:val="clear" w:color="auto" w:fill="auto"/>
            <w:vAlign w:val="bottom"/>
          </w:tcPr>
          <w:p w14:paraId="3E6BC9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14.24%</w:t>
            </w:r>
          </w:p>
        </w:tc>
        <w:tc>
          <w:tcPr>
            <w:tcW w:w="907" w:type="dxa"/>
            <w:tcBorders>
              <w:top w:val="nil"/>
              <w:left w:val="nil"/>
              <w:bottom w:val="nil"/>
              <w:right w:val="nil"/>
            </w:tcBorders>
            <w:shd w:val="clear" w:color="auto" w:fill="auto"/>
            <w:vAlign w:val="bottom"/>
          </w:tcPr>
          <w:p w14:paraId="2BB4EF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5.16%</w:t>
            </w:r>
          </w:p>
        </w:tc>
        <w:tc>
          <w:tcPr>
            <w:tcW w:w="1205" w:type="dxa"/>
            <w:tcBorders>
              <w:top w:val="nil"/>
              <w:left w:val="nil"/>
              <w:bottom w:val="nil"/>
              <w:right w:val="nil"/>
            </w:tcBorders>
            <w:shd w:val="clear" w:color="auto" w:fill="auto"/>
            <w:vAlign w:val="bottom"/>
          </w:tcPr>
          <w:p w14:paraId="2ECE4D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0.30%</w:t>
            </w:r>
          </w:p>
        </w:tc>
        <w:tc>
          <w:tcPr>
            <w:tcW w:w="1053" w:type="dxa"/>
            <w:tcBorders>
              <w:top w:val="nil"/>
              <w:left w:val="nil"/>
              <w:bottom w:val="nil"/>
              <w:right w:val="nil"/>
            </w:tcBorders>
            <w:shd w:val="clear" w:color="auto" w:fill="auto"/>
            <w:vAlign w:val="bottom"/>
          </w:tcPr>
          <w:p w14:paraId="539D45E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-2.56%</w:t>
            </w:r>
          </w:p>
        </w:tc>
        <w:tc>
          <w:tcPr>
            <w:tcW w:w="1053" w:type="dxa"/>
            <w:tcBorders>
              <w:top w:val="nil"/>
              <w:left w:val="nil"/>
              <w:bottom w:val="nil"/>
              <w:right w:val="nil"/>
            </w:tcBorders>
            <w:shd w:val="clear" w:color="auto" w:fill="auto"/>
            <w:vAlign w:val="bottom"/>
          </w:tcPr>
          <w:p w14:paraId="3F3E4CF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-6.99%</w:t>
            </w:r>
          </w:p>
        </w:tc>
      </w:tr>
      <w:tr w14:paraId="744DC5D3">
        <w:trPr>
          <w:trHeight w:val="0" w:hRule="atLeast"/>
          <w:jc w:val="center"/>
        </w:trPr>
        <w:tc>
          <w:tcPr>
            <w:tcW w:w="1583" w:type="dxa"/>
            <w:tcBorders>
              <w:top w:val="nil"/>
              <w:left w:val="nil"/>
              <w:bottom w:val="nil"/>
              <w:right w:val="nil"/>
            </w:tcBorders>
            <w:shd w:val="clear" w:color="auto" w:fill="auto"/>
            <w:vAlign w:val="center"/>
          </w:tcPr>
          <w:p w14:paraId="6172575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1F8E4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205" w:type="dxa"/>
            <w:tcBorders>
              <w:top w:val="nil"/>
              <w:left w:val="nil"/>
              <w:bottom w:val="nil"/>
              <w:right w:val="nil"/>
            </w:tcBorders>
            <w:shd w:val="clear" w:color="auto" w:fill="auto"/>
            <w:vAlign w:val="bottom"/>
          </w:tcPr>
          <w:p w14:paraId="410BBB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11.77%</w:t>
            </w:r>
          </w:p>
        </w:tc>
        <w:tc>
          <w:tcPr>
            <w:tcW w:w="907" w:type="dxa"/>
            <w:tcBorders>
              <w:top w:val="nil"/>
              <w:left w:val="nil"/>
              <w:bottom w:val="nil"/>
              <w:right w:val="nil"/>
            </w:tcBorders>
            <w:shd w:val="clear" w:color="auto" w:fill="auto"/>
            <w:vAlign w:val="bottom"/>
          </w:tcPr>
          <w:p w14:paraId="7435A0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9.94%</w:t>
            </w:r>
          </w:p>
        </w:tc>
        <w:tc>
          <w:tcPr>
            <w:tcW w:w="1205" w:type="dxa"/>
            <w:tcBorders>
              <w:top w:val="nil"/>
              <w:left w:val="nil"/>
              <w:bottom w:val="nil"/>
              <w:right w:val="nil"/>
            </w:tcBorders>
            <w:shd w:val="clear" w:color="auto" w:fill="auto"/>
            <w:vAlign w:val="bottom"/>
          </w:tcPr>
          <w:p w14:paraId="533287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7.60%</w:t>
            </w:r>
          </w:p>
        </w:tc>
        <w:tc>
          <w:tcPr>
            <w:tcW w:w="1053" w:type="dxa"/>
            <w:tcBorders>
              <w:top w:val="nil"/>
              <w:left w:val="nil"/>
              <w:bottom w:val="nil"/>
              <w:right w:val="nil"/>
            </w:tcBorders>
            <w:shd w:val="clear" w:color="auto" w:fill="auto"/>
            <w:vAlign w:val="bottom"/>
          </w:tcPr>
          <w:p w14:paraId="7B5B57A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9.23%</w:t>
            </w:r>
          </w:p>
        </w:tc>
        <w:tc>
          <w:tcPr>
            <w:tcW w:w="1053" w:type="dxa"/>
            <w:tcBorders>
              <w:top w:val="nil"/>
              <w:left w:val="nil"/>
              <w:bottom w:val="nil"/>
              <w:right w:val="nil"/>
            </w:tcBorders>
            <w:shd w:val="clear" w:color="auto" w:fill="auto"/>
            <w:vAlign w:val="bottom"/>
          </w:tcPr>
          <w:p w14:paraId="3C342E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11.63%</w:t>
            </w:r>
          </w:p>
        </w:tc>
      </w:tr>
      <w:tr w14:paraId="0F6AC5BA">
        <w:trPr>
          <w:trHeight w:val="0" w:hRule="atLeast"/>
          <w:jc w:val="center"/>
        </w:trPr>
        <w:tc>
          <w:tcPr>
            <w:tcW w:w="1583" w:type="dxa"/>
            <w:tcBorders>
              <w:top w:val="nil"/>
              <w:left w:val="nil"/>
              <w:bottom w:val="nil"/>
              <w:right w:val="nil"/>
            </w:tcBorders>
            <w:shd w:val="clear" w:color="auto" w:fill="auto"/>
            <w:vAlign w:val="center"/>
          </w:tcPr>
          <w:p w14:paraId="0E8DDDE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C6E43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205" w:type="dxa"/>
            <w:tcBorders>
              <w:top w:val="nil"/>
              <w:left w:val="nil"/>
              <w:bottom w:val="nil"/>
              <w:right w:val="nil"/>
            </w:tcBorders>
            <w:shd w:val="clear" w:color="auto" w:fill="auto"/>
            <w:vAlign w:val="bottom"/>
          </w:tcPr>
          <w:p w14:paraId="5E17F4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6.90%</w:t>
            </w:r>
          </w:p>
        </w:tc>
        <w:tc>
          <w:tcPr>
            <w:tcW w:w="907" w:type="dxa"/>
            <w:tcBorders>
              <w:top w:val="nil"/>
              <w:left w:val="nil"/>
              <w:bottom w:val="nil"/>
              <w:right w:val="nil"/>
            </w:tcBorders>
            <w:shd w:val="clear" w:color="auto" w:fill="auto"/>
            <w:vAlign w:val="bottom"/>
          </w:tcPr>
          <w:p w14:paraId="0469D1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6.89%</w:t>
            </w:r>
          </w:p>
        </w:tc>
        <w:tc>
          <w:tcPr>
            <w:tcW w:w="1205" w:type="dxa"/>
            <w:tcBorders>
              <w:top w:val="nil"/>
              <w:left w:val="nil"/>
              <w:bottom w:val="nil"/>
              <w:right w:val="nil"/>
            </w:tcBorders>
            <w:shd w:val="clear" w:color="auto" w:fill="auto"/>
            <w:vAlign w:val="bottom"/>
          </w:tcPr>
          <w:p w14:paraId="17F925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5.52%</w:t>
            </w:r>
          </w:p>
        </w:tc>
        <w:tc>
          <w:tcPr>
            <w:tcW w:w="1053" w:type="dxa"/>
            <w:tcBorders>
              <w:top w:val="nil"/>
              <w:left w:val="nil"/>
              <w:bottom w:val="nil"/>
              <w:right w:val="nil"/>
            </w:tcBorders>
            <w:shd w:val="clear" w:color="auto" w:fill="auto"/>
            <w:vAlign w:val="bottom"/>
          </w:tcPr>
          <w:p w14:paraId="637405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5.30%</w:t>
            </w:r>
          </w:p>
        </w:tc>
        <w:tc>
          <w:tcPr>
            <w:tcW w:w="1053" w:type="dxa"/>
            <w:tcBorders>
              <w:top w:val="nil"/>
              <w:left w:val="nil"/>
              <w:bottom w:val="nil"/>
              <w:right w:val="nil"/>
            </w:tcBorders>
            <w:shd w:val="clear" w:color="auto" w:fill="auto"/>
            <w:vAlign w:val="bottom"/>
          </w:tcPr>
          <w:p w14:paraId="6CFE43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5.15%</w:t>
            </w:r>
          </w:p>
        </w:tc>
      </w:tr>
      <w:tr w14:paraId="4E53668B">
        <w:trPr>
          <w:trHeight w:val="0" w:hRule="atLeast"/>
          <w:jc w:val="center"/>
        </w:trPr>
        <w:tc>
          <w:tcPr>
            <w:tcW w:w="1583" w:type="dxa"/>
            <w:tcBorders>
              <w:top w:val="nil"/>
              <w:left w:val="nil"/>
              <w:bottom w:val="single" w:color="auto" w:sz="12" w:space="0"/>
              <w:right w:val="nil"/>
            </w:tcBorders>
            <w:shd w:val="clear" w:color="auto" w:fill="auto"/>
            <w:vAlign w:val="center"/>
          </w:tcPr>
          <w:p w14:paraId="2FDDBA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single" w:color="auto" w:sz="12" w:space="0"/>
              <w:right w:val="nil"/>
            </w:tcBorders>
            <w:shd w:val="clear" w:color="auto" w:fill="auto"/>
            <w:vAlign w:val="center"/>
          </w:tcPr>
          <w:p w14:paraId="0AAF51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bottom"/>
          </w:tcPr>
          <w:p w14:paraId="01F96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-45.65%</w:t>
            </w:r>
          </w:p>
        </w:tc>
        <w:tc>
          <w:tcPr>
            <w:tcW w:w="907" w:type="dxa"/>
            <w:tcBorders>
              <w:top w:val="nil"/>
              <w:left w:val="nil"/>
              <w:bottom w:val="single" w:color="auto" w:sz="12" w:space="0"/>
              <w:right w:val="nil"/>
            </w:tcBorders>
            <w:shd w:val="clear" w:color="auto" w:fill="auto"/>
            <w:vAlign w:val="bottom"/>
          </w:tcPr>
          <w:p w14:paraId="2B12BF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3.03%</w:t>
            </w:r>
          </w:p>
        </w:tc>
        <w:tc>
          <w:tcPr>
            <w:tcW w:w="1205" w:type="dxa"/>
            <w:tcBorders>
              <w:top w:val="nil"/>
              <w:left w:val="nil"/>
              <w:bottom w:val="single" w:color="auto" w:sz="12" w:space="0"/>
              <w:right w:val="nil"/>
            </w:tcBorders>
            <w:shd w:val="clear" w:color="auto" w:fill="auto"/>
            <w:vAlign w:val="bottom"/>
          </w:tcPr>
          <w:p w14:paraId="731030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-23.19%</w:t>
            </w:r>
          </w:p>
        </w:tc>
        <w:tc>
          <w:tcPr>
            <w:tcW w:w="1053" w:type="dxa"/>
            <w:tcBorders>
              <w:top w:val="nil"/>
              <w:left w:val="nil"/>
              <w:bottom w:val="single" w:color="auto" w:sz="12" w:space="0"/>
              <w:right w:val="nil"/>
            </w:tcBorders>
            <w:shd w:val="clear" w:color="auto" w:fill="auto"/>
            <w:vAlign w:val="bottom"/>
          </w:tcPr>
          <w:p w14:paraId="1FD6E3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-9.03%</w:t>
            </w:r>
          </w:p>
        </w:tc>
        <w:tc>
          <w:tcPr>
            <w:tcW w:w="1053" w:type="dxa"/>
            <w:tcBorders>
              <w:top w:val="nil"/>
              <w:left w:val="nil"/>
              <w:bottom w:val="single" w:color="auto" w:sz="12" w:space="0"/>
              <w:right w:val="nil"/>
            </w:tcBorders>
            <w:shd w:val="clear" w:color="auto" w:fill="auto"/>
            <w:vAlign w:val="bottom"/>
          </w:tcPr>
          <w:p w14:paraId="52EFE5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-2.44%</w:t>
            </w:r>
          </w:p>
        </w:tc>
      </w:tr>
    </w:tbl>
    <w:p w14:paraId="13CF688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7EE4D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从表5-33可以看出，六家典型样本企业的净资产收益率差异较为明显，且变化趋势并不一致。结合图5-2可以发现，多数样本企业的净资产收益率在2021年之后出现不同程度的下降，其中AI独立产品型企业内部波动相对较大。例如，天地在线在2020年仍保持较高的股东回报水平，但随后净资产收益率迅速下降并在后期转为负值，表明企业盈利能力出现明显下滑。相比之下，佳讯飞鸿与方直科技虽然净资产收益率整体处于中低水平，但波动相对可控。为了进一步识别不同企业ROE形成的具体来源，下面将结合杜邦分析框架，对各样本企业净资产收益率的形成机制进行具体分析。</w:t>
      </w:r>
    </w:p>
    <w:p w14:paraId="24CB10A0">
      <w:pPr>
        <w:widowControl/>
        <w:tabs>
          <w:tab w:val="left" w:pos="377"/>
        </w:tabs>
        <w:autoSpaceDE/>
        <w:autoSpaceDN/>
        <w:snapToGrid/>
        <w:spacing w:before="156" w:beforeLines="50" w:line="400" w:lineRule="exact"/>
        <w:ind w:firstLine="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2405" cy="2162810"/>
            <wp:effectExtent l="6350" t="6350" r="29845" b="15240"/>
            <wp:docPr id="2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C226DF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图5-6 典型样本企业净资产收益率变化趋势图</w:t>
      </w:r>
    </w:p>
    <w:p w14:paraId="42A32D97">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5.2.4.1 AI独立产品型企业净资产收益率分析</w:t>
      </w:r>
    </w:p>
    <w:p w14:paraId="2888E51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（1）方直科技</w:t>
      </w:r>
    </w:p>
    <w:p w14:paraId="3DF4787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表5-34 方直科技杜邦指标拆解表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4BDB2220">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70EBAF8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3DA1C8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1C4CC9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7047FB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33ACAFA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1D2E795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5F8348E7">
        <w:trPr>
          <w:trHeight w:val="0" w:hRule="atLeast"/>
          <w:jc w:val="center"/>
        </w:trPr>
        <w:tc>
          <w:tcPr>
            <w:tcW w:w="2790" w:type="dxa"/>
            <w:tcBorders>
              <w:top w:val="single" w:color="auto" w:sz="4" w:space="0"/>
              <w:left w:val="nil"/>
              <w:bottom w:val="nil"/>
              <w:right w:val="nil"/>
            </w:tcBorders>
            <w:shd w:val="clear" w:color="auto" w:fill="auto"/>
            <w:vAlign w:val="center"/>
          </w:tcPr>
          <w:p w14:paraId="2E4414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center"/>
          </w:tcPr>
          <w:p w14:paraId="5AA8684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w:t>
            </w:r>
          </w:p>
        </w:tc>
        <w:tc>
          <w:tcPr>
            <w:tcW w:w="1146" w:type="dxa"/>
            <w:tcBorders>
              <w:top w:val="single" w:color="auto" w:sz="4" w:space="0"/>
              <w:left w:val="nil"/>
              <w:bottom w:val="nil"/>
              <w:right w:val="nil"/>
            </w:tcBorders>
            <w:shd w:val="clear" w:color="auto" w:fill="auto"/>
            <w:vAlign w:val="center"/>
          </w:tcPr>
          <w:p w14:paraId="7723B59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3.48</w:t>
            </w:r>
          </w:p>
        </w:tc>
        <w:tc>
          <w:tcPr>
            <w:tcW w:w="1146" w:type="dxa"/>
            <w:tcBorders>
              <w:top w:val="single" w:color="auto" w:sz="4" w:space="0"/>
              <w:left w:val="nil"/>
              <w:bottom w:val="nil"/>
              <w:right w:val="nil"/>
            </w:tcBorders>
            <w:shd w:val="clear" w:color="auto" w:fill="auto"/>
            <w:vAlign w:val="center"/>
          </w:tcPr>
          <w:p w14:paraId="1A8A04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3.47</w:t>
            </w:r>
          </w:p>
        </w:tc>
        <w:tc>
          <w:tcPr>
            <w:tcW w:w="1146" w:type="dxa"/>
            <w:tcBorders>
              <w:top w:val="single" w:color="auto" w:sz="4" w:space="0"/>
              <w:left w:val="nil"/>
              <w:bottom w:val="nil"/>
              <w:right w:val="nil"/>
            </w:tcBorders>
            <w:shd w:val="clear" w:color="auto" w:fill="auto"/>
            <w:vAlign w:val="center"/>
          </w:tcPr>
          <w:p w14:paraId="189D52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4.59</w:t>
            </w:r>
          </w:p>
        </w:tc>
        <w:tc>
          <w:tcPr>
            <w:tcW w:w="1146" w:type="dxa"/>
            <w:tcBorders>
              <w:top w:val="single" w:color="auto" w:sz="4" w:space="0"/>
              <w:left w:val="nil"/>
              <w:bottom w:val="nil"/>
              <w:right w:val="nil"/>
            </w:tcBorders>
            <w:shd w:val="clear" w:color="auto" w:fill="auto"/>
            <w:vAlign w:val="center"/>
          </w:tcPr>
          <w:p w14:paraId="0F1777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2.48</w:t>
            </w:r>
          </w:p>
        </w:tc>
      </w:tr>
      <w:tr w14:paraId="02EB20AB">
        <w:trPr>
          <w:trHeight w:val="0" w:hRule="atLeast"/>
          <w:jc w:val="center"/>
        </w:trPr>
        <w:tc>
          <w:tcPr>
            <w:tcW w:w="2790" w:type="dxa"/>
            <w:tcBorders>
              <w:top w:val="nil"/>
              <w:left w:val="nil"/>
              <w:bottom w:val="nil"/>
              <w:right w:val="nil"/>
            </w:tcBorders>
            <w:shd w:val="clear" w:color="auto" w:fill="auto"/>
            <w:vAlign w:val="center"/>
          </w:tcPr>
          <w:p w14:paraId="428391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2354540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25.44</w:t>
            </w:r>
          </w:p>
        </w:tc>
        <w:tc>
          <w:tcPr>
            <w:tcW w:w="1146" w:type="dxa"/>
            <w:tcBorders>
              <w:top w:val="nil"/>
              <w:left w:val="nil"/>
              <w:bottom w:val="nil"/>
              <w:right w:val="nil"/>
            </w:tcBorders>
            <w:shd w:val="clear" w:color="auto" w:fill="auto"/>
            <w:vAlign w:val="center"/>
          </w:tcPr>
          <w:p w14:paraId="601332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20.37</w:t>
            </w:r>
          </w:p>
        </w:tc>
        <w:tc>
          <w:tcPr>
            <w:tcW w:w="1146" w:type="dxa"/>
            <w:tcBorders>
              <w:top w:val="nil"/>
              <w:left w:val="nil"/>
              <w:bottom w:val="nil"/>
              <w:right w:val="nil"/>
            </w:tcBorders>
            <w:shd w:val="clear" w:color="auto" w:fill="auto"/>
            <w:vAlign w:val="center"/>
          </w:tcPr>
          <w:p w14:paraId="0D22EA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21.65</w:t>
            </w:r>
          </w:p>
        </w:tc>
        <w:tc>
          <w:tcPr>
            <w:tcW w:w="1146" w:type="dxa"/>
            <w:tcBorders>
              <w:top w:val="nil"/>
              <w:left w:val="nil"/>
              <w:bottom w:val="nil"/>
              <w:right w:val="nil"/>
            </w:tcBorders>
            <w:shd w:val="clear" w:color="auto" w:fill="auto"/>
            <w:vAlign w:val="center"/>
          </w:tcPr>
          <w:p w14:paraId="340A13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31.33</w:t>
            </w:r>
          </w:p>
        </w:tc>
        <w:tc>
          <w:tcPr>
            <w:tcW w:w="1146" w:type="dxa"/>
            <w:tcBorders>
              <w:top w:val="nil"/>
              <w:left w:val="nil"/>
              <w:bottom w:val="nil"/>
              <w:right w:val="nil"/>
            </w:tcBorders>
            <w:shd w:val="clear" w:color="auto" w:fill="auto"/>
            <w:vAlign w:val="center"/>
          </w:tcPr>
          <w:p w14:paraId="5F10D7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w:t>
            </w:r>
          </w:p>
        </w:tc>
      </w:tr>
      <w:tr w14:paraId="4DC6CB25">
        <w:trPr>
          <w:trHeight w:val="0" w:hRule="atLeast"/>
          <w:jc w:val="center"/>
        </w:trPr>
        <w:tc>
          <w:tcPr>
            <w:tcW w:w="2790" w:type="dxa"/>
            <w:tcBorders>
              <w:top w:val="nil"/>
              <w:left w:val="nil"/>
              <w:bottom w:val="nil"/>
              <w:right w:val="nil"/>
            </w:tcBorders>
            <w:shd w:val="clear" w:color="auto" w:fill="auto"/>
            <w:vAlign w:val="center"/>
          </w:tcPr>
          <w:p w14:paraId="53148B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0F0128E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w:t>
            </w:r>
            <w:r>
              <w:rPr>
                <w:rFonts w:hint="eastAsia" w:ascii="宋体" w:hAnsi="宋体" w:eastAsia="宋体" w:cs="Times New Roman"/>
                <w:b w:val="0"/>
                <w:bCs w:val="0"/>
                <w:i w:val="0"/>
                <w:iCs w:val="0"/>
                <w:color w:val="000000"/>
                <w:kern w:val="0"/>
                <w:sz w:val="24"/>
                <w:szCs w:val="21"/>
                <w:u w:val="none"/>
                <w:lang w:val="en-US" w:eastAsia="zh-CN" w:bidi="ar"/>
              </w:rPr>
              <w:t>3</w:t>
            </w:r>
          </w:p>
        </w:tc>
        <w:tc>
          <w:tcPr>
            <w:tcW w:w="1146" w:type="dxa"/>
            <w:tcBorders>
              <w:top w:val="nil"/>
              <w:left w:val="nil"/>
              <w:bottom w:val="nil"/>
              <w:right w:val="nil"/>
            </w:tcBorders>
            <w:shd w:val="clear" w:color="auto" w:fill="auto"/>
            <w:vAlign w:val="center"/>
          </w:tcPr>
          <w:p w14:paraId="3CE84E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w:t>
            </w:r>
          </w:p>
        </w:tc>
        <w:tc>
          <w:tcPr>
            <w:tcW w:w="1146" w:type="dxa"/>
            <w:tcBorders>
              <w:top w:val="nil"/>
              <w:left w:val="nil"/>
              <w:bottom w:val="nil"/>
              <w:right w:val="nil"/>
            </w:tcBorders>
            <w:shd w:val="clear" w:color="auto" w:fill="auto"/>
            <w:vAlign w:val="center"/>
          </w:tcPr>
          <w:p w14:paraId="71577F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15.51</w:t>
            </w:r>
          </w:p>
        </w:tc>
        <w:tc>
          <w:tcPr>
            <w:tcW w:w="1146" w:type="dxa"/>
            <w:tcBorders>
              <w:top w:val="nil"/>
              <w:left w:val="nil"/>
              <w:bottom w:val="nil"/>
              <w:right w:val="nil"/>
            </w:tcBorders>
            <w:shd w:val="clear" w:color="auto" w:fill="auto"/>
            <w:vAlign w:val="center"/>
          </w:tcPr>
          <w:p w14:paraId="3B121C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14.25</w:t>
            </w:r>
          </w:p>
        </w:tc>
        <w:tc>
          <w:tcPr>
            <w:tcW w:w="1146" w:type="dxa"/>
            <w:tcBorders>
              <w:top w:val="nil"/>
              <w:left w:val="nil"/>
              <w:bottom w:val="nil"/>
              <w:right w:val="nil"/>
            </w:tcBorders>
            <w:shd w:val="clear" w:color="auto" w:fill="auto"/>
            <w:vAlign w:val="center"/>
          </w:tcPr>
          <w:p w14:paraId="30F928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12.74</w:t>
            </w:r>
          </w:p>
        </w:tc>
      </w:tr>
      <w:tr w14:paraId="6F08ABFF">
        <w:trPr>
          <w:trHeight w:val="0" w:hRule="atLeast"/>
          <w:jc w:val="center"/>
        </w:trPr>
        <w:tc>
          <w:tcPr>
            <w:tcW w:w="2790" w:type="dxa"/>
            <w:tcBorders>
              <w:top w:val="nil"/>
              <w:left w:val="nil"/>
              <w:bottom w:val="single" w:color="auto" w:sz="12" w:space="0"/>
              <w:right w:val="nil"/>
            </w:tcBorders>
            <w:shd w:val="clear" w:color="auto" w:fill="auto"/>
            <w:vAlign w:val="center"/>
          </w:tcPr>
          <w:p w14:paraId="399A74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2F1BF61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1.045</w:t>
            </w:r>
          </w:p>
        </w:tc>
        <w:tc>
          <w:tcPr>
            <w:tcW w:w="1146" w:type="dxa"/>
            <w:tcBorders>
              <w:top w:val="nil"/>
              <w:left w:val="nil"/>
              <w:bottom w:val="single" w:color="auto" w:sz="12" w:space="0"/>
              <w:right w:val="nil"/>
            </w:tcBorders>
            <w:shd w:val="clear" w:color="auto" w:fill="auto"/>
            <w:vAlign w:val="center"/>
          </w:tcPr>
          <w:p w14:paraId="3C7220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1.033</w:t>
            </w:r>
          </w:p>
        </w:tc>
        <w:tc>
          <w:tcPr>
            <w:tcW w:w="1146" w:type="dxa"/>
            <w:tcBorders>
              <w:top w:val="nil"/>
              <w:left w:val="nil"/>
              <w:bottom w:val="single" w:color="auto" w:sz="12" w:space="0"/>
              <w:right w:val="nil"/>
            </w:tcBorders>
            <w:shd w:val="clear" w:color="auto" w:fill="auto"/>
            <w:vAlign w:val="center"/>
          </w:tcPr>
          <w:p w14:paraId="45BAF2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c>
          <w:tcPr>
            <w:tcW w:w="1146" w:type="dxa"/>
            <w:tcBorders>
              <w:top w:val="nil"/>
              <w:left w:val="nil"/>
              <w:bottom w:val="single" w:color="auto" w:sz="12" w:space="0"/>
              <w:right w:val="nil"/>
            </w:tcBorders>
            <w:shd w:val="clear" w:color="auto" w:fill="auto"/>
            <w:vAlign w:val="center"/>
          </w:tcPr>
          <w:p w14:paraId="3CAB4A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1.022</w:t>
            </w:r>
          </w:p>
        </w:tc>
        <w:tc>
          <w:tcPr>
            <w:tcW w:w="1146" w:type="dxa"/>
            <w:tcBorders>
              <w:top w:val="nil"/>
              <w:left w:val="nil"/>
              <w:bottom w:val="single" w:color="auto" w:sz="12" w:space="0"/>
              <w:right w:val="nil"/>
            </w:tcBorders>
            <w:shd w:val="clear" w:color="auto" w:fill="auto"/>
            <w:vAlign w:val="center"/>
          </w:tcPr>
          <w:p w14:paraId="2583A4F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r>
    </w:tbl>
    <w:p w14:paraId="38B22AC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00D3389">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t>如表5-34，方直科技2020—2024年的ROE分别为4.8891%、3.4848%、3.4673%、4.5837%和2.4611%，整体表现为波动中下行。从杜邦分解看，公司销售净利率始终处于较高水平，分别为25.44%、20.37%、21.65%、31.33%和18.80%；权益乘数则长期维持在1.02—1.05之间，杠杆水平极低且变化不大；真正拖累ROE的核心变量是总资产周转率，其由2020年的0.183持续下降至2024年的0.1274。也就是说，方直科技并非利润率不高，而是利润率较高但资产周转偏慢，由此导致资本回报难以明显提升。</w:t>
      </w:r>
    </w:p>
    <w:p w14:paraId="2E8857A5">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这一特征与其业务模式高度一致。方直科技的AI应用核心方向为AI数字化课程、AIGC实训、教育智能系统以及成长陪伴类产品，本质上属于教育数字化产品和平台型服务。教育数字化产品通常具备较高内容附加值和较低边际复制成本，因此能够维持较高净利率；但另一方面，教育产品从试点、采购到规模化推广的周期相对较长。教育部在2024世界数字教育大会相关报道中指出，当前智慧教育正处于由资源共享向数据驱动、AI融合和生态重塑推进的过程中，生成式人工智能在教育场景中的普遍应用仍需要经历持续的制度、场景和产品适配过程</w:t>
      </w:r>
      <w:r>
        <w:rPr>
          <w:rFonts w:hint="default" w:ascii="宋体" w:hAnsi="宋体" w:eastAsia="宋体" w:cs="Times New Roman"/>
          <w:b w:val="0"/>
          <w:kern w:val="2"/>
          <w:sz w:val="24"/>
          <w:szCs w:val="24"/>
          <w:vertAlign w:val="superscript"/>
          <w:lang w:val="en-US" w:eastAsia="zh-CN" w:bidi="ar-SA"/>
        </w:rPr>
        <w:t>[48]</w:t>
      </w:r>
      <w:r>
        <w:rPr>
          <w:rFonts w:hint="default" w:ascii="宋体" w:hAnsi="宋体" w:eastAsia="宋体" w:cs="Times New Roman"/>
          <w:b w:val="0"/>
          <w:kern w:val="2"/>
          <w:sz w:val="24"/>
          <w:szCs w:val="24"/>
          <w:lang w:val="en-US" w:eastAsia="zh-CN" w:bidi="ar-SA"/>
        </w:rPr>
        <w:t>。这意味着，方直科技ROE偏弱的关键不在于盈利空间缺失，而在于教育AI产品商业化扩张节奏较慢，收入放大速度不足以匹配其高利润率特征，最终表现为高净利率、低周转率、低杠杆下的中低ROE。</w:t>
      </w:r>
    </w:p>
    <w:p w14:paraId="7B2B583C">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（2）佳讯飞鸿</w:t>
      </w:r>
    </w:p>
    <w:p w14:paraId="22589BC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表5-35 佳讯飞鸿杜邦指标拆解表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4162255">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28F857B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7710217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D942D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6864B17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19CE42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647A93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3607C862">
        <w:trPr>
          <w:trHeight w:val="0" w:hRule="atLeast"/>
          <w:jc w:val="center"/>
        </w:trPr>
        <w:tc>
          <w:tcPr>
            <w:tcW w:w="2790" w:type="dxa"/>
            <w:tcBorders>
              <w:top w:val="single" w:color="auto" w:sz="4" w:space="0"/>
              <w:left w:val="nil"/>
              <w:bottom w:val="nil"/>
              <w:right w:val="nil"/>
            </w:tcBorders>
            <w:shd w:val="clear" w:color="auto" w:fill="auto"/>
            <w:vAlign w:val="center"/>
          </w:tcPr>
          <w:p w14:paraId="55FBD3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0FD932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5.53</w:t>
            </w:r>
          </w:p>
        </w:tc>
        <w:tc>
          <w:tcPr>
            <w:tcW w:w="1146" w:type="dxa"/>
            <w:tcBorders>
              <w:top w:val="single" w:color="auto" w:sz="4" w:space="0"/>
              <w:left w:val="nil"/>
              <w:bottom w:val="nil"/>
              <w:right w:val="nil"/>
            </w:tcBorders>
            <w:shd w:val="clear" w:color="auto" w:fill="auto"/>
            <w:vAlign w:val="bottom"/>
          </w:tcPr>
          <w:p w14:paraId="077048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5.46</w:t>
            </w:r>
          </w:p>
        </w:tc>
        <w:tc>
          <w:tcPr>
            <w:tcW w:w="1146" w:type="dxa"/>
            <w:tcBorders>
              <w:top w:val="single" w:color="auto" w:sz="4" w:space="0"/>
              <w:left w:val="nil"/>
              <w:bottom w:val="nil"/>
              <w:right w:val="nil"/>
            </w:tcBorders>
            <w:shd w:val="clear" w:color="auto" w:fill="auto"/>
            <w:vAlign w:val="bottom"/>
          </w:tcPr>
          <w:p w14:paraId="692382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2.83</w:t>
            </w:r>
          </w:p>
        </w:tc>
        <w:tc>
          <w:tcPr>
            <w:tcW w:w="1146" w:type="dxa"/>
            <w:tcBorders>
              <w:top w:val="single" w:color="auto" w:sz="4" w:space="0"/>
              <w:left w:val="nil"/>
              <w:bottom w:val="nil"/>
              <w:right w:val="nil"/>
            </w:tcBorders>
            <w:shd w:val="clear" w:color="auto" w:fill="auto"/>
            <w:vAlign w:val="bottom"/>
          </w:tcPr>
          <w:p w14:paraId="41EBBE2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3.01</w:t>
            </w:r>
          </w:p>
        </w:tc>
        <w:tc>
          <w:tcPr>
            <w:tcW w:w="1146" w:type="dxa"/>
            <w:tcBorders>
              <w:top w:val="single" w:color="auto" w:sz="4" w:space="0"/>
              <w:left w:val="nil"/>
              <w:bottom w:val="nil"/>
              <w:right w:val="nil"/>
            </w:tcBorders>
            <w:shd w:val="clear" w:color="auto" w:fill="auto"/>
            <w:vAlign w:val="bottom"/>
          </w:tcPr>
          <w:p w14:paraId="5A63F6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3.34</w:t>
            </w:r>
          </w:p>
        </w:tc>
      </w:tr>
      <w:tr w14:paraId="18A77F7F">
        <w:trPr>
          <w:trHeight w:val="0" w:hRule="atLeast"/>
          <w:jc w:val="center"/>
        </w:trPr>
        <w:tc>
          <w:tcPr>
            <w:tcW w:w="2790" w:type="dxa"/>
            <w:tcBorders>
              <w:top w:val="nil"/>
              <w:left w:val="nil"/>
              <w:bottom w:val="nil"/>
              <w:right w:val="nil"/>
            </w:tcBorders>
            <w:shd w:val="clear" w:color="auto" w:fill="auto"/>
            <w:vAlign w:val="center"/>
          </w:tcPr>
          <w:p w14:paraId="393B4F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1FABFB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12.15</w:t>
            </w:r>
          </w:p>
        </w:tc>
        <w:tc>
          <w:tcPr>
            <w:tcW w:w="1146" w:type="dxa"/>
            <w:tcBorders>
              <w:top w:val="nil"/>
              <w:left w:val="nil"/>
              <w:bottom w:val="nil"/>
              <w:right w:val="nil"/>
            </w:tcBorders>
            <w:shd w:val="clear" w:color="auto" w:fill="auto"/>
            <w:vAlign w:val="center"/>
          </w:tcPr>
          <w:p w14:paraId="6F1E90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11.45</w:t>
            </w:r>
          </w:p>
        </w:tc>
        <w:tc>
          <w:tcPr>
            <w:tcW w:w="1146" w:type="dxa"/>
            <w:tcBorders>
              <w:top w:val="nil"/>
              <w:left w:val="nil"/>
              <w:bottom w:val="nil"/>
              <w:right w:val="nil"/>
            </w:tcBorders>
            <w:shd w:val="clear" w:color="auto" w:fill="auto"/>
            <w:vAlign w:val="center"/>
          </w:tcPr>
          <w:p w14:paraId="3F4588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5.33</w:t>
            </w:r>
          </w:p>
        </w:tc>
        <w:tc>
          <w:tcPr>
            <w:tcW w:w="1146" w:type="dxa"/>
            <w:tcBorders>
              <w:top w:val="nil"/>
              <w:left w:val="nil"/>
              <w:bottom w:val="nil"/>
              <w:right w:val="nil"/>
            </w:tcBorders>
            <w:shd w:val="clear" w:color="auto" w:fill="auto"/>
            <w:vAlign w:val="center"/>
          </w:tcPr>
          <w:p w14:paraId="3277EE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5.65</w:t>
            </w:r>
          </w:p>
        </w:tc>
        <w:tc>
          <w:tcPr>
            <w:tcW w:w="1146" w:type="dxa"/>
            <w:tcBorders>
              <w:top w:val="nil"/>
              <w:left w:val="nil"/>
              <w:bottom w:val="nil"/>
              <w:right w:val="nil"/>
            </w:tcBorders>
            <w:shd w:val="clear" w:color="auto" w:fill="auto"/>
            <w:vAlign w:val="center"/>
          </w:tcPr>
          <w:p w14:paraId="4B0D02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5.97</w:t>
            </w:r>
          </w:p>
        </w:tc>
      </w:tr>
      <w:tr w14:paraId="4A9E9A3D">
        <w:trPr>
          <w:trHeight w:val="0" w:hRule="atLeast"/>
          <w:jc w:val="center"/>
        </w:trPr>
        <w:tc>
          <w:tcPr>
            <w:tcW w:w="2790" w:type="dxa"/>
            <w:tcBorders>
              <w:top w:val="nil"/>
              <w:left w:val="nil"/>
              <w:bottom w:val="nil"/>
              <w:right w:val="nil"/>
            </w:tcBorders>
            <w:shd w:val="clear" w:color="auto" w:fill="auto"/>
            <w:vAlign w:val="center"/>
          </w:tcPr>
          <w:p w14:paraId="15C1CD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14B622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31.1</w:t>
            </w:r>
          </w:p>
        </w:tc>
        <w:tc>
          <w:tcPr>
            <w:tcW w:w="1146" w:type="dxa"/>
            <w:tcBorders>
              <w:top w:val="nil"/>
              <w:left w:val="nil"/>
              <w:bottom w:val="nil"/>
              <w:right w:val="nil"/>
            </w:tcBorders>
            <w:shd w:val="clear" w:color="auto" w:fill="auto"/>
            <w:vAlign w:val="center"/>
          </w:tcPr>
          <w:p w14:paraId="56ADAA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w:t>
            </w:r>
          </w:p>
        </w:tc>
        <w:tc>
          <w:tcPr>
            <w:tcW w:w="1146" w:type="dxa"/>
            <w:tcBorders>
              <w:top w:val="nil"/>
              <w:left w:val="nil"/>
              <w:bottom w:val="nil"/>
              <w:right w:val="nil"/>
            </w:tcBorders>
            <w:shd w:val="clear" w:color="auto" w:fill="auto"/>
            <w:vAlign w:val="center"/>
          </w:tcPr>
          <w:p w14:paraId="31DD8D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37.7</w:t>
            </w:r>
          </w:p>
        </w:tc>
        <w:tc>
          <w:tcPr>
            <w:tcW w:w="1146" w:type="dxa"/>
            <w:tcBorders>
              <w:top w:val="nil"/>
              <w:left w:val="nil"/>
              <w:bottom w:val="nil"/>
              <w:right w:val="nil"/>
            </w:tcBorders>
            <w:shd w:val="clear" w:color="auto" w:fill="auto"/>
            <w:vAlign w:val="center"/>
          </w:tcPr>
          <w:p w14:paraId="0DC3A79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36.2</w:t>
            </w:r>
          </w:p>
        </w:tc>
        <w:tc>
          <w:tcPr>
            <w:tcW w:w="1146" w:type="dxa"/>
            <w:tcBorders>
              <w:top w:val="nil"/>
              <w:left w:val="nil"/>
              <w:bottom w:val="nil"/>
              <w:right w:val="nil"/>
            </w:tcBorders>
            <w:shd w:val="clear" w:color="auto" w:fill="auto"/>
            <w:vAlign w:val="center"/>
          </w:tcPr>
          <w:p w14:paraId="198D371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36.6</w:t>
            </w:r>
          </w:p>
        </w:tc>
      </w:tr>
      <w:tr w14:paraId="7B4F4CC0">
        <w:trPr>
          <w:trHeight w:val="0" w:hRule="atLeast"/>
          <w:jc w:val="center"/>
        </w:trPr>
        <w:tc>
          <w:tcPr>
            <w:tcW w:w="2790" w:type="dxa"/>
            <w:tcBorders>
              <w:top w:val="nil"/>
              <w:left w:val="nil"/>
              <w:bottom w:val="single" w:color="auto" w:sz="12" w:space="0"/>
              <w:right w:val="nil"/>
            </w:tcBorders>
            <w:shd w:val="clear" w:color="auto" w:fill="auto"/>
            <w:vAlign w:val="center"/>
          </w:tcPr>
          <w:p w14:paraId="6EF406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05F2E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1.415</w:t>
            </w:r>
          </w:p>
        </w:tc>
        <w:tc>
          <w:tcPr>
            <w:tcW w:w="1146" w:type="dxa"/>
            <w:tcBorders>
              <w:top w:val="nil"/>
              <w:left w:val="nil"/>
              <w:bottom w:val="single" w:color="auto" w:sz="12" w:space="0"/>
              <w:right w:val="nil"/>
            </w:tcBorders>
            <w:shd w:val="clear" w:color="auto" w:fill="auto"/>
            <w:vAlign w:val="center"/>
          </w:tcPr>
          <w:p w14:paraId="44FE5E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1.39</w:t>
            </w:r>
          </w:p>
        </w:tc>
        <w:tc>
          <w:tcPr>
            <w:tcW w:w="1146" w:type="dxa"/>
            <w:tcBorders>
              <w:top w:val="nil"/>
              <w:left w:val="nil"/>
              <w:bottom w:val="single" w:color="auto" w:sz="12" w:space="0"/>
              <w:right w:val="nil"/>
            </w:tcBorders>
            <w:shd w:val="clear" w:color="auto" w:fill="auto"/>
            <w:vAlign w:val="center"/>
          </w:tcPr>
          <w:p w14:paraId="782CBC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1.358</w:t>
            </w:r>
          </w:p>
        </w:tc>
        <w:tc>
          <w:tcPr>
            <w:tcW w:w="1146" w:type="dxa"/>
            <w:tcBorders>
              <w:top w:val="nil"/>
              <w:left w:val="nil"/>
              <w:bottom w:val="single" w:color="auto" w:sz="12" w:space="0"/>
              <w:right w:val="nil"/>
            </w:tcBorders>
            <w:shd w:val="clear" w:color="auto" w:fill="auto"/>
            <w:vAlign w:val="center"/>
          </w:tcPr>
          <w:p w14:paraId="54D4CC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1.424</w:t>
            </w:r>
          </w:p>
        </w:tc>
        <w:tc>
          <w:tcPr>
            <w:tcW w:w="1146" w:type="dxa"/>
            <w:tcBorders>
              <w:top w:val="nil"/>
              <w:left w:val="nil"/>
              <w:bottom w:val="single" w:color="auto" w:sz="12" w:space="0"/>
              <w:right w:val="nil"/>
            </w:tcBorders>
            <w:shd w:val="clear" w:color="auto" w:fill="auto"/>
            <w:vAlign w:val="center"/>
          </w:tcPr>
          <w:p w14:paraId="087EC0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1.407</w:t>
            </w:r>
          </w:p>
        </w:tc>
      </w:tr>
    </w:tbl>
    <w:p w14:paraId="537D3F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ECE83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t>表5-35所示，佳讯飞鸿2020—2024年的ROE分别为5.5339%、5.4577%、2.8266%、3.0142%和3.3413%，表现为2022年以后明显回落后小幅修复。从杜邦分解看，公司总资产周转率相对稳定，权益乘数也稳定在1.36—1.42之间，说明资产运营效率和杠杆结构并非造成ROE下降的主因。相反，销售净利率由2020年的12.15%下降至2024年的5.97%，降幅超过6个百分点，构成ROE下行的最直接来源。</w:t>
      </w:r>
    </w:p>
    <w:p w14:paraId="5A5C43E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lang w:eastAsia="zh-CN"/>
        </w:rPr>
        <w:t>佳讯飞鸿的业务模式决定了其ROE更容易受利润率波动影响。公司AI应用核心方向为轨交智能化大模型应用，主营业务面向轨道交通、民航、国防、政府、能源和金融等场景提供智能化解决方案及专业服务，本质上属于行业场景化解决方案</w:t>
      </w:r>
      <w:r>
        <w:rPr>
          <w:rFonts w:hint="eastAsia" w:ascii="宋体" w:hAnsi="宋体" w:eastAsia="宋体" w:cs="Times New Roman"/>
          <w:b w:val="0"/>
          <w:sz w:val="24"/>
          <w:szCs w:val="24"/>
          <w:lang w:val="en-US" w:eastAsia="zh-CN"/>
        </w:rPr>
        <w:t>和</w:t>
      </w:r>
      <w:r>
        <w:rPr>
          <w:rFonts w:hint="default" w:ascii="宋体" w:hAnsi="宋体" w:eastAsia="宋体" w:cs="Times New Roman"/>
          <w:b w:val="0"/>
          <w:sz w:val="24"/>
          <w:szCs w:val="24"/>
          <w:lang w:eastAsia="zh-CN"/>
        </w:rPr>
        <w:t>项目制交付</w:t>
      </w:r>
      <w:r>
        <w:rPr>
          <w:rFonts w:hint="eastAsia" w:ascii="宋体" w:hAnsi="宋体" w:eastAsia="宋体" w:cs="Times New Roman"/>
          <w:b w:val="0"/>
          <w:sz w:val="24"/>
          <w:szCs w:val="24"/>
          <w:lang w:val="en-US" w:eastAsia="zh-CN"/>
        </w:rPr>
        <w:t>并行的商业模式</w:t>
      </w:r>
      <w:r>
        <w:rPr>
          <w:rFonts w:hint="default" w:ascii="宋体" w:hAnsi="宋体" w:eastAsia="宋体" w:cs="Times New Roman"/>
          <w:b w:val="0"/>
          <w:sz w:val="24"/>
          <w:szCs w:val="24"/>
          <w:lang w:eastAsia="zh-CN"/>
        </w:rPr>
        <w:t>。这类业务通常具有较高的技术壁垒和客户粘性，但项目交付周期较长、实施环节复杂、定制化程度高，实施成本和后续运维成本往往较高。换言之，佳讯飞鸿并不存在周转极差或杠杆失控的问题，而是典型的项目型高壁垒解决方案企业：收入可形成，但利润释放受实施成本、研发投入和收入确认节奏约束较大，因此ROE的回落主要体现为利润率压缩，而非资产周转或杠杆异常。</w:t>
      </w:r>
    </w:p>
    <w:p w14:paraId="57A9161A">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（3）天地在线</w:t>
      </w:r>
    </w:p>
    <w:p w14:paraId="3FBAF56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表5-36 天地在线杜邦指标拆解表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7"/>
        <w:gridCol w:w="1140"/>
        <w:gridCol w:w="1140"/>
        <w:gridCol w:w="1140"/>
        <w:gridCol w:w="1140"/>
        <w:gridCol w:w="1140"/>
      </w:tblGrid>
      <w:tr w14:paraId="4B6F4A6B">
        <w:trPr>
          <w:trHeight w:val="0" w:hRule="atLeast"/>
          <w:tblHeader/>
          <w:jc w:val="center"/>
        </w:trPr>
        <w:tc>
          <w:tcPr>
            <w:tcW w:w="2817" w:type="dxa"/>
            <w:tcBorders>
              <w:top w:val="single" w:color="auto" w:sz="12" w:space="0"/>
              <w:left w:val="nil"/>
              <w:bottom w:val="single" w:color="auto" w:sz="4" w:space="0"/>
              <w:right w:val="nil"/>
            </w:tcBorders>
            <w:shd w:val="clear" w:color="auto" w:fill="auto"/>
            <w:vAlign w:val="center"/>
          </w:tcPr>
          <w:p w14:paraId="4FFE7DB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指标</w:t>
            </w:r>
          </w:p>
        </w:tc>
        <w:tc>
          <w:tcPr>
            <w:tcW w:w="1140" w:type="dxa"/>
            <w:tcBorders>
              <w:top w:val="single" w:color="auto" w:sz="12" w:space="0"/>
              <w:left w:val="nil"/>
              <w:bottom w:val="single" w:color="auto" w:sz="4" w:space="0"/>
              <w:right w:val="nil"/>
            </w:tcBorders>
            <w:shd w:val="clear" w:color="auto" w:fill="auto"/>
            <w:vAlign w:val="center"/>
          </w:tcPr>
          <w:p w14:paraId="39998DD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2020</w:t>
            </w:r>
          </w:p>
        </w:tc>
        <w:tc>
          <w:tcPr>
            <w:tcW w:w="1140" w:type="dxa"/>
            <w:tcBorders>
              <w:top w:val="single" w:color="auto" w:sz="12" w:space="0"/>
              <w:left w:val="nil"/>
              <w:bottom w:val="single" w:color="auto" w:sz="4" w:space="0"/>
              <w:right w:val="nil"/>
            </w:tcBorders>
            <w:shd w:val="clear" w:color="auto" w:fill="auto"/>
            <w:vAlign w:val="center"/>
          </w:tcPr>
          <w:p w14:paraId="6F82457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2021</w:t>
            </w:r>
          </w:p>
        </w:tc>
        <w:tc>
          <w:tcPr>
            <w:tcW w:w="1140" w:type="dxa"/>
            <w:tcBorders>
              <w:top w:val="single" w:color="auto" w:sz="12" w:space="0"/>
              <w:left w:val="nil"/>
              <w:bottom w:val="single" w:color="auto" w:sz="4" w:space="0"/>
              <w:right w:val="nil"/>
            </w:tcBorders>
            <w:shd w:val="clear" w:color="auto" w:fill="auto"/>
            <w:vAlign w:val="center"/>
          </w:tcPr>
          <w:p w14:paraId="4BD342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2022</w:t>
            </w:r>
          </w:p>
        </w:tc>
        <w:tc>
          <w:tcPr>
            <w:tcW w:w="1140" w:type="dxa"/>
            <w:tcBorders>
              <w:top w:val="single" w:color="auto" w:sz="12" w:space="0"/>
              <w:left w:val="nil"/>
              <w:bottom w:val="single" w:color="auto" w:sz="4" w:space="0"/>
              <w:right w:val="nil"/>
            </w:tcBorders>
            <w:shd w:val="clear" w:color="auto" w:fill="auto"/>
            <w:vAlign w:val="center"/>
          </w:tcPr>
          <w:p w14:paraId="46CAD00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2023</w:t>
            </w:r>
          </w:p>
        </w:tc>
        <w:tc>
          <w:tcPr>
            <w:tcW w:w="1140" w:type="dxa"/>
            <w:tcBorders>
              <w:top w:val="single" w:color="auto" w:sz="12" w:space="0"/>
              <w:left w:val="nil"/>
              <w:bottom w:val="single" w:color="auto" w:sz="4" w:space="0"/>
              <w:right w:val="nil"/>
            </w:tcBorders>
            <w:shd w:val="clear" w:color="auto" w:fill="auto"/>
            <w:vAlign w:val="center"/>
          </w:tcPr>
          <w:p w14:paraId="2C35DB6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2024</w:t>
            </w:r>
          </w:p>
        </w:tc>
      </w:tr>
      <w:tr w14:paraId="17B64A60">
        <w:trPr>
          <w:trHeight w:val="0" w:hRule="atLeast"/>
          <w:jc w:val="center"/>
        </w:trPr>
        <w:tc>
          <w:tcPr>
            <w:tcW w:w="2817" w:type="dxa"/>
            <w:tcBorders>
              <w:top w:val="single" w:color="auto" w:sz="4" w:space="0"/>
              <w:left w:val="nil"/>
              <w:bottom w:val="nil"/>
              <w:right w:val="nil"/>
            </w:tcBorders>
            <w:shd w:val="clear" w:color="auto" w:fill="auto"/>
            <w:vAlign w:val="center"/>
          </w:tcPr>
          <w:p w14:paraId="240506D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0" w:type="dxa"/>
            <w:tcBorders>
              <w:top w:val="single" w:color="auto" w:sz="4" w:space="0"/>
              <w:left w:val="nil"/>
              <w:bottom w:val="nil"/>
              <w:right w:val="nil"/>
            </w:tcBorders>
            <w:shd w:val="clear" w:color="auto" w:fill="auto"/>
            <w:vAlign w:val="bottom"/>
          </w:tcPr>
          <w:p w14:paraId="0B65DB1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14.24</w:t>
            </w:r>
          </w:p>
        </w:tc>
        <w:tc>
          <w:tcPr>
            <w:tcW w:w="1140" w:type="dxa"/>
            <w:tcBorders>
              <w:top w:val="single" w:color="auto" w:sz="4" w:space="0"/>
              <w:left w:val="nil"/>
              <w:bottom w:val="nil"/>
              <w:right w:val="nil"/>
            </w:tcBorders>
            <w:shd w:val="clear" w:color="auto" w:fill="auto"/>
            <w:vAlign w:val="bottom"/>
          </w:tcPr>
          <w:p w14:paraId="606A204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5.16</w:t>
            </w:r>
          </w:p>
        </w:tc>
        <w:tc>
          <w:tcPr>
            <w:tcW w:w="1140" w:type="dxa"/>
            <w:tcBorders>
              <w:top w:val="single" w:color="auto" w:sz="4" w:space="0"/>
              <w:left w:val="nil"/>
              <w:bottom w:val="nil"/>
              <w:right w:val="nil"/>
            </w:tcBorders>
            <w:shd w:val="clear" w:color="auto" w:fill="auto"/>
            <w:vAlign w:val="bottom"/>
          </w:tcPr>
          <w:p w14:paraId="640D9B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0.30</w:t>
            </w:r>
          </w:p>
        </w:tc>
        <w:tc>
          <w:tcPr>
            <w:tcW w:w="1140" w:type="dxa"/>
            <w:tcBorders>
              <w:top w:val="single" w:color="auto" w:sz="4" w:space="0"/>
              <w:left w:val="nil"/>
              <w:bottom w:val="nil"/>
              <w:right w:val="nil"/>
            </w:tcBorders>
            <w:shd w:val="clear" w:color="auto" w:fill="auto"/>
            <w:vAlign w:val="bottom"/>
          </w:tcPr>
          <w:p w14:paraId="4A59B45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-2.56</w:t>
            </w:r>
          </w:p>
        </w:tc>
        <w:tc>
          <w:tcPr>
            <w:tcW w:w="1140" w:type="dxa"/>
            <w:tcBorders>
              <w:top w:val="single" w:color="auto" w:sz="4" w:space="0"/>
              <w:left w:val="nil"/>
              <w:bottom w:val="nil"/>
              <w:right w:val="nil"/>
            </w:tcBorders>
            <w:shd w:val="clear" w:color="auto" w:fill="auto"/>
            <w:vAlign w:val="bottom"/>
          </w:tcPr>
          <w:p w14:paraId="7AE8B1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-6.99</w:t>
            </w:r>
          </w:p>
        </w:tc>
      </w:tr>
      <w:tr w14:paraId="0106C04A">
        <w:trPr>
          <w:trHeight w:val="0" w:hRule="atLeast"/>
          <w:jc w:val="center"/>
        </w:trPr>
        <w:tc>
          <w:tcPr>
            <w:tcW w:w="2817" w:type="dxa"/>
            <w:tcBorders>
              <w:top w:val="nil"/>
              <w:left w:val="nil"/>
              <w:bottom w:val="nil"/>
              <w:right w:val="nil"/>
            </w:tcBorders>
            <w:shd w:val="clear" w:color="auto" w:fill="auto"/>
            <w:vAlign w:val="center"/>
          </w:tcPr>
          <w:p w14:paraId="088BA69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0" w:type="dxa"/>
            <w:tcBorders>
              <w:top w:val="nil"/>
              <w:left w:val="nil"/>
              <w:bottom w:val="nil"/>
              <w:right w:val="nil"/>
            </w:tcBorders>
            <w:shd w:val="clear" w:color="auto" w:fill="auto"/>
            <w:vAlign w:val="center"/>
          </w:tcPr>
          <w:p w14:paraId="179060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3.21</w:t>
            </w:r>
          </w:p>
        </w:tc>
        <w:tc>
          <w:tcPr>
            <w:tcW w:w="1140" w:type="dxa"/>
            <w:tcBorders>
              <w:top w:val="nil"/>
              <w:left w:val="nil"/>
              <w:bottom w:val="nil"/>
              <w:right w:val="nil"/>
            </w:tcBorders>
            <w:shd w:val="clear" w:color="auto" w:fill="auto"/>
            <w:vAlign w:val="center"/>
          </w:tcPr>
          <w:p w14:paraId="0EFDAD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w:t>
            </w:r>
          </w:p>
        </w:tc>
        <w:tc>
          <w:tcPr>
            <w:tcW w:w="1140" w:type="dxa"/>
            <w:tcBorders>
              <w:top w:val="nil"/>
              <w:left w:val="nil"/>
              <w:bottom w:val="nil"/>
              <w:right w:val="nil"/>
            </w:tcBorders>
            <w:shd w:val="clear" w:color="auto" w:fill="auto"/>
            <w:vAlign w:val="center"/>
          </w:tcPr>
          <w:p w14:paraId="19FB15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0.16</w:t>
            </w:r>
          </w:p>
        </w:tc>
        <w:tc>
          <w:tcPr>
            <w:tcW w:w="1140" w:type="dxa"/>
            <w:tcBorders>
              <w:top w:val="nil"/>
              <w:left w:val="nil"/>
              <w:bottom w:val="nil"/>
              <w:right w:val="nil"/>
            </w:tcBorders>
            <w:shd w:val="clear" w:color="auto" w:fill="auto"/>
            <w:vAlign w:val="center"/>
          </w:tcPr>
          <w:p w14:paraId="0F7D460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w:t>
            </w:r>
          </w:p>
        </w:tc>
        <w:tc>
          <w:tcPr>
            <w:tcW w:w="1140" w:type="dxa"/>
            <w:tcBorders>
              <w:top w:val="nil"/>
              <w:left w:val="nil"/>
              <w:bottom w:val="nil"/>
              <w:right w:val="nil"/>
            </w:tcBorders>
            <w:shd w:val="clear" w:color="auto" w:fill="auto"/>
            <w:vAlign w:val="center"/>
          </w:tcPr>
          <w:p w14:paraId="4D1CB5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w:t>
            </w:r>
          </w:p>
        </w:tc>
      </w:tr>
      <w:tr w14:paraId="2DD7EADC">
        <w:trPr>
          <w:trHeight w:val="0" w:hRule="atLeast"/>
          <w:jc w:val="center"/>
        </w:trPr>
        <w:tc>
          <w:tcPr>
            <w:tcW w:w="2817" w:type="dxa"/>
            <w:tcBorders>
              <w:top w:val="nil"/>
              <w:left w:val="nil"/>
              <w:bottom w:val="nil"/>
              <w:right w:val="nil"/>
            </w:tcBorders>
            <w:shd w:val="clear" w:color="auto" w:fill="auto"/>
            <w:vAlign w:val="center"/>
          </w:tcPr>
          <w:p w14:paraId="7E54B5E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0" w:type="dxa"/>
            <w:tcBorders>
              <w:top w:val="nil"/>
              <w:left w:val="nil"/>
              <w:bottom w:val="nil"/>
              <w:right w:val="nil"/>
            </w:tcBorders>
            <w:shd w:val="clear" w:color="auto" w:fill="auto"/>
            <w:vAlign w:val="center"/>
          </w:tcPr>
          <w:p w14:paraId="2C2961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268.1</w:t>
            </w:r>
          </w:p>
        </w:tc>
        <w:tc>
          <w:tcPr>
            <w:tcW w:w="1140" w:type="dxa"/>
            <w:tcBorders>
              <w:top w:val="nil"/>
              <w:left w:val="nil"/>
              <w:bottom w:val="nil"/>
              <w:right w:val="nil"/>
            </w:tcBorders>
            <w:shd w:val="clear" w:color="auto" w:fill="auto"/>
            <w:vAlign w:val="center"/>
          </w:tcPr>
          <w:p w14:paraId="771E21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246.4</w:t>
            </w:r>
          </w:p>
        </w:tc>
        <w:tc>
          <w:tcPr>
            <w:tcW w:w="1140" w:type="dxa"/>
            <w:tcBorders>
              <w:top w:val="nil"/>
              <w:left w:val="nil"/>
              <w:bottom w:val="nil"/>
              <w:right w:val="nil"/>
            </w:tcBorders>
            <w:shd w:val="clear" w:color="auto" w:fill="auto"/>
            <w:vAlign w:val="center"/>
          </w:tcPr>
          <w:p w14:paraId="793AA3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196.9</w:t>
            </w:r>
          </w:p>
        </w:tc>
        <w:tc>
          <w:tcPr>
            <w:tcW w:w="1140" w:type="dxa"/>
            <w:tcBorders>
              <w:top w:val="nil"/>
              <w:left w:val="nil"/>
              <w:bottom w:val="nil"/>
              <w:right w:val="nil"/>
            </w:tcBorders>
            <w:shd w:val="clear" w:color="auto" w:fill="auto"/>
            <w:vAlign w:val="center"/>
          </w:tcPr>
          <w:p w14:paraId="1F9233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135.4</w:t>
            </w:r>
          </w:p>
        </w:tc>
        <w:tc>
          <w:tcPr>
            <w:tcW w:w="1140" w:type="dxa"/>
            <w:tcBorders>
              <w:top w:val="nil"/>
              <w:left w:val="nil"/>
              <w:bottom w:val="nil"/>
              <w:right w:val="nil"/>
            </w:tcBorders>
            <w:shd w:val="clear" w:color="auto" w:fill="auto"/>
            <w:vAlign w:val="center"/>
          </w:tcPr>
          <w:p w14:paraId="18AD3C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106.2</w:t>
            </w:r>
          </w:p>
        </w:tc>
      </w:tr>
      <w:tr w14:paraId="792CF6E7">
        <w:trPr>
          <w:trHeight w:val="0" w:hRule="atLeast"/>
          <w:jc w:val="center"/>
        </w:trPr>
        <w:tc>
          <w:tcPr>
            <w:tcW w:w="2817" w:type="dxa"/>
            <w:tcBorders>
              <w:top w:val="nil"/>
              <w:left w:val="nil"/>
              <w:bottom w:val="single" w:color="auto" w:sz="12" w:space="0"/>
              <w:right w:val="nil"/>
            </w:tcBorders>
            <w:shd w:val="clear" w:color="auto" w:fill="auto"/>
            <w:vAlign w:val="center"/>
          </w:tcPr>
          <w:p w14:paraId="46CFED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0" w:type="dxa"/>
            <w:tcBorders>
              <w:top w:val="nil"/>
              <w:left w:val="nil"/>
              <w:bottom w:val="single" w:color="auto" w:sz="12" w:space="0"/>
              <w:right w:val="nil"/>
            </w:tcBorders>
            <w:shd w:val="clear" w:color="auto" w:fill="auto"/>
            <w:vAlign w:val="center"/>
          </w:tcPr>
          <w:p w14:paraId="2BA76B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1.577</w:t>
            </w:r>
          </w:p>
        </w:tc>
        <w:tc>
          <w:tcPr>
            <w:tcW w:w="1140" w:type="dxa"/>
            <w:tcBorders>
              <w:top w:val="nil"/>
              <w:left w:val="nil"/>
              <w:bottom w:val="single" w:color="auto" w:sz="12" w:space="0"/>
              <w:right w:val="nil"/>
            </w:tcBorders>
            <w:shd w:val="clear" w:color="auto" w:fill="auto"/>
            <w:vAlign w:val="center"/>
          </w:tcPr>
          <w:p w14:paraId="7388DF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1.565</w:t>
            </w:r>
          </w:p>
        </w:tc>
        <w:tc>
          <w:tcPr>
            <w:tcW w:w="1140" w:type="dxa"/>
            <w:tcBorders>
              <w:top w:val="nil"/>
              <w:left w:val="nil"/>
              <w:bottom w:val="single" w:color="auto" w:sz="12" w:space="0"/>
              <w:right w:val="nil"/>
            </w:tcBorders>
            <w:shd w:val="clear" w:color="auto" w:fill="auto"/>
            <w:vAlign w:val="center"/>
          </w:tcPr>
          <w:p w14:paraId="5DAEC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1.368</w:t>
            </w:r>
          </w:p>
        </w:tc>
        <w:tc>
          <w:tcPr>
            <w:tcW w:w="1140" w:type="dxa"/>
            <w:tcBorders>
              <w:top w:val="nil"/>
              <w:left w:val="nil"/>
              <w:bottom w:val="single" w:color="auto" w:sz="12" w:space="0"/>
              <w:right w:val="nil"/>
            </w:tcBorders>
            <w:shd w:val="clear" w:color="auto" w:fill="auto"/>
            <w:vAlign w:val="center"/>
          </w:tcPr>
          <w:p w14:paraId="7081F1D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1.294</w:t>
            </w:r>
          </w:p>
        </w:tc>
        <w:tc>
          <w:tcPr>
            <w:tcW w:w="1140" w:type="dxa"/>
            <w:tcBorders>
              <w:top w:val="nil"/>
              <w:left w:val="nil"/>
              <w:bottom w:val="single" w:color="auto" w:sz="12" w:space="0"/>
              <w:right w:val="nil"/>
            </w:tcBorders>
            <w:shd w:val="clear" w:color="auto" w:fill="auto"/>
            <w:vAlign w:val="center"/>
          </w:tcPr>
          <w:p w14:paraId="1C82661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w:t>
            </w:r>
          </w:p>
        </w:tc>
      </w:tr>
    </w:tbl>
    <w:p w14:paraId="68DA14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670B8B5">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天地在线2020—2024年的ROE分别为14.2396%、5.1602%、0.3029%、-2.5578%和-6.9893%，呈现出最明显的持续恶化趋势。从杜邦分解看，公司销售净利率由2020年的3.21%降至2024年的-5.00%，总资产周转率由</w:t>
      </w:r>
      <w:r>
        <w:rPr>
          <w:rFonts w:hint="eastAsia" w:ascii="宋体" w:hAnsi="宋体" w:eastAsia="宋体" w:cs="Times New Roman"/>
          <w:b w:val="0"/>
          <w:kern w:val="2"/>
          <w:sz w:val="24"/>
          <w:szCs w:val="24"/>
          <w:lang w:val="en-US" w:eastAsia="zh-CN" w:bidi="ar-SA"/>
        </w:rPr>
        <w:t>268.1%</w:t>
      </w:r>
      <w:r>
        <w:rPr>
          <w:rFonts w:hint="default" w:ascii="宋体" w:hAnsi="宋体" w:eastAsia="宋体" w:cs="Times New Roman"/>
          <w:b w:val="0"/>
          <w:kern w:val="2"/>
          <w:sz w:val="24"/>
          <w:szCs w:val="24"/>
          <w:lang w:val="en-US" w:eastAsia="zh-CN" w:bidi="ar-SA"/>
        </w:rPr>
        <w:t>降至</w:t>
      </w:r>
      <w:r>
        <w:rPr>
          <w:rFonts w:hint="eastAsia" w:ascii="宋体" w:hAnsi="宋体" w:eastAsia="宋体" w:cs="Times New Roman"/>
          <w:b w:val="0"/>
          <w:kern w:val="2"/>
          <w:sz w:val="24"/>
          <w:szCs w:val="24"/>
          <w:lang w:val="en-US" w:eastAsia="zh-CN" w:bidi="ar-SA"/>
        </w:rPr>
        <w:t>106.2%</w:t>
      </w:r>
      <w:r>
        <w:rPr>
          <w:rFonts w:hint="default" w:ascii="宋体" w:hAnsi="宋体" w:eastAsia="宋体" w:cs="Times New Roman"/>
          <w:b w:val="0"/>
          <w:kern w:val="2"/>
          <w:sz w:val="24"/>
          <w:szCs w:val="24"/>
          <w:lang w:val="en-US" w:eastAsia="zh-CN" w:bidi="ar-SA"/>
        </w:rPr>
        <w:t>，权益乘数则始终维持在1.29—1.58之间，波动不大。这意味着，天地在线ROE转负并非杠杆扩张所致，而是利润率恶化和周转率下降同时发生的结果。</w:t>
      </w:r>
    </w:p>
    <w:p w14:paraId="191D5AF4">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业务逻辑看，天地在线虽然被划为AI独立产品型企业，但其收入基础仍然以数字营销服务和数智化综合服务为主，AI数字人、XR直播、企业级SaaS和智能财税工具等新业务仍处于培育阶段。其问题并不在于完全缺少AI布局，而在于传统主业的利润率本来就较低，而新业务又尚未形成足够规模的收入支撑。在此基础上，公司资产周转率还从2</w:t>
      </w:r>
      <w:r>
        <w:rPr>
          <w:rFonts w:hint="eastAsia" w:ascii="宋体" w:hAnsi="宋体" w:eastAsia="宋体" w:cs="Times New Roman"/>
          <w:b w:val="0"/>
          <w:kern w:val="2"/>
          <w:sz w:val="24"/>
          <w:szCs w:val="24"/>
          <w:lang w:val="en-US" w:eastAsia="zh-CN" w:bidi="ar-SA"/>
        </w:rPr>
        <w:t>00%</w:t>
      </w:r>
      <w:r>
        <w:rPr>
          <w:rFonts w:hint="default" w:ascii="宋体" w:hAnsi="宋体" w:eastAsia="宋体" w:cs="Times New Roman"/>
          <w:b w:val="0"/>
          <w:kern w:val="2"/>
          <w:sz w:val="24"/>
          <w:szCs w:val="24"/>
          <w:lang w:val="en-US" w:eastAsia="zh-CN" w:bidi="ar-SA"/>
        </w:rPr>
        <w:t>以上持续下降到接近1</w:t>
      </w:r>
      <w:r>
        <w:rPr>
          <w:rFonts w:hint="eastAsia" w:ascii="宋体" w:hAnsi="宋体" w:eastAsia="宋体" w:cs="Times New Roman"/>
          <w:b w:val="0"/>
          <w:kern w:val="2"/>
          <w:sz w:val="24"/>
          <w:szCs w:val="24"/>
          <w:lang w:val="en-US" w:eastAsia="zh-CN" w:bidi="ar-SA"/>
        </w:rPr>
        <w:t>00%</w:t>
      </w:r>
      <w:r>
        <w:rPr>
          <w:rFonts w:hint="default" w:ascii="宋体" w:hAnsi="宋体" w:eastAsia="宋体" w:cs="Times New Roman"/>
          <w:b w:val="0"/>
          <w:kern w:val="2"/>
          <w:sz w:val="24"/>
          <w:szCs w:val="24"/>
          <w:lang w:val="en-US" w:eastAsia="zh-CN" w:bidi="ar-SA"/>
        </w:rPr>
        <w:t>，表明传统流量和营销类业务的收入放大能力也在减弱。QuestMobile关于营销市场的研究显示，当前数字营销市场整体仍保持投放活跃，但行业竞争持续深化，精准投放、闭环转化和内容营销成为主流，这意味着企业即使通过AI提升创意和投放效率，也不一定能够同步获得更高服务溢价。天地在线的ROE恶化，本质上反映的是低利润传统主业</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新AI业务投入期</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收入周转减弱的三重压力叠加。</w:t>
      </w:r>
    </w:p>
    <w:p w14:paraId="6B890C4D">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独立产品型企业内部的ROE差异，并不简单表现为产品型一定更高盈利，而是呈现出明显的分层结构：方直科技代表的是高利润率但周转偏低的教育AI产品模式，佳讯飞鸿代表的是利润率受项目实施周期和定制化成本压缩的行业解决方案模式，天地在线则代表传统主业承压且AI新业务尚未规模化的过渡型模式。三者共同说明，AI独立产品型企业虽然更容易形成高附加值产品，但若周转效率不足或商业化节奏滞后，ROE仍可能偏弱。</w:t>
      </w:r>
    </w:p>
    <w:p w14:paraId="11DE00D8">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5.2.4.2 AI业务赋能型企业净资产收益率分析</w:t>
      </w:r>
    </w:p>
    <w:p w14:paraId="490769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（1）巨人网络</w:t>
      </w:r>
    </w:p>
    <w:p w14:paraId="4F7721E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表5-37 巨人网络杜邦指标拆解表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39380984">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EEB4AA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50C1AB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76D9921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068B628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4385B6E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C78379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6A9C2E91">
        <w:trPr>
          <w:trHeight w:val="0" w:hRule="atLeast"/>
          <w:jc w:val="center"/>
        </w:trPr>
        <w:tc>
          <w:tcPr>
            <w:tcW w:w="2790" w:type="dxa"/>
            <w:tcBorders>
              <w:top w:val="single" w:color="auto" w:sz="4" w:space="0"/>
              <w:left w:val="nil"/>
              <w:bottom w:val="nil"/>
              <w:right w:val="nil"/>
            </w:tcBorders>
            <w:shd w:val="clear" w:color="auto" w:fill="auto"/>
            <w:vAlign w:val="center"/>
          </w:tcPr>
          <w:p w14:paraId="522C0AE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542E3E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11.77</w:t>
            </w:r>
          </w:p>
        </w:tc>
        <w:tc>
          <w:tcPr>
            <w:tcW w:w="1146" w:type="dxa"/>
            <w:tcBorders>
              <w:top w:val="single" w:color="auto" w:sz="4" w:space="0"/>
              <w:left w:val="nil"/>
              <w:bottom w:val="nil"/>
              <w:right w:val="nil"/>
            </w:tcBorders>
            <w:shd w:val="clear" w:color="auto" w:fill="auto"/>
            <w:vAlign w:val="bottom"/>
          </w:tcPr>
          <w:p w14:paraId="0E8B86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9.94</w:t>
            </w:r>
          </w:p>
        </w:tc>
        <w:tc>
          <w:tcPr>
            <w:tcW w:w="1146" w:type="dxa"/>
            <w:tcBorders>
              <w:top w:val="single" w:color="auto" w:sz="4" w:space="0"/>
              <w:left w:val="nil"/>
              <w:bottom w:val="nil"/>
              <w:right w:val="nil"/>
            </w:tcBorders>
            <w:shd w:val="clear" w:color="auto" w:fill="auto"/>
            <w:vAlign w:val="bottom"/>
          </w:tcPr>
          <w:p w14:paraId="4714C4C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7.60</w:t>
            </w:r>
          </w:p>
        </w:tc>
        <w:tc>
          <w:tcPr>
            <w:tcW w:w="1146" w:type="dxa"/>
            <w:tcBorders>
              <w:top w:val="single" w:color="auto" w:sz="4" w:space="0"/>
              <w:left w:val="nil"/>
              <w:bottom w:val="nil"/>
              <w:right w:val="nil"/>
            </w:tcBorders>
            <w:shd w:val="clear" w:color="auto" w:fill="auto"/>
            <w:vAlign w:val="bottom"/>
          </w:tcPr>
          <w:p w14:paraId="5F0513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9.23</w:t>
            </w:r>
          </w:p>
        </w:tc>
        <w:tc>
          <w:tcPr>
            <w:tcW w:w="1146" w:type="dxa"/>
            <w:tcBorders>
              <w:top w:val="single" w:color="auto" w:sz="4" w:space="0"/>
              <w:left w:val="nil"/>
              <w:bottom w:val="nil"/>
              <w:right w:val="nil"/>
            </w:tcBorders>
            <w:shd w:val="clear" w:color="auto" w:fill="auto"/>
            <w:vAlign w:val="bottom"/>
          </w:tcPr>
          <w:p w14:paraId="2321A6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11.63</w:t>
            </w:r>
          </w:p>
        </w:tc>
      </w:tr>
      <w:tr w14:paraId="0E832C9B">
        <w:trPr>
          <w:trHeight w:val="0" w:hRule="atLeast"/>
          <w:jc w:val="center"/>
        </w:trPr>
        <w:tc>
          <w:tcPr>
            <w:tcW w:w="2790" w:type="dxa"/>
            <w:tcBorders>
              <w:top w:val="nil"/>
              <w:left w:val="nil"/>
              <w:bottom w:val="nil"/>
              <w:right w:val="nil"/>
            </w:tcBorders>
            <w:shd w:val="clear" w:color="auto" w:fill="auto"/>
            <w:vAlign w:val="center"/>
          </w:tcPr>
          <w:p w14:paraId="166446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3EE7F0B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46.94</w:t>
            </w:r>
          </w:p>
        </w:tc>
        <w:tc>
          <w:tcPr>
            <w:tcW w:w="1146" w:type="dxa"/>
            <w:tcBorders>
              <w:top w:val="nil"/>
              <w:left w:val="nil"/>
              <w:bottom w:val="nil"/>
              <w:right w:val="nil"/>
            </w:tcBorders>
            <w:shd w:val="clear" w:color="auto" w:fill="auto"/>
            <w:vAlign w:val="center"/>
          </w:tcPr>
          <w:p w14:paraId="6643AE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46.58</w:t>
            </w:r>
          </w:p>
        </w:tc>
        <w:tc>
          <w:tcPr>
            <w:tcW w:w="1146" w:type="dxa"/>
            <w:tcBorders>
              <w:top w:val="nil"/>
              <w:left w:val="nil"/>
              <w:bottom w:val="nil"/>
              <w:right w:val="nil"/>
            </w:tcBorders>
            <w:shd w:val="clear" w:color="auto" w:fill="auto"/>
            <w:vAlign w:val="center"/>
          </w:tcPr>
          <w:p w14:paraId="4EFEAB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40.92</w:t>
            </w:r>
          </w:p>
        </w:tc>
        <w:tc>
          <w:tcPr>
            <w:tcW w:w="1146" w:type="dxa"/>
            <w:tcBorders>
              <w:top w:val="nil"/>
              <w:left w:val="nil"/>
              <w:bottom w:val="nil"/>
              <w:right w:val="nil"/>
            </w:tcBorders>
            <w:shd w:val="clear" w:color="auto" w:fill="auto"/>
            <w:vAlign w:val="center"/>
          </w:tcPr>
          <w:p w14:paraId="5099A7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37.34</w:t>
            </w:r>
          </w:p>
        </w:tc>
        <w:tc>
          <w:tcPr>
            <w:tcW w:w="1146" w:type="dxa"/>
            <w:tcBorders>
              <w:top w:val="nil"/>
              <w:left w:val="nil"/>
              <w:bottom w:val="nil"/>
              <w:right w:val="nil"/>
            </w:tcBorders>
            <w:shd w:val="clear" w:color="auto" w:fill="auto"/>
            <w:vAlign w:val="center"/>
          </w:tcPr>
          <w:p w14:paraId="4BD374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48.96</w:t>
            </w:r>
          </w:p>
        </w:tc>
      </w:tr>
      <w:tr w14:paraId="6AC59C87">
        <w:trPr>
          <w:trHeight w:val="0" w:hRule="atLeast"/>
          <w:jc w:val="center"/>
        </w:trPr>
        <w:tc>
          <w:tcPr>
            <w:tcW w:w="2790" w:type="dxa"/>
            <w:tcBorders>
              <w:top w:val="nil"/>
              <w:left w:val="nil"/>
              <w:bottom w:val="nil"/>
              <w:right w:val="nil"/>
            </w:tcBorders>
            <w:shd w:val="clear" w:color="auto" w:fill="auto"/>
            <w:vAlign w:val="center"/>
          </w:tcPr>
          <w:p w14:paraId="2DD986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413AD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21.3</w:t>
            </w:r>
          </w:p>
        </w:tc>
        <w:tc>
          <w:tcPr>
            <w:tcW w:w="1146" w:type="dxa"/>
            <w:tcBorders>
              <w:top w:val="nil"/>
              <w:left w:val="nil"/>
              <w:bottom w:val="nil"/>
              <w:right w:val="nil"/>
            </w:tcBorders>
            <w:shd w:val="clear" w:color="auto" w:fill="auto"/>
            <w:vAlign w:val="center"/>
          </w:tcPr>
          <w:p w14:paraId="415301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18.7</w:t>
            </w:r>
          </w:p>
        </w:tc>
        <w:tc>
          <w:tcPr>
            <w:tcW w:w="1146" w:type="dxa"/>
            <w:tcBorders>
              <w:top w:val="nil"/>
              <w:left w:val="nil"/>
              <w:bottom w:val="nil"/>
              <w:right w:val="nil"/>
            </w:tcBorders>
            <w:shd w:val="clear" w:color="auto" w:fill="auto"/>
            <w:vAlign w:val="center"/>
          </w:tcPr>
          <w:p w14:paraId="4CE8BD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16.2</w:t>
            </w:r>
          </w:p>
        </w:tc>
        <w:tc>
          <w:tcPr>
            <w:tcW w:w="1146" w:type="dxa"/>
            <w:tcBorders>
              <w:top w:val="nil"/>
              <w:left w:val="nil"/>
              <w:bottom w:val="nil"/>
              <w:right w:val="nil"/>
            </w:tcBorders>
            <w:shd w:val="clear" w:color="auto" w:fill="auto"/>
            <w:vAlign w:val="center"/>
          </w:tcPr>
          <w:p w14:paraId="36F1125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w:t>
            </w:r>
          </w:p>
        </w:tc>
        <w:tc>
          <w:tcPr>
            <w:tcW w:w="1146" w:type="dxa"/>
            <w:tcBorders>
              <w:top w:val="nil"/>
              <w:left w:val="nil"/>
              <w:bottom w:val="nil"/>
              <w:right w:val="nil"/>
            </w:tcBorders>
            <w:shd w:val="clear" w:color="auto" w:fill="auto"/>
            <w:vAlign w:val="center"/>
          </w:tcPr>
          <w:p w14:paraId="654165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r>
      <w:tr w14:paraId="223103C2">
        <w:trPr>
          <w:trHeight w:val="0" w:hRule="atLeast"/>
          <w:jc w:val="center"/>
        </w:trPr>
        <w:tc>
          <w:tcPr>
            <w:tcW w:w="2790" w:type="dxa"/>
            <w:tcBorders>
              <w:top w:val="nil"/>
              <w:left w:val="nil"/>
              <w:bottom w:val="single" w:color="auto" w:sz="12" w:space="0"/>
              <w:right w:val="nil"/>
            </w:tcBorders>
            <w:shd w:val="clear" w:color="auto" w:fill="auto"/>
            <w:vAlign w:val="center"/>
          </w:tcPr>
          <w:p w14:paraId="30A20D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64FF8A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1.138</w:t>
            </w:r>
          </w:p>
        </w:tc>
        <w:tc>
          <w:tcPr>
            <w:tcW w:w="1146" w:type="dxa"/>
            <w:tcBorders>
              <w:top w:val="nil"/>
              <w:left w:val="nil"/>
              <w:bottom w:val="single" w:color="auto" w:sz="12" w:space="0"/>
              <w:right w:val="nil"/>
            </w:tcBorders>
            <w:shd w:val="clear" w:color="auto" w:fill="auto"/>
            <w:vAlign w:val="center"/>
          </w:tcPr>
          <w:p w14:paraId="4ABD628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1.126</w:t>
            </w:r>
          </w:p>
        </w:tc>
        <w:tc>
          <w:tcPr>
            <w:tcW w:w="1146" w:type="dxa"/>
            <w:tcBorders>
              <w:top w:val="nil"/>
              <w:left w:val="nil"/>
              <w:bottom w:val="single" w:color="auto" w:sz="12" w:space="0"/>
              <w:right w:val="nil"/>
            </w:tcBorders>
            <w:shd w:val="clear" w:color="auto" w:fill="auto"/>
            <w:vAlign w:val="center"/>
          </w:tcPr>
          <w:p w14:paraId="6910C8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w:t>
            </w:r>
          </w:p>
        </w:tc>
        <w:tc>
          <w:tcPr>
            <w:tcW w:w="1146" w:type="dxa"/>
            <w:tcBorders>
              <w:top w:val="nil"/>
              <w:left w:val="nil"/>
              <w:bottom w:val="single" w:color="auto" w:sz="12" w:space="0"/>
              <w:right w:val="nil"/>
            </w:tcBorders>
            <w:shd w:val="clear" w:color="auto" w:fill="auto"/>
            <w:vAlign w:val="center"/>
          </w:tcPr>
          <w:p w14:paraId="181F9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146" w:type="dxa"/>
            <w:tcBorders>
              <w:top w:val="nil"/>
              <w:left w:val="nil"/>
              <w:bottom w:val="single" w:color="auto" w:sz="12" w:space="0"/>
              <w:right w:val="nil"/>
            </w:tcBorders>
            <w:shd w:val="clear" w:color="auto" w:fill="auto"/>
            <w:vAlign w:val="center"/>
          </w:tcPr>
          <w:p w14:paraId="7F8B9E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1.146</w:t>
            </w:r>
          </w:p>
        </w:tc>
      </w:tr>
    </w:tbl>
    <w:p w14:paraId="0BA17A3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B289D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巨人网络2020—2024年的ROE分别为11.7749%、9.9376%、7.5964%、9.2284%和11.6263%，整体维持在较高水平，并在2024年显著回升。杜邦分解显示，公司销售净利率长期处于高位，五年分别为46.94%、46.58%、40.92%、37.34%和48.96%；总资产周转率则较低，仅在</w:t>
      </w:r>
      <w:r>
        <w:rPr>
          <w:rFonts w:hint="eastAsia" w:ascii="宋体" w:hAnsi="宋体" w:eastAsia="宋体" w:cs="Times New Roman"/>
          <w:b w:val="0"/>
          <w:kern w:val="2"/>
          <w:sz w:val="24"/>
          <w:szCs w:val="24"/>
          <w:lang w:val="en-US" w:eastAsia="zh-CN" w:bidi="ar-SA"/>
        </w:rPr>
        <w:t>16.2%</w:t>
      </w:r>
      <w:r>
        <w:rPr>
          <w:rFonts w:hint="default" w:ascii="宋体" w:hAnsi="宋体" w:eastAsia="宋体" w:cs="Times New Roman"/>
          <w:b w:val="0"/>
          <w:kern w:val="2"/>
          <w:sz w:val="24"/>
          <w:szCs w:val="24"/>
          <w:lang w:val="en-US" w:eastAsia="zh-CN" w:bidi="ar-SA"/>
        </w:rPr>
        <w:t>—</w:t>
      </w:r>
      <w:r>
        <w:rPr>
          <w:rFonts w:hint="eastAsia" w:ascii="宋体" w:hAnsi="宋体" w:eastAsia="宋体" w:cs="Times New Roman"/>
          <w:b w:val="0"/>
          <w:kern w:val="2"/>
          <w:sz w:val="24"/>
          <w:szCs w:val="24"/>
          <w:lang w:val="en-US" w:eastAsia="zh-CN" w:bidi="ar-SA"/>
        </w:rPr>
        <w:t>22%</w:t>
      </w:r>
      <w:r>
        <w:rPr>
          <w:rFonts w:hint="default" w:ascii="宋体" w:hAnsi="宋体" w:eastAsia="宋体" w:cs="Times New Roman"/>
          <w:b w:val="0"/>
          <w:kern w:val="2"/>
          <w:sz w:val="24"/>
          <w:szCs w:val="24"/>
          <w:lang w:val="en-US" w:eastAsia="zh-CN" w:bidi="ar-SA"/>
        </w:rPr>
        <w:t>之间波动；权益乘数始终稳定在1.11—1.15之间。这说明，巨人网络的高ROE并非依赖高杠杆或高周转，而主要依赖极强的利润率水平。</w:t>
      </w:r>
    </w:p>
    <w:p w14:paraId="2F6F5AC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这一点与其主业属性高度一致。巨人网络的AI应用主要体现在AI原生玩法、智能NPC、游戏AI大模型、AI美术生产平台和智能音频管理系统等方面，AI并非独立对外销售，而是深度嵌入游戏研发和运营流程。游戏业务本身属于高毛利行业，产品一旦形成成熟内容和付费生态，边际成本相对较低；AI进一步提升了美术生产、内容迭代、玩家运营和系统优化效率，从而强化原有主业盈利能力，而不是另起一条AI收入线。因此，巨人网络高ROE的根本来源不是AI独立变现，而是高利润主业</w:t>
      </w:r>
      <w:r>
        <w:rPr>
          <w:rFonts w:hint="eastAsia" w:ascii="宋体" w:hAnsi="宋体" w:eastAsia="宋体" w:cs="Times New Roman"/>
          <w:b w:val="0"/>
          <w:kern w:val="2"/>
          <w:sz w:val="24"/>
          <w:szCs w:val="24"/>
          <w:lang w:val="en-US" w:eastAsia="zh-CN" w:bidi="ar-SA"/>
        </w:rPr>
        <w:t>和</w:t>
      </w:r>
      <w:r>
        <w:rPr>
          <w:rFonts w:hint="default" w:ascii="宋体" w:hAnsi="宋体" w:eastAsia="宋体" w:cs="Times New Roman"/>
          <w:b w:val="0"/>
          <w:kern w:val="2"/>
          <w:sz w:val="24"/>
          <w:szCs w:val="24"/>
          <w:lang w:val="en-US" w:eastAsia="zh-CN" w:bidi="ar-SA"/>
        </w:rPr>
        <w:t>AI提效</w:t>
      </w:r>
      <w:r>
        <w:rPr>
          <w:rFonts w:hint="eastAsia" w:ascii="宋体" w:hAnsi="宋体" w:eastAsia="宋体" w:cs="Times New Roman"/>
          <w:b w:val="0"/>
          <w:kern w:val="2"/>
          <w:sz w:val="24"/>
          <w:szCs w:val="24"/>
          <w:lang w:val="en-US" w:eastAsia="zh-CN" w:bidi="ar-SA"/>
        </w:rPr>
        <w:t>并行</w:t>
      </w:r>
      <w:r>
        <w:rPr>
          <w:rFonts w:hint="default" w:ascii="宋体" w:hAnsi="宋体" w:eastAsia="宋体" w:cs="Times New Roman"/>
          <w:b w:val="0"/>
          <w:kern w:val="2"/>
          <w:sz w:val="24"/>
          <w:szCs w:val="24"/>
          <w:lang w:val="en-US" w:eastAsia="zh-CN" w:bidi="ar-SA"/>
        </w:rPr>
        <w:t>。这类企业的结论是</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当AI赋能对象本身就具有较强盈利能力时，AI可以显著提高股东回报。</w:t>
      </w:r>
    </w:p>
    <w:p w14:paraId="058D1A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（2）世纪天鸿</w:t>
      </w:r>
    </w:p>
    <w:p w14:paraId="5A16431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表5-38 世纪天鸿杜邦指标拆解表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79A9F328">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338887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49CBF3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5B9307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3E34C3E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2297D1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345BB6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5B53B67B">
        <w:trPr>
          <w:trHeight w:val="0" w:hRule="atLeast"/>
          <w:jc w:val="center"/>
        </w:trPr>
        <w:tc>
          <w:tcPr>
            <w:tcW w:w="2790" w:type="dxa"/>
            <w:tcBorders>
              <w:top w:val="single" w:color="auto" w:sz="4" w:space="0"/>
              <w:left w:val="nil"/>
              <w:bottom w:val="nil"/>
              <w:right w:val="nil"/>
            </w:tcBorders>
            <w:shd w:val="clear" w:color="auto" w:fill="auto"/>
            <w:vAlign w:val="center"/>
          </w:tcPr>
          <w:p w14:paraId="0CBFC5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2FEDBD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6.90</w:t>
            </w:r>
          </w:p>
        </w:tc>
        <w:tc>
          <w:tcPr>
            <w:tcW w:w="1146" w:type="dxa"/>
            <w:tcBorders>
              <w:top w:val="single" w:color="auto" w:sz="4" w:space="0"/>
              <w:left w:val="nil"/>
              <w:bottom w:val="nil"/>
              <w:right w:val="nil"/>
            </w:tcBorders>
            <w:shd w:val="clear" w:color="auto" w:fill="auto"/>
            <w:vAlign w:val="bottom"/>
          </w:tcPr>
          <w:p w14:paraId="57B76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6.89</w:t>
            </w:r>
          </w:p>
        </w:tc>
        <w:tc>
          <w:tcPr>
            <w:tcW w:w="1146" w:type="dxa"/>
            <w:tcBorders>
              <w:top w:val="single" w:color="auto" w:sz="4" w:space="0"/>
              <w:left w:val="nil"/>
              <w:bottom w:val="nil"/>
              <w:right w:val="nil"/>
            </w:tcBorders>
            <w:shd w:val="clear" w:color="auto" w:fill="auto"/>
            <w:vAlign w:val="bottom"/>
          </w:tcPr>
          <w:p w14:paraId="203302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5.52</w:t>
            </w:r>
          </w:p>
        </w:tc>
        <w:tc>
          <w:tcPr>
            <w:tcW w:w="1146" w:type="dxa"/>
            <w:tcBorders>
              <w:top w:val="single" w:color="auto" w:sz="4" w:space="0"/>
              <w:left w:val="nil"/>
              <w:bottom w:val="nil"/>
              <w:right w:val="nil"/>
            </w:tcBorders>
            <w:shd w:val="clear" w:color="auto" w:fill="auto"/>
            <w:vAlign w:val="bottom"/>
          </w:tcPr>
          <w:p w14:paraId="62F544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5.30</w:t>
            </w:r>
          </w:p>
        </w:tc>
        <w:tc>
          <w:tcPr>
            <w:tcW w:w="1146" w:type="dxa"/>
            <w:tcBorders>
              <w:top w:val="single" w:color="auto" w:sz="4" w:space="0"/>
              <w:left w:val="nil"/>
              <w:bottom w:val="nil"/>
              <w:right w:val="nil"/>
            </w:tcBorders>
            <w:shd w:val="clear" w:color="auto" w:fill="auto"/>
            <w:vAlign w:val="bottom"/>
          </w:tcPr>
          <w:p w14:paraId="7A37FF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5.15</w:t>
            </w:r>
          </w:p>
        </w:tc>
      </w:tr>
      <w:tr w14:paraId="6E869171">
        <w:trPr>
          <w:trHeight w:val="0" w:hRule="atLeast"/>
          <w:jc w:val="center"/>
        </w:trPr>
        <w:tc>
          <w:tcPr>
            <w:tcW w:w="2790" w:type="dxa"/>
            <w:tcBorders>
              <w:top w:val="nil"/>
              <w:left w:val="nil"/>
              <w:bottom w:val="nil"/>
              <w:right w:val="nil"/>
            </w:tcBorders>
            <w:shd w:val="clear" w:color="auto" w:fill="auto"/>
            <w:vAlign w:val="center"/>
          </w:tcPr>
          <w:p w14:paraId="4FFDA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B283B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9.32</w:t>
            </w:r>
          </w:p>
        </w:tc>
        <w:tc>
          <w:tcPr>
            <w:tcW w:w="1146" w:type="dxa"/>
            <w:tcBorders>
              <w:top w:val="nil"/>
              <w:left w:val="nil"/>
              <w:bottom w:val="nil"/>
              <w:right w:val="nil"/>
            </w:tcBorders>
            <w:shd w:val="clear" w:color="auto" w:fill="auto"/>
            <w:vAlign w:val="center"/>
          </w:tcPr>
          <w:p w14:paraId="10C2A1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8.66</w:t>
            </w:r>
          </w:p>
        </w:tc>
        <w:tc>
          <w:tcPr>
            <w:tcW w:w="1146" w:type="dxa"/>
            <w:tcBorders>
              <w:top w:val="nil"/>
              <w:left w:val="nil"/>
              <w:bottom w:val="nil"/>
              <w:right w:val="nil"/>
            </w:tcBorders>
            <w:shd w:val="clear" w:color="auto" w:fill="auto"/>
            <w:vAlign w:val="center"/>
          </w:tcPr>
          <w:p w14:paraId="2E383A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8.47</w:t>
            </w:r>
          </w:p>
        </w:tc>
        <w:tc>
          <w:tcPr>
            <w:tcW w:w="1146" w:type="dxa"/>
            <w:tcBorders>
              <w:top w:val="nil"/>
              <w:left w:val="nil"/>
              <w:bottom w:val="nil"/>
              <w:right w:val="nil"/>
            </w:tcBorders>
            <w:shd w:val="clear" w:color="auto" w:fill="auto"/>
            <w:vAlign w:val="center"/>
          </w:tcPr>
          <w:p w14:paraId="4372A8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8.55</w:t>
            </w:r>
          </w:p>
        </w:tc>
        <w:tc>
          <w:tcPr>
            <w:tcW w:w="1146" w:type="dxa"/>
            <w:tcBorders>
              <w:top w:val="nil"/>
              <w:left w:val="nil"/>
              <w:bottom w:val="nil"/>
              <w:right w:val="nil"/>
            </w:tcBorders>
            <w:shd w:val="clear" w:color="auto" w:fill="auto"/>
            <w:vAlign w:val="center"/>
          </w:tcPr>
          <w:p w14:paraId="0CF3FB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8.38</w:t>
            </w:r>
          </w:p>
        </w:tc>
      </w:tr>
      <w:tr w14:paraId="55D000F8">
        <w:trPr>
          <w:trHeight w:val="0" w:hRule="atLeast"/>
          <w:jc w:val="center"/>
        </w:trPr>
        <w:tc>
          <w:tcPr>
            <w:tcW w:w="2790" w:type="dxa"/>
            <w:tcBorders>
              <w:top w:val="nil"/>
              <w:left w:val="nil"/>
              <w:bottom w:val="nil"/>
              <w:right w:val="nil"/>
            </w:tcBorders>
            <w:shd w:val="clear" w:color="auto" w:fill="auto"/>
            <w:vAlign w:val="center"/>
          </w:tcPr>
          <w:p w14:paraId="594AFBB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26B35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w:t>
            </w:r>
          </w:p>
        </w:tc>
        <w:tc>
          <w:tcPr>
            <w:tcW w:w="1146" w:type="dxa"/>
            <w:tcBorders>
              <w:top w:val="nil"/>
              <w:left w:val="nil"/>
              <w:bottom w:val="nil"/>
              <w:right w:val="nil"/>
            </w:tcBorders>
            <w:shd w:val="clear" w:color="auto" w:fill="auto"/>
            <w:vAlign w:val="center"/>
          </w:tcPr>
          <w:p w14:paraId="0ADF919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54.3</w:t>
            </w:r>
          </w:p>
        </w:tc>
        <w:tc>
          <w:tcPr>
            <w:tcW w:w="1146" w:type="dxa"/>
            <w:tcBorders>
              <w:top w:val="nil"/>
              <w:left w:val="nil"/>
              <w:bottom w:val="nil"/>
              <w:right w:val="nil"/>
            </w:tcBorders>
            <w:shd w:val="clear" w:color="auto" w:fill="auto"/>
            <w:vAlign w:val="center"/>
          </w:tcPr>
          <w:p w14:paraId="649AF6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47.6</w:t>
            </w:r>
          </w:p>
        </w:tc>
        <w:tc>
          <w:tcPr>
            <w:tcW w:w="1146" w:type="dxa"/>
            <w:tcBorders>
              <w:top w:val="nil"/>
              <w:left w:val="nil"/>
              <w:bottom w:val="nil"/>
              <w:right w:val="nil"/>
            </w:tcBorders>
            <w:shd w:val="clear" w:color="auto" w:fill="auto"/>
            <w:vAlign w:val="center"/>
          </w:tcPr>
          <w:p w14:paraId="52B157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w:t>
            </w:r>
          </w:p>
        </w:tc>
        <w:tc>
          <w:tcPr>
            <w:tcW w:w="1146" w:type="dxa"/>
            <w:tcBorders>
              <w:top w:val="nil"/>
              <w:left w:val="nil"/>
              <w:bottom w:val="nil"/>
              <w:right w:val="nil"/>
            </w:tcBorders>
            <w:shd w:val="clear" w:color="auto" w:fill="auto"/>
            <w:vAlign w:val="center"/>
          </w:tcPr>
          <w:p w14:paraId="745DE80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47.2</w:t>
            </w:r>
          </w:p>
        </w:tc>
      </w:tr>
      <w:tr w14:paraId="37364AE9">
        <w:trPr>
          <w:trHeight w:val="0" w:hRule="atLeast"/>
          <w:jc w:val="center"/>
        </w:trPr>
        <w:tc>
          <w:tcPr>
            <w:tcW w:w="2790" w:type="dxa"/>
            <w:tcBorders>
              <w:top w:val="nil"/>
              <w:left w:val="nil"/>
              <w:bottom w:val="single" w:color="auto" w:sz="12" w:space="0"/>
              <w:right w:val="nil"/>
            </w:tcBorders>
            <w:shd w:val="clear" w:color="auto" w:fill="auto"/>
            <w:vAlign w:val="center"/>
          </w:tcPr>
          <w:p w14:paraId="180D9BC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0F1D8B8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1.476</w:t>
            </w:r>
          </w:p>
        </w:tc>
        <w:tc>
          <w:tcPr>
            <w:tcW w:w="1146" w:type="dxa"/>
            <w:tcBorders>
              <w:top w:val="nil"/>
              <w:left w:val="nil"/>
              <w:bottom w:val="single" w:color="auto" w:sz="12" w:space="0"/>
              <w:right w:val="nil"/>
            </w:tcBorders>
            <w:shd w:val="clear" w:color="auto" w:fill="auto"/>
            <w:vAlign w:val="center"/>
          </w:tcPr>
          <w:p w14:paraId="38CD65F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1.481</w:t>
            </w:r>
          </w:p>
        </w:tc>
        <w:tc>
          <w:tcPr>
            <w:tcW w:w="1146" w:type="dxa"/>
            <w:tcBorders>
              <w:top w:val="nil"/>
              <w:left w:val="nil"/>
              <w:bottom w:val="single" w:color="auto" w:sz="12" w:space="0"/>
              <w:right w:val="nil"/>
            </w:tcBorders>
            <w:shd w:val="clear" w:color="auto" w:fill="auto"/>
            <w:vAlign w:val="center"/>
          </w:tcPr>
          <w:p w14:paraId="743792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1.318</w:t>
            </w:r>
          </w:p>
        </w:tc>
        <w:tc>
          <w:tcPr>
            <w:tcW w:w="1146" w:type="dxa"/>
            <w:tcBorders>
              <w:top w:val="nil"/>
              <w:left w:val="nil"/>
              <w:bottom w:val="single" w:color="auto" w:sz="12" w:space="0"/>
              <w:right w:val="nil"/>
            </w:tcBorders>
            <w:shd w:val="clear" w:color="auto" w:fill="auto"/>
            <w:vAlign w:val="center"/>
          </w:tcPr>
          <w:p w14:paraId="3C670EB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1.344</w:t>
            </w:r>
          </w:p>
        </w:tc>
        <w:tc>
          <w:tcPr>
            <w:tcW w:w="1146" w:type="dxa"/>
            <w:tcBorders>
              <w:top w:val="nil"/>
              <w:left w:val="nil"/>
              <w:bottom w:val="single" w:color="auto" w:sz="12" w:space="0"/>
              <w:right w:val="nil"/>
            </w:tcBorders>
            <w:shd w:val="clear" w:color="auto" w:fill="auto"/>
            <w:vAlign w:val="center"/>
          </w:tcPr>
          <w:p w14:paraId="482FB0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w:t>
            </w:r>
          </w:p>
        </w:tc>
      </w:tr>
    </w:tbl>
    <w:p w14:paraId="76D7186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F937B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世纪天鸿2020—2024年的ROE分别为6.9035%、6.8890%、5.5220%、5.2976%和5.1451%，整体保持在5%—7%区间，波动较小。其销售净利率稳定在8.38%—9.32%之间，总资产周转率在46.9%—54.3%之间，权益乘数在1.31—1.48之间，三项指标均未出现剧烈变化。这说明，世纪天鸿ROE的主要特征不是某一指标特别突出，而是利润率、周转率和杠杆率都相对稳定，因此整体资本回报也表现为平稳。</w:t>
      </w:r>
    </w:p>
    <w:p w14:paraId="1341EB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结合业务模式看，世纪天鸿属于典型的传统主业稳定,AI业务缓慢推进的企业。其主营业务仍是教辅图书策划、设计、制作与发行，AI应用则主要体现在小鸿助教、AI备课、课件生成、作文批改和笔神作文等教育工具上。教育数字化产品通常需要较长的试点、采购和区域推广周期，因此AI产品上线速度往往快于利润形成速度。教育部关于智慧教育发展的表述同样显示，AI教育应用的推广是渐进式过程，需要在资源、场景与教学体系之间持续磨合</w:t>
      </w:r>
      <w:r>
        <w:rPr>
          <w:rFonts w:hint="default" w:ascii="宋体" w:hAnsi="宋体" w:eastAsia="宋体" w:cs="Times New Roman"/>
          <w:b w:val="0"/>
          <w:kern w:val="2"/>
          <w:sz w:val="24"/>
          <w:szCs w:val="24"/>
          <w:vertAlign w:val="superscript"/>
          <w:lang w:val="en-US" w:eastAsia="zh-CN" w:bidi="ar-SA"/>
        </w:rPr>
        <w:t>[48]</w:t>
      </w:r>
      <w:r>
        <w:rPr>
          <w:rFonts w:hint="default" w:ascii="宋体" w:hAnsi="宋体" w:eastAsia="宋体" w:cs="Times New Roman"/>
          <w:b w:val="0"/>
          <w:kern w:val="2"/>
          <w:sz w:val="24"/>
          <w:szCs w:val="24"/>
          <w:lang w:val="en-US" w:eastAsia="zh-CN" w:bidi="ar-SA"/>
        </w:rPr>
        <w:t>。由此，世纪天鸿ROE长期稳定但缺乏明显提升，更多说明其传统业务仍是利润基本盘，而AI教育业务尚未形成足以显著抬升股东回报的新增长曲线。</w:t>
      </w:r>
    </w:p>
    <w:p w14:paraId="48EAE67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（3）思美传媒</w:t>
      </w:r>
    </w:p>
    <w:p w14:paraId="0458AD7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表5-39 思美传媒杜邦指标拆解表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88"/>
        <w:gridCol w:w="1261"/>
        <w:gridCol w:w="1101"/>
        <w:gridCol w:w="1261"/>
        <w:gridCol w:w="1103"/>
        <w:gridCol w:w="1103"/>
      </w:tblGrid>
      <w:tr w14:paraId="7BD6A835">
        <w:trPr>
          <w:trHeight w:val="0" w:hRule="atLeast"/>
          <w:tblHeader/>
          <w:jc w:val="center"/>
        </w:trPr>
        <w:tc>
          <w:tcPr>
            <w:tcW w:w="2688" w:type="dxa"/>
            <w:tcBorders>
              <w:top w:val="single" w:color="auto" w:sz="12" w:space="0"/>
              <w:left w:val="nil"/>
              <w:bottom w:val="single" w:color="auto" w:sz="4" w:space="0"/>
              <w:right w:val="nil"/>
            </w:tcBorders>
            <w:shd w:val="clear" w:color="auto" w:fill="auto"/>
            <w:vAlign w:val="center"/>
          </w:tcPr>
          <w:p w14:paraId="268FEB9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261" w:type="dxa"/>
            <w:tcBorders>
              <w:top w:val="single" w:color="auto" w:sz="12" w:space="0"/>
              <w:left w:val="nil"/>
              <w:bottom w:val="single" w:color="auto" w:sz="4" w:space="0"/>
              <w:right w:val="nil"/>
            </w:tcBorders>
            <w:shd w:val="clear" w:color="auto" w:fill="auto"/>
            <w:vAlign w:val="center"/>
          </w:tcPr>
          <w:p w14:paraId="6FA54B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01" w:type="dxa"/>
            <w:tcBorders>
              <w:top w:val="single" w:color="auto" w:sz="12" w:space="0"/>
              <w:left w:val="nil"/>
              <w:bottom w:val="single" w:color="auto" w:sz="4" w:space="0"/>
              <w:right w:val="nil"/>
            </w:tcBorders>
            <w:shd w:val="clear" w:color="auto" w:fill="auto"/>
            <w:vAlign w:val="center"/>
          </w:tcPr>
          <w:p w14:paraId="7D61690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261" w:type="dxa"/>
            <w:tcBorders>
              <w:top w:val="single" w:color="auto" w:sz="12" w:space="0"/>
              <w:left w:val="nil"/>
              <w:bottom w:val="single" w:color="auto" w:sz="4" w:space="0"/>
              <w:right w:val="nil"/>
            </w:tcBorders>
            <w:shd w:val="clear" w:color="auto" w:fill="auto"/>
            <w:vAlign w:val="center"/>
          </w:tcPr>
          <w:p w14:paraId="3D4471E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03" w:type="dxa"/>
            <w:tcBorders>
              <w:top w:val="single" w:color="auto" w:sz="12" w:space="0"/>
              <w:left w:val="nil"/>
              <w:bottom w:val="single" w:color="auto" w:sz="4" w:space="0"/>
              <w:right w:val="nil"/>
            </w:tcBorders>
            <w:shd w:val="clear" w:color="auto" w:fill="auto"/>
            <w:vAlign w:val="center"/>
          </w:tcPr>
          <w:p w14:paraId="05C609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03" w:type="dxa"/>
            <w:tcBorders>
              <w:top w:val="single" w:color="auto" w:sz="12" w:space="0"/>
              <w:left w:val="nil"/>
              <w:bottom w:val="single" w:color="auto" w:sz="4" w:space="0"/>
              <w:right w:val="nil"/>
            </w:tcBorders>
            <w:shd w:val="clear" w:color="auto" w:fill="auto"/>
            <w:vAlign w:val="center"/>
          </w:tcPr>
          <w:p w14:paraId="1CCA91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2833C8F4">
        <w:trPr>
          <w:trHeight w:val="0" w:hRule="atLeast"/>
          <w:jc w:val="center"/>
        </w:trPr>
        <w:tc>
          <w:tcPr>
            <w:tcW w:w="2688" w:type="dxa"/>
            <w:tcBorders>
              <w:top w:val="single" w:color="auto" w:sz="4" w:space="0"/>
              <w:left w:val="nil"/>
              <w:bottom w:val="nil"/>
              <w:right w:val="nil"/>
            </w:tcBorders>
            <w:shd w:val="clear" w:color="auto" w:fill="auto"/>
            <w:vAlign w:val="center"/>
          </w:tcPr>
          <w:p w14:paraId="3141A8C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261" w:type="dxa"/>
            <w:tcBorders>
              <w:top w:val="single" w:color="auto" w:sz="4" w:space="0"/>
              <w:left w:val="nil"/>
              <w:bottom w:val="nil"/>
              <w:right w:val="nil"/>
            </w:tcBorders>
            <w:shd w:val="clear" w:color="auto" w:fill="auto"/>
            <w:vAlign w:val="bottom"/>
          </w:tcPr>
          <w:p w14:paraId="02EB80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-45.65%</w:t>
            </w:r>
          </w:p>
        </w:tc>
        <w:tc>
          <w:tcPr>
            <w:tcW w:w="1101" w:type="dxa"/>
            <w:tcBorders>
              <w:top w:val="single" w:color="auto" w:sz="4" w:space="0"/>
              <w:left w:val="nil"/>
              <w:bottom w:val="nil"/>
              <w:right w:val="nil"/>
            </w:tcBorders>
            <w:shd w:val="clear" w:color="auto" w:fill="auto"/>
            <w:vAlign w:val="bottom"/>
          </w:tcPr>
          <w:p w14:paraId="2387F23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3.03%</w:t>
            </w:r>
          </w:p>
        </w:tc>
        <w:tc>
          <w:tcPr>
            <w:tcW w:w="1261" w:type="dxa"/>
            <w:tcBorders>
              <w:top w:val="single" w:color="auto" w:sz="4" w:space="0"/>
              <w:left w:val="nil"/>
              <w:bottom w:val="nil"/>
              <w:right w:val="nil"/>
            </w:tcBorders>
            <w:shd w:val="clear" w:color="auto" w:fill="auto"/>
            <w:vAlign w:val="bottom"/>
          </w:tcPr>
          <w:p w14:paraId="4F03C7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-23.19%</w:t>
            </w:r>
          </w:p>
        </w:tc>
        <w:tc>
          <w:tcPr>
            <w:tcW w:w="1103" w:type="dxa"/>
            <w:tcBorders>
              <w:top w:val="single" w:color="auto" w:sz="4" w:space="0"/>
              <w:left w:val="nil"/>
              <w:bottom w:val="nil"/>
              <w:right w:val="nil"/>
            </w:tcBorders>
            <w:shd w:val="clear" w:color="auto" w:fill="auto"/>
            <w:vAlign w:val="bottom"/>
          </w:tcPr>
          <w:p w14:paraId="651931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-9.03%</w:t>
            </w:r>
          </w:p>
        </w:tc>
        <w:tc>
          <w:tcPr>
            <w:tcW w:w="1103" w:type="dxa"/>
            <w:tcBorders>
              <w:top w:val="single" w:color="auto" w:sz="4" w:space="0"/>
              <w:left w:val="nil"/>
              <w:bottom w:val="nil"/>
              <w:right w:val="nil"/>
            </w:tcBorders>
            <w:shd w:val="clear" w:color="auto" w:fill="auto"/>
            <w:vAlign w:val="bottom"/>
          </w:tcPr>
          <w:p w14:paraId="1EB929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-2.44%</w:t>
            </w:r>
          </w:p>
        </w:tc>
      </w:tr>
      <w:tr w14:paraId="1D58EC19">
        <w:trPr>
          <w:trHeight w:val="0" w:hRule="atLeast"/>
          <w:jc w:val="center"/>
        </w:trPr>
        <w:tc>
          <w:tcPr>
            <w:tcW w:w="2688" w:type="dxa"/>
            <w:tcBorders>
              <w:top w:val="nil"/>
              <w:left w:val="nil"/>
              <w:bottom w:val="nil"/>
              <w:right w:val="nil"/>
            </w:tcBorders>
            <w:shd w:val="clear" w:color="auto" w:fill="auto"/>
            <w:vAlign w:val="center"/>
          </w:tcPr>
          <w:p w14:paraId="60C06B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261" w:type="dxa"/>
            <w:tcBorders>
              <w:top w:val="nil"/>
              <w:left w:val="nil"/>
              <w:bottom w:val="nil"/>
              <w:right w:val="nil"/>
            </w:tcBorders>
            <w:shd w:val="clear" w:color="auto" w:fill="auto"/>
            <w:vAlign w:val="center"/>
          </w:tcPr>
          <w:p w14:paraId="5C9853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-28.95</w:t>
            </w:r>
          </w:p>
        </w:tc>
        <w:tc>
          <w:tcPr>
            <w:tcW w:w="1101" w:type="dxa"/>
            <w:tcBorders>
              <w:top w:val="nil"/>
              <w:left w:val="nil"/>
              <w:bottom w:val="nil"/>
              <w:right w:val="nil"/>
            </w:tcBorders>
            <w:shd w:val="clear" w:color="auto" w:fill="auto"/>
            <w:vAlign w:val="center"/>
          </w:tcPr>
          <w:p w14:paraId="565C0F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1.45</w:t>
            </w:r>
          </w:p>
        </w:tc>
        <w:tc>
          <w:tcPr>
            <w:tcW w:w="1261" w:type="dxa"/>
            <w:tcBorders>
              <w:top w:val="nil"/>
              <w:left w:val="nil"/>
              <w:bottom w:val="nil"/>
              <w:right w:val="nil"/>
            </w:tcBorders>
            <w:shd w:val="clear" w:color="auto" w:fill="auto"/>
            <w:vAlign w:val="center"/>
          </w:tcPr>
          <w:p w14:paraId="1347CDA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-9.72</w:t>
            </w:r>
          </w:p>
        </w:tc>
        <w:tc>
          <w:tcPr>
            <w:tcW w:w="1103" w:type="dxa"/>
            <w:tcBorders>
              <w:top w:val="nil"/>
              <w:left w:val="nil"/>
              <w:bottom w:val="nil"/>
              <w:right w:val="nil"/>
            </w:tcBorders>
            <w:shd w:val="clear" w:color="auto" w:fill="auto"/>
            <w:vAlign w:val="center"/>
          </w:tcPr>
          <w:p w14:paraId="0C8FED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-2.37</w:t>
            </w:r>
          </w:p>
        </w:tc>
        <w:tc>
          <w:tcPr>
            <w:tcW w:w="1103" w:type="dxa"/>
            <w:tcBorders>
              <w:top w:val="nil"/>
              <w:left w:val="nil"/>
              <w:bottom w:val="nil"/>
              <w:right w:val="nil"/>
            </w:tcBorders>
            <w:shd w:val="clear" w:color="auto" w:fill="auto"/>
            <w:vAlign w:val="center"/>
          </w:tcPr>
          <w:p w14:paraId="723458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-0.58</w:t>
            </w:r>
          </w:p>
        </w:tc>
      </w:tr>
      <w:tr w14:paraId="322D3907">
        <w:trPr>
          <w:trHeight w:val="0" w:hRule="atLeast"/>
          <w:jc w:val="center"/>
        </w:trPr>
        <w:tc>
          <w:tcPr>
            <w:tcW w:w="2688" w:type="dxa"/>
            <w:tcBorders>
              <w:top w:val="nil"/>
              <w:left w:val="nil"/>
              <w:bottom w:val="nil"/>
              <w:right w:val="nil"/>
            </w:tcBorders>
            <w:shd w:val="clear" w:color="auto" w:fill="auto"/>
            <w:vAlign w:val="center"/>
          </w:tcPr>
          <w:p w14:paraId="659091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261" w:type="dxa"/>
            <w:tcBorders>
              <w:top w:val="nil"/>
              <w:left w:val="nil"/>
              <w:bottom w:val="nil"/>
              <w:right w:val="nil"/>
            </w:tcBorders>
            <w:shd w:val="clear" w:color="auto" w:fill="auto"/>
            <w:vAlign w:val="center"/>
          </w:tcPr>
          <w:p w14:paraId="44D2CE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w:t>
            </w:r>
          </w:p>
        </w:tc>
        <w:tc>
          <w:tcPr>
            <w:tcW w:w="1101" w:type="dxa"/>
            <w:tcBorders>
              <w:top w:val="nil"/>
              <w:left w:val="nil"/>
              <w:bottom w:val="nil"/>
              <w:right w:val="nil"/>
            </w:tcBorders>
            <w:shd w:val="clear" w:color="auto" w:fill="auto"/>
            <w:vAlign w:val="center"/>
          </w:tcPr>
          <w:p w14:paraId="4CA1821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156.2</w:t>
            </w:r>
          </w:p>
        </w:tc>
        <w:tc>
          <w:tcPr>
            <w:tcW w:w="1261" w:type="dxa"/>
            <w:tcBorders>
              <w:top w:val="nil"/>
              <w:left w:val="nil"/>
              <w:bottom w:val="nil"/>
              <w:right w:val="nil"/>
            </w:tcBorders>
            <w:shd w:val="clear" w:color="auto" w:fill="auto"/>
            <w:vAlign w:val="center"/>
          </w:tcPr>
          <w:p w14:paraId="6A4E80C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155.8</w:t>
            </w:r>
          </w:p>
        </w:tc>
        <w:tc>
          <w:tcPr>
            <w:tcW w:w="1103" w:type="dxa"/>
            <w:tcBorders>
              <w:top w:val="nil"/>
              <w:left w:val="nil"/>
              <w:bottom w:val="nil"/>
              <w:right w:val="nil"/>
            </w:tcBorders>
            <w:shd w:val="clear" w:color="auto" w:fill="auto"/>
            <w:vAlign w:val="center"/>
          </w:tcPr>
          <w:p w14:paraId="1C208D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225.9</w:t>
            </w:r>
          </w:p>
        </w:tc>
        <w:tc>
          <w:tcPr>
            <w:tcW w:w="1103" w:type="dxa"/>
            <w:tcBorders>
              <w:top w:val="nil"/>
              <w:left w:val="nil"/>
              <w:bottom w:val="nil"/>
              <w:right w:val="nil"/>
            </w:tcBorders>
            <w:shd w:val="clear" w:color="auto" w:fill="auto"/>
            <w:vAlign w:val="center"/>
          </w:tcPr>
          <w:p w14:paraId="28D3B9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230.1</w:t>
            </w:r>
          </w:p>
        </w:tc>
      </w:tr>
      <w:tr w14:paraId="1F34E219">
        <w:trPr>
          <w:trHeight w:val="0" w:hRule="atLeast"/>
          <w:jc w:val="center"/>
        </w:trPr>
        <w:tc>
          <w:tcPr>
            <w:tcW w:w="2688" w:type="dxa"/>
            <w:tcBorders>
              <w:top w:val="nil"/>
              <w:left w:val="nil"/>
              <w:bottom w:val="single" w:color="auto" w:sz="12" w:space="0"/>
              <w:right w:val="nil"/>
            </w:tcBorders>
            <w:shd w:val="clear" w:color="auto" w:fill="auto"/>
            <w:vAlign w:val="center"/>
          </w:tcPr>
          <w:p w14:paraId="2CF86B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261" w:type="dxa"/>
            <w:tcBorders>
              <w:top w:val="nil"/>
              <w:left w:val="nil"/>
              <w:bottom w:val="single" w:color="auto" w:sz="12" w:space="0"/>
              <w:right w:val="nil"/>
            </w:tcBorders>
            <w:shd w:val="clear" w:color="auto" w:fill="auto"/>
            <w:vAlign w:val="center"/>
          </w:tcPr>
          <w:p w14:paraId="311B758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1.373</w:t>
            </w:r>
          </w:p>
        </w:tc>
        <w:tc>
          <w:tcPr>
            <w:tcW w:w="1101" w:type="dxa"/>
            <w:tcBorders>
              <w:top w:val="nil"/>
              <w:left w:val="nil"/>
              <w:bottom w:val="single" w:color="auto" w:sz="12" w:space="0"/>
              <w:right w:val="nil"/>
            </w:tcBorders>
            <w:shd w:val="clear" w:color="auto" w:fill="auto"/>
            <w:vAlign w:val="center"/>
          </w:tcPr>
          <w:p w14:paraId="281858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w:t>
            </w:r>
          </w:p>
        </w:tc>
        <w:tc>
          <w:tcPr>
            <w:tcW w:w="1261" w:type="dxa"/>
            <w:tcBorders>
              <w:top w:val="nil"/>
              <w:left w:val="nil"/>
              <w:bottom w:val="single" w:color="auto" w:sz="12" w:space="0"/>
              <w:right w:val="nil"/>
            </w:tcBorders>
            <w:shd w:val="clear" w:color="auto" w:fill="auto"/>
            <w:vAlign w:val="center"/>
          </w:tcPr>
          <w:p w14:paraId="3E2CC9F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1.511</w:t>
            </w:r>
          </w:p>
        </w:tc>
        <w:tc>
          <w:tcPr>
            <w:tcW w:w="1103" w:type="dxa"/>
            <w:tcBorders>
              <w:top w:val="nil"/>
              <w:left w:val="nil"/>
              <w:bottom w:val="single" w:color="auto" w:sz="12" w:space="0"/>
              <w:right w:val="nil"/>
            </w:tcBorders>
            <w:shd w:val="clear" w:color="auto" w:fill="auto"/>
            <w:vAlign w:val="center"/>
          </w:tcPr>
          <w:p w14:paraId="4FDFB1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1.704</w:t>
            </w:r>
          </w:p>
        </w:tc>
        <w:tc>
          <w:tcPr>
            <w:tcW w:w="1103" w:type="dxa"/>
            <w:tcBorders>
              <w:top w:val="nil"/>
              <w:left w:val="nil"/>
              <w:bottom w:val="single" w:color="auto" w:sz="12" w:space="0"/>
              <w:right w:val="nil"/>
            </w:tcBorders>
            <w:shd w:val="clear" w:color="auto" w:fill="auto"/>
            <w:vAlign w:val="center"/>
          </w:tcPr>
          <w:p w14:paraId="06ABC4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2.013</w:t>
            </w:r>
          </w:p>
        </w:tc>
      </w:tr>
    </w:tbl>
    <w:p w14:paraId="70901A4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DC2C501">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思美传媒2020—2024年的ROE分别为-45.6474%、3.0264%、-23.1942%、-9.0312%和-2.4414%，波动剧烈且多数年份为负。杜邦分解结果显示，公司总资产周转率反而处于六家样本中的高位；权益乘数则由1.3731升至2.013，杠杆水平呈上升趋势；真正导致ROE长期偏弱的核心变量，是销售净利率持续为低值甚至负值，五年分别为-28.95%、1.45%、-9.72%、-2.37%和-0.58%。换言之，思美传媒并不是做不出收入，也不是资产运转不起来，而是收入转不成利润，且杠杆上升反而放大了这一负面效应。</w:t>
      </w:r>
    </w:p>
    <w:p w14:paraId="58E1453D">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业务属性看，思美传媒的AI应用主要集中在AI创意广告生成、智能投放和AIGC内容生产等方向，本质上仍然服务于整合营销传播链条。QuestMobile关于营销市场的研究指出，当前内容营销和精准投放持续强化，但营销行业竞争也在同步加剧，AI被广泛用于内容创作和投放优化，效率提升正在成为行业共识。在这样的行业环境中，AI更容易成为行业通用效率工具，而不是独立形成高溢价的差异化产品。对思美传媒而言，这意味着即使AI提升了内容生成和投放效率，企业仍然难以明显提升服务定价能力。再加上公司业务链条较长、板块较多，内部协调成本和管理成本较高，最终形成了高周转、低利润、杠杆放大亏损的ROE表现。</w:t>
      </w:r>
    </w:p>
    <w:p w14:paraId="2B05FDA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业务赋能型企业的ROE分化更强烈地取决于原有主业属性。巨人网络的高ROE来自高利润游戏主业与AI提效协同，世纪天鸿的稳定ROE来自传统教辅业务的稳态支撑，思美传媒的低ROE则说明在低利润营销传播赛道中，AI提升效率并不等于能够重塑股东回报。也就是说，赋能型企业的关键不在于是否使用AI，而在于AI所赋能的原有主业是否本身具备足够高的利润空间。</w:t>
      </w:r>
    </w:p>
    <w:p w14:paraId="03E86845">
      <w:pPr>
        <w:pStyle w:val="4"/>
        <w:autoSpaceDE/>
        <w:autoSpaceDN/>
        <w:snapToGrid/>
        <w:spacing w:before="156" w:beforeLines="50" w:after="156" w:afterLines="50" w:line="400" w:lineRule="exact"/>
        <w:ind w:firstLineChars="0" w:firstLine="0"/>
        <w:jc w:val="left"/>
        <w:outlineLvl w:val="2"/>
        <w:rPr>
          <w:rFonts w:hint="default" w:ascii="Times New Roman" w:hAnsi="Times New Roman" w:eastAsia="黑体" w:cs="Times New Roman"/>
          <w:color w:val="000000"/>
          <w:kern w:val="0"/>
          <w:sz w:val="28"/>
          <w:szCs w:val="28"/>
          <w:lang w:val="en-US" w:eastAsia="zh-CN"/>
        </w:rPr>
      </w:pPr>
      <w:r>
        <w:t>5.2.4.3 本节小结</w:t>
      </w:r>
    </w:p>
    <w:p w14:paraId="2548760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从ROE视角看，样本企业盈利能力的分化并非单纯取决于是否布局AI，而主要取决于AI嵌入业务后的利润转化路径是否清晰。具体而言，AI独立产品型企业的主要矛盾在于</w:t>
      </w:r>
      <w:r>
        <w:rPr>
          <w:rFonts w:hint="default" w:ascii="宋体" w:hAnsi="宋体" w:eastAsia="宋体" w:cs="Times New Roman"/>
          <w:b w:val="0"/>
          <w:sz w:val="24"/>
          <w:szCs w:val="24"/>
          <w:lang w:val="en-US"/>
        </w:rPr>
        <w:t>,</w:t>
      </w:r>
      <w:r>
        <w:rPr>
          <w:rFonts w:hint="default" w:ascii="宋体" w:hAnsi="宋体" w:eastAsia="宋体" w:cs="Times New Roman"/>
          <w:b w:val="0"/>
          <w:sz w:val="24"/>
          <w:szCs w:val="24"/>
        </w:rPr>
        <w:t>即便具备较高毛利率和一定技术壁垒，若市场推广周期较长、项目交付节奏较慢或新业务尚未形成规模收益，ROE依然可能偏低；AI业务赋能型企业的主要矛盾则在于</w:t>
      </w:r>
      <w:r>
        <w:rPr>
          <w:rFonts w:hint="default" w:ascii="宋体" w:hAnsi="宋体" w:eastAsia="宋体" w:cs="Times New Roman"/>
          <w:b w:val="0"/>
          <w:sz w:val="24"/>
          <w:szCs w:val="24"/>
          <w:lang w:val="en-US"/>
        </w:rPr>
        <w:t>,</w:t>
      </w:r>
      <w:r>
        <w:rPr>
          <w:rFonts w:hint="default" w:ascii="宋体" w:hAnsi="宋体" w:eastAsia="宋体" w:cs="Times New Roman"/>
          <w:b w:val="0"/>
          <w:sz w:val="24"/>
          <w:szCs w:val="24"/>
        </w:rPr>
        <w:t>AI通常只能放大原有主业的盈利特征，若主业本身高毛利、高附加值，则AI有助于进一步提高ROE；若主业本身利润率较低，则AI更多只能改善效率，而难以根本改变资本回报水平。</w:t>
      </w:r>
    </w:p>
    <w:p w14:paraId="391528FC">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因此，ROE分析表明，人工智能应用层中小企业的盈利分化至少受到两类因素共同作用：一类是企业自身业务模式决定的利润率和周转率基础，另一类是AI能力与既有业务结合后能否形成可持续商业闭环。</w:t>
      </w:r>
    </w:p>
    <w:p w14:paraId="31EA1C87">
      <w:pPr>
        <w:pStyle w:val="4"/>
        <w:autoSpaceDE/>
        <w:autoSpaceDN/>
        <w:snapToGrid/>
        <w:spacing w:before="156" w:beforeLines="50" w:after="156" w:afterLines="50" w:line="400" w:lineRule="exact"/>
        <w:ind w:firstLine="0"/>
        <w:jc w:val="left"/>
        <w:outlineLvl w:val="2"/>
        <w:rPr>
          <w:rFonts w:hint="eastAsia" w:ascii="Times New Roman" w:hAnsi="Times New Roman" w:eastAsia="黑体" w:cs="Times New Roman"/>
          <w:color w:val="000000"/>
          <w:kern w:val="0"/>
          <w:sz w:val="28"/>
          <w:szCs w:val="28"/>
          <w:lang w:val="en-US" w:eastAsia="zh-CN"/>
        </w:rPr>
      </w:pPr>
      <w:r>
        <w:t>5.2.5 评价结果分析</w:t>
      </w:r>
    </w:p>
    <w:p w14:paraId="47E8CAA4">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通过对六家典型样本企业2020—2024年的净资产收益率、销售净利率、总资产周转率和权益乘数进行系统拆解，可以更清晰地看到：A股人工智能应用层中小企业盈利能力分化的核心，并不在于是否做AI，而在于AI嵌入既有业务之后，究竟改变了利润率、周转效率，还是仅停留在效率改善而未形成实质性盈利增量。</w:t>
      </w:r>
    </w:p>
    <w:p w14:paraId="673579A0">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首先，从主导变量看，销售净利率是六家样本ROE差异最直接、最稳定的解释变量。巨人网络长期维持40%以上的销售净利率，即便总资产周转率并不高、权益乘数也维持低位，仍能保持高ROE；思美传媒虽然总资产周转率长期处于高位，但净利率多数年份为负，ROE因而长期偏弱甚至为负；天地在线则在净利率由正转负的同时出现ROE同步坠落。这说明，对于人工智能应用层企业而言，真正决定资本回报能否成立的，不是收入规模本身，而是收入能否有效转化为利润。</w:t>
      </w:r>
    </w:p>
    <w:p w14:paraId="0A7D694A">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其次，总资产周转率体现的是业务模式差异，而不是盈利优劣本身。方直科技和巨人网络分别代表教育数字化产品与内容型游戏主业两种高附加值模式，其周转率并不高，但依靠较强毛利空间仍可维持正向甚至较高回报；天地在线和思美传媒则代表营销传播和代运营类服务业务，周转率显著更高，但由于毛利率偏低，高周转并未带来高盈利。这意味着，周转效率只有在与利润空间相匹配时才有经济意义。若主营业务附加值不足，单纯依赖高周转并不能构成可持续的盈利优势。</w:t>
      </w:r>
    </w:p>
    <w:p w14:paraId="123EA552">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再次，权益乘数在样本企业中总体不是主导因素。除思美传媒在后期出现杠杆明显抬升外，其余五家企业的权益乘数均处于1.03—1.58之间，整体较为稳健。换言之，本章典型样本的ROE分化，主要不是谁更敢加杠杆造成的，而是谁的利润结构更健康、谁的经营效率更匹配业务模式造成的。对思美传媒而言，杠杆上升反而放大了低利润经营模式的脆弱性，进一步说明资本结构只能在次级层面放大结果，而不能替代主营业务盈利能力本身。</w:t>
      </w:r>
    </w:p>
    <w:p w14:paraId="4A45730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从两类业务模式对比看，AI独立产品型企业的核心矛盾集中在高附加值能力如何转化为稳定回报。方直科技毛利率和净利率较高，但受制于教育产品推广周期长、销售与研发费用高企，呈现高毛利、低周转的结构；佳讯飞鸿具有较稳定的总资产周转率和适度杠杆，但项目制交付和研发投入使净利率难以回到高位；天地在线则显示出当AI新业务尚未规模化、传统主业利润率又较低时，产品化标签本身并不能自动带来高盈利。因此，AI独立产品型企业的优势在于更容易形成技术溢价，但其难点在于商业化节奏和费用吸收能力。</w:t>
      </w:r>
    </w:p>
    <w:p w14:paraId="5FBCAC9B">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AI业务赋能型企业的核心矛盾则集中在AI能否突破原有主业的利润天花板。巨人网络的高盈利本质上建立在高毛利游戏主业基础上，AI进一步发挥研发和运营提效作用，从而形成</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强主业+强赋能”的理想状态；世纪天鸿则体现出传统主业提供利润底盘</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教育作为第二曲线缓慢推进的稳态结构，其问题不是盈利失效，而是增长弹性不足；思美传媒则证明，若原有行业利润率本就偏低，AI更多只能改善执行效率，而难以显著提升服务定价和利润空间。因此，AI业务赋能型企业的盈利上限，仍然在很大程度上取决于被赋能主业自身的盈利质量。</w:t>
      </w:r>
    </w:p>
    <w:p w14:paraId="0A7D682B">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进一步归纳，本节杜邦分析可以提炼出三条具有普遍性的结论。第一，人工智能应用层企业盈利分化的第一来源是利润率分化，而利润率分化的背后是业务附加值、成本结构和费用投入强度的差异。第二，AI商业化并非单一路径，产品化模式和赋能模式各有优势与约束，前者更容易形成高毛利，但更受商业化周期和投入强度制约；后者更依赖原有主业基础，AI本身未必构成新的独立利润源。第三，在样本企业中，财务杠杆普遍不是盈利改善的主要抓手，盲目依赖杠杆反而可能放大低利润模式的风险。</w:t>
      </w:r>
    </w:p>
    <w:p w14:paraId="3502E4F9">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因此，前文全样本熵权法所揭示的AI独立产品型企业整体得分更高</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业务赋能型企业内部离散度更大的结论，在典型样本层面得到了进一步验证。前者的优势主要来自更高毛利率和更强经营利润创造能力，但其内部同样存在商业化进度慢、投入压力大的结构性问题；后者则呈现出更强的主业决定论特征，即原有主业若足够高毛利，AI能够放大利润优势；原有主业若利润率偏低，AI则很难在短期内重塑盈利结构。</w:t>
      </w:r>
    </w:p>
    <w:p w14:paraId="2DB12EC0">
      <w:pPr>
        <w:autoSpaceDE/>
        <w:autoSpaceDN/>
        <w:snapToGrid/>
        <w:spacing w:before="156" w:beforeLines="50" w:after="156" w:afterLines="50" w:line="400" w:lineRule="exact"/>
        <w:ind w:firstLineChars="0" w:firstLine="0"/>
        <w:jc w:val="left"/>
        <w:outlineLvl w:val="2"/>
        <w:rPr>
          <w:rFonts w:hint="default" w:ascii="Times New Roman" w:hAnsi="Times New Roman" w:eastAsia="黑体" w:cs="Times New Roman"/>
          <w:color w:val="000000"/>
          <w:kern w:val="0"/>
          <w:sz w:val="28"/>
          <w:szCs w:val="28"/>
          <w:lang w:val="en-US" w:eastAsia="zh-CN"/>
        </w:rPr>
      </w:pPr>
      <w:r>
        <w:rPr>
          <w:rFonts w:hint="default" w:ascii="宋体" w:hAnsi="宋体" w:eastAsia="宋体" w:cs="Times New Roman"/>
          <w:b w:val="0"/>
          <w:sz w:val="24"/>
          <w:szCs w:val="24"/>
        </w:rPr>
        <w:t>基于上述判断，下一节将进一步从问题归纳层面出发，分别梳理AI独立产品型企业与AI业务赋能型企业的主要盈利瓶颈。</w:t>
      </w:r>
    </w:p>
    <w:p w14:paraId="191223B3">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t>5.3 A股人工智能应用层中小企业的盈利瓶颈</w:t>
      </w:r>
    </w:p>
    <w:p w14:paraId="41CC769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通过前文基于杜邦分析法对典型样本企业盈利能力的纵向比较可以发现，不同类型企业在盈利模式和业务结构上存在明显差异，</w:t>
      </w:r>
      <w:r>
        <w:rPr>
          <w:rFonts w:hint="default" w:ascii="宋体" w:hAnsi="宋体" w:eastAsia="宋体" w:cs="Times New Roman"/>
          <w:b w:val="0"/>
          <w:sz w:val="24"/>
          <w:szCs w:val="24"/>
        </w:rPr>
        <w:t>AI独立产品型企业主要依靠人工智能产品本身实现收入增长，而AI业务赋能型企业则更多借助人工智能技术优化原有业务流程、提升经营效率</w:t>
      </w:r>
      <w:r>
        <w:rPr>
          <w:rFonts w:hint="default" w:ascii="宋体" w:hAnsi="宋体" w:eastAsia="宋体" w:cs="Times New Roman"/>
          <w:b w:val="0"/>
          <w:kern w:val="2"/>
          <w:sz w:val="24"/>
          <w:szCs w:val="24"/>
          <w:lang w:val="en-US" w:eastAsia="zh-CN" w:bidi="ar-SA"/>
        </w:rPr>
        <w:t>。</w:t>
      </w:r>
      <w:r>
        <w:rPr>
          <w:rFonts w:hint="default" w:ascii="宋体" w:hAnsi="宋体" w:eastAsia="宋体" w:cs="Times New Roman"/>
          <w:b w:val="0"/>
          <w:sz w:val="24"/>
          <w:szCs w:val="24"/>
        </w:rPr>
        <w:t>正因如此，两类企业在盈利能力的形成机制及其面临的现实问题上，也表现出不同特点。基于此，本文进一步从AI独立产品型企业和AI业务赋能型企业两个维度，对A股人工智能应用层中小企业盈利能力存在的</w:t>
      </w:r>
      <w:r>
        <w:rPr>
          <w:rFonts w:hint="eastAsia" w:ascii="宋体" w:hAnsi="宋体" w:eastAsia="宋体" w:cs="Times New Roman"/>
          <w:b w:val="0"/>
          <w:sz w:val="24"/>
          <w:szCs w:val="24"/>
          <w:lang w:val="en-US" w:eastAsia="zh-CN"/>
        </w:rPr>
        <w:t>问题进行归纳总结</w:t>
      </w:r>
      <w:r>
        <w:rPr>
          <w:rFonts w:hint="default" w:ascii="宋体" w:hAnsi="宋体" w:eastAsia="宋体" w:cs="Times New Roman"/>
          <w:b w:val="0"/>
          <w:kern w:val="2"/>
          <w:sz w:val="24"/>
          <w:szCs w:val="24"/>
          <w:lang w:val="en-US" w:eastAsia="zh-CN" w:bidi="ar-SA"/>
        </w:rPr>
        <w:t>。</w:t>
      </w:r>
    </w:p>
    <w:p w14:paraId="37C5F5A0">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5.3.1 AI独立产品型企业盈利瓶颈</w:t>
      </w:r>
    </w:p>
    <w:p w14:paraId="57FF622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AI独立产品型企业是指其人工智能能力已经形成可对外独立交付、可单独定价或可在主营业务中被清晰识别的产品与服务的企业。</w:t>
      </w:r>
      <w:r>
        <w:rPr>
          <w:rFonts w:hint="eastAsia" w:ascii="宋体" w:hAnsi="宋体" w:eastAsia="宋体" w:cs="Times New Roman"/>
          <w:b w:val="0"/>
          <w:kern w:val="2"/>
          <w:sz w:val="24"/>
          <w:szCs w:val="24"/>
          <w:lang w:val="en-US" w:eastAsia="zh-CN" w:bidi="ar-SA"/>
        </w:rPr>
        <w:t>从前文对其典型样本的深入分析得出，</w:t>
      </w:r>
      <w:r>
        <w:rPr>
          <w:rFonts w:hint="default" w:ascii="宋体" w:hAnsi="宋体" w:eastAsia="宋体" w:cs="Times New Roman"/>
          <w:b w:val="0"/>
          <w:kern w:val="2"/>
          <w:sz w:val="24"/>
          <w:szCs w:val="24"/>
          <w:lang w:val="en-US" w:eastAsia="zh-CN" w:bidi="ar-SA"/>
        </w:rPr>
        <w:t>AI独立产品型企业主要面临三类共性问题。</w:t>
      </w:r>
    </w:p>
    <w:p w14:paraId="4A574E05">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AI产品商业化周期偏长，尤其在教育和垂直行业解决方案场景中，产品从研发、试点到规模化采购存在明显时滞。</w:t>
      </w:r>
    </w:p>
    <w:p w14:paraId="66BD5071">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持续研发与市场投入对利润形成刚性挤压，企业往往在投入期内难以同步实现回报抬升。</w:t>
      </w:r>
    </w:p>
    <w:p w14:paraId="35BA93B0">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部分企业虽已布局AI新产品，但原有低毛利主业尚未有效剥离，导致AI增量不足以覆盖传统存量压力。</w:t>
      </w:r>
    </w:p>
    <w:p w14:paraId="15FD88B0">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right="0" w:rightChars="0" w:firstLineChars="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由此可见，AI独立产品型企业的盈利瓶颈主要不在技术能力本身，而在于技术能力向规模收入和稳定利润的转化效率。</w:t>
      </w:r>
    </w:p>
    <w:p w14:paraId="07904A4F">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5.3.2 AI业务赋能型企业盈利瓶颈</w:t>
      </w:r>
    </w:p>
    <w:p w14:paraId="7D24B5E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业务赋能型企业是指将人工智能技术应用于现有主营业务，通过AI技术提升业务效率、优化产品服务或拓展业务场景，从而实现企业价值提升的企业。这类企业通常并不以人工智能产品本身作为主要收入来源，而是通过人工智能技术对原有业务进行赋能，实现降本增效或</w:t>
      </w:r>
      <w:r>
        <w:rPr>
          <w:rFonts w:hint="eastAsia" w:ascii="宋体" w:hAnsi="宋体" w:eastAsia="宋体" w:cs="Times New Roman"/>
          <w:b w:val="0"/>
          <w:kern w:val="2"/>
          <w:sz w:val="24"/>
          <w:szCs w:val="24"/>
          <w:lang w:val="en-US" w:eastAsia="zh-CN" w:bidi="ar-SA"/>
        </w:rPr>
        <w:t>产品</w:t>
      </w:r>
      <w:r>
        <w:rPr>
          <w:rFonts w:hint="default" w:ascii="宋体" w:hAnsi="宋体" w:eastAsia="宋体" w:cs="Times New Roman"/>
          <w:b w:val="0"/>
          <w:kern w:val="2"/>
          <w:sz w:val="24"/>
          <w:szCs w:val="24"/>
          <w:lang w:val="en-US" w:eastAsia="zh-CN" w:bidi="ar-SA"/>
        </w:rPr>
        <w:t>服务升级。因此，其盈利能力不仅取决于AI技术应用程度，也与原有主营业务的行业特征和盈利模式密切相关。总体来看，AI业务赋能型企业主要面临三类共性问题。</w:t>
      </w:r>
    </w:p>
    <w:p w14:paraId="5913522D">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AI赋能效果高度依赖原有主业的利润质量，若主业本身具备高毛利和强现金流，AI更容易放大收益；反之则效果有限。</w:t>
      </w:r>
    </w:p>
    <w:p w14:paraId="548CF59F">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AI在赋能模式下往往首先表现为降本增效，而非独立收入，因此其利润贡献具有间接性和滞后性。</w:t>
      </w:r>
    </w:p>
    <w:p w14:paraId="07ADC393">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部分企业在低利润行业中尝试通过AI提效改善经营，但由于主业利润空间过薄，AI难以根本改变盈利结构。</w:t>
      </w:r>
    </w:p>
    <w:p w14:paraId="3185D546">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right="0" w:rightChars="0" w:firstLineChars="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由此可见，AI业务赋能型企业的盈利瓶颈，主要在于AI能提升效率，但未必能重塑定价与利润。</w:t>
      </w:r>
    </w:p>
    <w:p w14:paraId="50D82CA5">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5.3.3 本节小结</w:t>
      </w:r>
    </w:p>
    <w:p w14:paraId="2F340D2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t>综合前述分析，可以将A股人工智能应用层中小企业的盈利瓶颈概括为“商业化转化效率不足、费用与成本压力偏高、主业利润结构约束较强”三条主线。为更加清晰地总结两类企业盈利能力的主要制约因素，本文对其盈利瓶颈进行归纳整理，如表5-42所示。</w:t>
      </w:r>
    </w:p>
    <w:p w14:paraId="05D9630F">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t>表5-40 人工智能应用层中小企业盈利能力瓶颈归纳表</w:t>
      </w:r>
    </w:p>
    <w:tbl>
      <w:tblPr>
        <w:tblStyle w:val="31"/>
        <w:tblW w:w="95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219"/>
        <w:gridCol w:w="2600"/>
        <w:gridCol w:w="2323"/>
        <w:gridCol w:w="2099"/>
      </w:tblGrid>
      <w:tr w14:paraId="31537176">
        <w:trPr>
          <w:trHeight w:val="0" w:hRule="atLeast"/>
          <w:tblHeader/>
          <w:jc w:val="center"/>
        </w:trPr>
        <w:tc>
          <w:tcPr>
            <w:tcW w:w="1336" w:type="dxa"/>
            <w:tcBorders>
              <w:top w:val="single" w:color="auto" w:sz="12" w:space="0"/>
              <w:left w:val="nil"/>
              <w:bottom w:val="single" w:color="auto" w:sz="4" w:space="0"/>
              <w:right w:val="nil"/>
            </w:tcBorders>
            <w:shd w:val="clear" w:color="auto" w:fill="auto"/>
            <w:vAlign w:val="center"/>
          </w:tcPr>
          <w:p w14:paraId="70D1EAA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企业类型</w:t>
            </w:r>
          </w:p>
        </w:tc>
        <w:tc>
          <w:tcPr>
            <w:tcW w:w="1219" w:type="dxa"/>
            <w:tcBorders>
              <w:top w:val="single" w:color="auto" w:sz="12" w:space="0"/>
              <w:left w:val="nil"/>
              <w:bottom w:val="single" w:color="auto" w:sz="4" w:space="0"/>
              <w:right w:val="nil"/>
            </w:tcBorders>
            <w:shd w:val="clear" w:color="auto" w:fill="auto"/>
            <w:vAlign w:val="center"/>
          </w:tcPr>
          <w:p w14:paraId="0A89D5E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代表企业</w:t>
            </w:r>
          </w:p>
        </w:tc>
        <w:tc>
          <w:tcPr>
            <w:tcW w:w="2600" w:type="dxa"/>
            <w:tcBorders>
              <w:top w:val="single" w:color="auto" w:sz="12" w:space="0"/>
              <w:left w:val="nil"/>
              <w:bottom w:val="single" w:color="auto" w:sz="4" w:space="0"/>
              <w:right w:val="nil"/>
            </w:tcBorders>
            <w:shd w:val="clear" w:color="auto" w:fill="auto"/>
            <w:vAlign w:val="center"/>
          </w:tcPr>
          <w:p w14:paraId="14EDA0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AI商业化转化效率不足</w:t>
            </w:r>
          </w:p>
        </w:tc>
        <w:tc>
          <w:tcPr>
            <w:tcW w:w="2323" w:type="dxa"/>
            <w:tcBorders>
              <w:top w:val="single" w:color="auto" w:sz="12" w:space="0"/>
              <w:left w:val="nil"/>
              <w:bottom w:val="single" w:color="auto" w:sz="4" w:space="0"/>
              <w:right w:val="nil"/>
            </w:tcBorders>
            <w:shd w:val="clear" w:color="auto" w:fill="auto"/>
            <w:vAlign w:val="center"/>
          </w:tcPr>
          <w:p w14:paraId="61058A3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成本与费用刚性增长</w:t>
            </w:r>
          </w:p>
        </w:tc>
        <w:tc>
          <w:tcPr>
            <w:tcW w:w="2099" w:type="dxa"/>
            <w:tcBorders>
              <w:top w:val="single" w:color="auto" w:sz="12" w:space="0"/>
              <w:left w:val="nil"/>
              <w:bottom w:val="single" w:color="auto" w:sz="4" w:space="0"/>
              <w:right w:val="nil"/>
            </w:tcBorders>
            <w:shd w:val="clear" w:color="auto" w:fill="auto"/>
            <w:vAlign w:val="center"/>
          </w:tcPr>
          <w:p w14:paraId="32669FE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行业盈利结构约束</w:t>
            </w:r>
          </w:p>
        </w:tc>
      </w:tr>
      <w:tr w14:paraId="7EC45838">
        <w:trPr>
          <w:trHeight w:val="0" w:hRule="atLeast"/>
          <w:jc w:val="center"/>
        </w:trPr>
        <w:tc>
          <w:tcPr>
            <w:tcW w:w="1336" w:type="dxa"/>
            <w:tcBorders>
              <w:top w:val="single" w:color="auto" w:sz="4" w:space="0"/>
              <w:left w:val="nil"/>
              <w:bottom w:val="nil"/>
              <w:right w:val="nil"/>
            </w:tcBorders>
            <w:shd w:val="clear" w:color="auto" w:fill="auto"/>
            <w:vAlign w:val="center"/>
          </w:tcPr>
          <w:p w14:paraId="0DB633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single" w:color="auto" w:sz="4" w:space="0"/>
              <w:left w:val="nil"/>
              <w:bottom w:val="nil"/>
              <w:right w:val="nil"/>
            </w:tcBorders>
            <w:shd w:val="clear" w:color="auto" w:fill="auto"/>
            <w:vAlign w:val="center"/>
          </w:tcPr>
          <w:p w14:paraId="09600DB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方直科技</w:t>
            </w:r>
          </w:p>
        </w:tc>
        <w:tc>
          <w:tcPr>
            <w:tcW w:w="2600" w:type="dxa"/>
            <w:tcBorders>
              <w:top w:val="single" w:color="auto" w:sz="4" w:space="0"/>
              <w:left w:val="nil"/>
              <w:bottom w:val="nil"/>
              <w:right w:val="nil"/>
            </w:tcBorders>
            <w:shd w:val="clear" w:color="auto" w:fill="auto"/>
            <w:vAlign w:val="center"/>
          </w:tcPr>
          <w:p w14:paraId="4D396B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AI教育产品市场推广周期长</w:t>
            </w:r>
          </w:p>
        </w:tc>
        <w:tc>
          <w:tcPr>
            <w:tcW w:w="2323" w:type="dxa"/>
            <w:tcBorders>
              <w:top w:val="single" w:color="auto" w:sz="4" w:space="0"/>
              <w:left w:val="nil"/>
              <w:bottom w:val="nil"/>
              <w:right w:val="nil"/>
            </w:tcBorders>
            <w:shd w:val="clear" w:color="auto" w:fill="auto"/>
            <w:vAlign w:val="center"/>
          </w:tcPr>
          <w:p w14:paraId="4D394435">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研发投入持续增加</w:t>
            </w:r>
          </w:p>
        </w:tc>
        <w:tc>
          <w:tcPr>
            <w:tcW w:w="2099" w:type="dxa"/>
            <w:tcBorders>
              <w:top w:val="single" w:color="auto" w:sz="4" w:space="0"/>
              <w:left w:val="nil"/>
              <w:bottom w:val="nil"/>
              <w:right w:val="nil"/>
            </w:tcBorders>
            <w:shd w:val="clear" w:color="auto" w:fill="auto"/>
            <w:vAlign w:val="center"/>
          </w:tcPr>
          <w:p w14:paraId="709A23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教育数字化市场商业化节奏较慢</w:t>
            </w:r>
          </w:p>
        </w:tc>
      </w:tr>
      <w:tr w14:paraId="451CE5C0">
        <w:trPr>
          <w:trHeight w:val="0" w:hRule="atLeast"/>
          <w:jc w:val="center"/>
        </w:trPr>
        <w:tc>
          <w:tcPr>
            <w:tcW w:w="1336" w:type="dxa"/>
            <w:tcBorders>
              <w:top w:val="nil"/>
              <w:left w:val="nil"/>
              <w:bottom w:val="nil"/>
              <w:right w:val="nil"/>
            </w:tcBorders>
            <w:shd w:val="clear" w:color="auto" w:fill="auto"/>
            <w:vAlign w:val="center"/>
          </w:tcPr>
          <w:p w14:paraId="72AD5CF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744316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佳讯飞鸿</w:t>
            </w:r>
          </w:p>
        </w:tc>
        <w:tc>
          <w:tcPr>
            <w:tcW w:w="2600" w:type="dxa"/>
            <w:tcBorders>
              <w:top w:val="nil"/>
              <w:left w:val="nil"/>
              <w:bottom w:val="nil"/>
              <w:right w:val="nil"/>
            </w:tcBorders>
            <w:shd w:val="clear" w:color="auto" w:fill="auto"/>
            <w:vAlign w:val="center"/>
          </w:tcPr>
          <w:p w14:paraId="609B69A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行业大模型应用仍依赖项目落地</w:t>
            </w:r>
          </w:p>
        </w:tc>
        <w:tc>
          <w:tcPr>
            <w:tcW w:w="2323" w:type="dxa"/>
            <w:tcBorders>
              <w:top w:val="nil"/>
              <w:left w:val="nil"/>
              <w:bottom w:val="nil"/>
              <w:right w:val="nil"/>
            </w:tcBorders>
            <w:shd w:val="clear" w:color="auto" w:fill="auto"/>
            <w:vAlign w:val="center"/>
          </w:tcPr>
          <w:p w14:paraId="1742CAE1">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项目实施与研发成本较高</w:t>
            </w:r>
          </w:p>
        </w:tc>
        <w:tc>
          <w:tcPr>
            <w:tcW w:w="2099" w:type="dxa"/>
            <w:tcBorders>
              <w:top w:val="nil"/>
              <w:left w:val="nil"/>
              <w:bottom w:val="nil"/>
              <w:right w:val="nil"/>
            </w:tcBorders>
            <w:shd w:val="clear" w:color="auto" w:fill="auto"/>
            <w:vAlign w:val="center"/>
          </w:tcPr>
          <w:p w14:paraId="7CD7E94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行业解决方案利润释放周期长</w:t>
            </w:r>
          </w:p>
        </w:tc>
      </w:tr>
      <w:tr w14:paraId="1B0D636B">
        <w:trPr>
          <w:trHeight w:val="0" w:hRule="atLeast"/>
          <w:jc w:val="center"/>
        </w:trPr>
        <w:tc>
          <w:tcPr>
            <w:tcW w:w="1336" w:type="dxa"/>
            <w:tcBorders>
              <w:top w:val="nil"/>
              <w:left w:val="nil"/>
              <w:bottom w:val="nil"/>
              <w:right w:val="nil"/>
            </w:tcBorders>
            <w:shd w:val="clear" w:color="auto" w:fill="auto"/>
            <w:vAlign w:val="center"/>
          </w:tcPr>
          <w:p w14:paraId="6C98AF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05A6760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天地在线</w:t>
            </w:r>
          </w:p>
        </w:tc>
        <w:tc>
          <w:tcPr>
            <w:tcW w:w="2600" w:type="dxa"/>
            <w:tcBorders>
              <w:top w:val="nil"/>
              <w:left w:val="nil"/>
              <w:bottom w:val="nil"/>
              <w:right w:val="nil"/>
            </w:tcBorders>
            <w:shd w:val="clear" w:color="auto" w:fill="auto"/>
            <w:vAlign w:val="center"/>
          </w:tcPr>
          <w:p w14:paraId="4D6D02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AI新业务尚未形成规模收入</w:t>
            </w:r>
          </w:p>
        </w:tc>
        <w:tc>
          <w:tcPr>
            <w:tcW w:w="2323" w:type="dxa"/>
            <w:tcBorders>
              <w:top w:val="nil"/>
              <w:left w:val="nil"/>
              <w:bottom w:val="nil"/>
              <w:right w:val="nil"/>
            </w:tcBorders>
            <w:shd w:val="clear" w:color="auto" w:fill="auto"/>
            <w:vAlign w:val="center"/>
          </w:tcPr>
          <w:p w14:paraId="654FCF3B">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数智化业务投入与营销费用增加</w:t>
            </w:r>
          </w:p>
        </w:tc>
        <w:tc>
          <w:tcPr>
            <w:tcW w:w="2099" w:type="dxa"/>
            <w:tcBorders>
              <w:top w:val="nil"/>
              <w:left w:val="nil"/>
              <w:bottom w:val="nil"/>
              <w:right w:val="nil"/>
            </w:tcBorders>
            <w:shd w:val="clear" w:color="auto" w:fill="auto"/>
            <w:vAlign w:val="center"/>
          </w:tcPr>
          <w:p w14:paraId="778D922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数字营销行业利润率较低</w:t>
            </w:r>
          </w:p>
        </w:tc>
      </w:tr>
      <w:tr w14:paraId="03D5F801">
        <w:trPr>
          <w:trHeight w:val="0" w:hRule="atLeast"/>
          <w:jc w:val="center"/>
        </w:trPr>
        <w:tc>
          <w:tcPr>
            <w:tcW w:w="1336" w:type="dxa"/>
            <w:tcBorders>
              <w:top w:val="nil"/>
              <w:left w:val="nil"/>
              <w:bottom w:val="nil"/>
              <w:right w:val="nil"/>
            </w:tcBorders>
            <w:shd w:val="clear" w:color="auto" w:fill="auto"/>
            <w:vAlign w:val="center"/>
          </w:tcPr>
          <w:p w14:paraId="20CB24C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74D1E3F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巨人网络</w:t>
            </w:r>
          </w:p>
        </w:tc>
        <w:tc>
          <w:tcPr>
            <w:tcW w:w="2600" w:type="dxa"/>
            <w:tcBorders>
              <w:top w:val="nil"/>
              <w:left w:val="nil"/>
              <w:bottom w:val="nil"/>
              <w:right w:val="nil"/>
            </w:tcBorders>
            <w:shd w:val="clear" w:color="auto" w:fill="auto"/>
            <w:vAlign w:val="center"/>
          </w:tcPr>
          <w:p w14:paraId="2008FA4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AI主要用于提升研发与运营效率</w:t>
            </w:r>
          </w:p>
        </w:tc>
        <w:tc>
          <w:tcPr>
            <w:tcW w:w="2323" w:type="dxa"/>
            <w:tcBorders>
              <w:top w:val="nil"/>
              <w:left w:val="nil"/>
              <w:bottom w:val="nil"/>
              <w:right w:val="nil"/>
            </w:tcBorders>
            <w:shd w:val="clear" w:color="auto" w:fill="auto"/>
            <w:vAlign w:val="center"/>
          </w:tcPr>
          <w:p w14:paraId="7599DB4D">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AI研发持续投入</w:t>
            </w:r>
          </w:p>
        </w:tc>
        <w:tc>
          <w:tcPr>
            <w:tcW w:w="2099" w:type="dxa"/>
            <w:tcBorders>
              <w:top w:val="nil"/>
              <w:left w:val="nil"/>
              <w:bottom w:val="nil"/>
              <w:right w:val="nil"/>
            </w:tcBorders>
            <w:shd w:val="clear" w:color="auto" w:fill="auto"/>
            <w:vAlign w:val="center"/>
          </w:tcPr>
          <w:p w14:paraId="4363C2C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盈利仍主要依赖原有游戏业务</w:t>
            </w:r>
          </w:p>
        </w:tc>
      </w:tr>
      <w:tr w14:paraId="61402C59">
        <w:trPr>
          <w:trHeight w:val="0" w:hRule="atLeast"/>
          <w:jc w:val="center"/>
        </w:trPr>
        <w:tc>
          <w:tcPr>
            <w:tcW w:w="1336" w:type="dxa"/>
            <w:tcBorders>
              <w:top w:val="nil"/>
              <w:left w:val="nil"/>
              <w:bottom w:val="nil"/>
              <w:right w:val="nil"/>
            </w:tcBorders>
            <w:shd w:val="clear" w:color="auto" w:fill="auto"/>
            <w:vAlign w:val="center"/>
          </w:tcPr>
          <w:p w14:paraId="6211E43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522639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世纪天鸿</w:t>
            </w:r>
          </w:p>
        </w:tc>
        <w:tc>
          <w:tcPr>
            <w:tcW w:w="2600" w:type="dxa"/>
            <w:tcBorders>
              <w:top w:val="nil"/>
              <w:left w:val="nil"/>
              <w:bottom w:val="nil"/>
              <w:right w:val="nil"/>
            </w:tcBorders>
            <w:shd w:val="clear" w:color="auto" w:fill="auto"/>
            <w:vAlign w:val="center"/>
          </w:tcPr>
          <w:p w14:paraId="25B2F1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AI教育产品商业化进程较慢</w:t>
            </w:r>
          </w:p>
        </w:tc>
        <w:tc>
          <w:tcPr>
            <w:tcW w:w="2323" w:type="dxa"/>
            <w:tcBorders>
              <w:top w:val="nil"/>
              <w:left w:val="nil"/>
              <w:bottom w:val="nil"/>
              <w:right w:val="nil"/>
            </w:tcBorders>
            <w:shd w:val="clear" w:color="auto" w:fill="auto"/>
            <w:vAlign w:val="center"/>
          </w:tcPr>
          <w:p w14:paraId="4DFB241B">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AI产品研发与推广成本增加</w:t>
            </w:r>
          </w:p>
        </w:tc>
        <w:tc>
          <w:tcPr>
            <w:tcW w:w="2099" w:type="dxa"/>
            <w:tcBorders>
              <w:top w:val="nil"/>
              <w:left w:val="nil"/>
              <w:bottom w:val="nil"/>
              <w:right w:val="nil"/>
            </w:tcBorders>
            <w:shd w:val="clear" w:color="auto" w:fill="auto"/>
            <w:vAlign w:val="center"/>
          </w:tcPr>
          <w:p w14:paraId="5C44E14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教辅出版行业增长空间有限</w:t>
            </w:r>
          </w:p>
        </w:tc>
      </w:tr>
      <w:tr w14:paraId="6C002AF0">
        <w:trPr>
          <w:trHeight w:val="0" w:hRule="atLeast"/>
          <w:jc w:val="center"/>
        </w:trPr>
        <w:tc>
          <w:tcPr>
            <w:tcW w:w="1336" w:type="dxa"/>
            <w:tcBorders>
              <w:top w:val="nil"/>
              <w:left w:val="nil"/>
              <w:bottom w:val="single" w:color="auto" w:sz="12" w:space="0"/>
              <w:right w:val="nil"/>
            </w:tcBorders>
            <w:shd w:val="clear" w:color="auto" w:fill="auto"/>
            <w:vAlign w:val="center"/>
          </w:tcPr>
          <w:p w14:paraId="68F1631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single" w:color="auto" w:sz="12" w:space="0"/>
              <w:right w:val="nil"/>
            </w:tcBorders>
            <w:shd w:val="clear" w:color="auto" w:fill="auto"/>
            <w:vAlign w:val="center"/>
          </w:tcPr>
          <w:p w14:paraId="3F5E6D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思美传媒</w:t>
            </w:r>
          </w:p>
        </w:tc>
        <w:tc>
          <w:tcPr>
            <w:tcW w:w="2600" w:type="dxa"/>
            <w:tcBorders>
              <w:top w:val="nil"/>
              <w:left w:val="nil"/>
              <w:bottom w:val="single" w:color="auto" w:sz="12" w:space="0"/>
              <w:right w:val="nil"/>
            </w:tcBorders>
            <w:shd w:val="clear" w:color="auto" w:fill="auto"/>
            <w:vAlign w:val="center"/>
          </w:tcPr>
          <w:p w14:paraId="4EF185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AI营销工具难以形成独立收入</w:t>
            </w:r>
          </w:p>
        </w:tc>
        <w:tc>
          <w:tcPr>
            <w:tcW w:w="2323" w:type="dxa"/>
            <w:tcBorders>
              <w:top w:val="nil"/>
              <w:left w:val="nil"/>
              <w:bottom w:val="single" w:color="auto" w:sz="12" w:space="0"/>
              <w:right w:val="nil"/>
            </w:tcBorders>
            <w:shd w:val="clear" w:color="auto" w:fill="auto"/>
            <w:vAlign w:val="center"/>
          </w:tcPr>
          <w:p w14:paraId="05BA39B5">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营销运营成本与推广费用较高</w:t>
            </w:r>
          </w:p>
        </w:tc>
        <w:tc>
          <w:tcPr>
            <w:tcW w:w="2099" w:type="dxa"/>
            <w:tcBorders>
              <w:top w:val="nil"/>
              <w:left w:val="nil"/>
              <w:bottom w:val="single" w:color="auto" w:sz="12" w:space="0"/>
              <w:right w:val="nil"/>
            </w:tcBorders>
            <w:shd w:val="clear" w:color="auto" w:fill="auto"/>
            <w:vAlign w:val="center"/>
          </w:tcPr>
          <w:p w14:paraId="7B41BEE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营销服务行业整体利润率偏低</w:t>
            </w:r>
          </w:p>
        </w:tc>
      </w:tr>
    </w:tbl>
    <w:p w14:paraId="132E29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0"/>
        <w:jc w:val="both"/>
        <w:textAlignment w:val="auto"/>
        <w:rPr>
          <w:rFonts w:hint="default" w:ascii="Times New Roman" w:hAnsi="Times New Roman" w:eastAsia="宋体" w:cs="Times New Roman"/>
          <w:kern w:val="2"/>
          <w:sz w:val="24"/>
          <w:szCs w:val="24"/>
          <w:lang w:val="en-US" w:eastAsia="zh-CN" w:bidi="ar-SA"/>
        </w:rPr>
      </w:pPr>
    </w:p>
    <w:p w14:paraId="1FC47297">
      <w:pPr>
        <w:pStyle w:val="3"/>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t>5.4 本章小结</w:t>
      </w:r>
    </w:p>
    <w:p w14:paraId="3FC6D46D">
      <w:pPr>
        <w:spacing w:line="400" w:lineRule="exact"/>
        <w:ind w:firstLine="0"/>
        <w:jc w:val="left"/>
      </w:pPr>
      <w:r>
        <w:rPr>
          <w:rFonts w:ascii="宋体" w:hAnsi="宋体" w:eastAsia="宋体"/>
          <w:b w:val="0"/>
          <w:sz w:val="24"/>
        </w:rPr>
        <w:t>本章围绕A股人工智能应用层中小企业的盈利能力展开系统分析，依次采用熵权法进行全样本横向比较，并结合杜邦分析法对典型样本进行纵向拆解，进一步归纳不同业务模式企业的主要盈利问题。整体来看，本章研究结论可以概括为以下四点。</w:t>
      </w:r>
    </w:p>
    <w:p w14:paraId="7800B23B">
      <w:pPr>
        <w:spacing w:line="400" w:lineRule="exact"/>
        <w:ind w:firstLine="0"/>
        <w:jc w:val="left"/>
      </w:pPr>
      <w:r>
        <w:rPr>
          <w:rFonts w:ascii="宋体" w:hAnsi="宋体" w:eastAsia="宋体"/>
          <w:b w:val="0"/>
          <w:sz w:val="24"/>
        </w:rPr>
        <w:t>第一，从全样本横向比较结果看，AI独立产品型企业在2020—2024年样本期内的综合盈利得分整体高于AI业务赋能型企业，且内部波动相对更小。主模型下，AI独立产品型企业平均得分为</w:t>
      </w:r>
      <w:r>
        <w:rPr>
          <w:rFonts w:hint="eastAsia" w:ascii="宋体" w:hAnsi="宋体" w:eastAsia="宋体"/>
          <w:b w:val="0"/>
          <w:sz w:val="24"/>
        </w:rPr>
        <w:t>0.3214</w:t>
      </w:r>
      <w:r>
        <w:rPr>
          <w:rFonts w:ascii="宋体" w:hAnsi="宋体" w:eastAsia="宋体"/>
          <w:b w:val="0"/>
          <w:sz w:val="24"/>
        </w:rPr>
        <w:t>，高于AI业务赋能型企业的0.2</w:t>
      </w:r>
      <w:r>
        <w:rPr>
          <w:rFonts w:hint="eastAsia" w:ascii="宋体" w:hAnsi="宋体" w:eastAsia="宋体"/>
          <w:b w:val="0"/>
          <w:sz w:val="24"/>
          <w:lang w:val="en-US" w:eastAsia="zh-CN"/>
        </w:rPr>
        <w:t>589。</w:t>
      </w:r>
      <w:r>
        <w:rPr>
          <w:rFonts w:ascii="宋体" w:hAnsi="宋体" w:eastAsia="宋体"/>
          <w:b w:val="0"/>
          <w:sz w:val="24"/>
        </w:rPr>
        <w:t>这表明，能够将人工智能能力直接产品化并形成独立交付对象的企业，更容易在毛利率、经营利润率和成本结构方面形成相对优势。</w:t>
      </w:r>
    </w:p>
    <w:p w14:paraId="1A80ADBD">
      <w:pPr>
        <w:spacing w:line="400" w:lineRule="exact"/>
        <w:ind w:firstLine="0"/>
        <w:jc w:val="left"/>
      </w:pPr>
      <w:r>
        <w:rPr>
          <w:rFonts w:ascii="宋体" w:hAnsi="宋体" w:eastAsia="宋体"/>
          <w:b w:val="0"/>
          <w:sz w:val="24"/>
        </w:rPr>
        <w:t>第二，从样本期盈利演进看，行业整体盈利</w:t>
      </w:r>
      <w:r>
        <w:rPr>
          <w:rFonts w:hint="eastAsia" w:ascii="宋体" w:hAnsi="宋体" w:eastAsia="宋体"/>
          <w:b w:val="0"/>
          <w:sz w:val="24"/>
          <w:lang w:val="en-US" w:eastAsia="zh-CN"/>
        </w:rPr>
        <w:t>盈利能力明显下降</w:t>
      </w:r>
      <w:r>
        <w:rPr>
          <w:rFonts w:ascii="宋体" w:hAnsi="宋体" w:eastAsia="宋体"/>
          <w:b w:val="0"/>
          <w:sz w:val="24"/>
        </w:rPr>
        <w:t>。全样本口径下，ROA中位数由2020年的5.3</w:t>
      </w:r>
      <w:r>
        <w:rPr>
          <w:rFonts w:hint="eastAsia" w:ascii="宋体" w:hAnsi="宋体" w:eastAsia="宋体"/>
          <w:b w:val="0"/>
          <w:sz w:val="24"/>
          <w:lang w:val="en-US" w:eastAsia="zh-CN"/>
        </w:rPr>
        <w:t>3</w:t>
      </w:r>
      <w:r>
        <w:rPr>
          <w:rFonts w:ascii="宋体" w:hAnsi="宋体" w:eastAsia="宋体"/>
          <w:b w:val="0"/>
          <w:sz w:val="24"/>
        </w:rPr>
        <w:t>%下降至2024年的0.7</w:t>
      </w:r>
      <w:r>
        <w:rPr>
          <w:rFonts w:hint="eastAsia" w:ascii="宋体" w:hAnsi="宋体" w:eastAsia="宋体"/>
          <w:b w:val="0"/>
          <w:sz w:val="24"/>
          <w:lang w:val="en-US" w:eastAsia="zh-CN"/>
        </w:rPr>
        <w:t>7</w:t>
      </w:r>
      <w:r>
        <w:rPr>
          <w:rFonts w:ascii="宋体" w:hAnsi="宋体" w:eastAsia="宋体"/>
          <w:b w:val="0"/>
          <w:sz w:val="24"/>
        </w:rPr>
        <w:t>%，ROE中位数由9.04%下降至1.43%，营业净利率中位数由9.99</w:t>
      </w:r>
      <w:r>
        <w:rPr>
          <w:rFonts w:hint="eastAsia" w:ascii="宋体" w:hAnsi="宋体" w:eastAsia="宋体"/>
          <w:b w:val="0"/>
          <w:sz w:val="24"/>
          <w:lang w:val="en-US" w:eastAsia="zh-CN"/>
        </w:rPr>
        <w:t>7</w:t>
      </w:r>
      <w:r>
        <w:rPr>
          <w:rFonts w:ascii="宋体" w:hAnsi="宋体" w:eastAsia="宋体"/>
          <w:b w:val="0"/>
          <w:sz w:val="24"/>
        </w:rPr>
        <w:t>%下降至1.0</w:t>
      </w:r>
      <w:r>
        <w:rPr>
          <w:rFonts w:hint="eastAsia" w:ascii="宋体" w:hAnsi="宋体" w:eastAsia="宋体"/>
          <w:b w:val="0"/>
          <w:sz w:val="24"/>
          <w:lang w:val="en-US" w:eastAsia="zh-CN"/>
        </w:rPr>
        <w:t>9</w:t>
      </w:r>
      <w:r>
        <w:rPr>
          <w:rFonts w:ascii="宋体" w:hAnsi="宋体" w:eastAsia="宋体"/>
          <w:b w:val="0"/>
          <w:sz w:val="24"/>
        </w:rPr>
        <w:t>%。这一变化说明，A股人工智能应用层中小企业在样本期后段普遍面临利润空间收窄和资本回报走弱的问题。进一步结合收入、成本和费用结构可以判断，盈利能力下滑并非由单一因素导致，而是收入增长趋弱、营业成本率抬升和期间费用率刚性上升共同作用的结果。</w:t>
      </w:r>
    </w:p>
    <w:p w14:paraId="497A892E">
      <w:pPr>
        <w:spacing w:line="400" w:lineRule="exact"/>
        <w:ind w:firstLine="0"/>
        <w:jc w:val="left"/>
      </w:pPr>
      <w:r>
        <w:rPr>
          <w:rFonts w:ascii="宋体" w:hAnsi="宋体" w:eastAsia="宋体"/>
          <w:b w:val="0"/>
          <w:sz w:val="24"/>
        </w:rPr>
        <w:t>第三，从典型样本的杜邦分析结果看，销售净利率是解释ROE差异的第一变量，总资产周转率用于刻画业务模式差异，权益乘数则主要发挥放大器作用而非决定性作用。对方直科技和巨人网络而言，尽管总资产周转率较低，但凭借较高净利率仍能维持正向甚至较高回报；对天地在线和思美传媒而言，即使总资产周转率较高，只要净利率偏低或持续转负，资本回报依然会明显恶化；对思美传媒而言，杠杆上升还会进一步放大低利润模式的脆弱性。由此可见，人工智能应用层企业盈利优劣的根本分野，不在于有没有收入规模或杠杆高不高，而在于收入最终能否有效转化为利润。</w:t>
      </w:r>
    </w:p>
    <w:p w14:paraId="57B0DB3D">
      <w:pPr>
        <w:spacing w:line="400" w:lineRule="exact"/>
        <w:ind w:firstLine="0"/>
        <w:jc w:val="left"/>
      </w:pPr>
      <w:r>
        <w:rPr>
          <w:rFonts w:ascii="宋体" w:hAnsi="宋体" w:eastAsia="宋体"/>
          <w:b w:val="0"/>
          <w:sz w:val="24"/>
        </w:rPr>
        <w:t>第四，从问题归纳结果看，两类业务模式的盈利瓶颈具有明显差异。AI独立产品型企业的核心问题在于AI产品商业化周期偏长、销售与研发投入较高、传统业务与新业务之间存在结构性挤压；AI业务赋能型企业的核心问题则在于盈利高度依赖原有主业质量，AI更容易提升效率，却未必能够突破原行业利润率和定价能力的约束。也就是说，产品型企业更多面临高附加值如何变成稳定利润的问题，赋能型企业更多面临AI提效如何真正转化为利润的问题。</w:t>
      </w:r>
    </w:p>
    <w:p w14:paraId="6AADFF20">
      <w:pPr>
        <w:autoSpaceDE/>
        <w:autoSpaceDN/>
        <w:snapToGrid/>
        <w:spacing w:before="156" w:beforeLines="50" w:after="156" w:afterLines="50" w:line="400" w:lineRule="exact"/>
        <w:ind w:firstLineChars="0" w:firstLine="0"/>
        <w:jc w:val="left"/>
        <w:outlineLvl w:val="2"/>
      </w:pPr>
      <w:r>
        <w:rPr>
          <w:rFonts w:ascii="宋体" w:hAnsi="宋体" w:eastAsia="宋体"/>
          <w:b w:val="0"/>
          <w:sz w:val="24"/>
        </w:rPr>
        <w:t>综上，本章的实证分析已经较为清晰地回答了本研究关于模式差异</w:t>
      </w:r>
      <w:r>
        <w:rPr>
          <w:rFonts w:hint="eastAsia" w:ascii="宋体" w:hAnsi="宋体" w:eastAsia="宋体"/>
          <w:b w:val="0"/>
          <w:sz w:val="24"/>
          <w:lang w:eastAsia="zh-CN"/>
        </w:rPr>
        <w:t>、</w:t>
      </w:r>
      <w:r>
        <w:rPr>
          <w:rFonts w:ascii="宋体" w:hAnsi="宋体" w:eastAsia="宋体"/>
          <w:b w:val="0"/>
          <w:sz w:val="24"/>
        </w:rPr>
        <w:t>成因机制</w:t>
      </w:r>
      <w:r>
        <w:rPr>
          <w:rFonts w:hint="eastAsia" w:ascii="宋体" w:hAnsi="宋体" w:eastAsia="宋体"/>
          <w:b w:val="0"/>
          <w:sz w:val="24"/>
          <w:lang w:eastAsia="zh-CN"/>
        </w:rPr>
        <w:t>、</w:t>
      </w:r>
      <w:r>
        <w:rPr>
          <w:rFonts w:hint="eastAsia" w:ascii="宋体" w:hAnsi="宋体" w:eastAsia="宋体"/>
          <w:b w:val="0"/>
          <w:sz w:val="24"/>
          <w:lang w:val="en-US" w:eastAsia="zh-CN"/>
        </w:rPr>
        <w:t>盈利瓶颈等</w:t>
      </w:r>
      <w:r>
        <w:rPr>
          <w:rFonts w:ascii="宋体" w:hAnsi="宋体" w:eastAsia="宋体"/>
          <w:b w:val="0"/>
          <w:sz w:val="24"/>
        </w:rPr>
        <w:t>核心问题，也为下一章提出有针对性的盈利能力提升对策奠定了基础。后续对策设计应紧扣本章所识别的三类关键约束，即商业化转化效率、成本费用吸收能力以及原有主业利润结构，分别针对AI独立产品型企业与AI业务赋能型企业提出差异化改进路径。</w:t>
      </w:r>
    </w:p>
    <w:p w14:paraId="420B6945">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0"/>
        <w:textAlignment w:val="auto"/>
        <w:rPr>
          <w:rFonts w:hint="default" w:ascii="Times New Roman" w:hAnsi="Times New Roman" w:cs="Times New Roman"/>
          <w:szCs w:val="22"/>
          <w:lang w:val="en-US" w:eastAsia="zh-CN"/>
        </w:rPr>
      </w:pPr>
    </w:p>
    <w:p w14:paraId="38ACC270">
      <w:pPr>
        <w:spacing w:line="400" w:lineRule="exact"/>
        <w:ind w:firstLine="0"/>
        <w:rPr>
          <w:rFonts w:hint="default" w:ascii="Times New Roman" w:hAnsi="Times New Roman" w:cs="Times New Roman"/>
          <w:szCs w:val="22"/>
          <w:lang w:val="en-US" w:eastAsia="zh-CN"/>
        </w:rPr>
      </w:pPr>
    </w:p>
    <w:p w14:paraId="2E18A108">
      <w:pPr>
        <w:pStyle w:val="2"/>
        <w:numPr>
          <w:ilvl w:val="0"/>
          <w:numId w:val="8"/>
        </w:numPr>
        <w:bidi w:val="0"/>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人工智能应用层中小企业盈利能力提升对策</w:t>
      </w:r>
    </w:p>
    <w:p w14:paraId="249E931D">
      <w:pPr>
        <w:spacing w:line="400" w:lineRule="exact"/>
        <w:ind w:firstLineChars="0" w:firstLine="0"/>
        <w:jc w:val="left"/>
        <w:rPr>
          <w:rFonts w:hint="eastAsia"/>
          <w:lang w:val="en-US" w:eastAsia="zh-CN"/>
        </w:rPr>
      </w:pPr>
      <w:r>
        <w:rPr>
          <w:rFonts w:ascii="宋体" w:hAnsi="宋体" w:eastAsia="宋体"/>
          <w:b w:val="0"/>
          <w:sz w:val="24"/>
        </w:rPr>
        <w:t>前文基于2020—2024年样本的熵权法、杜邦分析和盈利瓶颈归纳表明，A股人工智能应用层中小企业的盈利约束并非同质化存在，而是随着业务模式不同而呈现出明显差异。基于此，本章不再从一般性的财务改善角度提出宽泛建议，而是对应上一章已经识别出的差异化问题，分别从AI独立产品型企业和AI业务赋能型企业两个维度讨论盈利能力提升的可能路径。</w:t>
      </w:r>
    </w:p>
    <w:p w14:paraId="7B4FCE50">
      <w:pPr>
        <w:pStyle w:val="3"/>
        <w:bidi w:val="0"/>
        <w:spacing w:line="400" w:lineRule="exact"/>
        <w:ind w:firstLine="0"/>
        <w:jc w:val="left"/>
        <w:rPr>
          <w:rFonts w:hint="default"/>
          <w:lang w:val="en-US" w:eastAsia="zh-CN"/>
        </w:rPr>
      </w:pPr>
      <w:r>
        <w:rPr>
          <w:rFonts w:hint="default" w:ascii="黑体" w:hAnsi="黑体" w:eastAsia="黑体"/>
          <w:b/>
          <w:sz w:val="28"/>
          <w:lang w:val="en-US" w:eastAsia="zh-CN"/>
        </w:rPr>
        <w:t>6.1 AI独立产品型企业盈利能力提升对策</w:t>
      </w:r>
    </w:p>
    <w:p w14:paraId="660A8CC5">
      <w:pPr>
        <w:spacing w:line="400" w:lineRule="exact"/>
        <w:ind w:firstLineChars="0" w:firstLine="0"/>
        <w:jc w:val="left"/>
      </w:pPr>
      <w:r>
        <w:rPr>
          <w:rFonts w:ascii="宋体" w:hAnsi="宋体" w:eastAsia="宋体"/>
          <w:b w:val="0"/>
          <w:sz w:val="24"/>
        </w:rPr>
        <w:t>根据上一章的典型样本分析，AI独立产品型企业较为突出的矛盾并不在于产品缺乏技术附加值，而在于较高毛利尚未充分转化为较高净利。基于这一特征，相关改善路径可主要从缩短AI产品商业化兑现周期、优化与产品成熟度相匹配的费用投放机制，以及促进传统业务与AI新业务协同结构调整三个方面展开。</w:t>
      </w:r>
    </w:p>
    <w:p w14:paraId="1DFB64B5">
      <w:pPr>
        <w:spacing w:line="400" w:lineRule="exact"/>
        <w:ind w:firstLineChars="0" w:firstLine="0"/>
        <w:rPr>
          <w:rFonts w:hint="default"/>
          <w:lang w:val="en-US" w:eastAsia="zh-CN"/>
        </w:rPr>
      </w:pPr>
    </w:p>
    <w:p w14:paraId="7FB4D733">
      <w:pPr>
        <w:pStyle w:val="4"/>
        <w:bidi w:val="0"/>
        <w:spacing w:line="400" w:lineRule="exact"/>
        <w:ind w:firstLine="0"/>
        <w:jc w:val="left"/>
        <w:rPr>
          <w:rFonts w:hint="eastAsia"/>
        </w:rPr>
      </w:pPr>
      <w:r>
        <w:rPr>
          <w:rFonts w:ascii="黑体" w:hAnsi="黑体" w:eastAsia="黑体"/>
          <w:b/>
          <w:sz w:val="24"/>
        </w:rPr>
        <w:t>6.1.1 提升AI产品商业化变现效率</w:t>
      </w:r>
    </w:p>
    <w:p w14:paraId="45BB97AA">
      <w:pPr>
        <w:spacing w:line="400" w:lineRule="exact"/>
        <w:ind w:firstLineChars="0" w:firstLine="0"/>
        <w:jc w:val="left"/>
      </w:pPr>
      <w:r>
        <w:rPr>
          <w:rFonts w:ascii="宋体" w:hAnsi="宋体" w:eastAsia="宋体"/>
          <w:b w:val="0"/>
          <w:sz w:val="24"/>
        </w:rPr>
        <w:t>对于AI独立产品型企业而言，较为突出的约束在于产品能否较顺畅地实现销售并形成持续收入。现有样本表明，这类企业通常能够依靠技术和产品获得较高毛利空间，但从研发、试点、验证到规模复制的链条往往相对较长，进而影响人工智能产品或服务的商业化变现效率。Stanford HAI发布的《AI Index Report 2025》指出，企业AI采用率持续提升，但经济回报的形成通常依赖于模型能力嵌入具体业务流程并形成可重复交付的应用场景</w:t>
      </w:r>
      <w:r>
        <w:rPr>
          <w:rFonts w:ascii="宋体" w:hAnsi="宋体" w:eastAsia="宋体"/>
          <w:b w:val="0"/>
          <w:sz w:val="24"/>
          <w:vertAlign w:val="superscript"/>
        </w:rPr>
        <w:t>[49]</w:t>
      </w:r>
      <w:r>
        <w:rPr>
          <w:rFonts w:ascii="宋体" w:hAnsi="宋体" w:eastAsia="宋体"/>
          <w:b w:val="0"/>
          <w:sz w:val="24"/>
        </w:rPr>
        <w:t>；Teece（1986）关于技术创新获利的经典研究也表明，创新本身并不必然直接转化为利润，企业还需要具备与之相匹配的互补性资产和商业化能力</w:t>
      </w:r>
      <w:r>
        <w:rPr>
          <w:rFonts w:ascii="宋体" w:hAnsi="宋体" w:eastAsia="宋体"/>
          <w:b w:val="0"/>
          <w:sz w:val="24"/>
          <w:vertAlign w:val="superscript"/>
        </w:rPr>
        <w:t>[50]</w:t>
      </w:r>
      <w:r>
        <w:rPr>
          <w:rFonts w:ascii="宋体" w:hAnsi="宋体" w:eastAsia="宋体"/>
          <w:b w:val="0"/>
          <w:sz w:val="24"/>
        </w:rPr>
        <w:t>。</w:t>
      </w:r>
    </w:p>
    <w:p w14:paraId="2F159F2D">
      <w:pPr>
        <w:spacing w:line="400" w:lineRule="exact"/>
        <w:ind w:firstLineChars="0" w:firstLine="0"/>
        <w:jc w:val="left"/>
      </w:pPr>
      <w:r>
        <w:rPr>
          <w:rFonts w:ascii="宋体" w:hAnsi="宋体" w:eastAsia="宋体"/>
          <w:b w:val="0"/>
          <w:sz w:val="24"/>
        </w:rPr>
        <w:t>结合上述事实，AI独立产品型企业在提升变现能力时，可重点关注三个方面。</w:t>
      </w:r>
    </w:p>
    <w:p w14:paraId="1A04C1F8">
      <w:pPr>
        <w:spacing w:line="400" w:lineRule="exact"/>
        <w:ind w:firstLineChars="0" w:firstLine="0"/>
        <w:jc w:val="left"/>
      </w:pPr>
      <w:r>
        <w:rPr>
          <w:rFonts w:ascii="宋体" w:hAnsi="宋体" w:eastAsia="宋体"/>
          <w:b w:val="0"/>
          <w:sz w:val="24"/>
        </w:rPr>
        <w:t>首先，可进一步推动产品标准化和模块化，减少每获得一个客户就重新定制开发一遍的交付方式，提升模型、算法、工具链和场景模块的复用率，并使收入来源逐步由一次性项目交付向软件许可、订阅服务、运维服务和持续升级服务延伸。</w:t>
      </w:r>
    </w:p>
    <w:p w14:paraId="2B264324">
      <w:pPr>
        <w:spacing w:line="400" w:lineRule="exact"/>
        <w:ind w:firstLineChars="0" w:firstLine="0"/>
        <w:jc w:val="left"/>
      </w:pPr>
      <w:r>
        <w:rPr>
          <w:rFonts w:ascii="宋体" w:hAnsi="宋体" w:eastAsia="宋体"/>
          <w:b w:val="0"/>
          <w:sz w:val="24"/>
        </w:rPr>
        <w:t>其次，可建立更强调转化效率的AI项目评估机制，在签约数量、演示效果或技术指标之外，将单客户生命周期价值、续费率、交付毛利率、回款周期等纳入考量，以便更审慎地识别长期难以形成规模收入的试点项目。</w:t>
      </w:r>
    </w:p>
    <w:p w14:paraId="02F78474">
      <w:pPr>
        <w:numPr>
          <w:ilvl w:val="0"/>
          <w:numId w:val="0"/>
        </w:numPr>
        <w:spacing w:line="400" w:lineRule="exact"/>
        <w:ind w:firstLineChars="0" w:firstLine="0"/>
        <w:jc w:val="left"/>
      </w:pPr>
      <w:r>
        <w:rPr>
          <w:rFonts w:ascii="宋体" w:hAnsi="宋体" w:eastAsia="宋体"/>
          <w:b w:val="0"/>
          <w:sz w:val="24"/>
        </w:rPr>
        <w:t>此外，商业化复制通常更适合依托已有客户基础和优势渠道推进，而不宜在多个异质化场景同步分散试错。例如，对于教育AI企业，在已具备内容资源、渠道基础和区域示范效应的场景中推进产品复制，往往更有利于提高转化效率；对于行业解决方案企业，在交通、政务、工业等已有存量客户内部推进增购和模块扩展，也更可能形成较稳定的收入延伸。</w:t>
      </w:r>
    </w:p>
    <w:p w14:paraId="39025CDB">
      <w:pPr>
        <w:numPr>
          <w:ilvl w:val="0"/>
          <w:numId w:val="0"/>
        </w:numPr>
        <w:spacing w:line="400" w:lineRule="exact"/>
        <w:ind w:firstLineChars="0" w:firstLine="0"/>
        <w:jc w:val="left"/>
      </w:pPr>
      <w:r>
        <w:rPr>
          <w:rFonts w:ascii="宋体" w:hAnsi="宋体" w:eastAsia="宋体"/>
          <w:b w:val="0"/>
          <w:sz w:val="24"/>
        </w:rPr>
        <w:t>总体来看，当AI能力逐步转化为可标准化销售的产品时，AI独立产品型企业的高毛利优势更有可能进一步体现为较稳定的利润表现。</w:t>
      </w:r>
    </w:p>
    <w:p w14:paraId="327249AA">
      <w:pPr>
        <w:pStyle w:val="4"/>
        <w:bidi w:val="0"/>
        <w:spacing w:line="400" w:lineRule="exact"/>
        <w:ind w:firstLine="0"/>
        <w:jc w:val="left"/>
        <w:rPr>
          <w:rFonts w:hint="eastAsia"/>
        </w:rPr>
      </w:pPr>
      <w:r>
        <w:rPr>
          <w:rFonts w:hint="eastAsia" w:ascii="黑体" w:hAnsi="黑体" w:eastAsia="黑体"/>
          <w:b/>
          <w:sz w:val="24"/>
        </w:rPr>
        <w:t xml:space="preserve">6.1.2 </w:t>
      </w:r>
      <w:r>
        <w:rPr>
          <w:rFonts w:hint="eastAsia" w:ascii="黑体" w:hAnsi="黑体" w:eastAsia="黑体"/>
          <w:b/>
          <w:sz w:val="24"/>
          <w:lang w:val="en-US" w:eastAsia="zh-CN"/>
        </w:rPr>
        <w:t>优化</w:t>
      </w:r>
      <w:r>
        <w:rPr>
          <w:rFonts w:hint="eastAsia" w:ascii="黑体" w:hAnsi="黑体" w:eastAsia="黑体"/>
          <w:b/>
          <w:sz w:val="24"/>
        </w:rPr>
        <w:t>费用投放机制</w:t>
      </w:r>
    </w:p>
    <w:p w14:paraId="120B89E8">
      <w:pPr>
        <w:numPr>
          <w:ilvl w:val="0"/>
          <w:numId w:val="0"/>
        </w:numPr>
        <w:spacing w:line="400" w:lineRule="exact"/>
        <w:ind w:firstLineChars="0" w:firstLine="0"/>
        <w:jc w:val="left"/>
        <w:rPr>
          <w:rFonts w:hint="eastAsia"/>
        </w:rPr>
      </w:pPr>
      <w:r>
        <w:rPr>
          <w:rFonts w:ascii="宋体" w:hAnsi="宋体" w:eastAsia="宋体"/>
          <w:b w:val="0"/>
          <w:sz w:val="24"/>
        </w:rPr>
        <w:t>AI独立产品型企业的第二个关键问题在于，研发投入和销售投入虽然具有必要性，但当投放节奏与产品成熟度不够匹配时，往往会对利润率形成持续挤压。</w:t>
      </w:r>
    </w:p>
    <w:p w14:paraId="62668011">
      <w:pPr>
        <w:numPr>
          <w:ilvl w:val="0"/>
          <w:numId w:val="0"/>
        </w:numPr>
        <w:spacing w:line="400" w:lineRule="exact"/>
        <w:ind w:firstLineChars="0" w:firstLine="0"/>
        <w:jc w:val="left"/>
        <w:rPr>
          <w:rFonts w:hint="eastAsia"/>
        </w:rPr>
      </w:pPr>
      <w:r>
        <w:rPr>
          <w:rFonts w:ascii="宋体" w:hAnsi="宋体" w:eastAsia="宋体"/>
          <w:b w:val="0"/>
          <w:sz w:val="24"/>
        </w:rPr>
        <w:t>据此，AI独立产品型企业可考虑建立与产品成熟阶段相适配的费用投放机制。处于产品验证阶段的项目，资源配置通常更适合优先用于核心技术迭代、场景适配和稳定性提升，同时对营销团队扩张和推广预算保持相对谨慎，以减少产品尚未具备稳定复用能力时销售费用率过快上升的情况；处于复制扩张阶段的项目，则可适度降低重复研发和低复用定制开发的比重，并将更多资源配置到渠道建设、客户成功体系和售后服务能力上，从而改善单项目毛利和客户留存表现。</w:t>
      </w:r>
    </w:p>
    <w:p w14:paraId="6019F5C1">
      <w:pPr>
        <w:numPr>
          <w:ilvl w:val="0"/>
          <w:numId w:val="0"/>
        </w:numPr>
        <w:spacing w:line="400" w:lineRule="exact"/>
        <w:ind w:firstLineChars="0" w:firstLine="0"/>
        <w:jc w:val="left"/>
        <w:rPr>
          <w:rFonts w:hint="eastAsia"/>
        </w:rPr>
      </w:pPr>
      <w:r>
        <w:rPr>
          <w:rFonts w:ascii="宋体" w:hAnsi="宋体" w:eastAsia="宋体"/>
          <w:b w:val="0"/>
          <w:sz w:val="24"/>
        </w:rPr>
        <w:t>同时，企业还可将研发费用进一步区分为基础能力研发、场景适配研发和客户定制开发三类，并据此设置不同的预算约束和评估条件。对于能够沉淀为平台能力的基础研发，阶段性利润承压通常具有一定合理性；对于高度定制且复用率较低的开发投入，则更有必要结合后续订单转化和模块沉淀价值进行持续评估，以降低长期被非核心客户需求牵引的风险。若费用投放能够由按部门粗放分配逐步转向按产品成熟度和复用效率进行配置，</w:t>
      </w:r>
      <w:r>
        <w:rPr>
          <w:rFonts w:hint="eastAsia" w:ascii="宋体" w:hAnsi="宋体" w:eastAsia="宋体"/>
          <w:b w:val="0"/>
          <w:sz w:val="24"/>
          <w:lang w:val="en-US" w:eastAsia="zh-CN"/>
        </w:rPr>
        <w:t>AI独立</w:t>
      </w:r>
      <w:r>
        <w:rPr>
          <w:rFonts w:ascii="宋体" w:hAnsi="宋体" w:eastAsia="宋体"/>
          <w:b w:val="0"/>
          <w:sz w:val="24"/>
        </w:rPr>
        <w:t>产品型企业通常更有条件在保持技术迭代能力的同时改善投入产出效率。</w:t>
      </w:r>
    </w:p>
    <w:p w14:paraId="54CA007B">
      <w:pPr>
        <w:pStyle w:val="4"/>
        <w:bidi w:val="0"/>
        <w:spacing w:line="400" w:lineRule="exact"/>
        <w:ind w:firstLine="0"/>
        <w:jc w:val="left"/>
      </w:pPr>
      <w:r>
        <w:rPr>
          <w:rFonts w:ascii="黑体" w:hAnsi="黑体" w:eastAsia="黑体"/>
          <w:b/>
          <w:sz w:val="24"/>
        </w:rPr>
        <w:t>6.1.3 推动</w:t>
      </w:r>
      <w:r>
        <w:rPr>
          <w:rFonts w:hint="eastAsia" w:ascii="黑体" w:hAnsi="黑体" w:eastAsia="黑体"/>
          <w:b/>
          <w:sz w:val="24"/>
          <w:lang w:val="en-US" w:eastAsia="zh-CN"/>
        </w:rPr>
        <w:t>新旧</w:t>
      </w:r>
      <w:r>
        <w:rPr>
          <w:rFonts w:ascii="黑体" w:hAnsi="黑体" w:eastAsia="黑体"/>
          <w:b/>
          <w:sz w:val="24"/>
        </w:rPr>
        <w:t>业务协同重构</w:t>
      </w:r>
    </w:p>
    <w:p w14:paraId="499DCC1F">
      <w:pPr>
        <w:spacing w:line="400" w:lineRule="exact"/>
        <w:ind w:firstLineChars="0" w:firstLine="0"/>
        <w:jc w:val="left"/>
        <w:rPr>
          <w:rFonts w:hint="default" w:eastAsiaTheme="minorEastAsia"/>
          <w:lang w:val="en-US" w:eastAsia="zh-CN"/>
        </w:rPr>
      </w:pPr>
      <w:r>
        <w:rPr>
          <w:rFonts w:ascii="宋体" w:hAnsi="宋体" w:eastAsia="宋体"/>
          <w:b w:val="0"/>
          <w:sz w:val="24"/>
        </w:rPr>
        <w:t>上一章已经指出，AI独立产品型企业的第三个突出问题，在于部分企业虽然布局了AI新产品，但原有低毛利主业并未同步优化，导致新业务释放的利润增量被传统业务压力所稀释。围绕这一问题，相关调整更适合从业务协同和结构优化的角度加以理解。</w:t>
      </w:r>
    </w:p>
    <w:p w14:paraId="4D575A4C">
      <w:pPr>
        <w:numPr>
          <w:ilvl w:val="0"/>
          <w:numId w:val="17"/>
        </w:numPr>
        <w:spacing w:line="400" w:lineRule="exact"/>
        <w:ind w:firstLineChars="0" w:firstLine="0"/>
        <w:jc w:val="left"/>
      </w:pPr>
      <w:r>
        <w:rPr>
          <w:rFonts w:ascii="宋体" w:hAnsi="宋体" w:eastAsia="宋体"/>
          <w:b w:val="0"/>
          <w:sz w:val="24"/>
        </w:rPr>
        <w:t>可围绕AI新业务的盈利逻辑重新审视资源配置优先级，将高附加值、可复制、可持续收费的AI业务作为重点培育对象，并相对收缩对低毛利、低复购、价格竞争激烈业务的资源投入。</w:t>
      </w:r>
    </w:p>
    <w:p w14:paraId="2C7425A4">
      <w:pPr>
        <w:numPr>
          <w:ilvl w:val="0"/>
          <w:numId w:val="17"/>
        </w:numPr>
        <w:spacing w:line="400" w:lineRule="exact"/>
        <w:ind w:firstLineChars="0" w:firstLine="0"/>
        <w:jc w:val="left"/>
      </w:pPr>
      <w:r>
        <w:rPr>
          <w:rFonts w:ascii="宋体" w:hAnsi="宋体" w:eastAsia="宋体"/>
          <w:b w:val="0"/>
          <w:sz w:val="24"/>
        </w:rPr>
        <w:t>也可推动传统业务为AI新业务提供真实场景、客户渠道和数据沉淀，而不是使两者长期割裂运行。对于拥有存量客户基础的企业，将传统业务客户转化为AI产品的首批验证对象和增购对象，通常有助于降低获客成本并提升产品验证效率。</w:t>
      </w:r>
    </w:p>
    <w:p w14:paraId="621BE55C">
      <w:pPr>
        <w:numPr>
          <w:ilvl w:val="0"/>
          <w:numId w:val="17"/>
        </w:numPr>
        <w:spacing w:line="400" w:lineRule="exact"/>
        <w:ind w:left="0" w:leftChars="0" w:firstLineChars="0" w:firstLine="0"/>
        <w:jc w:val="left"/>
      </w:pPr>
      <w:r>
        <w:rPr>
          <w:rFonts w:ascii="宋体" w:hAnsi="宋体" w:eastAsia="宋体"/>
          <w:b w:val="0"/>
          <w:sz w:val="24"/>
        </w:rPr>
        <w:t>还可围绕AI产品逐步形成更长期的收入结构，如订阅、运维、培训、增值功能和数据服务等，以持续服务增强客户粘性，并降低AI新业务在初</w:t>
      </w:r>
      <w:r>
        <w:rPr>
          <w:rFonts w:hint="eastAsia" w:ascii="宋体" w:hAnsi="宋体" w:eastAsia="宋体"/>
          <w:b w:val="0"/>
          <w:sz w:val="24"/>
          <w:lang w:val="en-US" w:eastAsia="zh-CN"/>
        </w:rPr>
        <w:t>次</w:t>
      </w:r>
      <w:r>
        <w:rPr>
          <w:rFonts w:ascii="宋体" w:hAnsi="宋体" w:eastAsia="宋体"/>
          <w:b w:val="0"/>
          <w:sz w:val="24"/>
        </w:rPr>
        <w:t>交付后缺乏后续收益来源的风险。</w:t>
      </w:r>
    </w:p>
    <w:p w14:paraId="33DADE8B">
      <w:pPr>
        <w:numPr>
          <w:ilvl w:val="0"/>
          <w:numId w:val="0"/>
        </w:numPr>
        <w:spacing w:line="400" w:lineRule="exact"/>
        <w:ind w:firstLineChars="0" w:firstLine="0"/>
        <w:jc w:val="left"/>
      </w:pPr>
      <w:r>
        <w:rPr>
          <w:rFonts w:ascii="宋体" w:hAnsi="宋体" w:eastAsia="宋体"/>
          <w:b w:val="0"/>
          <w:sz w:val="24"/>
        </w:rPr>
        <w:t>总体来看，当传统业务与AI新业务之间形成较好的协同关系，而非彼此掣肘时，AI独立产品型企业的高附加值能力通常更有可能逐步体现为较稳定的盈利结果。</w:t>
      </w:r>
    </w:p>
    <w:p w14:paraId="70696568">
      <w:pPr>
        <w:pStyle w:val="3"/>
        <w:bidi w:val="0"/>
        <w:spacing w:line="400" w:lineRule="exact"/>
        <w:ind w:firstLine="0"/>
        <w:jc w:val="left"/>
        <w:rPr>
          <w:rFonts w:hint="default"/>
          <w:lang w:val="en-US" w:eastAsia="zh-CN"/>
        </w:rPr>
      </w:pPr>
      <w:r>
        <w:rPr>
          <w:rFonts w:hint="default" w:ascii="黑体" w:hAnsi="黑体" w:eastAsia="黑体"/>
          <w:b/>
          <w:sz w:val="28"/>
          <w:lang w:val="en-US" w:eastAsia="zh-CN"/>
        </w:rPr>
        <w:t>6.</w:t>
      </w:r>
      <w:r>
        <w:rPr>
          <w:rFonts w:hint="eastAsia" w:ascii="黑体" w:hAnsi="黑体" w:eastAsia="黑体"/>
          <w:b/>
          <w:sz w:val="28"/>
          <w:lang w:val="en-US" w:eastAsia="zh-CN"/>
        </w:rPr>
        <w:t>2</w:t>
      </w:r>
      <w:r>
        <w:rPr>
          <w:rFonts w:hint="default" w:ascii="黑体" w:hAnsi="黑体" w:eastAsia="黑体"/>
          <w:b/>
          <w:sz w:val="28"/>
          <w:lang w:val="en-US" w:eastAsia="zh-CN"/>
        </w:rPr>
        <w:t xml:space="preserve"> AI业务赋能型企业盈利能力提升对策</w:t>
      </w:r>
    </w:p>
    <w:p w14:paraId="78775179">
      <w:pPr>
        <w:spacing w:line="400" w:lineRule="exact"/>
        <w:ind w:firstLineChars="0" w:firstLine="0"/>
        <w:jc w:val="left"/>
      </w:pPr>
      <w:r>
        <w:rPr>
          <w:rFonts w:ascii="宋体" w:hAnsi="宋体" w:eastAsia="宋体"/>
          <w:b w:val="0"/>
          <w:sz w:val="24"/>
        </w:rPr>
        <w:t>与AI独立产品型企业相比，AI业务赋能型企业面临的问题更集中在AI能否真正改变原有主业盈利结构这一层面。基于这一特征，其盈利能力改善路径通常可从夯实高质量主业基础、推动AI由效率工具向价值定价能力延伸，以及通过流程协同和回款管理提高赋能收益兑现效率三个方面展开。</w:t>
      </w:r>
    </w:p>
    <w:p w14:paraId="1EE6A59C">
      <w:pPr>
        <w:pStyle w:val="4"/>
        <w:bidi w:val="0"/>
        <w:spacing w:line="400" w:lineRule="exact"/>
        <w:ind w:firstLine="0"/>
        <w:jc w:val="left"/>
        <w:rPr>
          <w:rFonts w:hint="eastAsia" w:eastAsia="黑体"/>
          <w:lang w:val="en-US" w:eastAsia="zh-CN"/>
        </w:rPr>
      </w:pPr>
      <w:r>
        <w:rPr>
          <w:rFonts w:ascii="黑体" w:hAnsi="黑体" w:eastAsia="黑体"/>
          <w:b/>
          <w:sz w:val="24"/>
        </w:rPr>
        <w:t xml:space="preserve">6.2.1 </w:t>
      </w:r>
      <w:r>
        <w:rPr>
          <w:rFonts w:hint="eastAsia" w:ascii="黑体" w:hAnsi="黑体" w:eastAsia="黑体"/>
          <w:b/>
          <w:sz w:val="24"/>
          <w:lang w:val="en-US" w:eastAsia="zh-CN"/>
        </w:rPr>
        <w:t>优化</w:t>
      </w:r>
      <w:r>
        <w:rPr>
          <w:rFonts w:ascii="黑体" w:hAnsi="黑体" w:eastAsia="黑体"/>
          <w:b/>
          <w:sz w:val="24"/>
        </w:rPr>
        <w:t>AI深度赋能</w:t>
      </w:r>
      <w:r>
        <w:rPr>
          <w:rFonts w:hint="eastAsia" w:ascii="黑体" w:hAnsi="黑体" w:eastAsia="黑体"/>
          <w:b/>
          <w:sz w:val="24"/>
          <w:lang w:val="en-US" w:eastAsia="zh-CN"/>
        </w:rPr>
        <w:t>策略</w:t>
      </w:r>
    </w:p>
    <w:p w14:paraId="1D028627">
      <w:pPr>
        <w:spacing w:line="400" w:lineRule="exact"/>
        <w:ind w:firstLineChars="0" w:firstLine="0"/>
        <w:jc w:val="left"/>
      </w:pPr>
      <w:r>
        <w:rPr>
          <w:rFonts w:ascii="宋体" w:hAnsi="宋体" w:eastAsia="宋体"/>
          <w:b w:val="0"/>
          <w:sz w:val="24"/>
        </w:rPr>
        <w:t>AI业务赋能型企业在推进AI战略时，通常需要首先围绕主业质量进行资源聚焦。对原有主业具备较高毛利率、较强用户粘性和较好现金流基础的企业，继续加深AI在研发、运营、营销、客服和供应链环节的嵌入程度，往往更有利于放大既有利润优势；对长期低毛利、低议价、强平台依赖的业务，则有必要重新评估其是否适合作为AI深度赋能的核心载体，并视情况压缩相关业务比重，将有限资源集中到更具附加值和差异化空间的场景中。换言之，AI赋能型企业未必适合把AI均匀投向所有业务，而更适合优先布局那些原本就具备较好利润底盘、且AI介入后更可能提升价值捕获能力的业务环节。</w:t>
      </w:r>
    </w:p>
    <w:p w14:paraId="7F026331">
      <w:pPr>
        <w:pStyle w:val="4"/>
        <w:bidi w:val="0"/>
        <w:spacing w:line="400" w:lineRule="exact"/>
        <w:ind w:firstLine="0"/>
        <w:jc w:val="left"/>
        <w:rPr>
          <w:rFonts w:hint="eastAsia"/>
          <w:lang w:val="en-US" w:eastAsia="zh-CN"/>
        </w:rPr>
      </w:pPr>
      <w:r>
        <w:rPr>
          <w:rFonts w:ascii="黑体" w:hAnsi="黑体" w:eastAsia="黑体"/>
          <w:b/>
          <w:sz w:val="24"/>
        </w:rPr>
        <w:t xml:space="preserve">6.2.2 </w:t>
      </w:r>
      <w:r>
        <w:rPr>
          <w:rFonts w:hint="eastAsia" w:ascii="黑体" w:hAnsi="黑体" w:eastAsia="黑体"/>
          <w:b/>
          <w:sz w:val="24"/>
        </w:rPr>
        <w:t>强化AI价值转化</w:t>
      </w:r>
      <w:r>
        <w:rPr>
          <w:rFonts w:hint="eastAsia" w:ascii="黑体" w:hAnsi="黑体" w:eastAsia="黑体"/>
          <w:b/>
          <w:sz w:val="24"/>
          <w:lang w:val="en-US" w:eastAsia="zh-CN"/>
        </w:rPr>
        <w:t>能力</w:t>
      </w:r>
    </w:p>
    <w:p w14:paraId="0A4D2B3C">
      <w:pPr>
        <w:spacing w:line="400" w:lineRule="exact"/>
        <w:ind w:firstLineChars="0" w:firstLine="0"/>
        <w:jc w:val="left"/>
      </w:pPr>
      <w:r>
        <w:rPr>
          <w:rFonts w:ascii="宋体" w:hAnsi="宋体" w:eastAsia="宋体"/>
          <w:b w:val="0"/>
          <w:sz w:val="24"/>
        </w:rPr>
        <w:t>AI业务赋能型企业的第二个关键问题在于，AI应用往往首先表现为降本增效，但如果这一过程不能进一步转化为客户愿意付费的差异化能力，其盈利贡献通常会呈现出较强的间接性和滞后性。上一章的分析已经表明，AI赋能型企业内部盈利分化较大，其背后一个重要原因在于：部分企业能够把AI能力嵌入高附加值服务之中，而另一些企业则更多停留在后台效率优化。巨人网络通过AI增强玩法创新、用户交互和内容生成，实际上已经在部分场景中推动AI由效率工具向产品体验和用户价值创造层面延伸；世纪天鸿则在2024年年报中提出，正依托内容研发优势、语料资源和教育渠道推进AI教育产品试点，并将AI嵌入教师端和教育内容服务链条。这类路径的共同特征在于，AI不再只是内部提效工具，而逐步表现为客户可感知、可区别、也可能愿意为之付费的服务能力。</w:t>
      </w:r>
    </w:p>
    <w:p w14:paraId="1EC308A9">
      <w:pPr>
        <w:spacing w:line="400" w:lineRule="exact"/>
        <w:ind w:firstLineChars="0" w:firstLine="0"/>
        <w:jc w:val="left"/>
      </w:pPr>
      <w:r>
        <w:rPr>
          <w:rFonts w:ascii="宋体" w:hAnsi="宋体" w:eastAsia="宋体"/>
          <w:b w:val="0"/>
          <w:sz w:val="24"/>
        </w:rPr>
        <w:t>据此，AI业务赋能型企业可考虑把赋能重点由内部节约成本逐步延伸至差异化定价能力的形成。具体而言，企业可以围绕智能投放、智能客服、智能内容生成、智能运营诊断、智能风控、个性化推荐等功能，将AI能力封装为可单独计价的服务模块或增值服务包，并通过服务等级、功能深度和客户分层形成差异化收费逻辑。在这一过程中，更值得关注的并不是功能数量本身，而是客户能否感知AI带来的转化提升、效率改进和服务体验改善。若客户更多看到的是企业内部成本下降，而较难感知自身价值提升，则AI赋能对价格和利润的带动作用往往相对有限；相反，当AI能力逐步由后台工具上升为前台价值时，AI业务赋能型企业突破原行业利润率约束的可能性通常会相应提高。</w:t>
      </w:r>
    </w:p>
    <w:p w14:paraId="11F543BE">
      <w:pPr>
        <w:pStyle w:val="4"/>
        <w:bidi w:val="0"/>
        <w:spacing w:line="400" w:lineRule="exact"/>
        <w:ind w:firstLine="0"/>
        <w:jc w:val="left"/>
      </w:pPr>
      <w:r>
        <w:rPr>
          <w:rFonts w:ascii="黑体" w:hAnsi="黑体" w:eastAsia="黑体"/>
          <w:b/>
          <w:sz w:val="24"/>
        </w:rPr>
        <w:t>6.2.3 强化流程协同和回款管理</w:t>
      </w:r>
    </w:p>
    <w:p w14:paraId="178CDBD9">
      <w:pPr>
        <w:spacing w:line="400" w:lineRule="exact"/>
        <w:ind w:firstLineChars="0" w:firstLine="0"/>
        <w:jc w:val="left"/>
      </w:pPr>
      <w:r>
        <w:rPr>
          <w:rFonts w:ascii="宋体" w:hAnsi="宋体" w:eastAsia="宋体"/>
          <w:b w:val="0"/>
          <w:sz w:val="24"/>
        </w:rPr>
        <w:t>AI业务赋能型企业的第三个问题在于，即使AI应用能够改善运营效率，若业务流程、合同机制和回款管理没有同步优化，其收益也往往难以及时兑现为利润和现金流。思美传媒2024年年报明确指出，公司采购付款与销售回款之间存在时间差，经营活动现金流量净额与净利润之间因此出现偏离；同时，其应收账款在资产结构中的占比仍然较高。类似地，佳讯飞鸿虽然属于AI独立产品型企业，但其2024年年报也专门提示应收账款风险，并提出将应收账款回收情况纳入责任部门考核指标体系。这些事实表明，AI应用层企业在盈利改善过程中，除了关注收入和技术指标，还需要同步关注盈利兑现效率。</w:t>
      </w:r>
    </w:p>
    <w:p w14:paraId="1B1CD2DC">
      <w:pPr>
        <w:spacing w:line="400" w:lineRule="exact"/>
        <w:ind w:firstLineChars="0" w:firstLine="0"/>
        <w:jc w:val="left"/>
      </w:pPr>
      <w:r>
        <w:rPr>
          <w:rFonts w:ascii="宋体" w:hAnsi="宋体" w:eastAsia="宋体"/>
          <w:b w:val="0"/>
          <w:sz w:val="24"/>
        </w:rPr>
        <w:t>据此，AI业务赋能型企业可进一步从流程协同和回款管理两个方面完善配套机制。</w:t>
      </w:r>
    </w:p>
    <w:p w14:paraId="6F89DD74">
      <w:pPr>
        <w:numPr>
          <w:ilvl w:val="0"/>
          <w:numId w:val="18"/>
        </w:numPr>
        <w:spacing w:line="400" w:lineRule="exact"/>
        <w:ind w:firstLineChars="0" w:firstLine="0"/>
        <w:jc w:val="left"/>
      </w:pPr>
      <w:r>
        <w:rPr>
          <w:rFonts w:ascii="宋体" w:hAnsi="宋体" w:eastAsia="宋体"/>
          <w:b w:val="0"/>
          <w:sz w:val="24"/>
        </w:rPr>
        <w:t>在业务前端将客户信用、付款条件、预算来源和验收标准纳入接单决策，通常有助于降低销售部门单纯追求签约规模而忽视回款风险的情况。</w:t>
      </w:r>
    </w:p>
    <w:p w14:paraId="27730156">
      <w:pPr>
        <w:numPr>
          <w:ilvl w:val="0"/>
          <w:numId w:val="18"/>
        </w:numPr>
        <w:spacing w:line="400" w:lineRule="exact"/>
        <w:ind w:left="0" w:leftChars="0" w:firstLineChars="0" w:firstLine="0"/>
        <w:jc w:val="left"/>
      </w:pPr>
      <w:r>
        <w:rPr>
          <w:rFonts w:ascii="宋体" w:hAnsi="宋体" w:eastAsia="宋体"/>
          <w:b w:val="0"/>
          <w:sz w:val="24"/>
        </w:rPr>
        <w:t>在交付环节适度提高标准化程度，细化阶段性交付成果和验收留痕，也有助于减少因交付边界不清导致的结算延迟。</w:t>
      </w:r>
    </w:p>
    <w:p w14:paraId="0FDB465D">
      <w:pPr>
        <w:numPr>
          <w:ilvl w:val="0"/>
          <w:numId w:val="18"/>
        </w:numPr>
        <w:spacing w:line="400" w:lineRule="exact"/>
        <w:ind w:left="0" w:leftChars="0" w:firstLineChars="0" w:firstLine="0"/>
        <w:jc w:val="left"/>
      </w:pPr>
      <w:r>
        <w:rPr>
          <w:rFonts w:ascii="宋体" w:hAnsi="宋体" w:eastAsia="宋体"/>
          <w:b w:val="0"/>
          <w:sz w:val="24"/>
        </w:rPr>
        <w:t>可将AI项目的经营评价由单一的营收增长指标，逐步扩展为兼顾收入增长、毛利改善、回款周期和现金流贡献的综合评价体系，从而把资金回笼效率纳入业务部门的考量范围。</w:t>
      </w:r>
    </w:p>
    <w:p w14:paraId="44484C71">
      <w:pPr>
        <w:numPr>
          <w:ilvl w:val="0"/>
          <w:numId w:val="18"/>
        </w:numPr>
        <w:spacing w:line="400" w:lineRule="exact"/>
        <w:ind w:left="0" w:leftChars="0" w:firstLineChars="0" w:firstLine="0"/>
        <w:jc w:val="left"/>
      </w:pPr>
      <w:r>
        <w:rPr>
          <w:rFonts w:ascii="宋体" w:hAnsi="宋体" w:eastAsia="宋体"/>
          <w:b w:val="0"/>
          <w:sz w:val="24"/>
        </w:rPr>
        <w:t>对于长期难以通过AI显著改善定价能力、且回款周期过长的低利润业务，通常宜保持相对审慎的扩张节奏，以减少AI投入继续沉淀在低质量收入中的风险。</w:t>
      </w:r>
    </w:p>
    <w:p w14:paraId="31C5C7E0">
      <w:pPr>
        <w:numPr>
          <w:ilvl w:val="0"/>
          <w:numId w:val="0"/>
        </w:numPr>
        <w:spacing w:line="400" w:lineRule="exact"/>
        <w:ind w:firstLineChars="0" w:firstLine="0"/>
        <w:jc w:val="left"/>
      </w:pPr>
      <w:r>
        <w:rPr>
          <w:rFonts w:ascii="宋体" w:hAnsi="宋体" w:eastAsia="宋体"/>
          <w:b w:val="0"/>
          <w:sz w:val="24"/>
        </w:rPr>
        <w:t>总体而言，当AI赋能、流程协同和回款管理能够形成配合时，效率改善更有可能进一步体现为利润和现金流的改善。</w:t>
      </w:r>
    </w:p>
    <w:p w14:paraId="2908AF3F">
      <w:pPr>
        <w:spacing w:line="400" w:lineRule="exact"/>
        <w:ind w:firstLineChars="0" w:firstLine="0"/>
      </w:pPr>
    </w:p>
    <w:p w14:paraId="2F693CA9">
      <w:pPr>
        <w:spacing w:line="400" w:lineRule="exact"/>
        <w:ind w:firstLineChars="0" w:firstLine="0"/>
      </w:pPr>
    </w:p>
    <w:p w14:paraId="4492294B">
      <w:pPr>
        <w:pStyle w:val="2"/>
        <w:numPr>
          <w:ilvl w:val="0"/>
          <w:numId w:val="8"/>
        </w:numPr>
        <w:bidi w:val="0"/>
        <w:spacing w:line="400" w:lineRule="exact"/>
        <w:ind w:left="0" w:leftChars="0" w:firstLineChars="0" w:firstLine="0"/>
        <w:jc w:val="left"/>
      </w:pPr>
      <w:r>
        <w:rPr>
          <w:rFonts w:hint="eastAsia" w:ascii="宋体" w:hAnsi="宋体" w:eastAsia="宋体"/>
          <w:b w:val="0"/>
          <w:sz w:val="24"/>
        </w:rPr>
        <w:t>结语</w:t>
      </w:r>
    </w:p>
    <w:p w14:paraId="4521A6C5">
      <w:pPr>
        <w:pStyle w:val="3"/>
        <w:spacing w:line="400" w:lineRule="exact"/>
        <w:ind w:firstLine="0"/>
        <w:jc w:val="left"/>
      </w:pPr>
      <w:r>
        <w:rPr>
          <w:rFonts w:ascii="黑体" w:hAnsi="黑体" w:eastAsia="黑体"/>
          <w:b/>
          <w:sz w:val="28"/>
        </w:rPr>
        <w:t>7.1 研究结论</w:t>
      </w:r>
    </w:p>
    <w:p w14:paraId="3FAE0FFC">
      <w:pPr>
        <w:spacing w:line="400" w:lineRule="exact"/>
        <w:ind w:firstLineChars="0" w:firstLine="0"/>
        <w:jc w:val="left"/>
      </w:pPr>
      <w:r>
        <w:rPr>
          <w:rFonts w:ascii="宋体" w:hAnsi="宋体" w:eastAsia="宋体"/>
          <w:b w:val="0"/>
          <w:sz w:val="24"/>
        </w:rPr>
        <w:t>本文以2020—2024年73家A股人工智能应用层中小企业为研究对象，围绕总体特征、模式差异、形成机制与优化路径四个层面，对其盈利能力展开了系统分析。综合全文研究，可以得到以下几方面结论。</w:t>
      </w:r>
    </w:p>
    <w:p w14:paraId="357EA184">
      <w:pPr>
        <w:spacing w:line="400" w:lineRule="exact"/>
        <w:ind w:firstLineChars="0" w:firstLine="0"/>
        <w:jc w:val="left"/>
      </w:pPr>
      <w:r>
        <w:rPr>
          <w:rFonts w:ascii="宋体" w:hAnsi="宋体" w:eastAsia="宋体"/>
          <w:b w:val="0"/>
          <w:sz w:val="24"/>
        </w:rPr>
        <w:t>首先，从总体特征看，A股人工智能应用层中小企业已经形成较为清晰的应用层落地格局，但盈利基础整体偏弱，且在样本期后段出现明显走弱。第四章对样本企业人工智能应用落地现状的梳理表明，样本企业主要分布于AI+营销电商、AI+工业智能、AI+内容IP和AI+知识服务等场景，不同场景在商业化模式和价值实现路径上存在显著差异。与此同时，盈利指标的描述性统计结果显示，样本企业ROA中位数由2020年的5.33%下降至2024年的0.77%，ROE中位数由9.04%下降至1.43%，营业净利率中位数由9.997%下降至1.09%。这说明，人工智能应用层中小企业虽然已完成由技术布局向场景落地的初步延伸，但盈利能力并未随着AI布局普遍同步增强，反而在收入增长趋弱、成本率抬升和费用刚性上升的共同作用下呈现出较明显的</w:t>
      </w:r>
      <w:r>
        <w:rPr>
          <w:rFonts w:hint="eastAsia" w:ascii="宋体" w:hAnsi="宋体" w:eastAsia="宋体"/>
          <w:b w:val="0"/>
          <w:sz w:val="24"/>
          <w:lang w:val="en-US" w:eastAsia="zh-CN"/>
        </w:rPr>
        <w:t>盈利压力</w:t>
      </w:r>
      <w:r>
        <w:rPr>
          <w:rFonts w:ascii="宋体" w:hAnsi="宋体" w:eastAsia="宋体"/>
          <w:b w:val="0"/>
          <w:sz w:val="24"/>
        </w:rPr>
        <w:t>。</w:t>
      </w:r>
    </w:p>
    <w:p w14:paraId="57DC719B">
      <w:pPr>
        <w:spacing w:line="400" w:lineRule="exact"/>
        <w:ind w:firstLineChars="0" w:firstLine="0"/>
        <w:jc w:val="left"/>
      </w:pPr>
      <w:r>
        <w:rPr>
          <w:rFonts w:ascii="宋体" w:hAnsi="宋体" w:eastAsia="宋体"/>
          <w:b w:val="0"/>
          <w:sz w:val="24"/>
        </w:rPr>
        <w:t>其次，从业务模式差异看，AI独立产品型企业整体盈利水平高于AI业务赋能型企业，但两者所依赖的盈利逻辑并不相同。熵权法结果显示，AI独立产品型企业平均综合得分为0.3214，高于AI业务赋能型企业的0.2589，且内部波动相对更小。这表明，当企业能够将人工智能能力转化为可独立交付、可单独定价的产品或服务时，通常更容易在营业毛利率、经营利润率和成本结构方面形成相对优势。然而，这一优势并不意味着AI独立产品型企业不存在盈利约束；相反，其高毛利往往仍受到商业化周期、研发销售投入强度以及传统业务挤压的影响。相较之下，AI业务赋能型企业的盈利表现更依赖原有主业质量，AI在多数情况下首先体现为效率改进，而非独立收入来源。由此可见，人工智能应用层企业的盈利差异，并不单纯取决于是否布局AI，而更取决于AI能力以何种方式嵌入企业业务体系并参与价值获取。</w:t>
      </w:r>
    </w:p>
    <w:p w14:paraId="795ACEBC">
      <w:pPr>
        <w:spacing w:line="400" w:lineRule="exact"/>
        <w:ind w:firstLineChars="0" w:firstLine="0"/>
        <w:jc w:val="left"/>
      </w:pPr>
      <w:r>
        <w:rPr>
          <w:rFonts w:ascii="宋体" w:hAnsi="宋体" w:eastAsia="宋体"/>
          <w:b w:val="0"/>
          <w:sz w:val="24"/>
        </w:rPr>
        <w:t>再次，从形成机制看，销售净利率是解释盈利分化的第一变量，总资产周转率更多反映业务模式差异，权益乘数并非主要决定因素。第五章对六家典型样本企业的杜邦分析显示，巨人网络能够在周转率不高、杠杆水平较稳的情况下保持较高ROE，核心在于其长期维持较高销售净利率；思美传媒和天地在线虽然在部分年份周转率并不低，但当净利率偏低甚至转负时，资本回报仍明显走弱；思美传媒后期杠杆上升还进一步放大了低利润模式的脆弱性。这说明，A股人工智能应用层中小企业</w:t>
      </w:r>
      <w:r>
        <w:rPr>
          <w:rFonts w:hint="eastAsia" w:ascii="宋体" w:hAnsi="宋体" w:eastAsia="宋体"/>
          <w:b w:val="0"/>
          <w:sz w:val="24"/>
          <w:lang w:val="en-US" w:eastAsia="zh-CN"/>
        </w:rPr>
        <w:t>盈利能力分化</w:t>
      </w:r>
      <w:r>
        <w:rPr>
          <w:rFonts w:ascii="宋体" w:hAnsi="宋体" w:eastAsia="宋体"/>
          <w:b w:val="0"/>
          <w:sz w:val="24"/>
        </w:rPr>
        <w:t>的</w:t>
      </w:r>
      <w:r>
        <w:rPr>
          <w:rFonts w:hint="eastAsia" w:ascii="宋体" w:hAnsi="宋体" w:eastAsia="宋体"/>
          <w:b w:val="0"/>
          <w:sz w:val="24"/>
          <w:lang w:val="en-US" w:eastAsia="zh-CN"/>
        </w:rPr>
        <w:t>来源</w:t>
      </w:r>
      <w:r>
        <w:rPr>
          <w:rFonts w:ascii="宋体" w:hAnsi="宋体" w:eastAsia="宋体"/>
          <w:b w:val="0"/>
          <w:sz w:val="24"/>
        </w:rPr>
        <w:t>，并不在于收入规模是否扩大，也不在于财务杠杆是否提升，而在于收入能否顺利转化为利润，以及利润结构是否与业务模式相匹配。对于产品型企业而言，</w:t>
      </w:r>
      <w:r>
        <w:rPr>
          <w:rFonts w:hint="eastAsia" w:ascii="宋体" w:hAnsi="宋体" w:eastAsia="宋体"/>
          <w:b w:val="0"/>
          <w:sz w:val="24"/>
          <w:lang w:val="en-US" w:eastAsia="zh-CN"/>
        </w:rPr>
        <w:t>盈利能力的</w:t>
      </w:r>
      <w:r>
        <w:rPr>
          <w:rFonts w:ascii="宋体" w:hAnsi="宋体" w:eastAsia="宋体"/>
          <w:b w:val="0"/>
          <w:sz w:val="24"/>
        </w:rPr>
        <w:t>决定性约束主要在于高附加值能力如何实现规模化变现；对于赋能型企业而言，决定性约束主要在于AI提效能否进一步转化为定价能力和利润改善。</w:t>
      </w:r>
    </w:p>
    <w:p w14:paraId="48094BF2">
      <w:pPr>
        <w:spacing w:line="400" w:lineRule="exact"/>
        <w:ind w:firstLineChars="0" w:firstLine="0"/>
        <w:jc w:val="left"/>
      </w:pPr>
      <w:r>
        <w:rPr>
          <w:rFonts w:ascii="宋体" w:hAnsi="宋体" w:eastAsia="宋体"/>
          <w:b w:val="0"/>
          <w:sz w:val="24"/>
        </w:rPr>
        <w:t>最后，从问题归纳与优化路径看，本文较为系统地回答了引言提出的三个研究问题。关于</w:t>
      </w:r>
      <w:r>
        <w:rPr>
          <w:rFonts w:hint="eastAsia" w:ascii="宋体" w:hAnsi="宋体" w:eastAsia="宋体"/>
          <w:b w:val="0"/>
          <w:sz w:val="24"/>
          <w:lang w:eastAsia="zh-CN"/>
        </w:rPr>
        <w:t>“</w:t>
      </w:r>
      <w:r>
        <w:rPr>
          <w:rFonts w:ascii="宋体" w:hAnsi="宋体" w:eastAsia="宋体"/>
          <w:b w:val="0"/>
          <w:sz w:val="24"/>
        </w:rPr>
        <w:t>整体盈利水平与分布特征如何”这一问题，研究表明，A股人工智能应用层中小企业总体呈现低位盈利、分化加深和后期走弱的结构特征。关于“何种业务模式具有更高盈利水平与更强稳健性”这一问题，研究表明，AI独立产品型企业整体表现相对更优，但这一优势仍具有投入强度高、商业化周期长等约束。关于“不同业务模式的盈利瓶颈是什么，应如何改善”这一问题，研究进一步识别出产品型企业主要面临商业化转化效率不足、费用压力偏高和新旧业务结构挤压等问题，赋能型企业则主要面临对原有主业质量依赖强、AI收益兑现滞后以及难以突破原行业利润率约束等问题，并据此在第六章提出了差异化改善路径。</w:t>
      </w:r>
    </w:p>
    <w:p w14:paraId="54B6BCF2">
      <w:pPr>
        <w:spacing w:line="400" w:lineRule="exact"/>
        <w:ind w:firstLineChars="0" w:firstLine="0"/>
        <w:jc w:val="left"/>
      </w:pPr>
      <w:r>
        <w:rPr>
          <w:rFonts w:ascii="宋体" w:hAnsi="宋体" w:eastAsia="宋体"/>
          <w:b w:val="0"/>
          <w:sz w:val="24"/>
        </w:rPr>
        <w:t>由此，本文在研究对象上进一步细化了人工智能企业研究的微观范围，在研究视角上将盈利能力置于人工智能应用层企业可持续经营的核心位置，在研究方法上则形成了“整体画像—熵权法横向比较—杜邦分析纵向拆解—瓶颈归纳与对策提出”的递进式分析框架。这些结论既构成了对前文研究问题的系统回应，也为理解A股人工智能应用层中小企业由技术投入走向价值创造的现实约束提供了较为具体的经验证据。</w:t>
      </w:r>
    </w:p>
    <w:p w14:paraId="76C9ECC6">
      <w:pPr>
        <w:pStyle w:val="3"/>
        <w:spacing w:line="400" w:lineRule="exact"/>
        <w:ind w:firstLine="0"/>
        <w:jc w:val="left"/>
      </w:pPr>
      <w:r>
        <w:rPr>
          <w:rFonts w:ascii="黑体" w:hAnsi="黑体" w:eastAsia="黑体"/>
          <w:b/>
          <w:sz w:val="28"/>
        </w:rPr>
        <w:t>7.2 研究不足与展望</w:t>
      </w:r>
    </w:p>
    <w:p w14:paraId="050688B6">
      <w:pPr>
        <w:spacing w:line="400" w:lineRule="exact"/>
        <w:ind w:firstLineChars="0" w:firstLine="0"/>
        <w:jc w:val="left"/>
      </w:pPr>
      <w:r>
        <w:rPr>
          <w:rFonts w:ascii="宋体" w:hAnsi="宋体" w:eastAsia="宋体"/>
          <w:b w:val="0"/>
          <w:sz w:val="24"/>
        </w:rPr>
        <w:t>尽管本文围绕A股人工智能应用层中小企业盈利能力问题进行了较为系统的分析，并在研究对象识别、指标体系构建和方法组合上作了针对性设计，但仍存在若干有待进一步完善之处。</w:t>
      </w:r>
    </w:p>
    <w:p w14:paraId="2BA36A1F">
      <w:pPr>
        <w:spacing w:line="400" w:lineRule="exact"/>
        <w:ind w:firstLineChars="0" w:firstLine="0"/>
        <w:jc w:val="left"/>
      </w:pPr>
      <w:r>
        <w:rPr>
          <w:rFonts w:hint="eastAsia" w:ascii="宋体" w:hAnsi="宋体" w:eastAsia="宋体"/>
          <w:b w:val="0"/>
          <w:sz w:val="24"/>
          <w:lang w:val="en-US" w:eastAsia="zh-CN"/>
        </w:rPr>
        <w:t>一方面</w:t>
      </w:r>
      <w:r>
        <w:rPr>
          <w:rFonts w:ascii="宋体" w:hAnsi="宋体" w:eastAsia="宋体"/>
          <w:b w:val="0"/>
          <w:sz w:val="24"/>
        </w:rPr>
        <w:t>，本文的样本范围仍具有一定局限。研究对象主要限定为A股人工智能应用层中小上市企业，样本期为2020—2024年。这一设定有助于保证财务数据可得性、信息披露规范性与企业之间的可比性，但也意味着研究结论更适用于资本市场已上市、信息披露相对充分的企业，而对大量未上市的人工智能应用层中小企业、区域性创新型企业以及处于更早阶段的AI创业企业覆盖不足。由于不同类型企业在融资约束、技术积累、商业化节奏和客户结构方面可能存在明显差异，未来研究可在数据可得性改善的基础上，将样本范围进一步拓展到非上市人工智能应用企业，从而提高研究结论的外部适用范围。</w:t>
      </w:r>
    </w:p>
    <w:p w14:paraId="4F620E1F">
      <w:pPr>
        <w:spacing w:line="400" w:lineRule="exact"/>
        <w:ind w:firstLineChars="0" w:firstLine="0"/>
        <w:jc w:val="left"/>
        <w:rPr>
          <w:rFonts w:hint="default" w:eastAsia="宋体"/>
          <w:lang w:val="en-US" w:eastAsia="zh-CN"/>
        </w:rPr>
      </w:pPr>
      <w:r>
        <w:rPr>
          <w:rFonts w:hint="eastAsia" w:ascii="宋体" w:hAnsi="宋体" w:eastAsia="宋体"/>
          <w:b w:val="0"/>
          <w:sz w:val="24"/>
          <w:lang w:val="en-US" w:eastAsia="zh-CN"/>
        </w:rPr>
        <w:t>另一方面</w:t>
      </w:r>
      <w:r>
        <w:rPr>
          <w:rFonts w:ascii="宋体" w:hAnsi="宋体" w:eastAsia="宋体"/>
          <w:b w:val="0"/>
          <w:sz w:val="24"/>
        </w:rPr>
        <w:t>，本文在方法上主要采用描述性统计分析、熵权法和杜邦分析法，较适合回答“总体盈利特征如何”</w:t>
      </w:r>
      <w:r>
        <w:rPr>
          <w:rFonts w:hint="eastAsia" w:ascii="宋体" w:hAnsi="宋体" w:eastAsia="宋体"/>
          <w:b w:val="0"/>
          <w:sz w:val="24"/>
          <w:lang w:eastAsia="zh-CN"/>
        </w:rPr>
        <w:t>、</w:t>
      </w:r>
      <w:r>
        <w:rPr>
          <w:rFonts w:ascii="宋体" w:hAnsi="宋体" w:eastAsia="宋体"/>
          <w:b w:val="0"/>
          <w:sz w:val="24"/>
        </w:rPr>
        <w:t>“不同模式谁更优”</w:t>
      </w:r>
      <w:r>
        <w:rPr>
          <w:rFonts w:hint="eastAsia" w:ascii="宋体" w:hAnsi="宋体" w:eastAsia="宋体"/>
          <w:b w:val="0"/>
          <w:sz w:val="24"/>
          <w:lang w:eastAsia="zh-CN"/>
        </w:rPr>
        <w:t>、</w:t>
      </w:r>
      <w:r>
        <w:rPr>
          <w:rFonts w:ascii="宋体" w:hAnsi="宋体" w:eastAsia="宋体"/>
          <w:b w:val="0"/>
          <w:sz w:val="24"/>
        </w:rPr>
        <w:t>“</w:t>
      </w:r>
      <w:r>
        <w:rPr>
          <w:rFonts w:hint="eastAsia" w:ascii="宋体" w:hAnsi="宋体" w:eastAsia="宋体"/>
          <w:b w:val="0"/>
          <w:sz w:val="24"/>
          <w:lang w:val="en-US" w:eastAsia="zh-CN"/>
        </w:rPr>
        <w:t>盈利瓶颈</w:t>
      </w:r>
      <w:r>
        <w:rPr>
          <w:rFonts w:ascii="宋体" w:hAnsi="宋体" w:eastAsia="宋体"/>
          <w:b w:val="0"/>
          <w:sz w:val="24"/>
        </w:rPr>
        <w:t>主要来自哪里”这类问题，但对因果识别和动态传导机制的揭示仍有限。熵权法能够较客观地完成</w:t>
      </w:r>
      <w:r>
        <w:rPr>
          <w:rFonts w:hint="eastAsia" w:ascii="宋体" w:hAnsi="宋体" w:eastAsia="宋体"/>
          <w:b w:val="0"/>
          <w:sz w:val="24"/>
          <w:lang w:val="en-US" w:eastAsia="zh-CN"/>
        </w:rPr>
        <w:t>盈利能力</w:t>
      </w:r>
      <w:r>
        <w:rPr>
          <w:rFonts w:ascii="宋体" w:hAnsi="宋体" w:eastAsia="宋体"/>
          <w:b w:val="0"/>
          <w:sz w:val="24"/>
        </w:rPr>
        <w:t>多指标综合评价，杜邦分析法能够较清晰地拆解</w:t>
      </w:r>
      <w:r>
        <w:rPr>
          <w:rFonts w:hint="eastAsia" w:ascii="宋体" w:hAnsi="宋体" w:eastAsia="宋体"/>
          <w:b w:val="0"/>
          <w:sz w:val="24"/>
          <w:lang w:val="en-US" w:eastAsia="zh-CN"/>
        </w:rPr>
        <w:t>盈利能力</w:t>
      </w:r>
      <w:r>
        <w:rPr>
          <w:rFonts w:ascii="宋体" w:hAnsi="宋体" w:eastAsia="宋体"/>
          <w:b w:val="0"/>
          <w:sz w:val="24"/>
        </w:rPr>
        <w:t>形成机制，但两者都更偏向评价和解释框架，而非严格意义上的因果识别工具。因此，本文尚未进一步回答人工智能投入、应用场景选择、研发费用变化与盈利能力改善之间的动态因果关系，也未能识别外部政策环境、行业景气波动和资本市场预期变化对企业盈利表现的边际影响。未来研究可考虑结合面板回归、事件研究、门槛模型或文本量化方法，将经营绩效变化与AI业务发展强度、政策冲击和行业分化因素联系起来</w:t>
      </w:r>
      <w:r>
        <w:rPr>
          <w:rFonts w:hint="eastAsia" w:ascii="宋体" w:hAnsi="宋体" w:eastAsia="宋体"/>
          <w:b w:val="0"/>
          <w:sz w:val="24"/>
          <w:lang w:val="en-US" w:eastAsia="zh-CN"/>
        </w:rPr>
        <w:t>进行进一步深入研究。</w:t>
      </w:r>
    </w:p>
    <w:p w14:paraId="294869C4">
      <w:pPr>
        <w:spacing w:line="400" w:lineRule="exact"/>
        <w:ind w:firstLineChars="0" w:firstLine="0"/>
        <w:jc w:val="left"/>
        <w:rPr>
          <w:rFonts w:hint="eastAsia"/>
        </w:rPr>
      </w:pPr>
      <w:r>
        <w:rPr>
          <w:rFonts w:ascii="宋体" w:hAnsi="宋体" w:eastAsia="宋体"/>
          <w:b w:val="0"/>
          <w:sz w:val="24"/>
        </w:rPr>
        <w:t>基于上述不足，后续研究可重点沿</w:t>
      </w:r>
      <w:r>
        <w:rPr>
          <w:rFonts w:hint="eastAsia" w:ascii="宋体" w:hAnsi="宋体" w:eastAsia="宋体"/>
          <w:b w:val="0"/>
          <w:sz w:val="24"/>
          <w:lang w:val="en-US" w:eastAsia="zh-CN"/>
        </w:rPr>
        <w:t>以下</w:t>
      </w:r>
      <w:r>
        <w:rPr>
          <w:rFonts w:ascii="宋体" w:hAnsi="宋体" w:eastAsia="宋体"/>
          <w:b w:val="0"/>
          <w:sz w:val="24"/>
        </w:rPr>
        <w:t>方向展开。其一，进一步拓展样本边界和观察窗口，将2025年以后生成式人工智能、大模型应用加速扩散背景下企业盈利变化纳入考察，以观察人工智能应用层企业是否会在新一轮技术扩散中出现新的盈利分化格局。其</w:t>
      </w:r>
      <w:r>
        <w:rPr>
          <w:rFonts w:hint="eastAsia" w:ascii="宋体" w:hAnsi="宋体" w:eastAsia="宋体"/>
          <w:b w:val="0"/>
          <w:sz w:val="24"/>
          <w:lang w:val="en-US" w:eastAsia="zh-CN"/>
        </w:rPr>
        <w:t>二</w:t>
      </w:r>
      <w:r>
        <w:rPr>
          <w:rFonts w:ascii="宋体" w:hAnsi="宋体" w:eastAsia="宋体"/>
          <w:b w:val="0"/>
          <w:sz w:val="24"/>
        </w:rPr>
        <w:t>，在保持业务模式比较视角的基础上，进一步研究AI独立产品型与AI业务赋能型企业之间是否存在阶段性转换、混合化演进及其条件约束，从而更深入揭示人工智能应用层企业由技术落地走向可持续盈利的演进路径。</w:t>
      </w:r>
    </w:p>
    <w:p w14:paraId="17957A97">
      <w:pPr>
        <w:spacing w:line="400" w:lineRule="exact"/>
        <w:ind w:firstLine="0"/>
        <w:rPr>
          <w:rFonts w:hint="eastAsia"/>
          <w:lang w:val="en-US" w:eastAsia="zh-CN"/>
        </w:rPr>
      </w:pPr>
    </w:p>
    <w:p w14:paraId="6389BDF6">
      <w:pPr>
        <w:spacing w:line="400" w:lineRule="exact"/>
        <w:ind w:firstLineChars="0" w:firstLine="0"/>
        <w:rPr>
          <w:rFonts w:hint="eastAsia"/>
          <w:lang w:val="en-US" w:eastAsia="zh-CN"/>
        </w:rPr>
      </w:pPr>
    </w:p>
    <w:p w14:paraId="2D1841D2">
      <w:pPr>
        <w:spacing w:line="400" w:lineRule="exact"/>
        <w:ind w:firstLine="0"/>
        <w:rPr>
          <w:rFonts w:hint="eastAsia"/>
          <w:lang w:val="en-US" w:eastAsia="zh-CN"/>
        </w:rPr>
      </w:pPr>
    </w:p>
    <w:p w14:paraId="44DB2689">
      <w:pPr>
        <w:spacing w:line="400" w:lineRule="exact"/>
        <w:ind w:firstLineChars="0" w:firstLine="0"/>
        <w:rPr>
          <w:rFonts w:hint="eastAsia"/>
          <w:lang w:val="en-US" w:eastAsia="zh-CN"/>
        </w:rPr>
      </w:pPr>
    </w:p>
    <w:p w14:paraId="36691C8A">
      <w:pPr>
        <w:spacing w:line="400" w:lineRule="exact"/>
        <w:ind w:firstLineChars="0" w:firstLine="0"/>
        <w:rPr>
          <w:rFonts w:hint="eastAsia"/>
          <w:lang w:val="en-US" w:eastAsia="zh-CN"/>
        </w:rPr>
      </w:pPr>
    </w:p>
    <w:p w14:paraId="67E254FA">
      <w:pPr>
        <w:spacing w:line="400" w:lineRule="exact"/>
        <w:ind w:firstLineChars="0" w:firstLine="0"/>
        <w:rPr>
          <w:rFonts w:hint="eastAsia"/>
          <w:lang w:val="en-US" w:eastAsia="zh-CN"/>
        </w:rPr>
      </w:pPr>
    </w:p>
    <w:p w14:paraId="39010BF7">
      <w:pPr>
        <w:spacing w:line="400" w:lineRule="exact"/>
        <w:ind w:firstLine="0"/>
        <w:rPr>
          <w:rFonts w:hint="eastAsia"/>
          <w:lang w:val="en-US" w:eastAsia="zh-CN"/>
        </w:rPr>
      </w:pPr>
    </w:p>
    <w:p w14:paraId="6BB26F6F">
      <w:pPr>
        <w:spacing w:line="400" w:lineRule="exact"/>
        <w:ind w:firstLine="0"/>
        <w:rPr>
          <w:rFonts w:hint="default"/>
          <w:lang w:val="en-US" w:eastAsia="zh-CN"/>
        </w:rPr>
      </w:pPr>
    </w:p>
    <w:p w14:paraId="4F99775D">
      <w:pPr>
        <w:keepNext w:val="0"/>
        <w:keepLines w:val="0"/>
        <w:widowControl/>
        <w:suppressLineNumbers w:val="0"/>
        <w:spacing w:line="400" w:lineRule="exact"/>
        <w:ind w:firstLine="0"/>
        <w:jc w:val="left"/>
      </w:pPr>
    </w:p>
    <w:p w14:paraId="4C0BD9C4">
      <w:pPr>
        <w:spacing w:line="400" w:lineRule="exact"/>
        <w:ind w:firstLine="0"/>
        <w:rPr>
          <w:rFonts w:hint="default"/>
          <w:lang w:val="en-US" w:eastAsia="zh-CN"/>
        </w:rPr>
      </w:pPr>
    </w:p>
    <w:p w14:paraId="19469597">
      <w:pPr>
        <w:spacing w:line="400" w:lineRule="exact"/>
        <w:ind w:firstLine="0"/>
        <w:rPr>
          <w:rFonts w:hint="default"/>
          <w:lang w:val="en-US" w:eastAsia="zh-CN"/>
        </w:rPr>
      </w:pPr>
    </w:p>
    <w:p w14:paraId="684C8A72">
      <w:pPr>
        <w:spacing w:line="400" w:lineRule="exact"/>
        <w:ind w:firstLine="0"/>
        <w:rPr>
          <w:rFonts w:hint="default"/>
          <w:lang w:val="en-US" w:eastAsia="zh-CN"/>
        </w:rPr>
      </w:pPr>
    </w:p>
    <w:p w14:paraId="5075A83F">
      <w:pPr>
        <w:spacing w:line="400" w:lineRule="exact"/>
        <w:ind w:firstLine="0"/>
        <w:rPr>
          <w:rFonts w:hint="default"/>
          <w:lang w:val="en-US" w:eastAsia="zh-CN"/>
        </w:rPr>
      </w:pPr>
    </w:p>
    <w:p w14:paraId="17591F41">
      <w:pPr>
        <w:pStyle w:val="6"/>
        <w:spacing w:afterLines="0" w:line="400" w:lineRule="exact"/>
        <w:ind w:firstLine="0"/>
        <w:rPr>
          <w:rFonts w:hint="default" w:eastAsia="宋体"/>
          <w:sz w:val="21"/>
          <w:szCs w:val="21"/>
          <w:lang w:val="en-US" w:eastAsia="zh-CN"/>
        </w:rPr>
      </w:pPr>
    </w:p>
    <w:p w14:paraId="7A8EB2E9">
      <w:pPr>
        <w:spacing w:line="400" w:lineRule="exact"/>
        <w:ind w:firstLine="0"/>
        <w:rPr>
          <w:rFonts w:hint="default"/>
          <w:lang w:val="en-US" w:eastAsia="zh-CN"/>
        </w:rPr>
      </w:pPr>
    </w:p>
    <w:p w14:paraId="7417347A">
      <w:pPr>
        <w:spacing w:line="400" w:lineRule="exact"/>
        <w:ind w:firstLine="0"/>
        <w:rPr>
          <w:rFonts w:hint="default"/>
          <w:lang w:val="en-US" w:eastAsia="zh-CN"/>
        </w:rPr>
      </w:pPr>
    </w:p>
    <w:p w14:paraId="64A7A464">
      <w:pPr>
        <w:spacing w:line="400" w:lineRule="exact"/>
        <w:ind w:firstLine="0"/>
        <w:rPr>
          <w:rFonts w:hint="eastAsia"/>
          <w:lang w:val="en-US" w:eastAsia="zh-CN"/>
        </w:rPr>
      </w:pPr>
    </w:p>
    <w:p w14:paraId="03A9A8F6">
      <w:pPr>
        <w:spacing w:line="400" w:lineRule="exact"/>
        <w:ind w:firstLine="0"/>
        <w:rPr>
          <w:rFonts w:hint="eastAsia"/>
          <w:lang w:val="en-US" w:eastAsia="zh-CN"/>
        </w:rPr>
      </w:pPr>
    </w:p>
    <w:p w14:paraId="19930617">
      <w:pPr>
        <w:spacing w:line="400" w:lineRule="exact"/>
        <w:ind w:firstLine="0"/>
        <w:rPr>
          <w:rFonts w:hint="default"/>
          <w:lang w:val="en-US" w:eastAsia="zh-CN"/>
        </w:rPr>
      </w:pPr>
    </w:p>
    <w:p w14:paraId="39933417">
      <w:pPr>
        <w:spacing w:line="400" w:lineRule="exact"/>
        <w:ind w:firstLine="0"/>
        <w:rPr>
          <w:rFonts w:hint="default"/>
          <w:lang w:val="en-US" w:eastAsia="zh-CN"/>
        </w:rPr>
      </w:pPr>
    </w:p>
    <w:p w14:paraId="42F4DAC9">
      <w:pPr>
        <w:spacing w:line="400" w:lineRule="exact"/>
        <w:ind w:firstLine="0"/>
        <w:rPr>
          <w:rFonts w:hint="default"/>
          <w:lang w:val="en-US" w:eastAsia="zh-CN"/>
        </w:rPr>
      </w:pPr>
    </w:p>
    <w:p w14:paraId="07ED48F9">
      <w:pPr>
        <w:spacing w:line="400" w:lineRule="exact"/>
        <w:ind w:firstLine="0"/>
        <w:rPr>
          <w:rFonts w:hint="default"/>
          <w:lang w:val="en-US" w:eastAsia="zh-CN"/>
        </w:rPr>
      </w:pPr>
    </w:p>
    <w:p w14:paraId="1692AE26">
      <w:pPr>
        <w:spacing w:line="400" w:lineRule="exact"/>
        <w:ind w:firstLine="0"/>
        <w:rPr>
          <w:rFonts w:hint="default"/>
          <w:lang w:val="en-US" w:eastAsia="zh-CN"/>
        </w:rPr>
      </w:pPr>
    </w:p>
    <w:p w14:paraId="33666C65">
      <w:pPr>
        <w:spacing w:line="400" w:lineRule="exact"/>
        <w:ind w:firstLine="0"/>
        <w:rPr>
          <w:rFonts w:hint="default"/>
          <w:lang w:val="en-US" w:eastAsia="zh-CN"/>
        </w:rPr>
      </w:pPr>
    </w:p>
    <w:p w14:paraId="571F3F49">
      <w:pPr>
        <w:spacing w:line="400" w:lineRule="exact"/>
        <w:ind w:firstLine="0"/>
        <w:rPr>
          <w:rFonts w:hint="default"/>
          <w:lang w:val="en-US" w:eastAsia="zh-CN"/>
        </w:rPr>
      </w:pPr>
    </w:p>
    <w:p w14:paraId="6DD6E68D">
      <w:pPr>
        <w:spacing w:line="400" w:lineRule="exact"/>
        <w:ind w:firstLine="0"/>
        <w:rPr>
          <w:rFonts w:hint="default"/>
          <w:lang w:val="en-US" w:eastAsia="zh-CN"/>
        </w:rPr>
      </w:pPr>
    </w:p>
    <w:p w14:paraId="03DFB035">
      <w:pPr>
        <w:spacing w:line="400" w:lineRule="exact"/>
        <w:ind w:firstLine="0"/>
        <w:rPr>
          <w:rFonts w:hint="default"/>
          <w:lang w:val="en-US" w:eastAsia="zh-CN"/>
        </w:rPr>
      </w:pPr>
    </w:p>
    <w:p w14:paraId="110E79F3">
      <w:pPr>
        <w:spacing w:line="400" w:lineRule="exact"/>
        <w:ind w:firstLine="0"/>
        <w:rPr>
          <w:rFonts w:hint="default"/>
          <w:lang w:val="en-US" w:eastAsia="zh-CN"/>
        </w:rPr>
      </w:pPr>
    </w:p>
    <w:p w14:paraId="7EE09E5B">
      <w:pPr>
        <w:spacing w:line="400" w:lineRule="exact"/>
        <w:ind w:firstLine="0"/>
        <w:rPr>
          <w:rFonts w:hint="default"/>
          <w:lang w:val="en-US" w:eastAsia="zh-CN"/>
        </w:rPr>
      </w:pPr>
    </w:p>
    <w:p w14:paraId="0E75F5CA">
      <w:pPr>
        <w:pStyle w:val="2"/>
        <w:spacing w:beforeLines="0" w:afterLines="0" w:line="400" w:lineRule="exact"/>
        <w:ind w:firstLine="0"/>
        <w:rPr>
          <w:rFonts w:hint="eastAsia"/>
          <w:sz w:val="24"/>
          <w:szCs w:val="24"/>
        </w:rPr>
      </w:pPr>
    </w:p>
    <w:p w14:paraId="2107AE83">
      <w:pPr>
        <w:pStyle w:val="2"/>
        <w:spacing w:beforeLines="0" w:afterLines="0" w:line="400" w:lineRule="exact"/>
        <w:ind w:firstLine="0"/>
        <w:rPr>
          <w:rFonts w:hint="eastAsia"/>
          <w:sz w:val="24"/>
          <w:szCs w:val="24"/>
        </w:rPr>
      </w:pPr>
    </w:p>
    <w:p w14:paraId="4605ADE3">
      <w:pPr>
        <w:pStyle w:val="2"/>
        <w:spacing w:beforeLines="0" w:afterLines="0" w:line="400" w:lineRule="exact"/>
        <w:ind w:firstLine="0"/>
        <w:rPr>
          <w:rFonts w:hint="eastAsia"/>
          <w:sz w:val="24"/>
          <w:szCs w:val="24"/>
        </w:rPr>
      </w:pPr>
    </w:p>
    <w:p w14:paraId="04877096">
      <w:pPr>
        <w:pStyle w:val="2"/>
        <w:spacing w:beforeLines="0" w:afterLines="0" w:line="400" w:lineRule="exact"/>
        <w:ind w:firstLine="0"/>
        <w:jc w:val="left"/>
        <w:rPr>
          <w:rFonts w:hint="eastAsia"/>
          <w:sz w:val="24"/>
          <w:szCs w:val="24"/>
        </w:rPr>
      </w:pPr>
      <w:r>
        <w:rPr>
          <w:rFonts w:hint="eastAsia" w:ascii="黑体" w:hAnsi="黑体" w:eastAsia="黑体"/>
          <w:b/>
          <w:sz w:val="24"/>
          <w:szCs w:val="24"/>
        </w:rPr>
        <w:t>参考文献</w:t>
      </w:r>
    </w:p>
    <w:p w14:paraId="195E8B6B">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 国务院. 国务院关于印发新一代人工智能发展规划的通知[EB/OL]. (2017-07-20)[2026-03-09]. https://www.gov.cn/zhengce/content/2017-07/20/content_5211996.htm.</w:t>
      </w:r>
    </w:p>
    <w:p w14:paraId="64AA07D0">
      <w:pPr>
        <w:spacing w:before="0" w:after="0" w:line="400" w:lineRule="exact"/>
        <w:ind w:firstLineChars="200" w:firstLine="0"/>
        <w:jc w:val="left"/>
        <w:outlineLvl w:val="2"/>
        <w:rPr>
          <w:rFonts w:hint="eastAsia" w:eastAsia="宋体"/>
        </w:rPr>
      </w:pPr>
      <w:r>
        <w:rPr>
          <w:rFonts w:eastAsia="宋体" w:ascii="宋体" w:hAnsi="宋体"/>
          <w:b w:val="0"/>
          <w:sz w:val="24"/>
        </w:rPr>
        <w:t>[2] 中央网络安全和信息化委员会办公室. 首次被写入政府工作报告“人工智能+”将如何改变你我生活</w:t>
      </w:r>
      <w:r>
        <w:rPr>
          <w:rFonts w:hint="eastAsia" w:eastAsia="宋体" w:ascii="宋体" w:hAnsi="宋体"/>
          <w:b w:val="0"/>
          <w:sz w:val="24"/>
          <w:lang w:eastAsia="zh-CN"/>
        </w:rPr>
        <w:t>？</w:t>
      </w:r>
      <w:r>
        <w:rPr>
          <w:rFonts w:eastAsia="宋体" w:ascii="宋体" w:hAnsi="宋体"/>
          <w:b w:val="0"/>
          <w:sz w:val="24"/>
        </w:rPr>
        <w:t>[EB/OL].(2024-03-12)[2026-03-09]. https://www.cac.gov.cn/2024-03/12/c_1711913994070892.htm.</w:t>
      </w:r>
    </w:p>
    <w:p w14:paraId="4F33B069">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[3] 中国政府网. 政府工作报告：持续推进“人工智能+”行动[EB/OL]. (2025-03-05)[2026-03-09].https://www.gov.cn/yaowen/shipin/202503/content_7010692.htm.</w:t>
      </w:r>
    </w:p>
    <w:p w14:paraId="4C858A2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[4] 国家发展改革委. 国家发展改革委有关负责同志就《关于深入实施“人工智能+”行动的意见》答记者问[EB/OL]. (2025-08-27)[2026-03-09]. https://www.digitalchina.gov.cn/2025/xwzx/qwfb/202508/t20250827_5066942.htm.</w:t>
      </w:r>
    </w:p>
    <w:p w14:paraId="5AEFAB7E">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[5] Stanford Institute for Human-Centered Artificial Intelligence. 2024 AI Index Report[R/OL].(2024)[2026-03-09].https://hai.stanford.edu/ai-index/2024-ai-index-report.</w:t>
      </w:r>
    </w:p>
    <w:p w14:paraId="4851379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[6] McKinsey &amp; Company. The state of AI in early 2024[R/OL]. (2024)[2026-03-09].https://www.mckinsey.com/capabilities/quantumblack/our-insights/the-state-of-ai-2024.</w:t>
      </w:r>
    </w:p>
    <w:p w14:paraId="23AAA23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[7] Deloitte AI Institute. State of Generative AI in the Enterprise: Now decides next[R/OL].(2024-01-15)[2026-03-09].https://www2.deloitte.com/us/en/pages/consulting/articles/state-of-generative-ai-in-the-enterprise.html.</w:t>
      </w:r>
    </w:p>
    <w:p w14:paraId="7B88405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[8] IDC China. 生成式AI资源中心[R/OL]. (2024-2025)[2026-03-09]. https://www.idc.com/cn/resource-center/generative-ai/.</w:t>
      </w:r>
    </w:p>
    <w:p w14:paraId="7A0CF0BE">
      <w:pPr>
        <w:spacing w:before="0" w:after="0" w:line="400" w:lineRule="exact"/>
        <w:ind w:firstLineChars="200" w:firstLine="0"/>
        <w:jc w:val="left"/>
        <w:outlineLvl w:val="2"/>
        <w:rPr>
          <w:rFonts w:hint="eastAsia" w:eastAsia="宋体"/>
          <w:lang w:val="en-US" w:eastAsia="zh-CN"/>
        </w:rPr>
      </w:pPr>
      <w:r>
        <w:rPr>
          <w:rFonts w:eastAsia="宋体" w:ascii="宋体" w:hAnsi="宋体"/>
          <w:b w:val="0"/>
          <w:sz w:val="24"/>
        </w:rPr>
        <w:t>[9] 工业和信息化部. 《中小企业数字化赋能专项行动方案（2025—2027年</w:t>
      </w:r>
      <w:r>
        <w:rPr>
          <w:rFonts w:hint="default" w:eastAsia="宋体" w:ascii="宋体" w:hAnsi="宋体"/>
          <w:b w:val="0"/>
          <w:sz w:val="24"/>
          <w:lang w:val="en-US"/>
        </w:rPr>
        <w:t>)</w:t>
      </w:r>
      <w:r>
        <w:rPr>
          <w:rFonts w:eastAsia="宋体" w:ascii="宋体" w:hAnsi="宋体"/>
          <w:b w:val="0"/>
          <w:sz w:val="24"/>
        </w:rPr>
        <w:t xml:space="preserve">》解读[EB/OL].(2024-12-20)[2026-03-09]. </w:t>
      </w:r>
      <w:r>
        <w:rPr>
          <w:rFonts w:eastAsia="宋体" w:ascii="宋体" w:hAnsi="宋体"/>
          <w:b w:val="0"/>
          <w:sz w:val="24"/>
        </w:rPr>
        <w:br w:type="textWrapping"/>
      </w:r>
      <w:r>
        <w:rPr>
          <w:rFonts w:eastAsia="宋体" w:ascii="宋体" w:hAnsi="宋体"/>
          <w:b w:val="0"/>
          <w:sz w:val="24"/>
        </w:rPr>
        <w:t>https://www.miit.gov.cn/zwgk/zcjd/art/2025/art_1e09cebbc8014fd998f734d9275584ae.html.</w:t>
      </w:r>
    </w:p>
    <w:p w14:paraId="0234A9A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[10] Yoon Y V N. Entropy method for determination of weight of evaluating indicators in fuzzy synthetic evaluation for water quality assessment[J]. Journal of Environmental Sciences, 2006, 18(5): 1020-1023. </w:t>
      </w:r>
    </w:p>
    <w:p w14:paraId="1AD634C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[11] 罗田香, 陈国庆. 基于杜邦分析法的Q企业盈利能力分析[J]. 社会科学前沿, 2022, 11(5): 1557-1562.</w:t>
      </w:r>
    </w:p>
    <w:p w14:paraId="6E5911F2">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[12] Yang H L, Alphones A, Xiong Z H, et al. Artificial-Intelligence-enabled intelligent 6G networks[J]. IEEE Network, 2020, 34(6): 272-280. </w:t>
      </w:r>
    </w:p>
    <w:p w14:paraId="016344FD">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[13] Xu Y J, Liu X, Cao X, et al. Artificial intelligence: A powerful paradigm for scientific research[J]. The Innovation, 2021, 2(4): 100179. </w:t>
      </w:r>
    </w:p>
    <w:p w14:paraId="0D5B6A3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[14] 杨锡怡, 贾佳, 周小宇, 汪寿阳. 中美两国人工智能头部企业研发和创新的比较分析与启示[J]. 中国科学院院刊, 2024, 39(6): 1084-1096.</w:t>
      </w:r>
    </w:p>
    <w:p w14:paraId="1F2C7D1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[15] 徐文伟, 肖立志, 刘合. 我国企业人工智能应用现状与挑战[J]. 中国工程科学, 2022, 24(6): 173-183. DOI:10.15302/J-SSCAE-2022.07.010.</w:t>
      </w:r>
    </w:p>
    <w:p w14:paraId="75B8E132">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[16] 李晓理, 张博, 王康, 等. 人工智能的发展及应用[J]. 北京工业大学学报, 2020, 46(6): 583-590.</w:t>
      </w:r>
    </w:p>
    <w:p w14:paraId="3E84621B">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[17] Sengar S S, et al. Generative artificial intelligence: a systematic review and applications[J]. Multimedia Tools and Applications, 2025, 84(21): 23661-23700. DOI:10.1007/s11042-024-20016-1.</w:t>
      </w:r>
    </w:p>
    <w:p w14:paraId="2AAF32B3">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[18] 安同良, 吴致冶. 企业人工智能技术水平的分层测度及其创新效应——基于全球知识网络视角[J]. 中国工业经济, 2025(6): 81-100. DOI:10.19581/j.cnki.ciejournal.2025.06.005.</w:t>
      </w:r>
    </w:p>
    <w:p w14:paraId="7874E360">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[19] 张龙鹏, 张双志. 技术赋能：人工智能与产业融合发展的技术创新效应[J]. 财经科学, 2020(6): 74-88.</w:t>
      </w:r>
    </w:p>
    <w:p w14:paraId="1BE6E47D">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[20] 高雪松, 黄蕴华, 王斌. 基于专利数据的生成式人工智能技术栈创新态势研究[J]. 东北财经大学学报, 2024(4): 53-61.</w:t>
      </w:r>
    </w:p>
    <w:p w14:paraId="78FB2587">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[21] 何新江, 王钦鹏, 杨铭杰. 人工智能对新质生产力影响的研究：来自中国A股上市企业的经验证据[J]. 技术经济, 2025, 44(2): 97-114.</w:t>
      </w:r>
    </w:p>
    <w:p w14:paraId="2C63BF5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[22] 徐红丹, 王玖河. 人工智能如何赋能企业新质生产力[J]. 科技进步与对策, 2025, 42(7): 1-8. DOI:10.6049/kjjbydc.L2024XZ199.</w:t>
      </w:r>
    </w:p>
    <w:p w14:paraId="6C8F746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[23] 何元浪, 袁健红. 人工智能发展与新质生产力提升：理论机制与实证检验[J]. 科技进步与对策, 2025, 42(11): 1-11. DOI:10.6049/kjjbydc.L2024XZ589.</w:t>
      </w:r>
    </w:p>
    <w:p w14:paraId="1CF8B76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[24] 张玥, 段丙蕾, 卢海. 金融赋能科技了吗？——基础层和应用层AI企业的估值差异分析[J]. 经济管理学刊, 2024, 3(4): 1-28.</w:t>
      </w:r>
    </w:p>
    <w:p w14:paraId="55B2719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[25] Weber M, Beutter M, Weking J, Böhm M, Krcmar H. AI startup business models[J]. Business &amp; Information Systems Engineering, 2022, 64(1): 91-109. DOI:10.1007/s12599-021-00732-w.</w:t>
      </w:r>
    </w:p>
    <w:p w14:paraId="0CA019D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[26] Huang M H, Rust R T. A strategic framework for artificial intelligence in marketing[J]. Journal of the Academy of Marketing Science, 2021, 49(1): 30-50. DOI:10.1007/s11747-020-00749-9.</w:t>
      </w:r>
    </w:p>
    <w:p w14:paraId="16070F81">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[27] Brynjolfsson E, Rock D, Syverson C. Artificial intelligence and the modern productivity paradox: a clash of expectations and statistics[R/OL]. Cambridge, MA: National Bureau of Economic Research, 2017[2026-03-09]. (NBER Working Paper No. 24001). DOI:10.3386/w24001.</w:t>
      </w:r>
    </w:p>
    <w:p w14:paraId="0530EC5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[28] Davenport T H, Ronanki R. Artificial intelligence for the real world[J]. Harvard Business Review, 2018, 96(1): 108-116.</w:t>
      </w:r>
    </w:p>
    <w:p w14:paraId="6B03910C">
      <w:pPr>
        <w:spacing w:before="0" w:after="0" w:line="400" w:lineRule="exact"/>
        <w:ind w:firstLineChars="200" w:firstLine="0"/>
        <w:jc w:val="left"/>
        <w:outlineLvl w:val="2"/>
        <w:rPr>
          <w:rFonts w:hint="default" w:eastAsia="宋体"/>
          <w:sz w:val="24"/>
          <w:szCs w:val="21"/>
          <w:lang w:val="en-US"/>
        </w:rPr>
      </w:pPr>
      <w:r>
        <w:rPr>
          <w:rFonts w:ascii="宋体" w:hAnsi="宋体" w:eastAsia="宋体"/>
          <w:b w:val="0"/>
          <w:sz w:val="24"/>
        </w:rPr>
        <w:t>[29] 李晓华, 李纪珍, 高旭东, 王佳蕊. 认知框架如何影响商业模式创新——人工智能企业的双案例研究[J]. 科技进步与对策, 2025, 42(19): 120-131. DOI:10.6049/kjjbydc.2024010582.</w:t>
      </w:r>
    </w:p>
    <w:p w14:paraId="5632CD7C">
      <w:pPr>
        <w:spacing w:before="0" w:after="0" w:line="400" w:lineRule="exact"/>
        <w:ind w:firstLine="0"/>
        <w:jc w:val="left"/>
        <w:outlineLvl w:val="2"/>
        <w:rPr>
          <w:sz w:val="24"/>
          <w:szCs w:val="21"/>
        </w:rPr>
      </w:pPr>
      <w:r>
        <w:rPr>
          <w:rFonts w:ascii="宋体" w:hAnsi="宋体" w:eastAsia="宋体"/>
          <w:b w:val="0"/>
          <w:sz w:val="24"/>
        </w:rPr>
        <w:t xml:space="preserve">[30] Bessen J, Impink S M, Reichensperger L, Seamans R. The role of data for AI startup growth[J]. Research Policy, 2022, 51(5): 104513. </w:t>
      </w:r>
    </w:p>
    <w:p w14:paraId="1D423950">
      <w:pPr>
        <w:spacing w:before="0" w:after="0" w:line="400" w:lineRule="exact"/>
        <w:ind w:firstLine="0"/>
        <w:jc w:val="left"/>
      </w:pPr>
      <w:r>
        <w:rPr>
          <w:rFonts w:ascii="宋体" w:hAnsi="宋体" w:eastAsia="宋体"/>
          <w:b w:val="0"/>
          <w:sz w:val="24"/>
        </w:rPr>
        <w:t>[31] Schulte-Althoff M, Fürstenau D, Lee G M. A scaling perspective on AI startups[C]//Proceedings of the 54th Hawaii International Conference on System Sciences. Honolulu: University of Hawaii at Mānoa, 2021: 6515-6524. DOI:10.24251/HICSS.2021.784.</w:t>
      </w:r>
    </w:p>
    <w:p w14:paraId="0CC5CB0A">
      <w:pPr>
        <w:spacing w:before="0" w:after="0" w:line="400" w:lineRule="exact"/>
        <w:ind w:firstLine="0"/>
        <w:jc w:val="left"/>
      </w:pPr>
      <w:r>
        <w:rPr>
          <w:rFonts w:ascii="宋体" w:hAnsi="宋体" w:eastAsia="宋体"/>
          <w:b w:val="0"/>
          <w:sz w:val="24"/>
        </w:rPr>
        <w:t>[32] Alsheibani S A, Cheung Y, Messom C. Factors inhibiting the adoption of artificial intelligence at organizational-level: a preliminary investigation[C]//AMCIS 2019 Proceedings. Atlanta: Association for Information Systems, 2019.</w:t>
      </w:r>
    </w:p>
    <w:p w14:paraId="31690DC2">
      <w:pPr>
        <w:spacing w:before="0" w:after="0" w:line="400" w:lineRule="exact"/>
        <w:ind w:firstLine="0"/>
        <w:jc w:val="left"/>
      </w:pPr>
      <w:r>
        <w:rPr>
          <w:rFonts w:ascii="宋体" w:hAnsi="宋体" w:eastAsia="宋体"/>
          <w:b w:val="0"/>
          <w:sz w:val="24"/>
        </w:rPr>
        <w:t>[33] Rai A, Constantinides P, Sarker S. Editor’s comments: next-generation digital platforms: toward human-AI hybrids[J]. MIS Quarterly, 2019, 43(1): iii-ix.</w:t>
      </w:r>
    </w:p>
    <w:p w14:paraId="7BC93420">
      <w:pPr>
        <w:spacing w:before="0" w:after="0" w:line="400" w:lineRule="exact"/>
        <w:ind w:firstLine="0"/>
        <w:jc w:val="left"/>
      </w:pPr>
      <w:r>
        <w:rPr>
          <w:rFonts w:ascii="宋体" w:hAnsi="宋体" w:eastAsia="宋体"/>
          <w:b w:val="0"/>
          <w:sz w:val="24"/>
        </w:rPr>
        <w:t>[34] Chalmers D, MacKenzie N G, Carter S. Artificial intelligence and entrepreneurship: implications for venture creation in the fourth industrial revolution[J]. Entrepreneurship Theory and Practice, 2021, 45(5): 1028-1053. DOI:10.1177/1042258720934581.</w:t>
      </w:r>
    </w:p>
    <w:p w14:paraId="32165E92">
      <w:pPr>
        <w:spacing w:before="0" w:after="0" w:line="400" w:lineRule="exact"/>
        <w:ind w:firstLine="0"/>
        <w:jc w:val="left"/>
      </w:pPr>
      <w:r>
        <w:rPr>
          <w:rFonts w:ascii="宋体" w:hAnsi="宋体" w:eastAsia="宋体"/>
          <w:b w:val="0"/>
          <w:sz w:val="24"/>
        </w:rPr>
        <w:t>[35] 中国信息通信研究院. 全球数字经济发展研究报告（2024年）[R/OL]. 北京: 中国信息通信研究院, 2025[2026-03-09].</w:t>
      </w:r>
    </w:p>
    <w:p w14:paraId="1D165ECB">
      <w:pPr>
        <w:spacing w:before="0" w:after="0" w:line="400" w:lineRule="exact"/>
        <w:ind w:firstLine="0"/>
        <w:jc w:val="left"/>
      </w:pPr>
      <w:r>
        <w:rPr>
          <w:rFonts w:ascii="宋体" w:hAnsi="宋体" w:eastAsia="宋体"/>
          <w:b w:val="0"/>
          <w:sz w:val="24"/>
        </w:rPr>
        <w:t>[36] 董明志. 应用企业效绩评价体系及评价指标应注意的几个问题[J]. 财务与会计, 2000(6): 25-26.</w:t>
      </w:r>
    </w:p>
    <w:p w14:paraId="3FA383CA">
      <w:pPr>
        <w:spacing w:before="0" w:after="0" w:line="400" w:lineRule="exact"/>
        <w:ind w:firstLine="0"/>
        <w:jc w:val="left"/>
      </w:pPr>
      <w:r>
        <w:rPr>
          <w:rFonts w:ascii="宋体" w:hAnsi="宋体" w:eastAsia="宋体"/>
          <w:b w:val="0"/>
          <w:sz w:val="24"/>
        </w:rPr>
        <w:t>[37] 李宝仁, 王振蓉. 我国上市公司盈利能力与资本结构的实证分析[J]. 数量经济技术经济研究, 2003(4): 150-153.</w:t>
      </w:r>
    </w:p>
    <w:p w14:paraId="6B3D3E1F">
      <w:pPr>
        <w:spacing w:before="0" w:after="0" w:line="400" w:lineRule="exact"/>
        <w:ind w:firstLine="0"/>
        <w:jc w:val="left"/>
      </w:pPr>
      <w:r>
        <w:rPr>
          <w:rFonts w:ascii="宋体" w:hAnsi="宋体" w:eastAsia="宋体"/>
          <w:b w:val="0"/>
          <w:sz w:val="24"/>
        </w:rPr>
        <w:t>[38] 段翠莲. 对企业盈利能力分析的探究[J]. 中国外资(上半月), 2012(7): 27-28.</w:t>
      </w:r>
    </w:p>
    <w:p w14:paraId="7CAE5BB6">
      <w:pPr>
        <w:spacing w:before="0" w:after="0" w:line="400" w:lineRule="exact"/>
        <w:ind w:firstLine="0"/>
        <w:jc w:val="left"/>
      </w:pPr>
      <w:r>
        <w:rPr>
          <w:rFonts w:ascii="宋体" w:hAnsi="宋体" w:eastAsia="宋体"/>
          <w:b w:val="0"/>
          <w:sz w:val="24"/>
        </w:rPr>
        <w:t>[39] 王芳. 企业盈利能力分析探索[J]. 中国总会计师, 2009(6): 88-89.</w:t>
      </w:r>
    </w:p>
    <w:p w14:paraId="35E66508">
      <w:pPr>
        <w:spacing w:before="0" w:after="0" w:line="400" w:lineRule="exact"/>
        <w:ind w:firstLine="0"/>
        <w:jc w:val="left"/>
      </w:pPr>
      <w:r>
        <w:rPr>
          <w:rFonts w:ascii="宋体" w:hAnsi="宋体" w:eastAsia="宋体"/>
          <w:b w:val="0"/>
          <w:sz w:val="24"/>
        </w:rPr>
        <w:t>[40] 李明伟, 莫生红. 管理会计制度创新探索——瓶颈会计初探[J]. 财会通讯(综合版), 2008(6): 43-45.</w:t>
      </w:r>
    </w:p>
    <w:p w14:paraId="3636B343">
      <w:pPr>
        <w:spacing w:before="0" w:after="0" w:line="400" w:lineRule="exact"/>
        <w:ind w:firstLine="0"/>
        <w:jc w:val="left"/>
      </w:pPr>
      <w:r>
        <w:rPr>
          <w:rFonts w:ascii="宋体" w:hAnsi="宋体" w:eastAsia="宋体"/>
          <w:b w:val="0"/>
          <w:sz w:val="24"/>
        </w:rPr>
        <w:t>[41] 陈鑫子. 轻资产模式下互联网上市公司盈利能力分析[J]. 财会通讯, 2019(17): 58-62.</w:t>
      </w:r>
    </w:p>
    <w:p w14:paraId="6175500E">
      <w:pPr>
        <w:spacing w:before="0" w:after="0" w:line="400" w:lineRule="exact"/>
        <w:ind w:firstLine="0"/>
        <w:jc w:val="left"/>
      </w:pPr>
      <w:r>
        <w:rPr>
          <w:rFonts w:ascii="宋体" w:hAnsi="宋体" w:eastAsia="宋体"/>
          <w:b w:val="0"/>
          <w:sz w:val="24"/>
        </w:rPr>
        <w:t>[42] 李剑锋, 李一军, 祁威, 等. 数据挖掘在公司财务分析中的应用[J]. 计算机工程与应用, 2005, 41(2): 217-219.</w:t>
      </w:r>
    </w:p>
    <w:p w14:paraId="214992D0">
      <w:pPr>
        <w:spacing w:before="0" w:after="0" w:line="400" w:lineRule="exact"/>
        <w:ind w:firstLine="0"/>
        <w:jc w:val="left"/>
      </w:pPr>
      <w:r>
        <w:rPr>
          <w:rFonts w:ascii="宋体" w:hAnsi="宋体" w:eastAsia="宋体"/>
          <w:b w:val="0"/>
          <w:sz w:val="24"/>
        </w:rPr>
        <w:t>[43] 徐汪洋. 基于人工智能的服装纺织行业上市公司盈利能力综合评估指标构建[J]. 统计与应用, 2024, 13: 1018.</w:t>
      </w:r>
    </w:p>
    <w:p w14:paraId="5F952892">
      <w:pPr>
        <w:spacing w:before="0" w:after="0" w:line="400" w:lineRule="exact"/>
        <w:ind w:firstLine="0"/>
        <w:jc w:val="left"/>
      </w:pPr>
      <w:r>
        <w:rPr>
          <w:rFonts w:ascii="宋体" w:hAnsi="宋体" w:eastAsia="宋体"/>
          <w:b w:val="0"/>
          <w:sz w:val="24"/>
        </w:rPr>
        <w:t>[44] 孙晓华, 翟钰. 盈利能力影响企业研发决策吗？——来自中国制造业上市公司的经验证据[J]. 管理评论, 2021, 33(7): 68-80.</w:t>
      </w:r>
    </w:p>
    <w:p w14:paraId="2ACA27E7">
      <w:pPr>
        <w:spacing w:before="0" w:after="0" w:line="400" w:lineRule="exact"/>
        <w:ind w:firstLine="0"/>
        <w:jc w:val="left"/>
      </w:pPr>
      <w:r>
        <w:rPr>
          <w:rFonts w:ascii="宋体" w:hAnsi="宋体" w:eastAsia="宋体"/>
          <w:b w:val="0"/>
          <w:sz w:val="24"/>
        </w:rPr>
        <w:t>[45] McKinsey &amp; Company.The state of AI: How organizations are rewiring to capturevalue[R/OL].(2025)[2026-03-09].https://www.mckinsey.com/capabilities/quantumblack/our-insights/the-state-of-ai.</w:t>
      </w:r>
      <w:r>
        <w:rPr>
          <w:rFonts w:hint="default" w:ascii="宋体" w:hAnsi="宋体" w:eastAsia="宋体"/>
          <w:b w:val="0"/>
          <w:sz w:val="24"/>
          <w:lang w:val="en-US"/>
        </w:rPr>
        <w:t xml:space="preserve">   </w:t>
      </w:r>
      <w:r>
        <w:rPr>
          <w:rFonts w:ascii="宋体" w:hAnsi="宋体" w:eastAsia="宋体"/>
          <w:b w:val="0"/>
          <w:sz w:val="24"/>
        </w:rPr>
        <w:t xml:space="preserve"> </w:t>
      </w:r>
    </w:p>
    <w:p w14:paraId="63423DB0">
      <w:pPr>
        <w:spacing w:before="0" w:after="0" w:line="400" w:lineRule="exact"/>
        <w:ind w:firstLine="0"/>
        <w:jc w:val="left"/>
      </w:pPr>
      <w:r>
        <w:rPr>
          <w:rFonts w:ascii="宋体" w:hAnsi="宋体" w:eastAsia="宋体"/>
          <w:b w:val="0"/>
          <w:sz w:val="24"/>
        </w:rPr>
        <w:t>[46] 教育部. “人工智能赋能教育发展”倡议正式发布[EB/OL]. (2024-01-31)[2026-03-09].https://www.moe.gov.cn/jyb_xwfb/gzdt_gzdt/s5987/202401/t20240131_1113641.html.</w:t>
      </w:r>
    </w:p>
    <w:p w14:paraId="59E43026">
      <w:pPr>
        <w:spacing w:before="0" w:after="0" w:line="400" w:lineRule="exact"/>
        <w:ind w:firstLine="0"/>
        <w:jc w:val="left"/>
      </w:pPr>
      <w:r>
        <w:rPr>
          <w:rFonts w:ascii="宋体" w:hAnsi="宋体" w:eastAsia="宋体"/>
          <w:b w:val="0"/>
          <w:sz w:val="24"/>
        </w:rPr>
        <w:t>[47] 教育部. 教育信息化2.0行动计划[EB/OL]. (2018-04-25)[2026-03-09]. https://www.moe.gov.cn/srcsite/A16/s3342/201804/t20180425_334188.html.</w:t>
      </w:r>
    </w:p>
    <w:p w14:paraId="6CB7BA76">
      <w:pPr>
        <w:spacing w:before="0" w:after="0" w:line="400" w:lineRule="exact"/>
        <w:ind w:firstLine="0"/>
        <w:jc w:val="left"/>
      </w:pPr>
      <w:r>
        <w:rPr>
          <w:rFonts w:ascii="宋体" w:hAnsi="宋体" w:eastAsia="宋体"/>
          <w:b w:val="0"/>
          <w:sz w:val="24"/>
        </w:rPr>
        <w:t>[48] 教育部.2024世界数字教育大会在上海开幕[EB/OL]. (2024-01-30)[2026-03-09].https://www.moe.gov.cn/jyb_xwfb/gzdt_gzdt/moe_1485/202401/t20240130_1113437.html.</w:t>
      </w:r>
    </w:p>
    <w:p w14:paraId="73003169">
      <w:pPr>
        <w:spacing w:before="0" w:after="0" w:line="400" w:lineRule="exact"/>
        <w:ind w:firstLine="0"/>
        <w:jc w:val="left"/>
        <w:rPr>
          <w:rFonts w:eastAsia="宋体"/>
        </w:rPr>
      </w:pPr>
      <w:r>
        <w:rPr>
          <w:rFonts w:eastAsia="宋体" w:ascii="宋体" w:hAnsi="宋体"/>
          <w:b w:val="0"/>
          <w:sz w:val="24"/>
        </w:rPr>
        <w:t>[49] Stanford Institute for Human-Centered Artificial Intelligence.2025 AI IndexReport[R/OL].(2025)[2026-03-09].https://hai.stanford.edu/ai-index/2025-ai-index-report.</w:t>
      </w:r>
    </w:p>
    <w:p w14:paraId="59A9A5A3">
      <w:pPr>
        <w:spacing w:before="0" w:after="0" w:line="400" w:lineRule="exact"/>
        <w:ind w:firstLine="0"/>
        <w:jc w:val="left"/>
      </w:pPr>
      <w:r>
        <w:rPr>
          <w:rFonts w:ascii="宋体" w:hAnsi="宋体" w:eastAsia="宋体"/>
          <w:b w:val="0"/>
          <w:sz w:val="24"/>
        </w:rPr>
        <w:t>[50] Teece D J. Profiting from technological innovation: implications for integration, collaboration, licensing and public policy[J]. Research Policy, 1986, 15(6): 285-305. DOI:10.1016/0048-7333(86)90027-2.</w:t>
      </w:r>
    </w:p>
    <w:sectPr>
      <w:footerReference r:id="rId8" w:type="default"/>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4494">
    <w:pPr>
      <w:pStyle w:val="18"/>
      <w:jc w:val="right"/>
    </w:pPr>
  </w:p>
  <w:p w14:paraId="1ECF9010">
    <w:pPr>
      <w:pStyle w:val="1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DAB98">
    <w:pPr>
      <w:pStyle w:val="18"/>
      <w:jc w:val="right"/>
    </w:pPr>
    <w:r>
      <w:fldChar w:fldCharType="begin"/>
    </w:r>
    <w:r>
      <w:instrText xml:space="preserve">PAGE   \* MERGEFORMAT</w:instrText>
    </w:r>
    <w:r>
      <w:fldChar w:fldCharType="separate"/>
    </w:r>
    <w:r>
      <w:rPr>
        <w:lang w:val="zh-CN"/>
      </w:rPr>
      <w:t>I</w:t>
    </w:r>
    <w:r>
      <w:fldChar w:fldCharType="end"/>
    </w:r>
  </w:p>
  <w:p w14:paraId="33C1C274">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F798">
    <w:pPr>
      <w:pStyle w:val="18"/>
      <w:jc w:val="right"/>
      <w:rPr>
        <w:rFonts w:eastAsia="宋体"/>
        <w:lang w:val="zh-CN"/>
      </w:rPr>
    </w:pPr>
    <w:r>
      <w:fldChar w:fldCharType="begin"/>
    </w:r>
    <w:r>
      <w:instrText xml:space="preserve"> PAGE   \* MERGEFORMAT </w:instrText>
    </w:r>
    <w:r>
      <w:fldChar w:fldCharType="separate"/>
    </w:r>
    <w:r>
      <w:rPr>
        <w:lang w:val="zh-CN"/>
      </w:rPr>
      <w:t>V</w:t>
    </w:r>
    <w:r>
      <w:rPr>
        <w:lang w:val="zh-CN"/>
      </w:rPr>
      <w:fldChar w:fldCharType="end"/>
    </w:r>
  </w:p>
  <w:p w14:paraId="64AE6566">
    <w:pPr>
      <w:pStyle w:val="1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8669B">
    <w:pPr>
      <w:pStyle w:val="18"/>
      <w:jc w:val="right"/>
      <w:rPr>
        <w:rFonts w:eastAsia="宋体"/>
        <w:lang w:val="zh-CN"/>
      </w:rPr>
    </w:pPr>
    <w:r>
      <w:fldChar w:fldCharType="begin"/>
    </w:r>
    <w:r>
      <w:instrText xml:space="preserve"> PAGE   \* MERGEFORMAT </w:instrText>
    </w:r>
    <w:r>
      <w:fldChar w:fldCharType="separate"/>
    </w:r>
    <w:r>
      <w:rPr>
        <w:lang w:val="zh-CN"/>
      </w:rPr>
      <w:t>10</w:t>
    </w:r>
    <w:r>
      <w:rPr>
        <w:lang w:val="zh-CN"/>
      </w:rPr>
      <w:fldChar w:fldCharType="end"/>
    </w:r>
  </w:p>
  <w:p w14:paraId="30758F0C">
    <w:pPr>
      <w:pStyle w:val="18"/>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9DBF">
    <w:pPr>
      <w:pStyle w:val="19"/>
      <w:jc w:val="center"/>
      <w:rPr>
        <w:szCs w:val="21"/>
      </w:rPr>
    </w:pPr>
    <w:r>
      <w:rPr>
        <w:rFonts w:ascii="宋体" w:hAnsi="宋体" w:eastAsia="宋体"/>
        <w:sz w:val="21"/>
      </w:rPr>
      <w:t>MASTER  DISSERTATION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4200">
    <w:pPr>
      <w:pStyle w:val="19"/>
      <w:pBdr>
        <w:bottom w:val="single" w:color="auto" w:sz="4" w:space="1"/>
      </w:pBdr>
      <w:jc w:val="center"/>
      <w:rPr>
        <w:sz w:val="21"/>
        <w:szCs w:val="21"/>
      </w:rPr>
    </w:pPr>
    <w:r>
      <w:rPr>
        <w:rFonts w:ascii="宋体" w:hAnsi="宋体" w:eastAsia="宋体"/>
        <w:sz w:val="21"/>
      </w:rPr>
      <w:t>MASTER  DISSERTATION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21"/>
      </w:rPr>
      <w:t>MASTER  DISSERTATION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E4D0B"/>
    <w:multiLevelType w:val="singleLevel"/>
    <w:tmpl w:val="B56E4D0B"/>
    <w:lvl w:ilvl="0" w:tentative="0">
      <w:start w:val="1"/>
      <w:numFmt w:val="chineseCounting"/>
      <w:suff w:val="nothing"/>
      <w:lvlText w:val="第%1，"/>
      <w:lvlJc w:val="left"/>
      <w:rPr>
        <w:rFonts w:hint="eastAsia"/>
      </w:rPr>
    </w:lvl>
  </w:abstractNum>
  <w:abstractNum w:abstractNumId="1">
    <w:nsid w:val="BF5F66B3"/>
    <w:multiLevelType w:val="singleLevel"/>
    <w:tmpl w:val="BF5F66B3"/>
    <w:lvl w:ilvl="0" w:tentative="0">
      <w:start w:val="1"/>
      <w:numFmt w:val="chineseCounting"/>
      <w:suff w:val="nothing"/>
      <w:lvlText w:val="第%1，"/>
      <w:lvlJc w:val="left"/>
      <w:rPr>
        <w:rFonts w:hint="eastAsia"/>
      </w:rPr>
    </w:lvl>
  </w:abstractNum>
  <w:abstractNum w:abstractNumId="2">
    <w:nsid w:val="BFFCBEBC"/>
    <w:multiLevelType w:val="multilevel"/>
    <w:tmpl w:val="BFFCBE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DC54782"/>
    <w:multiLevelType w:val="singleLevel"/>
    <w:tmpl w:val="DDC54782"/>
    <w:lvl w:ilvl="0" w:tentative="0">
      <w:start w:val="1"/>
      <w:numFmt w:val="chineseCounting"/>
      <w:suff w:val="nothing"/>
      <w:lvlText w:val="第%1，"/>
      <w:lvlJc w:val="left"/>
      <w:rPr>
        <w:rFonts w:hint="eastAsia"/>
      </w:rPr>
    </w:lvl>
  </w:abstractNum>
  <w:abstractNum w:abstractNumId="4">
    <w:nsid w:val="DE841303"/>
    <w:multiLevelType w:val="singleLevel"/>
    <w:tmpl w:val="DE841303"/>
    <w:lvl w:ilvl="0" w:tentative="0">
      <w:start w:val="1"/>
      <w:numFmt w:val="decimal"/>
      <w:suff w:val="nothing"/>
      <w:lvlText w:val="（%1）"/>
      <w:lvlJc w:val="left"/>
    </w:lvl>
  </w:abstractNum>
  <w:abstractNum w:abstractNumId="5">
    <w:nsid w:val="DFB299FE"/>
    <w:multiLevelType w:val="singleLevel"/>
    <w:tmpl w:val="DFB299FE"/>
    <w:lvl w:ilvl="0" w:tentative="0">
      <w:start w:val="1"/>
      <w:numFmt w:val="decimal"/>
      <w:suff w:val="nothing"/>
      <w:lvlText w:val="（%1）"/>
      <w:lvlJc w:val="left"/>
    </w:lvl>
  </w:abstractNum>
  <w:abstractNum w:abstractNumId="6">
    <w:nsid w:val="E1DED841"/>
    <w:multiLevelType w:val="singleLevel"/>
    <w:tmpl w:val="E1DED841"/>
    <w:lvl w:ilvl="0" w:tentative="0">
      <w:start w:val="1"/>
      <w:numFmt w:val="decimal"/>
      <w:suff w:val="nothing"/>
      <w:lvlText w:val="（%1）"/>
      <w:lvlJc w:val="left"/>
    </w:lvl>
  </w:abstractNum>
  <w:abstractNum w:abstractNumId="7">
    <w:nsid w:val="E56E9086"/>
    <w:multiLevelType w:val="singleLevel"/>
    <w:tmpl w:val="E56E9086"/>
    <w:lvl w:ilvl="0" w:tentative="0">
      <w:start w:val="1"/>
      <w:numFmt w:val="decimal"/>
      <w:suff w:val="nothing"/>
      <w:lvlText w:val="（%1）"/>
      <w:lvlJc w:val="left"/>
    </w:lvl>
  </w:abstractNum>
  <w:abstractNum w:abstractNumId="8">
    <w:nsid w:val="ECBFE7CF"/>
    <w:multiLevelType w:val="singleLevel"/>
    <w:tmpl w:val="ECBFE7CF"/>
    <w:lvl w:ilvl="0" w:tentative="0">
      <w:start w:val="1"/>
      <w:numFmt w:val="decimal"/>
      <w:suff w:val="space"/>
      <w:lvlText w:val="%1."/>
      <w:lvlJc w:val="left"/>
    </w:lvl>
  </w:abstractNum>
  <w:abstractNum w:abstractNumId="9">
    <w:nsid w:val="EF2AC506"/>
    <w:multiLevelType w:val="singleLevel"/>
    <w:tmpl w:val="EF2AC506"/>
    <w:lvl w:ilvl="0" w:tentative="0">
      <w:start w:val="2"/>
      <w:numFmt w:val="decimal"/>
      <w:suff w:val="space"/>
      <w:lvlText w:val="第%1章"/>
      <w:lvlJc w:val="left"/>
    </w:lvl>
  </w:abstractNum>
  <w:abstractNum w:abstractNumId="10">
    <w:nsid w:val="F5FFB322"/>
    <w:multiLevelType w:val="singleLevel"/>
    <w:tmpl w:val="F5FFB322"/>
    <w:lvl w:ilvl="0" w:tentative="0">
      <w:start w:val="1"/>
      <w:numFmt w:val="decimal"/>
      <w:suff w:val="space"/>
      <w:lvlText w:val="第%1章"/>
      <w:lvlJc w:val="left"/>
    </w:lvl>
  </w:abstractNum>
  <w:abstractNum w:abstractNumId="11">
    <w:nsid w:val="F79F85C6"/>
    <w:multiLevelType w:val="singleLevel"/>
    <w:tmpl w:val="F79F85C6"/>
    <w:lvl w:ilvl="0" w:tentative="0">
      <w:start w:val="4"/>
      <w:numFmt w:val="chineseCounting"/>
      <w:suff w:val="space"/>
      <w:lvlText w:val="第%1章"/>
      <w:lvlJc w:val="left"/>
      <w:rPr>
        <w:rFonts w:hint="eastAsia"/>
      </w:rPr>
    </w:lvl>
  </w:abstractNum>
  <w:abstractNum w:abstractNumId="12">
    <w:nsid w:val="FC5FDD65"/>
    <w:multiLevelType w:val="singleLevel"/>
    <w:tmpl w:val="FC5FDD65"/>
    <w:lvl w:ilvl="0" w:tentative="0">
      <w:start w:val="1"/>
      <w:numFmt w:val="chineseCounting"/>
      <w:suff w:val="nothing"/>
      <w:lvlText w:val="第%1，"/>
      <w:lvlJc w:val="left"/>
      <w:rPr>
        <w:rFonts w:hint="eastAsia"/>
      </w:rPr>
    </w:lvl>
  </w:abstractNum>
  <w:abstractNum w:abstractNumId="13">
    <w:nsid w:val="270612C5"/>
    <w:multiLevelType w:val="singleLevel"/>
    <w:tmpl w:val="270612C5"/>
    <w:lvl w:ilvl="0" w:tentative="0">
      <w:start w:val="1"/>
      <w:numFmt w:val="decimal"/>
      <w:lvlText w:val="[%1]"/>
      <w:lvlJc w:val="left"/>
      <w:pPr>
        <w:tabs>
          <w:tab w:val="left" w:pos="420"/>
        </w:tabs>
        <w:ind w:left="425" w:leftChars="0" w:hanging="425" w:firstLineChars="0"/>
      </w:pPr>
      <w:rPr>
        <w:rFonts w:hint="default"/>
      </w:rPr>
    </w:lvl>
  </w:abstractNum>
  <w:abstractNum w:abstractNumId="14">
    <w:nsid w:val="2EFF7B13"/>
    <w:multiLevelType w:val="singleLevel"/>
    <w:tmpl w:val="2EFF7B13"/>
    <w:lvl w:ilvl="0" w:tentative="0">
      <w:start w:val="1"/>
      <w:numFmt w:val="chineseCounting"/>
      <w:suff w:val="nothing"/>
      <w:lvlText w:val="第%1，"/>
      <w:lvlJc w:val="left"/>
      <w:rPr>
        <w:rFonts w:hint="eastAsia"/>
      </w:rPr>
    </w:lvl>
  </w:abstractNum>
  <w:abstractNum w:abstractNumId="15">
    <w:nsid w:val="36D74362"/>
    <w:multiLevelType w:val="singleLevel"/>
    <w:tmpl w:val="36D74362"/>
    <w:lvl w:ilvl="0" w:tentative="0">
      <w:start w:val="1"/>
      <w:numFmt w:val="decimal"/>
      <w:pStyle w:val="9"/>
      <w:lvlText w:val="%1."/>
      <w:lvlJc w:val="left"/>
      <w:pPr>
        <w:tabs>
          <w:tab w:val="left" w:pos="360"/>
        </w:tabs>
        <w:ind w:left="360" w:hanging="360"/>
      </w:pPr>
    </w:lvl>
  </w:abstractNum>
  <w:abstractNum w:abstractNumId="16">
    <w:nsid w:val="39260770"/>
    <w:multiLevelType w:val="singleLevel"/>
    <w:tmpl w:val="39260770"/>
    <w:lvl w:ilvl="0" w:tentative="0">
      <w:start w:val="1"/>
      <w:numFmt w:val="chineseCounting"/>
      <w:suff w:val="nothing"/>
      <w:lvlText w:val="第%1，"/>
      <w:lvlJc w:val="left"/>
      <w:rPr>
        <w:rFonts w:hint="eastAsia"/>
      </w:rPr>
    </w:lvl>
  </w:abstractNum>
  <w:abstractNum w:abstractNumId="17">
    <w:nsid w:val="3EF802FF"/>
    <w:multiLevelType w:val="singleLevel"/>
    <w:tmpl w:val="3EF802FF"/>
    <w:lvl w:ilvl="0" w:tentative="0">
      <w:start w:val="1"/>
      <w:numFmt w:val="decimal"/>
      <w:suff w:val="nothing"/>
      <w:lvlText w:val="%1）"/>
      <w:lvlJc w:val="left"/>
    </w:lvl>
  </w:abstractNum>
  <w:num w:numId="1">
    <w:abstractNumId w:val="15"/>
  </w:num>
  <w:num w:numId="2">
    <w:abstractNumId w:val="10"/>
  </w:num>
  <w:num w:numId="3">
    <w:abstractNumId w:val="2"/>
  </w:num>
  <w:num w:numId="4">
    <w:abstractNumId w:val="0"/>
  </w:num>
  <w:num w:numId="5">
    <w:abstractNumId w:val="9"/>
  </w:num>
  <w:num w:numId="6">
    <w:abstractNumId w:val="17"/>
  </w:num>
  <w:num w:numId="7">
    <w:abstractNumId w:val="14"/>
  </w:num>
  <w:num w:numId="8">
    <w:abstractNumId w:val="11"/>
  </w:num>
  <w:num w:numId="9">
    <w:abstractNumId w:val="8"/>
  </w:num>
  <w:num w:numId="10">
    <w:abstractNumId w:val="7"/>
  </w:num>
  <w:num w:numId="11">
    <w:abstractNumId w:val="4"/>
  </w:num>
  <w:num w:numId="12">
    <w:abstractNumId w:val="6"/>
  </w:num>
  <w:num w:numId="13">
    <w:abstractNumId w:val="5"/>
  </w:num>
  <w:num w:numId="14">
    <w:abstractNumId w:val="13"/>
  </w:num>
  <w:num w:numId="15">
    <w:abstractNumId w:val="16"/>
  </w:num>
  <w:num w:numId="16">
    <w:abstractNumId w:val="12"/>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AC0"/>
    <w:rsid w:val="00030B4E"/>
    <w:rsid w:val="00032C13"/>
    <w:rsid w:val="00045F23"/>
    <w:rsid w:val="000636E3"/>
    <w:rsid w:val="00071503"/>
    <w:rsid w:val="0007221A"/>
    <w:rsid w:val="0009267C"/>
    <w:rsid w:val="00092CD3"/>
    <w:rsid w:val="000B77D9"/>
    <w:rsid w:val="000E1638"/>
    <w:rsid w:val="000F0CDE"/>
    <w:rsid w:val="0012423E"/>
    <w:rsid w:val="0012722D"/>
    <w:rsid w:val="001277E2"/>
    <w:rsid w:val="00172A27"/>
    <w:rsid w:val="0017351C"/>
    <w:rsid w:val="00174871"/>
    <w:rsid w:val="00184E39"/>
    <w:rsid w:val="001905A7"/>
    <w:rsid w:val="001A1092"/>
    <w:rsid w:val="001A59F8"/>
    <w:rsid w:val="001B0185"/>
    <w:rsid w:val="001D35BC"/>
    <w:rsid w:val="001E0CE1"/>
    <w:rsid w:val="001F4B11"/>
    <w:rsid w:val="001F5419"/>
    <w:rsid w:val="00211F8E"/>
    <w:rsid w:val="00241D78"/>
    <w:rsid w:val="00253F64"/>
    <w:rsid w:val="00262CCA"/>
    <w:rsid w:val="0026638A"/>
    <w:rsid w:val="00285B75"/>
    <w:rsid w:val="00290559"/>
    <w:rsid w:val="002A1875"/>
    <w:rsid w:val="002C0065"/>
    <w:rsid w:val="002C1073"/>
    <w:rsid w:val="002C492B"/>
    <w:rsid w:val="002F02F0"/>
    <w:rsid w:val="002F639D"/>
    <w:rsid w:val="003039E3"/>
    <w:rsid w:val="0030570C"/>
    <w:rsid w:val="003147A1"/>
    <w:rsid w:val="00322A4D"/>
    <w:rsid w:val="00370651"/>
    <w:rsid w:val="00395044"/>
    <w:rsid w:val="003A2615"/>
    <w:rsid w:val="003A6DBD"/>
    <w:rsid w:val="003C0B4A"/>
    <w:rsid w:val="003D2106"/>
    <w:rsid w:val="0040708A"/>
    <w:rsid w:val="00436718"/>
    <w:rsid w:val="00467A98"/>
    <w:rsid w:val="0048196E"/>
    <w:rsid w:val="004B0430"/>
    <w:rsid w:val="004E608E"/>
    <w:rsid w:val="004F7740"/>
    <w:rsid w:val="00556AC6"/>
    <w:rsid w:val="005833B4"/>
    <w:rsid w:val="00585C55"/>
    <w:rsid w:val="00592639"/>
    <w:rsid w:val="005A2D57"/>
    <w:rsid w:val="005A482D"/>
    <w:rsid w:val="005A6E72"/>
    <w:rsid w:val="005B277E"/>
    <w:rsid w:val="005C3D79"/>
    <w:rsid w:val="005E20FE"/>
    <w:rsid w:val="00612BEF"/>
    <w:rsid w:val="00641603"/>
    <w:rsid w:val="006567C0"/>
    <w:rsid w:val="006645A2"/>
    <w:rsid w:val="00665378"/>
    <w:rsid w:val="006925A0"/>
    <w:rsid w:val="006A2ED8"/>
    <w:rsid w:val="006A79B8"/>
    <w:rsid w:val="006B2627"/>
    <w:rsid w:val="006C4558"/>
    <w:rsid w:val="006E4225"/>
    <w:rsid w:val="006F61DD"/>
    <w:rsid w:val="00716389"/>
    <w:rsid w:val="00734F19"/>
    <w:rsid w:val="00744F27"/>
    <w:rsid w:val="00786F89"/>
    <w:rsid w:val="007877A4"/>
    <w:rsid w:val="00797A39"/>
    <w:rsid w:val="007A36B9"/>
    <w:rsid w:val="007B43C3"/>
    <w:rsid w:val="007F7BEC"/>
    <w:rsid w:val="0081475C"/>
    <w:rsid w:val="00830E0C"/>
    <w:rsid w:val="00842DCE"/>
    <w:rsid w:val="008B2BD0"/>
    <w:rsid w:val="008C5124"/>
    <w:rsid w:val="008D45B4"/>
    <w:rsid w:val="008F2964"/>
    <w:rsid w:val="008F387F"/>
    <w:rsid w:val="009047A3"/>
    <w:rsid w:val="009152D5"/>
    <w:rsid w:val="00917A8E"/>
    <w:rsid w:val="00921577"/>
    <w:rsid w:val="009449C0"/>
    <w:rsid w:val="00981998"/>
    <w:rsid w:val="009856C5"/>
    <w:rsid w:val="00985EB1"/>
    <w:rsid w:val="009B256C"/>
    <w:rsid w:val="009D07B1"/>
    <w:rsid w:val="00A2042C"/>
    <w:rsid w:val="00A23598"/>
    <w:rsid w:val="00A454CD"/>
    <w:rsid w:val="00A84358"/>
    <w:rsid w:val="00AA354B"/>
    <w:rsid w:val="00AA3D7A"/>
    <w:rsid w:val="00AE529B"/>
    <w:rsid w:val="00AE6352"/>
    <w:rsid w:val="00AF4665"/>
    <w:rsid w:val="00B10CD3"/>
    <w:rsid w:val="00B1786B"/>
    <w:rsid w:val="00B245ED"/>
    <w:rsid w:val="00B26022"/>
    <w:rsid w:val="00B27DC3"/>
    <w:rsid w:val="00B36CED"/>
    <w:rsid w:val="00B46886"/>
    <w:rsid w:val="00B60279"/>
    <w:rsid w:val="00B60722"/>
    <w:rsid w:val="00B64C29"/>
    <w:rsid w:val="00B64E1A"/>
    <w:rsid w:val="00B85264"/>
    <w:rsid w:val="00B87946"/>
    <w:rsid w:val="00BE1CAE"/>
    <w:rsid w:val="00C02C17"/>
    <w:rsid w:val="00C0449C"/>
    <w:rsid w:val="00C16CC8"/>
    <w:rsid w:val="00C22E15"/>
    <w:rsid w:val="00C268C8"/>
    <w:rsid w:val="00C364B8"/>
    <w:rsid w:val="00C60D6C"/>
    <w:rsid w:val="00C633B3"/>
    <w:rsid w:val="00C70BEB"/>
    <w:rsid w:val="00C8128A"/>
    <w:rsid w:val="00C815B9"/>
    <w:rsid w:val="00C9051B"/>
    <w:rsid w:val="00C95ECD"/>
    <w:rsid w:val="00CA77B5"/>
    <w:rsid w:val="00CB3DFB"/>
    <w:rsid w:val="00CD1F59"/>
    <w:rsid w:val="00CF0E76"/>
    <w:rsid w:val="00CF0F29"/>
    <w:rsid w:val="00CF5305"/>
    <w:rsid w:val="00D22357"/>
    <w:rsid w:val="00D35683"/>
    <w:rsid w:val="00D87087"/>
    <w:rsid w:val="00D924A3"/>
    <w:rsid w:val="00DA3705"/>
    <w:rsid w:val="00DA4D41"/>
    <w:rsid w:val="00DE406D"/>
    <w:rsid w:val="00DF50D2"/>
    <w:rsid w:val="00DF7231"/>
    <w:rsid w:val="00E04E0E"/>
    <w:rsid w:val="00E14DA2"/>
    <w:rsid w:val="00E24571"/>
    <w:rsid w:val="00E31489"/>
    <w:rsid w:val="00E46D17"/>
    <w:rsid w:val="00E6103D"/>
    <w:rsid w:val="00E665E4"/>
    <w:rsid w:val="00E76F6F"/>
    <w:rsid w:val="00E93B9E"/>
    <w:rsid w:val="00E9744B"/>
    <w:rsid w:val="00EB1BD1"/>
    <w:rsid w:val="00EB34CE"/>
    <w:rsid w:val="00EC23F5"/>
    <w:rsid w:val="00ED7359"/>
    <w:rsid w:val="00EF33F0"/>
    <w:rsid w:val="00F04504"/>
    <w:rsid w:val="00F05442"/>
    <w:rsid w:val="00F15C9E"/>
    <w:rsid w:val="00F15D06"/>
    <w:rsid w:val="00F236CA"/>
    <w:rsid w:val="00F3025A"/>
    <w:rsid w:val="00F32753"/>
    <w:rsid w:val="00F354EA"/>
    <w:rsid w:val="00F60672"/>
    <w:rsid w:val="00F82E43"/>
    <w:rsid w:val="00FD17B9"/>
    <w:rsid w:val="00FF171F"/>
    <w:rsid w:val="00FF2A96"/>
    <w:rsid w:val="03A4368E"/>
    <w:rsid w:val="051D1E4E"/>
    <w:rsid w:val="06D8121F"/>
    <w:rsid w:val="070B6D54"/>
    <w:rsid w:val="078524FA"/>
    <w:rsid w:val="07E80836"/>
    <w:rsid w:val="08155DFF"/>
    <w:rsid w:val="08AB39E9"/>
    <w:rsid w:val="0A5533E9"/>
    <w:rsid w:val="0ABD1BF5"/>
    <w:rsid w:val="0CF44D9E"/>
    <w:rsid w:val="100810F1"/>
    <w:rsid w:val="11F42D98"/>
    <w:rsid w:val="128773B2"/>
    <w:rsid w:val="13A15D69"/>
    <w:rsid w:val="13BF138C"/>
    <w:rsid w:val="14142C94"/>
    <w:rsid w:val="14246963"/>
    <w:rsid w:val="143B2530"/>
    <w:rsid w:val="16063646"/>
    <w:rsid w:val="17060D46"/>
    <w:rsid w:val="174255CC"/>
    <w:rsid w:val="18221A4A"/>
    <w:rsid w:val="188E7EB0"/>
    <w:rsid w:val="1A19607F"/>
    <w:rsid w:val="1A5037E8"/>
    <w:rsid w:val="1AC85DDF"/>
    <w:rsid w:val="1AE20CB7"/>
    <w:rsid w:val="1B0A0CE3"/>
    <w:rsid w:val="1B2748EF"/>
    <w:rsid w:val="1B450A77"/>
    <w:rsid w:val="1C524BBB"/>
    <w:rsid w:val="1D906E68"/>
    <w:rsid w:val="1DF84E3F"/>
    <w:rsid w:val="1FEB380C"/>
    <w:rsid w:val="203811A6"/>
    <w:rsid w:val="204D41D3"/>
    <w:rsid w:val="217E3280"/>
    <w:rsid w:val="230324F6"/>
    <w:rsid w:val="250608F2"/>
    <w:rsid w:val="261260FA"/>
    <w:rsid w:val="27AE3057"/>
    <w:rsid w:val="294BA57A"/>
    <w:rsid w:val="296929D7"/>
    <w:rsid w:val="29B34954"/>
    <w:rsid w:val="2AEE4E85"/>
    <w:rsid w:val="2B074CDA"/>
    <w:rsid w:val="2B430DF8"/>
    <w:rsid w:val="2B514A11"/>
    <w:rsid w:val="2BC751AB"/>
    <w:rsid w:val="2BCD08E5"/>
    <w:rsid w:val="2C5C2A18"/>
    <w:rsid w:val="2C6F563B"/>
    <w:rsid w:val="2FD13880"/>
    <w:rsid w:val="3114433A"/>
    <w:rsid w:val="31E440FC"/>
    <w:rsid w:val="32F9605B"/>
    <w:rsid w:val="347871D6"/>
    <w:rsid w:val="36776518"/>
    <w:rsid w:val="3993571A"/>
    <w:rsid w:val="3B2E66C8"/>
    <w:rsid w:val="3C235C03"/>
    <w:rsid w:val="3C8E72B9"/>
    <w:rsid w:val="3CFD26EF"/>
    <w:rsid w:val="3E6877EB"/>
    <w:rsid w:val="3EBF4DD6"/>
    <w:rsid w:val="3EDD328C"/>
    <w:rsid w:val="3FEE2640"/>
    <w:rsid w:val="4029721F"/>
    <w:rsid w:val="454E2262"/>
    <w:rsid w:val="46561D78"/>
    <w:rsid w:val="4777480D"/>
    <w:rsid w:val="47F42917"/>
    <w:rsid w:val="480F16AD"/>
    <w:rsid w:val="4A0819FF"/>
    <w:rsid w:val="4A5C2A49"/>
    <w:rsid w:val="4BFE3C71"/>
    <w:rsid w:val="4D79263C"/>
    <w:rsid w:val="4DE473F4"/>
    <w:rsid w:val="4E4828CE"/>
    <w:rsid w:val="4FFFD986"/>
    <w:rsid w:val="50132B57"/>
    <w:rsid w:val="5041224D"/>
    <w:rsid w:val="511379A8"/>
    <w:rsid w:val="51661366"/>
    <w:rsid w:val="529346ED"/>
    <w:rsid w:val="533B2464"/>
    <w:rsid w:val="53A74B7E"/>
    <w:rsid w:val="545C4509"/>
    <w:rsid w:val="556D78B6"/>
    <w:rsid w:val="55E263D8"/>
    <w:rsid w:val="569B60CA"/>
    <w:rsid w:val="5B964F7F"/>
    <w:rsid w:val="5E6A6848"/>
    <w:rsid w:val="5E7EF882"/>
    <w:rsid w:val="5FFF23F3"/>
    <w:rsid w:val="622A3A45"/>
    <w:rsid w:val="63864952"/>
    <w:rsid w:val="63977C15"/>
    <w:rsid w:val="63E145BA"/>
    <w:rsid w:val="64A9073A"/>
    <w:rsid w:val="65DD580D"/>
    <w:rsid w:val="661930AB"/>
    <w:rsid w:val="67BB1F8D"/>
    <w:rsid w:val="6AAB47AC"/>
    <w:rsid w:val="6AB722F2"/>
    <w:rsid w:val="6AFC5CA6"/>
    <w:rsid w:val="6BDB7337"/>
    <w:rsid w:val="6BDF5EAB"/>
    <w:rsid w:val="6E016C8F"/>
    <w:rsid w:val="6ED372A4"/>
    <w:rsid w:val="6EFD65D3"/>
    <w:rsid w:val="6F2A2B44"/>
    <w:rsid w:val="6FA91E5E"/>
    <w:rsid w:val="70CE5C17"/>
    <w:rsid w:val="711B20F0"/>
    <w:rsid w:val="721706E9"/>
    <w:rsid w:val="739031DC"/>
    <w:rsid w:val="76DF3483"/>
    <w:rsid w:val="7810738B"/>
    <w:rsid w:val="7A4179FE"/>
    <w:rsid w:val="7A7850E9"/>
    <w:rsid w:val="7A8B0636"/>
    <w:rsid w:val="7B84137A"/>
    <w:rsid w:val="7D2D0D7C"/>
    <w:rsid w:val="7D460D0F"/>
    <w:rsid w:val="7D7E1297"/>
    <w:rsid w:val="7DEA02F7"/>
    <w:rsid w:val="7E3A7CB2"/>
    <w:rsid w:val="7F6E9D71"/>
    <w:rsid w:val="7F6F2588"/>
    <w:rsid w:val="7F7F1D18"/>
    <w:rsid w:val="7FCB0699"/>
    <w:rsid w:val="B53F65AE"/>
    <w:rsid w:val="BFFE091E"/>
    <w:rsid w:val="DF6F4A30"/>
    <w:rsid w:val="EDBD189C"/>
    <w:rsid w:val="EED3E08B"/>
    <w:rsid w:val="F2FDF4A1"/>
    <w:rsid w:val="F5F5210D"/>
    <w:rsid w:val="F5F682E5"/>
    <w:rsid w:val="FBEF1E91"/>
    <w:rsid w:val="FE6E508E"/>
    <w:rsid w:val="FF7DA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47"/>
    <w:qFormat/>
    <w:uiPriority w:val="0"/>
    <w:pPr>
      <w:spacing w:afterLines="300"/>
      <w:jc w:val="center"/>
      <w:outlineLvl w:val="0"/>
    </w:pPr>
    <w:rPr>
      <w:b/>
      <w:kern w:val="44"/>
      <w:sz w:val="36"/>
    </w:rPr>
  </w:style>
  <w:style w:type="paragraph" w:styleId="3">
    <w:name w:val="heading 2"/>
    <w:basedOn w:val="1"/>
    <w:next w:val="1"/>
    <w:link w:val="46"/>
    <w:qFormat/>
    <w:uiPriority w:val="0"/>
    <w:pPr>
      <w:keepNext/>
      <w:keepLines/>
      <w:spacing w:beforeLines="200" w:afterLines="100" w:line="400" w:lineRule="exact"/>
      <w:outlineLvl w:val="1"/>
    </w:pPr>
    <w:rPr>
      <w:rFonts w:eastAsia="黑体"/>
      <w:sz w:val="30"/>
    </w:rPr>
  </w:style>
  <w:style w:type="paragraph" w:styleId="4">
    <w:name w:val="heading 3"/>
    <w:basedOn w:val="1"/>
    <w:next w:val="1"/>
    <w:link w:val="44"/>
    <w:qFormat/>
    <w:uiPriority w:val="0"/>
    <w:pPr>
      <w:keepNext/>
      <w:keepLines/>
      <w:spacing w:afterLines="100" w:line="400" w:lineRule="exact"/>
      <w:outlineLvl w:val="2"/>
    </w:pPr>
    <w:rPr>
      <w:rFonts w:eastAsia="黑体"/>
      <w:sz w:val="24"/>
    </w:rPr>
  </w:style>
  <w:style w:type="paragraph" w:styleId="5">
    <w:name w:val="heading 4"/>
    <w:basedOn w:val="4"/>
    <w:next w:val="1"/>
    <w:link w:val="45"/>
    <w:qFormat/>
    <w:uiPriority w:val="0"/>
    <w:pPr>
      <w:spacing w:before="40" w:after="40" w:line="360" w:lineRule="auto"/>
      <w:jc w:val="center"/>
      <w:outlineLvl w:val="3"/>
    </w:pPr>
  </w:style>
  <w:style w:type="paragraph" w:styleId="6">
    <w:name w:val="heading 5"/>
    <w:basedOn w:val="5"/>
    <w:next w:val="1"/>
    <w:qFormat/>
    <w:uiPriority w:val="0"/>
    <w:pPr>
      <w:spacing w:before="0" w:after="0"/>
      <w:outlineLvl w:val="4"/>
    </w:pPr>
  </w:style>
  <w:style w:type="paragraph" w:styleId="7">
    <w:name w:val="heading 6"/>
    <w:basedOn w:val="1"/>
    <w:next w:val="1"/>
    <w:link w:val="62"/>
    <w:unhideWhenUsed/>
    <w:qFormat/>
    <w:uiPriority w:val="0"/>
    <w:pPr>
      <w:keepNext/>
      <w:keepLines/>
      <w:spacing w:line="360" w:lineRule="auto"/>
      <w:outlineLvl w:val="5"/>
    </w:pPr>
    <w:rPr>
      <w:rFonts w:eastAsia="黑体" w:cs="Times New Roman"/>
      <w:b/>
      <w:bCs/>
      <w:sz w:val="32"/>
      <w:szCs w:val="24"/>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qFormat/>
    <w:uiPriority w:val="0"/>
    <w:pPr>
      <w:ind w:left="2520" w:leftChars="1200"/>
    </w:pPr>
  </w:style>
  <w:style w:type="paragraph" w:styleId="9">
    <w:name w:val="List Number"/>
    <w:basedOn w:val="1"/>
    <w:uiPriority w:val="0"/>
    <w:pPr>
      <w:numPr>
        <w:ilvl w:val="0"/>
        <w:numId w:val="1"/>
      </w:numPr>
    </w:pPr>
  </w:style>
  <w:style w:type="paragraph" w:styleId="10">
    <w:name w:val="toa heading"/>
    <w:basedOn w:val="1"/>
    <w:next w:val="1"/>
    <w:qFormat/>
    <w:uiPriority w:val="0"/>
    <w:pPr>
      <w:spacing w:before="120"/>
    </w:pPr>
    <w:rPr>
      <w:rFonts w:ascii="Arial" w:hAnsi="Arial"/>
      <w:sz w:val="24"/>
    </w:rPr>
  </w:style>
  <w:style w:type="paragraph" w:styleId="11">
    <w:name w:val="annotation text"/>
    <w:basedOn w:val="1"/>
    <w:link w:val="65"/>
    <w:uiPriority w:val="0"/>
    <w:pPr>
      <w:jc w:val="left"/>
    </w:pPr>
  </w:style>
  <w:style w:type="paragraph" w:styleId="12">
    <w:name w:val="Body Text"/>
    <w:basedOn w:val="1"/>
    <w:qFormat/>
    <w:uiPriority w:val="0"/>
    <w:pPr>
      <w:spacing w:after="120"/>
    </w:pPr>
  </w:style>
  <w:style w:type="paragraph" w:styleId="13">
    <w:name w:val="toc 5"/>
    <w:basedOn w:val="1"/>
    <w:next w:val="1"/>
    <w:qFormat/>
    <w:uiPriority w:val="0"/>
    <w:pPr>
      <w:ind w:left="1680" w:leftChars="800"/>
    </w:pPr>
  </w:style>
  <w:style w:type="paragraph" w:styleId="14">
    <w:name w:val="toc 3"/>
    <w:basedOn w:val="1"/>
    <w:next w:val="1"/>
    <w:qFormat/>
    <w:uiPriority w:val="39"/>
    <w:pPr>
      <w:ind w:left="840" w:leftChars="400"/>
    </w:pPr>
  </w:style>
  <w:style w:type="paragraph" w:styleId="15">
    <w:name w:val="toc 8"/>
    <w:basedOn w:val="1"/>
    <w:next w:val="1"/>
    <w:qFormat/>
    <w:uiPriority w:val="0"/>
    <w:pPr>
      <w:ind w:left="2940" w:leftChars="1400"/>
    </w:pPr>
  </w:style>
  <w:style w:type="paragraph" w:styleId="16">
    <w:name w:val="endnote text"/>
    <w:basedOn w:val="1"/>
    <w:qFormat/>
    <w:uiPriority w:val="0"/>
    <w:pPr>
      <w:snapToGrid w:val="0"/>
    </w:pPr>
  </w:style>
  <w:style w:type="paragraph" w:styleId="17">
    <w:name w:val="Balloon Text"/>
    <w:basedOn w:val="1"/>
    <w:link w:val="52"/>
    <w:qFormat/>
    <w:uiPriority w:val="0"/>
    <w:rPr>
      <w:sz w:val="18"/>
      <w:szCs w:val="18"/>
    </w:rPr>
  </w:style>
  <w:style w:type="paragraph" w:styleId="18">
    <w:name w:val="footer"/>
    <w:basedOn w:val="1"/>
    <w:link w:val="58"/>
    <w:qFormat/>
    <w:uiPriority w:val="99"/>
    <w:pPr>
      <w:tabs>
        <w:tab w:val="center" w:pos="4153"/>
        <w:tab w:val="right" w:pos="8306"/>
      </w:tabs>
      <w:snapToGrid w:val="0"/>
      <w:jc w:val="center"/>
    </w:pPr>
    <w:rPr>
      <w:rFonts w:eastAsia="Times New Roman"/>
      <w:sz w:val="18"/>
    </w:rPr>
  </w:style>
  <w:style w:type="paragraph" w:styleId="19">
    <w:name w:val="header"/>
    <w:basedOn w:val="1"/>
    <w:link w:val="64"/>
    <w:qFormat/>
    <w:uiPriority w:val="99"/>
    <w:pPr>
      <w:pBdr>
        <w:bottom w:val="single" w:color="auto" w:sz="6" w:space="1"/>
      </w:pBdr>
      <w:tabs>
        <w:tab w:val="center" w:pos="4153"/>
        <w:tab w:val="right" w:pos="8306"/>
      </w:tabs>
      <w:snapToGrid w:val="0"/>
      <w:jc w:val="center"/>
    </w:pPr>
    <w:rPr>
      <w:sz w:val="18"/>
    </w:rPr>
  </w:style>
  <w:style w:type="paragraph" w:styleId="20">
    <w:name w:val="toc 1"/>
    <w:basedOn w:val="1"/>
    <w:next w:val="1"/>
    <w:qFormat/>
    <w:uiPriority w:val="39"/>
  </w:style>
  <w:style w:type="paragraph" w:styleId="21">
    <w:name w:val="toc 4"/>
    <w:basedOn w:val="1"/>
    <w:next w:val="6"/>
    <w:qFormat/>
    <w:uiPriority w:val="0"/>
    <w:pPr>
      <w:ind w:left="1260" w:leftChars="600"/>
    </w:pPr>
  </w:style>
  <w:style w:type="paragraph" w:styleId="22">
    <w:name w:val="footnote text"/>
    <w:basedOn w:val="1"/>
    <w:qFormat/>
    <w:uiPriority w:val="0"/>
    <w:pPr>
      <w:snapToGrid w:val="0"/>
      <w:jc w:val="left"/>
    </w:pPr>
    <w:rPr>
      <w:sz w:val="18"/>
    </w:rPr>
  </w:style>
  <w:style w:type="paragraph" w:styleId="23">
    <w:name w:val="toc 6"/>
    <w:basedOn w:val="1"/>
    <w:next w:val="1"/>
    <w:qFormat/>
    <w:uiPriority w:val="0"/>
    <w:pPr>
      <w:ind w:left="2100" w:leftChars="1000"/>
    </w:pPr>
  </w:style>
  <w:style w:type="paragraph" w:styleId="24">
    <w:name w:val="table of figures"/>
    <w:basedOn w:val="1"/>
    <w:next w:val="1"/>
    <w:unhideWhenUsed/>
    <w:uiPriority w:val="99"/>
    <w:pPr>
      <w:widowControl/>
      <w:adjustRightInd w:val="0"/>
      <w:snapToGrid w:val="0"/>
      <w:spacing w:line="360" w:lineRule="auto"/>
      <w:jc w:val="left"/>
    </w:pPr>
    <w:rPr>
      <w:rFonts w:cs="宋体"/>
      <w:kern w:val="0"/>
      <w:sz w:val="24"/>
      <w:szCs w:val="24"/>
    </w:rPr>
  </w:style>
  <w:style w:type="paragraph" w:styleId="25">
    <w:name w:val="toc 2"/>
    <w:basedOn w:val="1"/>
    <w:next w:val="1"/>
    <w:qFormat/>
    <w:uiPriority w:val="39"/>
    <w:pPr>
      <w:ind w:left="420" w:leftChars="200"/>
    </w:pPr>
  </w:style>
  <w:style w:type="paragraph" w:styleId="26">
    <w:name w:val="toc 9"/>
    <w:basedOn w:val="1"/>
    <w:next w:val="1"/>
    <w:qFormat/>
    <w:uiPriority w:val="0"/>
    <w:pPr>
      <w:ind w:left="3360" w:leftChars="1600"/>
    </w:pPr>
  </w:style>
  <w:style w:type="paragraph" w:styleId="2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28">
    <w:name w:val="Normal (Web)"/>
    <w:basedOn w:val="1"/>
    <w:uiPriority w:val="0"/>
    <w:pPr>
      <w:spacing w:before="0" w:beforeAutospacing="1" w:after="0" w:afterAutospacing="1"/>
      <w:ind w:left="0" w:right="0"/>
      <w:jc w:val="left"/>
    </w:pPr>
    <w:rPr>
      <w:kern w:val="0"/>
      <w:sz w:val="24"/>
      <w:lang w:val="en-US" w:eastAsia="zh-CN" w:bidi="ar"/>
    </w:rPr>
  </w:style>
  <w:style w:type="paragraph" w:styleId="29">
    <w:name w:val="Title"/>
    <w:basedOn w:val="1"/>
    <w:qFormat/>
    <w:uiPriority w:val="0"/>
    <w:pPr>
      <w:spacing w:before="240" w:after="60"/>
      <w:jc w:val="center"/>
      <w:outlineLvl w:val="0"/>
    </w:pPr>
    <w:rPr>
      <w:rFonts w:ascii="Arial" w:hAnsi="Arial"/>
      <w:b/>
      <w:sz w:val="28"/>
    </w:rPr>
  </w:style>
  <w:style w:type="paragraph" w:styleId="30">
    <w:name w:val="annotation subject"/>
    <w:basedOn w:val="11"/>
    <w:next w:val="11"/>
    <w:link w:val="66"/>
    <w:uiPriority w:val="0"/>
    <w:rPr>
      <w:b/>
      <w:bCs/>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uiPriority w:val="0"/>
    <w:rPr>
      <w:color w:val="800080"/>
      <w:u w:val="single"/>
    </w:rPr>
  </w:style>
  <w:style w:type="character" w:styleId="38">
    <w:name w:val="Hyperlink"/>
    <w:basedOn w:val="33"/>
    <w:qFormat/>
    <w:uiPriority w:val="99"/>
    <w:rPr>
      <w:color w:val="0000FF"/>
      <w:u w:val="single"/>
    </w:rPr>
  </w:style>
  <w:style w:type="character" w:styleId="39">
    <w:name w:val="annotation reference"/>
    <w:basedOn w:val="33"/>
    <w:uiPriority w:val="0"/>
    <w:rPr>
      <w:sz w:val="21"/>
      <w:szCs w:val="21"/>
    </w:rPr>
  </w:style>
  <w:style w:type="character" w:styleId="40">
    <w:name w:val="footnote reference"/>
    <w:basedOn w:val="33"/>
    <w:qFormat/>
    <w:uiPriority w:val="0"/>
    <w:rPr>
      <w:vertAlign w:val="superscript"/>
    </w:rPr>
  </w:style>
  <w:style w:type="paragraph" w:customStyle="1" w:styleId="41">
    <w:name w:val="标题1"/>
    <w:basedOn w:val="2"/>
    <w:qFormat/>
    <w:uiPriority w:val="0"/>
    <w:pPr>
      <w:tabs>
        <w:tab w:val="left" w:pos="502"/>
        <w:tab w:val="center" w:pos="4596"/>
      </w:tabs>
      <w:spacing w:line="360" w:lineRule="auto"/>
    </w:pPr>
  </w:style>
  <w:style w:type="paragraph" w:customStyle="1" w:styleId="42">
    <w:name w:val="标题3"/>
    <w:basedOn w:val="2"/>
    <w:qFormat/>
    <w:uiPriority w:val="0"/>
    <w:pPr>
      <w:tabs>
        <w:tab w:val="left" w:pos="502"/>
        <w:tab w:val="center" w:pos="4596"/>
      </w:tabs>
      <w:spacing w:line="360" w:lineRule="auto"/>
    </w:pPr>
  </w:style>
  <w:style w:type="paragraph" w:customStyle="1" w:styleId="43">
    <w:name w:val="标题2"/>
    <w:basedOn w:val="2"/>
    <w:qFormat/>
    <w:uiPriority w:val="0"/>
    <w:pPr>
      <w:tabs>
        <w:tab w:val="left" w:pos="502"/>
        <w:tab w:val="center" w:pos="4596"/>
      </w:tabs>
      <w:spacing w:line="360" w:lineRule="auto"/>
    </w:pPr>
  </w:style>
  <w:style w:type="character" w:customStyle="1" w:styleId="44">
    <w:name w:val="标题 3 Char"/>
    <w:basedOn w:val="33"/>
    <w:link w:val="4"/>
    <w:qFormat/>
    <w:uiPriority w:val="0"/>
    <w:rPr>
      <w:rFonts w:eastAsia="黑体"/>
      <w:kern w:val="2"/>
      <w:sz w:val="24"/>
    </w:rPr>
  </w:style>
  <w:style w:type="character" w:customStyle="1" w:styleId="45">
    <w:name w:val="标题 4 Char"/>
    <w:basedOn w:val="44"/>
    <w:link w:val="5"/>
    <w:qFormat/>
    <w:uiPriority w:val="0"/>
    <w:rPr>
      <w:rFonts w:eastAsia="黑体"/>
      <w:kern w:val="2"/>
      <w:sz w:val="24"/>
    </w:rPr>
  </w:style>
  <w:style w:type="character" w:customStyle="1" w:styleId="46">
    <w:name w:val="标题 2 Char"/>
    <w:link w:val="3"/>
    <w:qFormat/>
    <w:uiPriority w:val="0"/>
    <w:rPr>
      <w:rFonts w:eastAsia="黑体"/>
      <w:kern w:val="2"/>
      <w:sz w:val="30"/>
    </w:rPr>
  </w:style>
  <w:style w:type="character" w:customStyle="1" w:styleId="47">
    <w:name w:val="标题 1 Char"/>
    <w:link w:val="2"/>
    <w:qFormat/>
    <w:uiPriority w:val="0"/>
    <w:rPr>
      <w:rFonts w:eastAsia="黑体"/>
      <w:b/>
      <w:kern w:val="44"/>
      <w:sz w:val="36"/>
    </w:rPr>
  </w:style>
  <w:style w:type="paragraph" w:customStyle="1" w:styleId="48">
    <w:name w:val="图"/>
    <w:basedOn w:val="1"/>
    <w:next w:val="16"/>
    <w:qFormat/>
    <w:uiPriority w:val="0"/>
    <w:pPr>
      <w:jc w:val="center"/>
    </w:pPr>
  </w:style>
  <w:style w:type="paragraph" w:customStyle="1" w:styleId="49">
    <w:name w:val="表格题注"/>
    <w:basedOn w:val="1"/>
    <w:qFormat/>
    <w:uiPriority w:val="0"/>
    <w:pPr>
      <w:spacing w:before="120" w:after="120"/>
      <w:jc w:val="center"/>
    </w:pPr>
    <w:rPr>
      <w:rFonts w:eastAsia="黑体"/>
    </w:rPr>
  </w:style>
  <w:style w:type="paragraph" w:customStyle="1" w:styleId="50">
    <w:name w:val="图题"/>
    <w:basedOn w:val="48"/>
    <w:qFormat/>
    <w:uiPriority w:val="0"/>
    <w:pPr>
      <w:spacing w:before="120" w:after="120"/>
    </w:pPr>
    <w:rPr>
      <w:rFonts w:eastAsia="黑体"/>
    </w:rPr>
  </w:style>
  <w:style w:type="paragraph" w:customStyle="1" w:styleId="51">
    <w:name w:val="表格"/>
    <w:basedOn w:val="1"/>
    <w:qFormat/>
    <w:uiPriority w:val="0"/>
    <w:pPr>
      <w:jc w:val="left"/>
    </w:pPr>
  </w:style>
  <w:style w:type="character" w:customStyle="1" w:styleId="52">
    <w:name w:val="批注框文本 Char"/>
    <w:basedOn w:val="33"/>
    <w:link w:val="17"/>
    <w:qFormat/>
    <w:uiPriority w:val="0"/>
    <w:rPr>
      <w:kern w:val="2"/>
      <w:sz w:val="18"/>
      <w:szCs w:val="18"/>
    </w:rPr>
  </w:style>
  <w:style w:type="paragraph" w:customStyle="1" w:styleId="53">
    <w:name w:val="input-关键词"/>
    <w:basedOn w:val="1"/>
    <w:link w:val="55"/>
    <w:qFormat/>
    <w:uiPriority w:val="0"/>
    <w:pPr>
      <w:spacing w:line="400" w:lineRule="exact"/>
      <w:ind w:firstLine="435"/>
    </w:pPr>
    <w:rPr>
      <w:sz w:val="24"/>
      <w:szCs w:val="24"/>
    </w:rPr>
  </w:style>
  <w:style w:type="paragraph" w:customStyle="1" w:styleId="54">
    <w:name w:val="input-接"/>
    <w:basedOn w:val="1"/>
    <w:link w:val="57"/>
    <w:qFormat/>
    <w:uiPriority w:val="0"/>
    <w:pPr>
      <w:spacing w:line="400" w:lineRule="exact"/>
      <w:ind w:firstLine="435"/>
    </w:pPr>
    <w:rPr>
      <w:sz w:val="24"/>
      <w:szCs w:val="24"/>
    </w:rPr>
  </w:style>
  <w:style w:type="character" w:customStyle="1" w:styleId="55">
    <w:name w:val="input-关键词 字符"/>
    <w:basedOn w:val="33"/>
    <w:link w:val="53"/>
    <w:uiPriority w:val="0"/>
    <w:rPr>
      <w:kern w:val="2"/>
      <w:sz w:val="24"/>
      <w:szCs w:val="24"/>
    </w:rPr>
  </w:style>
  <w:style w:type="paragraph" w:customStyle="1" w:styleId="56">
    <w:name w:val="段"/>
    <w:qFormat/>
    <w:uiPriority w:val="0"/>
    <w:pPr>
      <w:autoSpaceDE w:val="0"/>
      <w:autoSpaceDN w:val="0"/>
      <w:ind w:firstLine="200" w:firstLineChars="200"/>
      <w:jc w:val="both"/>
    </w:pPr>
    <w:rPr>
      <w:rFonts w:ascii="宋体" w:hAnsi="Calibri" w:eastAsia="宋体" w:cs="Times New Roman"/>
      <w:sz w:val="21"/>
      <w:szCs w:val="22"/>
      <w:lang w:val="en-US" w:eastAsia="zh-CN" w:bidi="ar-SA"/>
    </w:rPr>
  </w:style>
  <w:style w:type="character" w:customStyle="1" w:styleId="57">
    <w:name w:val="input-接 字符"/>
    <w:basedOn w:val="33"/>
    <w:link w:val="54"/>
    <w:uiPriority w:val="0"/>
    <w:rPr>
      <w:kern w:val="2"/>
      <w:sz w:val="24"/>
      <w:szCs w:val="24"/>
    </w:rPr>
  </w:style>
  <w:style w:type="character" w:customStyle="1" w:styleId="58">
    <w:name w:val="页脚 Char"/>
    <w:basedOn w:val="33"/>
    <w:link w:val="18"/>
    <w:uiPriority w:val="99"/>
    <w:rPr>
      <w:rFonts w:eastAsia="Times New Roman"/>
      <w:kern w:val="2"/>
      <w:sz w:val="18"/>
    </w:rPr>
  </w:style>
  <w:style w:type="paragraph" w:customStyle="1" w:styleId="59">
    <w:name w:val="inputa"/>
    <w:basedOn w:val="1"/>
    <w:link w:val="61"/>
    <w:qFormat/>
    <w:uiPriority w:val="0"/>
    <w:pPr>
      <w:spacing w:line="400" w:lineRule="exact"/>
      <w:ind w:firstLine="435"/>
    </w:pPr>
    <w:rPr>
      <w:sz w:val="24"/>
      <w:szCs w:val="24"/>
    </w:rPr>
  </w:style>
  <w:style w:type="paragraph" w:customStyle="1" w:styleId="60">
    <w:name w:val="inputk"/>
    <w:basedOn w:val="1"/>
    <w:link w:val="63"/>
    <w:qFormat/>
    <w:uiPriority w:val="0"/>
    <w:pPr>
      <w:spacing w:line="400" w:lineRule="exact"/>
      <w:ind w:firstLine="435"/>
    </w:pPr>
    <w:rPr>
      <w:sz w:val="24"/>
      <w:szCs w:val="24"/>
    </w:rPr>
  </w:style>
  <w:style w:type="character" w:customStyle="1" w:styleId="61">
    <w:name w:val="inputa 字符"/>
    <w:basedOn w:val="33"/>
    <w:link w:val="59"/>
    <w:uiPriority w:val="0"/>
    <w:rPr>
      <w:kern w:val="2"/>
      <w:sz w:val="24"/>
      <w:szCs w:val="24"/>
    </w:rPr>
  </w:style>
  <w:style w:type="character" w:customStyle="1" w:styleId="62">
    <w:name w:val="标题 6 Char"/>
    <w:basedOn w:val="33"/>
    <w:link w:val="7"/>
    <w:uiPriority w:val="0"/>
    <w:rPr>
      <w:rFonts w:eastAsia="黑体" w:cs="Times New Roman"/>
      <w:b/>
      <w:bCs/>
      <w:kern w:val="2"/>
      <w:sz w:val="32"/>
      <w:szCs w:val="24"/>
    </w:rPr>
  </w:style>
  <w:style w:type="character" w:customStyle="1" w:styleId="63">
    <w:name w:val="inputk 字符"/>
    <w:basedOn w:val="33"/>
    <w:link w:val="60"/>
    <w:uiPriority w:val="0"/>
    <w:rPr>
      <w:kern w:val="2"/>
      <w:sz w:val="24"/>
      <w:szCs w:val="24"/>
    </w:rPr>
  </w:style>
  <w:style w:type="character" w:customStyle="1" w:styleId="64">
    <w:name w:val="页眉 Char"/>
    <w:basedOn w:val="33"/>
    <w:link w:val="19"/>
    <w:qFormat/>
    <w:uiPriority w:val="99"/>
    <w:rPr>
      <w:kern w:val="2"/>
      <w:sz w:val="18"/>
    </w:rPr>
  </w:style>
  <w:style w:type="character" w:customStyle="1" w:styleId="65">
    <w:name w:val="批注文字 Char"/>
    <w:basedOn w:val="33"/>
    <w:link w:val="11"/>
    <w:uiPriority w:val="0"/>
    <w:rPr>
      <w:kern w:val="2"/>
      <w:sz w:val="21"/>
    </w:rPr>
  </w:style>
  <w:style w:type="character" w:customStyle="1" w:styleId="66">
    <w:name w:val="批注主题 Char"/>
    <w:basedOn w:val="65"/>
    <w:link w:val="30"/>
    <w:uiPriority w:val="0"/>
    <w:rPr>
      <w:b/>
      <w:bCs/>
      <w:kern w:val="2"/>
      <w:sz w:val="21"/>
    </w:rPr>
  </w:style>
  <w:style w:type="paragraph" w:customStyle="1" w:styleId="67">
    <w:name w:val="Revision"/>
    <w:hidden/>
    <w:unhideWhenUsed/>
    <w:uiPriority w:val="99"/>
    <w:rPr>
      <w:rFonts w:ascii="Times New Roman" w:hAnsi="Times New Roman" w:eastAsia="宋体" w:cs="Times New Roman"/>
      <w:kern w:val="2"/>
      <w:sz w:val="21"/>
      <w:lang w:val="en-US" w:eastAsia="zh-CN" w:bidi="ar-SA"/>
    </w:rPr>
  </w:style>
  <w:style w:type="table" w:customStyle="1" w:styleId="68">
    <w:name w:val="_Style 10"/>
    <w:basedOn w:val="69"/>
    <w:uiPriority w:val="0"/>
  </w:style>
  <w:style w:type="table" w:customStyle="1" w:styleId="69">
    <w:name w:val="TableNormal"/>
    <w:uiPriority w:val="0"/>
    <w:tblPr>
      <w:tblCellMar>
        <w:top w:w="100" w:type="dxa"/>
        <w:left w:w="100" w:type="dxa"/>
        <w:bottom w:w="100" w:type="dxa"/>
        <w:right w:w="100" w:type="dxa"/>
      </w:tblCellMar>
    </w:tblPr>
  </w:style>
  <w:style w:type="table" w:customStyle="1" w:styleId="70">
    <w:name w:val="_Style 11"/>
    <w:basedOn w:val="69"/>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chart" Target="charts/chart8.xml"/><Relationship Id="rId30" Type="http://schemas.openxmlformats.org/officeDocument/2006/relationships/chart" Target="charts/chart7.xml"/><Relationship Id="rId3" Type="http://schemas.openxmlformats.org/officeDocument/2006/relationships/footer" Target="footer1.xml"/><Relationship Id="rId29" Type="http://schemas.openxmlformats.org/officeDocument/2006/relationships/chart" Target="charts/chart6.xml"/><Relationship Id="rId28" Type="http://schemas.openxmlformats.org/officeDocument/2006/relationships/chart" Target="charts/chart5.xml"/><Relationship Id="rId27" Type="http://schemas.openxmlformats.org/officeDocument/2006/relationships/image" Target="media/image12.jpe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chart" Target="charts/chart4.xml"/><Relationship Id="rId17" Type="http://schemas.openxmlformats.org/officeDocument/2006/relationships/chart" Target="charts/chart3.xml"/><Relationship Id="rId16" Type="http://schemas.openxmlformats.org/officeDocument/2006/relationships/chart" Target="charts/chart2.xml"/><Relationship Id="rId15" Type="http://schemas.openxmlformats.org/officeDocument/2006/relationships/chart" Target="charts/chart1.xml"/><Relationship Id="rId14" Type="http://schemas.openxmlformats.org/officeDocument/2006/relationships/image" Target="media/image3.emf"/><Relationship Id="rId13" Type="http://schemas.openxmlformats.org/officeDocument/2006/relationships/image" Target="media/image2.png"/><Relationship Id="rId12" Type="http://schemas.openxmlformats.org/officeDocument/2006/relationships/oleObject" Target="embeddings/oleObject2.bin"/><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 Id="rId35"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24037;&#20316;&#31807;1"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目前已实现 (%)</c:v>
                </c:pt>
              </c:strCache>
            </c:strRef>
          </c:tx>
          <c:spPr>
            <a:solidFill>
              <a:srgbClr val="4F81B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Sheet1!$B$2:$B$8</c:f>
              <c:numCache>
                <c:formatCode>General</c:formatCode>
                <c:ptCount val="7"/>
                <c:pt idx="0">
                  <c:v>66</c:v>
                </c:pt>
                <c:pt idx="1">
                  <c:v>53</c:v>
                </c:pt>
                <c:pt idx="2">
                  <c:v>40</c:v>
                </c:pt>
                <c:pt idx="3">
                  <c:v>38</c:v>
                </c:pt>
                <c:pt idx="4">
                  <c:v>38</c:v>
                </c:pt>
                <c:pt idx="5">
                  <c:v>20</c:v>
                </c:pt>
                <c:pt idx="6">
                  <c:v>1</c:v>
                </c:pt>
              </c:numCache>
            </c:numRef>
          </c:val>
        </c:ser>
        <c:ser>
          <c:idx val="1"/>
          <c:order val="1"/>
          <c:tx>
            <c:strRef>
              <c:f>Sheet1!$C$1</c:f>
              <c:strCache>
                <c:ptCount val="1"/>
                <c:pt idx="0">
                  <c:v>希望实现 (%)</c:v>
                </c:pt>
              </c:strCache>
            </c:strRef>
          </c:tx>
          <c:spPr>
            <a:solidFill>
              <a:srgbClr val="C0504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Sheet1!$C$2:$C$8</c:f>
              <c:numCache>
                <c:formatCode>General</c:formatCode>
                <c:ptCount val="7"/>
                <c:pt idx="0">
                  <c:v>60</c:v>
                </c:pt>
                <c:pt idx="1">
                  <c:v>61</c:v>
                </c:pt>
                <c:pt idx="2">
                  <c:v>65</c:v>
                </c:pt>
                <c:pt idx="3">
                  <c:v>60</c:v>
                </c:pt>
                <c:pt idx="4">
                  <c:v>60</c:v>
                </c:pt>
                <c:pt idx="5">
                  <c:v>74</c:v>
                </c:pt>
                <c:pt idx="6">
                  <c:v>1</c:v>
                </c:pt>
              </c:numCache>
            </c:numRef>
          </c:val>
        </c:ser>
        <c:dLbls>
          <c:showLegendKey val="0"/>
          <c:showVal val="1"/>
          <c:showCatName val="0"/>
          <c:showSerName val="0"/>
          <c:showPercent val="0"/>
          <c:showBubbleSize val="0"/>
        </c:dLbls>
        <c:gapWidth val="246"/>
        <c:overlap val="-28"/>
        <c:axId val="346022320"/>
        <c:axId val="698866149"/>
      </c:barChart>
      <c:catAx>
        <c:axId val="34602232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ltLang="zh-CN"/>
                  <a:t>效益类别</a:t>
                </a:r>
                <a:endParaRPr lang="en-US" altLang="zh-CN"/>
              </a:p>
            </c:rich>
          </c:tx>
          <c:layout/>
          <c:overlay val="0"/>
          <c:spPr>
            <a:noFill/>
            <a:ln>
              <a:noFill/>
            </a:ln>
            <a:effectLst/>
          </c:spPr>
        </c:title>
        <c:majorTickMark val="none"/>
        <c:minorTickMark val="none"/>
        <c:tickLblPos val="nextTo"/>
        <c:spPr>
          <a:noFill/>
          <a:ln w="9525" cap="flat" cmpd="sng" algn="ctr">
            <a:solidFill>
              <a:srgbClr val="D9D9D9">
                <a:lumMod val="15000"/>
                <a:lumOff val="85000"/>
              </a:srgbClr>
            </a:solidFill>
            <a:round/>
          </a:ln>
          <a:effectLst/>
        </c:spPr>
        <c:txPr>
          <a:bodyPr rot="0" spcFirstLastPara="0" vertOverflow="ellipsis" vert="horz" wrap="square" anchor="ctr" anchorCtr="1"/>
          <a:lstStyle/>
          <a:p>
            <a:pPr>
              <a:defRPr lang="zh-CN" sz="800" b="0" i="0" u="none" strike="noStrike" kern="1200" cap="none" spc="0" normalizeH="0" baseline="0">
                <a:solidFill>
                  <a:srgbClr val="595959">
                    <a:lumMod val="65000"/>
                    <a:lumOff val="35000"/>
                  </a:srgbClr>
                </a:solidFill>
                <a:uFill>
                  <a:solidFill>
                    <a:srgbClr val="595959">
                      <a:lumMod val="65000"/>
                      <a:lumOff val="35000"/>
                    </a:srgbClr>
                  </a:solidFill>
                </a:uFill>
                <a:latin typeface="+mn-lt"/>
                <a:ea typeface="+mn-ea"/>
                <a:cs typeface="+mn-cs"/>
              </a:defRPr>
            </a:pPr>
          </a:p>
        </c:txPr>
        <c:crossAx val="698866149"/>
        <c:crosses val="autoZero"/>
        <c:auto val="0"/>
        <c:lblAlgn val="ctr"/>
        <c:lblOffset val="100"/>
        <c:tickLblSkip val="1"/>
        <c:noMultiLvlLbl val="0"/>
      </c:catAx>
      <c:valAx>
        <c:axId val="698866149"/>
        <c:scaling>
          <c:orientation val="minMax"/>
        </c:scaling>
        <c:delete val="0"/>
        <c:axPos val="l"/>
        <c:majorGridlines>
          <c:spPr>
            <a:ln w="9525" cap="flat" cmpd="sng" algn="ctr">
              <a:solidFill>
                <a:srgbClr val="E6E6E6">
                  <a:lumMod val="90200"/>
                </a:srgb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34602232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c8d919e2-4239-429c-b16a-b222f35c27cf}"/>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rgbClr val="4F81BD"/>
              </a:solidFill>
              <a:ln>
                <a:solidFill>
                  <a:srgbClr val="FFFFFF"/>
                </a:solidFill>
              </a:ln>
              <a:effectLst/>
            </c:spPr>
          </c:dPt>
          <c:dPt>
            <c:idx val="1"/>
            <c:bubble3D val="0"/>
            <c:spPr>
              <a:solidFill>
                <a:srgbClr val="C0504D"/>
              </a:solidFill>
              <a:ln>
                <a:solidFill>
                  <a:srgbClr val="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Sheet1!$A$2:$A$3</c:f>
              <c:strCache>
                <c:ptCount val="2"/>
                <c:pt idx="0">
                  <c:v>AI独立产品型企业</c:v>
                </c:pt>
                <c:pt idx="1">
                  <c:v>AI业务赋能型企业</c:v>
                </c:pt>
              </c:strCache>
            </c:strRef>
          </c:cat>
          <c:val>
            <c:numRef>
              <c:f>Sheet1!$B$2:$B$3</c:f>
              <c:numCache>
                <c:formatCode>General</c:formatCode>
                <c:ptCount val="2"/>
                <c:pt idx="0">
                  <c:v>38</c:v>
                </c:pt>
                <c:pt idx="1">
                  <c:v>35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d0ae487a-7928-401a-b54d-6464f73fcc18}"/>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200" b="1" i="0" u="none" strike="noStrike" kern="1200" cap="none" spc="0" normalizeH="0" baseline="0">
                <a:solidFill>
                  <a:srgbClr val="000000"/>
                </a:solidFill>
                <a:uFill>
                  <a:solidFill>
                    <a:srgbClr val="000000"/>
                  </a:solidFill>
                </a:uFill>
                <a:latin typeface="+mn-lt"/>
                <a:ea typeface="+mn-ea"/>
                <a:cs typeface="+mn-cs"/>
              </a:defRPr>
            </a:pPr>
            <a:r>
              <a:rPr sz="1200" u="none" strike="noStrike" cap="none" normalizeH="0">
                <a:solidFill>
                  <a:srgbClr val="000000"/>
                </a:solidFill>
                <a:uFill>
                  <a:solidFill>
                    <a:srgbClr val="000000"/>
                  </a:solidFill>
                </a:uFill>
              </a:rPr>
              <a:t>行业分布</a:t>
            </a:r>
            <a:endParaRPr sz="1200" u="none" strike="noStrike" cap="none" normalizeH="0">
              <a:solidFill>
                <a:srgbClr val="000000"/>
              </a:solidFill>
              <a:uFill>
                <a:solidFill>
                  <a:srgbClr val="000000"/>
                </a:solidFill>
              </a:uFill>
            </a:endParaRPr>
          </a:p>
        </c:rich>
      </c:tx>
      <c:layout/>
      <c:overlay val="0"/>
    </c:title>
    <c:autoTitleDeleted val="0"/>
    <c:plotArea>
      <c:layout/>
      <c:barChart>
        <c:barDir val="col"/>
        <c:grouping val="stacked"/>
        <c:varyColors val="0"/>
        <c:ser>
          <c:idx val="0"/>
          <c:order val="0"/>
          <c:tx>
            <c:strRef>
              <c:f>[AI应用_concept_cons_sme_逐家AI深度分析_最终样本.xlsx]行业分布图!$B$1</c:f>
              <c:strCache>
                <c:ptCount val="1"/>
                <c:pt idx="0">
                  <c:v>AI独立产品型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[AI应用_concept_cons_sme_逐家AI深度分析_最终样本.xlsx]行业分布图!$B$2:$B$16</c:f>
              <c:numCache>
                <c:formatCode>General</c:formatCode>
                <c:ptCount val="15"/>
                <c:pt idx="0">
                  <c:v>12</c:v>
                </c:pt>
                <c:pt idx="1">
                  <c:v>8</c:v>
                </c:pt>
                <c:pt idx="2">
                  <c:v>3</c:v>
                </c:pt>
                <c:pt idx="3">
                  <c:v>1</c:v>
                </c:pt>
                <c:pt idx="4">
                  <c:v>2</c:v>
                </c:pt>
                <c:pt idx="5">
                  <c:v>2</c:v>
                </c:pt>
                <c:pt idx="6">
                  <c:v>3</c:v>
                </c:pt>
                <c:pt idx="7">
                  <c:v>2</c:v>
                </c:pt>
                <c:pt idx="8">
                  <c:v>1</c:v>
                </c:pt>
                <c:pt idx="9">
                  <c:v>1</c:v>
                </c:pt>
                <c:pt idx="10">
                  <c:v>0</c:v>
                </c:pt>
                <c:pt idx="11">
                  <c:v>1</c:v>
                </c:pt>
                <c:pt idx="12">
                  <c:v>1</c:v>
                </c:pt>
                <c:pt idx="13">
                  <c:v>0</c:v>
                </c:pt>
                <c:pt idx="14">
                  <c:v>1</c:v>
                </c:pt>
              </c:numCache>
            </c:numRef>
          </c:val>
        </c:ser>
        <c:ser>
          <c:idx val="1"/>
          <c:order val="1"/>
          <c:tx>
            <c:strRef>
              <c:f>[AI应用_concept_cons_sme_逐家AI深度分析_最终样本.xlsx]行业分布图!$C$1</c:f>
              <c:strCache>
                <c:ptCount val="1"/>
                <c:pt idx="0">
                  <c:v>AI业务赋能型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[AI应用_concept_cons_sme_逐家AI深度分析_最终样本.xlsx]行业分布图!$C$2:$C$16</c:f>
              <c:numCache>
                <c:formatCode>General</c:formatCode>
                <c:ptCount val="15"/>
                <c:pt idx="0">
                  <c:v>16</c:v>
                </c:pt>
                <c:pt idx="1">
                  <c:v>1</c:v>
                </c:pt>
                <c:pt idx="2">
                  <c:v>5</c:v>
                </c:pt>
                <c:pt idx="3">
                  <c:v>4</c:v>
                </c:pt>
                <c:pt idx="4">
                  <c:v>3</c:v>
                </c:pt>
                <c:pt idx="5">
                  <c:v>2</c:v>
                </c:pt>
                <c:pt idx="6">
                  <c:v>1</c:v>
                </c:pt>
                <c:pt idx="7">
                  <c:v>0</c:v>
                </c:pt>
                <c:pt idx="8">
                  <c:v>1</c:v>
                </c:pt>
                <c:pt idx="9">
                  <c:v>0</c:v>
                </c:pt>
                <c:pt idx="10">
                  <c:v>1</c:v>
                </c:pt>
                <c:pt idx="11">
                  <c:v>0</c:v>
                </c:pt>
                <c:pt idx="12">
                  <c:v>0</c:v>
                </c:pt>
                <c:pt idx="13">
                  <c:v>1</c:v>
                </c:pt>
                <c:pt idx="14">
                  <c:v>0</c:v>
                </c:pt>
              </c:numCache>
            </c:numRef>
          </c:val>
        </c:ser>
        <c:dLbls>
          <c:showLegendKey val="0"/>
          <c:showVal val="0"/>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行业</a:t>
                </a:r>
                <a:endParaRPr sz="1000" u="none" strike="noStrike" cap="none" normalizeH="0">
                  <a:solidFill>
                    <a:srgbClr val="000000"/>
                  </a:solidFill>
                  <a:uFill>
                    <a:solidFill>
                      <a:srgbClr val="000000"/>
                    </a:solidFill>
                  </a:uFill>
                </a:endParaRPr>
              </a:p>
            </c:rich>
          </c:tx>
          <c:layout/>
          <c:overlay val="0"/>
        </c:title>
        <c:majorTickMark val="none"/>
        <c:minorTickMark val="none"/>
        <c:tickLblPos val="nextTo"/>
        <c:txPr>
          <a:bodyPr rot="-60000000" spcFirstLastPara="0" vertOverflow="ellipsis" vert="horz" wrap="square" anchor="ctr" anchorCtr="1"/>
          <a:lstStyle/>
          <a:p>
            <a:pPr>
              <a:defRPr lang="zh-CN" sz="1200" b="0" i="0" u="none" strike="noStrike" kern="1200" cap="none" spc="0" normalizeH="0" baseline="3000">
                <a:solidFill>
                  <a:srgbClr val="000000"/>
                </a:solidFill>
                <a:uFill>
                  <a:solidFill>
                    <a:srgbClr val="000000"/>
                  </a:solidFill>
                </a:uFill>
                <a:latin typeface="+mn-lt"/>
                <a:ea typeface="+mn-ea"/>
                <a:cs typeface="+mn-cs"/>
              </a:defRPr>
            </a:pPr>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公司数量</a:t>
                </a:r>
                <a:endParaRPr sz="1000" u="none" strike="noStrike" cap="none" normalizeH="0">
                  <a:solidFill>
                    <a:srgbClr val="000000"/>
                  </a:solidFill>
                  <a:uFill>
                    <a:solidFill>
                      <a:srgbClr val="000000"/>
                    </a:solidFill>
                  </a:uFill>
                </a:endParaRP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crossAx val="10"/>
        <c:crosses val="autoZero"/>
        <c:crossBetween val="between"/>
      </c:valAx>
    </c:plotArea>
    <c:legend>
      <c:legendPos val="r"/>
      <c:legendEntry>
        <c:idx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ayout>
        <c:manualLayout>
          <c:xMode val="edge"/>
          <c:yMode val="edge"/>
          <c:x val="0.775398466966784"/>
          <c:y val="0.306990151333173"/>
        </c:manualLayout>
      </c:layout>
      <c:overlay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
    <c:plotVisOnly val="1"/>
    <c:dispBlanksAs val="gap"/>
    <c:showDLblsOverMax val="0"/>
    <c:extLst>
      <c:ext uri="{0b15fc19-7d7d-44ad-8c2d-2c3a37ce22c3}">
        <chartProps xmlns="https://web.wps.cn/et/2018/main" chartId="{17adddc6-f600-4f03-863a-eafc1f221052}"/>
      </c:ext>
    </c:extLst>
  </c:chart>
  <c:txPr>
    <a:bodyPr/>
    <a:lstStyle/>
    <a:p>
      <a:pPr>
        <a:defRPr lang="zh-CN" sz="1000" u="none" strike="noStrike" kern="1200" cap="none" spc="0" normalizeH="0">
          <a:solidFill>
            <a:srgbClr val="000000"/>
          </a:solidFill>
          <a:uFill>
            <a:solidFill>
              <a:srgbClr val="000000"/>
            </a:solidFill>
          </a:uFill>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rgbClr val="000000"/>
                </a:solidFill>
                <a:latin typeface="+mn-lt"/>
                <a:ea typeface="+mn-ea"/>
                <a:cs typeface="+mn-cs"/>
              </a:defRPr>
            </a:pPr>
            <a:r>
              <a:t>人工智能应用落地现状图</a:t>
            </a:r>
          </a:p>
        </c:rich>
      </c:tx>
      <c:layout/>
      <c:overlay val="0"/>
    </c:title>
    <c:autoTitleDeleted val="0"/>
    <c:plotArea>
      <c:layout/>
      <c:barChart>
        <c:barDir val="col"/>
        <c:grouping val="stacked"/>
        <c:varyColors val="0"/>
        <c:ser>
          <c:idx val="0"/>
          <c:order val="0"/>
          <c:tx>
            <c:strRef>
              <c:f>应用落地现状图!$B$1</c:f>
              <c:strCache>
                <c:ptCount val="1"/>
                <c:pt idx="0">
                  <c:v>AI独立产品型</c:v>
                </c:pt>
              </c:strCache>
            </c:strRef>
          </c:tx>
          <c:spPr>
            <a:solidFill>
              <a:srgbClr val="ED7D31"/>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应用落地现状图!$B$2:$B$5</c:f>
              <c:numCache>
                <c:formatCode>General</c:formatCode>
                <c:ptCount val="4"/>
                <c:pt idx="0">
                  <c:v>6</c:v>
                </c:pt>
                <c:pt idx="1">
                  <c:v>13</c:v>
                </c:pt>
                <c:pt idx="2">
                  <c:v>8</c:v>
                </c:pt>
                <c:pt idx="3">
                  <c:v>11</c:v>
                </c:pt>
              </c:numCache>
            </c:numRef>
          </c:val>
        </c:ser>
        <c:ser>
          <c:idx val="1"/>
          <c:order val="1"/>
          <c:tx>
            <c:strRef>
              <c:f>应用落地现状图!$C$1</c:f>
              <c:strCache>
                <c:ptCount val="1"/>
                <c:pt idx="0">
                  <c:v>AI业务赋能型</c:v>
                </c:pt>
              </c:strCache>
            </c:strRef>
          </c:tx>
          <c:spPr>
            <a:solidFill>
              <a:srgbClr val="5B9BD5"/>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应用落地现状图!$C$2:$C$5</c:f>
              <c:numCache>
                <c:formatCode>General</c:formatCode>
                <c:ptCount val="4"/>
                <c:pt idx="0">
                  <c:v>17</c:v>
                </c:pt>
                <c:pt idx="1">
                  <c:v>5</c:v>
                </c:pt>
                <c:pt idx="2">
                  <c:v>9</c:v>
                </c:pt>
                <c:pt idx="3">
                  <c:v>4</c:v>
                </c:pt>
              </c:numCache>
            </c:numRef>
          </c:val>
        </c:ser>
        <c:dLbls>
          <c:showLegendKey val="0"/>
          <c:showVal val="1"/>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所属分类</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0"/>
        <c:crosses val="autoZero"/>
        <c:auto val="0"/>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公司数量</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legend>
    <c:plotVisOnly val="1"/>
    <c:dispBlanksAs val="gap"/>
    <c:showDLblsOverMax val="0"/>
    <c:extLst>
      <c:ext uri="{0b15fc19-7d7d-44ad-8c2d-2c3a37ce22c3}">
        <chartProps xmlns="https://web.wps.cn/et/2018/main" chartId="{60c07327-211f-4a00-8536-98950cb6a5bb}"/>
      </c:ext>
    </c:extLst>
  </c:chart>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[工作簿1]Sheet1!$B$16</c:f>
              <c:strCache>
                <c:ptCount val="1"/>
                <c:pt idx="0">
                  <c:v>方直科技</c:v>
                </c:pt>
              </c:strCache>
            </c:strRef>
          </c:tx>
          <c:spPr>
            <a:ln w="28575" cap="rnd">
              <a:solidFill>
                <a:schemeClr val="accent2"/>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[工作簿1]Sheet1!$C$16:$G$16</c:f>
              <c:numCache>
                <c:formatCode>General</c:formatCode>
                <c:ptCount val="5"/>
                <c:pt idx="0">
                  <c:v>0.2544</c:v>
                </c:pt>
                <c:pt idx="1">
                  <c:v>0.2037</c:v>
                </c:pt>
                <c:pt idx="2">
                  <c:v>0.2165</c:v>
                </c:pt>
                <c:pt idx="3">
                  <c:v>0.3133</c:v>
                </c:pt>
                <c:pt idx="4">
                  <c:v>0.188</c:v>
                </c:pt>
              </c:numCache>
            </c:numRef>
          </c:val>
          <c:smooth val="0"/>
        </c:ser>
        <c:ser>
          <c:idx val="2"/>
          <c:order val="2"/>
          <c:tx>
            <c:strRef>
              <c:f>[工作簿1]Sheet1!$B$17</c:f>
              <c:strCache>
                <c:ptCount val="1"/>
                <c:pt idx="0">
                  <c:v>佳讯飞鸿</c:v>
                </c:pt>
              </c:strCache>
            </c:strRef>
          </c:tx>
          <c:spPr>
            <a:ln w="28575" cap="rnd">
              <a:solidFill>
                <a:schemeClr val="accent3"/>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[工作簿1]Sheet1!$C$17:$G$17</c:f>
              <c:numCache>
                <c:formatCode>General</c:formatCode>
                <c:ptCount val="5"/>
                <c:pt idx="0">
                  <c:v>0.1215</c:v>
                </c:pt>
                <c:pt idx="1">
                  <c:v>0.1145</c:v>
                </c:pt>
                <c:pt idx="2">
                  <c:v>0.0533</c:v>
                </c:pt>
                <c:pt idx="3">
                  <c:v>0.0565</c:v>
                </c:pt>
                <c:pt idx="4">
                  <c:v>0.0597</c:v>
                </c:pt>
              </c:numCache>
            </c:numRef>
          </c:val>
          <c:smooth val="0"/>
        </c:ser>
        <c:ser>
          <c:idx val="3"/>
          <c:order val="3"/>
          <c:tx>
            <c:strRef>
              <c:f>[工作簿1]Sheet1!$B$18</c:f>
              <c:strCache>
                <c:ptCount val="1"/>
                <c:pt idx="0">
                  <c:v>天地在线</c:v>
                </c:pt>
              </c:strCache>
            </c:strRef>
          </c:tx>
          <c:spPr>
            <a:ln w="28575" cap="rnd">
              <a:solidFill>
                <a:schemeClr val="accent4"/>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[工作簿1]Sheet1!$C$18:$G$18</c:f>
              <c:numCache>
                <c:formatCode>General</c:formatCode>
                <c:ptCount val="5"/>
                <c:pt idx="0">
                  <c:v>0.0321</c:v>
                </c:pt>
                <c:pt idx="1">
                  <c:v>0.0137</c:v>
                </c:pt>
                <c:pt idx="2">
                  <c:v>0.0016</c:v>
                </c:pt>
                <c:pt idx="3">
                  <c:v>-0.0141</c:v>
                </c:pt>
                <c:pt idx="4">
                  <c:v>-0.05</c:v>
                </c:pt>
              </c:numCache>
            </c:numRef>
          </c:val>
          <c:smooth val="0"/>
        </c:ser>
        <c:ser>
          <c:idx val="4"/>
          <c:order val="4"/>
          <c:tx>
            <c:strRef>
              <c:f>[工作簿1]Sheet1!$B$19</c:f>
              <c:strCache>
                <c:ptCount val="1"/>
                <c:pt idx="0">
                  <c:v>巨人网络</c:v>
                </c:pt>
              </c:strCache>
            </c:strRef>
          </c:tx>
          <c:spPr>
            <a:ln w="28575" cap="rnd">
              <a:solidFill>
                <a:schemeClr val="accent5"/>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[工作簿1]Sheet1!$C$19:$G$19</c:f>
              <c:numCache>
                <c:formatCode>General</c:formatCode>
                <c:ptCount val="5"/>
                <c:pt idx="0">
                  <c:v>0.4694</c:v>
                </c:pt>
                <c:pt idx="1">
                  <c:v>0.4658</c:v>
                </c:pt>
                <c:pt idx="2">
                  <c:v>0.4092</c:v>
                </c:pt>
                <c:pt idx="3">
                  <c:v>0.3734</c:v>
                </c:pt>
                <c:pt idx="4">
                  <c:v>0.4896</c:v>
                </c:pt>
              </c:numCache>
            </c:numRef>
          </c:val>
          <c:smooth val="0"/>
        </c:ser>
        <c:ser>
          <c:idx val="5"/>
          <c:order val="5"/>
          <c:tx>
            <c:strRef>
              <c:f>[工作簿1]Sheet1!$B$20</c:f>
              <c:strCache>
                <c:ptCount val="1"/>
                <c:pt idx="0">
                  <c:v>世纪天鸿</c:v>
                </c:pt>
              </c:strCache>
            </c:strRef>
          </c:tx>
          <c:spPr>
            <a:ln w="28575" cap="rnd">
              <a:solidFill>
                <a:schemeClr val="accent6"/>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[工作簿1]Sheet1!$C$20:$G$20</c:f>
              <c:numCache>
                <c:formatCode>General</c:formatCode>
                <c:ptCount val="5"/>
                <c:pt idx="0">
                  <c:v>0.0932</c:v>
                </c:pt>
                <c:pt idx="1">
                  <c:v>0.0866</c:v>
                </c:pt>
                <c:pt idx="2">
                  <c:v>0.0847</c:v>
                </c:pt>
                <c:pt idx="3">
                  <c:v>0.0855</c:v>
                </c:pt>
                <c:pt idx="4">
                  <c:v>0.0838</c:v>
                </c:pt>
              </c:numCache>
            </c:numRef>
          </c:val>
          <c:smooth val="0"/>
        </c:ser>
        <c:ser>
          <c:idx val="6"/>
          <c:order val="6"/>
          <c:tx>
            <c:strRef>
              <c:f>[工作簿1]Sheet1!$B$21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[工作簿1]Sheet1!$C$21:$G$21</c:f>
              <c:numCache>
                <c:formatCode>General</c:formatCode>
                <c:ptCount val="5"/>
                <c:pt idx="0">
                  <c:v>-0.2895</c:v>
                </c:pt>
                <c:pt idx="1">
                  <c:v>0.0145</c:v>
                </c:pt>
                <c:pt idx="2">
                  <c:v>-0.0972</c:v>
                </c:pt>
                <c:pt idx="3">
                  <c:v>-0.0237</c:v>
                </c:pt>
                <c:pt idx="4">
                  <c:v>-0.0058</c:v>
                </c:pt>
              </c:numCache>
            </c:numRef>
          </c:val>
          <c:smooth val="0"/>
        </c:ser>
        <c:dLbls>
          <c:showLegendKey val="0"/>
          <c:showVal val="0"/>
          <c:showCatName val="0"/>
          <c:showSerName val="0"/>
          <c:showPercent val="0"/>
          <c:showBubbleSize val="0"/>
        </c:dLbls>
        <c:marker val="0"/>
        <c:smooth val="0"/>
        <c:axId val="47991722"/>
        <c:axId val="411550600"/>
        <c:extLst>
          <c:ext xmlns:c15="http://schemas.microsoft.com/office/drawing/2012/chart" uri="{02D57815-91ED-43cb-92C2-25804820EDAC}">
            <c15:filteredLineSeries>
              <c15:ser>
                <c:idx val="0"/>
                <c:order val="0"/>
                <c:tx>
                  <c:strRef>
                    <c:extLst>
                      <c:ext uri="{02D57815-91ED-43cb-92C2-25804820EDAC}">
                        <c15:formulaRef>
                          <c15:sqref>[工作簿1]Sheet1!$B$15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[工作簿1]Sheet1!$C$15:$H$15</c15:sqref>
                        </c15:formulaRef>
                      </c:ext>
                    </c:extLst>
                    <c:numCache>
                      <c:formatCode>General</c:formatCode>
                      <c:ptCount val="6"/>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479917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550600"/>
        <c:crosses val="autoZero"/>
        <c:auto val="1"/>
        <c:lblAlgn val="ctr"/>
        <c:lblOffset val="100"/>
        <c:noMultiLvlLbl val="0"/>
      </c:catAx>
      <c:valAx>
        <c:axId val="41155060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99172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f449ed-0860-49a6-891c-96c506c0f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[工作簿1]Sheet1!$B$26</c:f>
              <c:strCache>
                <c:ptCount val="1"/>
                <c:pt idx="0">
                  <c:v>方直科技</c:v>
                </c:pt>
              </c:strCache>
            </c:strRef>
          </c:tx>
          <c:spPr>
            <a:ln w="28575" cap="rnd">
              <a:solidFill>
                <a:schemeClr val="accent2"/>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[工作簿1]Sheet1!$C$26:$G$26</c:f>
              <c:numCache>
                <c:formatCode>General</c:formatCode>
                <c:ptCount val="5"/>
                <c:pt idx="0">
                  <c:v>0.183</c:v>
                </c:pt>
                <c:pt idx="1">
                  <c:v>0.163</c:v>
                </c:pt>
                <c:pt idx="2">
                  <c:v>0.155</c:v>
                </c:pt>
                <c:pt idx="3">
                  <c:v>0.142</c:v>
                </c:pt>
                <c:pt idx="4">
                  <c:v>0.127</c:v>
                </c:pt>
              </c:numCache>
            </c:numRef>
          </c:val>
          <c:smooth val="0"/>
        </c:ser>
        <c:ser>
          <c:idx val="2"/>
          <c:order val="2"/>
          <c:tx>
            <c:strRef>
              <c:f>[工作簿1]Sheet1!$B$27</c:f>
              <c:strCache>
                <c:ptCount val="1"/>
                <c:pt idx="0">
                  <c:v>佳讯飞鸿</c:v>
                </c:pt>
              </c:strCache>
            </c:strRef>
          </c:tx>
          <c:spPr>
            <a:ln w="28575" cap="rnd">
              <a:solidFill>
                <a:schemeClr val="accent3"/>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[工作簿1]Sheet1!$C$27:$G$27</c:f>
              <c:numCache>
                <c:formatCode>General</c:formatCode>
                <c:ptCount val="5"/>
                <c:pt idx="0">
                  <c:v>0.311</c:v>
                </c:pt>
                <c:pt idx="1">
                  <c:v>0.34</c:v>
                </c:pt>
                <c:pt idx="2">
                  <c:v>0.377</c:v>
                </c:pt>
                <c:pt idx="3">
                  <c:v>0.362</c:v>
                </c:pt>
                <c:pt idx="4">
                  <c:v>0.366</c:v>
                </c:pt>
              </c:numCache>
            </c:numRef>
          </c:val>
          <c:smooth val="0"/>
        </c:ser>
        <c:ser>
          <c:idx val="3"/>
          <c:order val="3"/>
          <c:tx>
            <c:strRef>
              <c:f>[工作簿1]Sheet1!$B$28</c:f>
              <c:strCache>
                <c:ptCount val="1"/>
                <c:pt idx="0">
                  <c:v>天地在线</c:v>
                </c:pt>
              </c:strCache>
            </c:strRef>
          </c:tx>
          <c:spPr>
            <a:ln w="28575" cap="rnd">
              <a:solidFill>
                <a:schemeClr val="accent4"/>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[工作簿1]Sheet1!$C$28:$G$28</c:f>
              <c:numCache>
                <c:formatCode>General</c:formatCode>
                <c:ptCount val="5"/>
                <c:pt idx="0">
                  <c:v>2.681</c:v>
                </c:pt>
                <c:pt idx="1">
                  <c:v>2.464</c:v>
                </c:pt>
                <c:pt idx="2">
                  <c:v>1.969</c:v>
                </c:pt>
                <c:pt idx="3">
                  <c:v>1.354</c:v>
                </c:pt>
                <c:pt idx="4">
                  <c:v>1.062</c:v>
                </c:pt>
              </c:numCache>
            </c:numRef>
          </c:val>
          <c:smooth val="0"/>
        </c:ser>
        <c:ser>
          <c:idx val="4"/>
          <c:order val="4"/>
          <c:tx>
            <c:strRef>
              <c:f>[工作簿1]Sheet1!$B$29</c:f>
              <c:strCache>
                <c:ptCount val="1"/>
                <c:pt idx="0">
                  <c:v>巨人网络</c:v>
                </c:pt>
              </c:strCache>
            </c:strRef>
          </c:tx>
          <c:spPr>
            <a:ln w="28575" cap="rnd">
              <a:solidFill>
                <a:schemeClr val="accent5"/>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[工作簿1]Sheet1!$C$29:$G$29</c:f>
              <c:numCache>
                <c:formatCode>General</c:formatCode>
                <c:ptCount val="5"/>
                <c:pt idx="0">
                  <c:v>0.213</c:v>
                </c:pt>
                <c:pt idx="1">
                  <c:v>0.187</c:v>
                </c:pt>
                <c:pt idx="2">
                  <c:v>0.162</c:v>
                </c:pt>
                <c:pt idx="3">
                  <c:v>0.22</c:v>
                </c:pt>
                <c:pt idx="4">
                  <c:v>0.208</c:v>
                </c:pt>
              </c:numCache>
            </c:numRef>
          </c:val>
          <c:smooth val="0"/>
        </c:ser>
        <c:ser>
          <c:idx val="5"/>
          <c:order val="5"/>
          <c:tx>
            <c:strRef>
              <c:f>[工作簿1]Sheet1!$B$30</c:f>
              <c:strCache>
                <c:ptCount val="1"/>
                <c:pt idx="0">
                  <c:v>世纪天鸿</c:v>
                </c:pt>
              </c:strCache>
            </c:strRef>
          </c:tx>
          <c:spPr>
            <a:ln w="28575" cap="rnd">
              <a:solidFill>
                <a:schemeClr val="accent6"/>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[工作簿1]Sheet1!$C$30:$G$30</c:f>
              <c:numCache>
                <c:formatCode>General</c:formatCode>
                <c:ptCount val="5"/>
                <c:pt idx="0">
                  <c:v>0.489</c:v>
                </c:pt>
                <c:pt idx="1">
                  <c:v>0.543</c:v>
                </c:pt>
                <c:pt idx="2">
                  <c:v>0.476</c:v>
                </c:pt>
                <c:pt idx="3">
                  <c:v>0.469</c:v>
                </c:pt>
                <c:pt idx="4">
                  <c:v>0.472</c:v>
                </c:pt>
              </c:numCache>
            </c:numRef>
          </c:val>
          <c:smooth val="0"/>
        </c:ser>
        <c:ser>
          <c:idx val="6"/>
          <c:order val="6"/>
          <c:tx>
            <c:strRef>
              <c:f>[工作簿1]Sheet1!$B$31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[工作簿1]Sheet1!$C$31:$G$31</c:f>
              <c:numCache>
                <c:formatCode>General</c:formatCode>
                <c:ptCount val="5"/>
                <c:pt idx="0">
                  <c:v>1.083</c:v>
                </c:pt>
                <c:pt idx="1">
                  <c:v>1.562</c:v>
                </c:pt>
                <c:pt idx="2">
                  <c:v>1.558</c:v>
                </c:pt>
                <c:pt idx="3">
                  <c:v>2.259</c:v>
                </c:pt>
                <c:pt idx="4">
                  <c:v>2.301</c:v>
                </c:pt>
              </c:numCache>
            </c:numRef>
          </c:val>
          <c:smooth val="0"/>
        </c:ser>
        <c:dLbls>
          <c:showLegendKey val="0"/>
          <c:showVal val="0"/>
          <c:showCatName val="0"/>
          <c:showSerName val="0"/>
          <c:showPercent val="0"/>
          <c:showBubbleSize val="0"/>
        </c:dLbls>
        <c:marker val="0"/>
        <c:smooth val="0"/>
        <c:axId val="164741870"/>
        <c:axId val="120673161"/>
        <c:extLst>
          <c:ext xmlns:c15="http://schemas.microsoft.com/office/drawing/2012/chart" uri="{02D57815-91ED-43cb-92C2-25804820EDAC}">
            <c15:filteredLineSeries>
              <c15:ser>
                <c:idx val="0"/>
                <c:order val="0"/>
                <c:tx>
                  <c:strRef>
                    <c:extLst>
                      <c:ext uri="{02D57815-91ED-43cb-92C2-25804820EDAC}">
                        <c15:formulaRef>
                          <c15:sqref>[工作簿1]Sheet1!$B$25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[工作簿1]Sheet1!$C$25:$G$25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1647418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73161"/>
        <c:crosses val="autoZero"/>
        <c:auto val="1"/>
        <c:lblAlgn val="ctr"/>
        <c:lblOffset val="100"/>
        <c:noMultiLvlLbl val="0"/>
      </c:catAx>
      <c:valAx>
        <c:axId val="12067316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74187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fcb4f-e6a9-4c7c-a841-1572526dcf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[工作簿1]Sheet1!$B$36</c:f>
              <c:strCache>
                <c:ptCount val="1"/>
                <c:pt idx="0">
                  <c:v>方直科技</c:v>
                </c:pt>
              </c:strCache>
            </c:strRef>
          </c:tx>
          <c:spPr>
            <a:ln w="28575" cap="rnd">
              <a:solidFill>
                <a:schemeClr val="accent2"/>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[工作簿1]Sheet1!$C$36:$G$36</c:f>
              <c:numCache>
                <c:formatCode>General</c:formatCode>
                <c:ptCount val="5"/>
                <c:pt idx="0">
                  <c:v>1.045</c:v>
                </c:pt>
                <c:pt idx="1">
                  <c:v>1.033</c:v>
                </c:pt>
                <c:pt idx="2">
                  <c:v>1.032</c:v>
                </c:pt>
                <c:pt idx="3">
                  <c:v>1.022</c:v>
                </c:pt>
                <c:pt idx="4">
                  <c:v>1.032</c:v>
                </c:pt>
              </c:numCache>
            </c:numRef>
          </c:val>
          <c:smooth val="0"/>
        </c:ser>
        <c:ser>
          <c:idx val="2"/>
          <c:order val="2"/>
          <c:tx>
            <c:strRef>
              <c:f>[工作簿1]Sheet1!$B$37</c:f>
              <c:strCache>
                <c:ptCount val="1"/>
                <c:pt idx="0">
                  <c:v>佳讯飞鸿</c:v>
                </c:pt>
              </c:strCache>
            </c:strRef>
          </c:tx>
          <c:spPr>
            <a:ln w="28575" cap="rnd">
              <a:solidFill>
                <a:schemeClr val="accent3"/>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[工作簿1]Sheet1!$C$37:$G$37</c:f>
              <c:numCache>
                <c:formatCode>General</c:formatCode>
                <c:ptCount val="5"/>
                <c:pt idx="0">
                  <c:v>1.415</c:v>
                </c:pt>
                <c:pt idx="1">
                  <c:v>1.39</c:v>
                </c:pt>
                <c:pt idx="2">
                  <c:v>1.358</c:v>
                </c:pt>
                <c:pt idx="3">
                  <c:v>1.424</c:v>
                </c:pt>
                <c:pt idx="4">
                  <c:v>1.407</c:v>
                </c:pt>
              </c:numCache>
            </c:numRef>
          </c:val>
          <c:smooth val="0"/>
        </c:ser>
        <c:ser>
          <c:idx val="3"/>
          <c:order val="3"/>
          <c:tx>
            <c:strRef>
              <c:f>[工作簿1]Sheet1!$B$38</c:f>
              <c:strCache>
                <c:ptCount val="1"/>
                <c:pt idx="0">
                  <c:v>天地在线</c:v>
                </c:pt>
              </c:strCache>
            </c:strRef>
          </c:tx>
          <c:spPr>
            <a:ln w="28575" cap="rnd">
              <a:solidFill>
                <a:schemeClr val="accent4"/>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[工作簿1]Sheet1!$C$38:$G$38</c:f>
              <c:numCache>
                <c:formatCode>General</c:formatCode>
                <c:ptCount val="5"/>
                <c:pt idx="0">
                  <c:v>1.577</c:v>
                </c:pt>
                <c:pt idx="1">
                  <c:v>1.565</c:v>
                </c:pt>
                <c:pt idx="2">
                  <c:v>1.368</c:v>
                </c:pt>
                <c:pt idx="3">
                  <c:v>1.294</c:v>
                </c:pt>
                <c:pt idx="4">
                  <c:v>1.31</c:v>
                </c:pt>
              </c:numCache>
            </c:numRef>
          </c:val>
          <c:smooth val="0"/>
        </c:ser>
        <c:ser>
          <c:idx val="4"/>
          <c:order val="4"/>
          <c:tx>
            <c:strRef>
              <c:f>[工作簿1]Sheet1!$B$39</c:f>
              <c:strCache>
                <c:ptCount val="1"/>
                <c:pt idx="0">
                  <c:v>巨人网络</c:v>
                </c:pt>
              </c:strCache>
            </c:strRef>
          </c:tx>
          <c:spPr>
            <a:ln w="28575" cap="rnd">
              <a:solidFill>
                <a:schemeClr val="accent5"/>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[工作簿1]Sheet1!$C$39:$G$39</c:f>
              <c:numCache>
                <c:formatCode>General</c:formatCode>
                <c:ptCount val="5"/>
                <c:pt idx="0">
                  <c:v>1.138</c:v>
                </c:pt>
                <c:pt idx="1">
                  <c:v>1.126</c:v>
                </c:pt>
                <c:pt idx="2">
                  <c:v>1.11</c:v>
                </c:pt>
                <c:pt idx="3">
                  <c:v>1.14</c:v>
                </c:pt>
                <c:pt idx="4">
                  <c:v>1.146</c:v>
                </c:pt>
              </c:numCache>
            </c:numRef>
          </c:val>
          <c:smooth val="0"/>
        </c:ser>
        <c:ser>
          <c:idx val="5"/>
          <c:order val="5"/>
          <c:tx>
            <c:strRef>
              <c:f>[工作簿1]Sheet1!$B$40</c:f>
              <c:strCache>
                <c:ptCount val="1"/>
                <c:pt idx="0">
                  <c:v>世纪天鸿</c:v>
                </c:pt>
              </c:strCache>
            </c:strRef>
          </c:tx>
          <c:spPr>
            <a:ln w="28575" cap="rnd">
              <a:solidFill>
                <a:schemeClr val="accent6"/>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[工作簿1]Sheet1!$C$40:$G$40</c:f>
              <c:numCache>
                <c:formatCode>General</c:formatCode>
                <c:ptCount val="5"/>
                <c:pt idx="0">
                  <c:v>1.476</c:v>
                </c:pt>
                <c:pt idx="1">
                  <c:v>1.481</c:v>
                </c:pt>
                <c:pt idx="2">
                  <c:v>1.318</c:v>
                </c:pt>
                <c:pt idx="3">
                  <c:v>1.344</c:v>
                </c:pt>
                <c:pt idx="4">
                  <c:v>1.307</c:v>
                </c:pt>
              </c:numCache>
            </c:numRef>
          </c:val>
          <c:smooth val="0"/>
        </c:ser>
        <c:ser>
          <c:idx val="6"/>
          <c:order val="6"/>
          <c:tx>
            <c:strRef>
              <c:f>[工作簿1]Sheet1!$B$41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[工作簿1]Sheet1!$C$41:$G$41</c:f>
              <c:numCache>
                <c:formatCode>General</c:formatCode>
                <c:ptCount val="5"/>
                <c:pt idx="0">
                  <c:v>1.373</c:v>
                </c:pt>
                <c:pt idx="1">
                  <c:v>1.47</c:v>
                </c:pt>
                <c:pt idx="2">
                  <c:v>1.511</c:v>
                </c:pt>
                <c:pt idx="3">
                  <c:v>1.704</c:v>
                </c:pt>
                <c:pt idx="4">
                  <c:v>2.013</c:v>
                </c:pt>
              </c:numCache>
            </c:numRef>
          </c:val>
          <c:smooth val="0"/>
        </c:ser>
        <c:dLbls>
          <c:showLegendKey val="0"/>
          <c:showVal val="0"/>
          <c:showCatName val="0"/>
          <c:showSerName val="0"/>
          <c:showPercent val="0"/>
          <c:showBubbleSize val="0"/>
        </c:dLbls>
        <c:marker val="0"/>
        <c:smooth val="0"/>
        <c:axId val="94178600"/>
        <c:axId val="218960789"/>
        <c:extLst>
          <c:ext xmlns:c15="http://schemas.microsoft.com/office/drawing/2012/chart" uri="{02D57815-91ED-43cb-92C2-25804820EDAC}">
            <c15:filteredLineSeries>
              <c15:ser>
                <c:idx val="0"/>
                <c:order val="0"/>
                <c:tx>
                  <c:strRef>
                    <c:extLst>
                      <c:ext uri="{02D57815-91ED-43cb-92C2-25804820EDAC}">
                        <c15:formulaRef>
                          <c15:sqref>[工作簿1]Sheet1!$B$35</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[工作簿1]Sheet1!$C$35:$G$35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4178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960789"/>
        <c:crosses val="autoZero"/>
        <c:auto val="1"/>
        <c:lblAlgn val="ctr"/>
        <c:lblOffset val="100"/>
        <c:noMultiLvlLbl val="0"/>
      </c:catAx>
      <c:valAx>
        <c:axId val="21896078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78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32c5ee-a60b-4b21-a0c5-50bacc77849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c:f>
              <c:strCache>
                <c:ptCount val="1"/>
                <c:pt idx="0">
                  <c:v>方直科技</c:v>
                </c:pt>
              </c:strCache>
            </c:strRef>
          </c:tx>
          <c:spPr>
            <a:ln w="28575" cap="rnd">
              <a:solidFill>
                <a:schemeClr val="accent2"/>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[工作簿1]Sheet1!$C$3:$G$3</c:f>
              <c:numCache>
                <c:formatCode>General</c:formatCode>
                <c:ptCount val="5"/>
                <c:pt idx="0">
                  <c:v>0.0489</c:v>
                </c:pt>
                <c:pt idx="1">
                  <c:v>0.0348</c:v>
                </c:pt>
                <c:pt idx="2">
                  <c:v>0.0347</c:v>
                </c:pt>
                <c:pt idx="3">
                  <c:v>0.0459</c:v>
                </c:pt>
                <c:pt idx="4">
                  <c:v>0.0248</c:v>
                </c:pt>
              </c:numCache>
            </c:numRef>
          </c:val>
          <c:smooth val="0"/>
        </c:ser>
        <c:ser>
          <c:idx val="2"/>
          <c:order val="2"/>
          <c:tx>
            <c:strRef>
              <c:f>[工作簿1]Sheet1!$B$4</c:f>
              <c:strCache>
                <c:ptCount val="1"/>
                <c:pt idx="0">
                  <c:v>佳讯飞鸿</c:v>
                </c:pt>
              </c:strCache>
            </c:strRef>
          </c:tx>
          <c:spPr>
            <a:ln w="28575" cap="rnd">
              <a:solidFill>
                <a:schemeClr val="accent3"/>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[工作簿1]Sheet1!$C$4:$G$4</c:f>
              <c:numCache>
                <c:formatCode>General</c:formatCode>
                <c:ptCount val="5"/>
                <c:pt idx="0">
                  <c:v>0.0549</c:v>
                </c:pt>
                <c:pt idx="1">
                  <c:v>0.0545</c:v>
                </c:pt>
                <c:pt idx="2">
                  <c:v>0.0284</c:v>
                </c:pt>
                <c:pt idx="3">
                  <c:v>0.0302</c:v>
                </c:pt>
                <c:pt idx="4">
                  <c:v>0.0335</c:v>
                </c:pt>
              </c:numCache>
            </c:numRef>
          </c:val>
          <c:smooth val="0"/>
        </c:ser>
        <c:ser>
          <c:idx val="3"/>
          <c:order val="3"/>
          <c:tx>
            <c:strRef>
              <c:f>[工作簿1]Sheet1!$B$5</c:f>
              <c:strCache>
                <c:ptCount val="1"/>
                <c:pt idx="0">
                  <c:v>天地在线</c:v>
                </c:pt>
              </c:strCache>
            </c:strRef>
          </c:tx>
          <c:spPr>
            <a:ln w="28575" cap="rnd">
              <a:solidFill>
                <a:schemeClr val="accent4"/>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[工作簿1]Sheet1!$C$5:$G$5</c:f>
              <c:numCache>
                <c:formatCode>General</c:formatCode>
                <c:ptCount val="5"/>
                <c:pt idx="0">
                  <c:v>0.1583</c:v>
                </c:pt>
                <c:pt idx="1">
                  <c:v>0.0512</c:v>
                </c:pt>
                <c:pt idx="2">
                  <c:v>0.003</c:v>
                </c:pt>
                <c:pt idx="3">
                  <c:v>-0.0256</c:v>
                </c:pt>
                <c:pt idx="4">
                  <c:v>-0.0699</c:v>
                </c:pt>
              </c:numCache>
            </c:numRef>
          </c:val>
          <c:smooth val="0"/>
        </c:ser>
        <c:ser>
          <c:idx val="4"/>
          <c:order val="4"/>
          <c:tx>
            <c:strRef>
              <c:f>[工作簿1]Sheet1!$B$6</c:f>
              <c:strCache>
                <c:ptCount val="1"/>
                <c:pt idx="0">
                  <c:v>巨人网络</c:v>
                </c:pt>
              </c:strCache>
            </c:strRef>
          </c:tx>
          <c:spPr>
            <a:ln w="28575" cap="rnd">
              <a:solidFill>
                <a:schemeClr val="accent5"/>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[工作簿1]Sheet1!$C$6:$G$6</c:f>
              <c:numCache>
                <c:formatCode>General</c:formatCode>
                <c:ptCount val="5"/>
                <c:pt idx="0">
                  <c:v>0.1082</c:v>
                </c:pt>
                <c:pt idx="1">
                  <c:v>0.0997</c:v>
                </c:pt>
                <c:pt idx="2">
                  <c:v>0.0758</c:v>
                </c:pt>
                <c:pt idx="3">
                  <c:v>0.0893</c:v>
                </c:pt>
                <c:pt idx="4">
                  <c:v>0.1156</c:v>
                </c:pt>
              </c:numCache>
            </c:numRef>
          </c:val>
          <c:smooth val="0"/>
        </c:ser>
        <c:ser>
          <c:idx val="5"/>
          <c:order val="5"/>
          <c:tx>
            <c:strRef>
              <c:f>[工作簿1]Sheet1!$B$7</c:f>
              <c:strCache>
                <c:ptCount val="1"/>
                <c:pt idx="0">
                  <c:v>世纪天鸿</c:v>
                </c:pt>
              </c:strCache>
            </c:strRef>
          </c:tx>
          <c:spPr>
            <a:ln w="28575" cap="rnd">
              <a:solidFill>
                <a:schemeClr val="accent6"/>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[工作簿1]Sheet1!$C$7:$G$7</c:f>
              <c:numCache>
                <c:formatCode>General</c:formatCode>
                <c:ptCount val="5"/>
                <c:pt idx="0">
                  <c:v>0.069</c:v>
                </c:pt>
                <c:pt idx="1">
                  <c:v>0.0689</c:v>
                </c:pt>
                <c:pt idx="2">
                  <c:v>0.0506</c:v>
                </c:pt>
                <c:pt idx="3">
                  <c:v>0.0533</c:v>
                </c:pt>
                <c:pt idx="4">
                  <c:v>0.0517</c:v>
                </c:pt>
              </c:numCache>
            </c:numRef>
          </c:val>
          <c:smooth val="0"/>
        </c:ser>
        <c:ser>
          <c:idx val="6"/>
          <c:order val="6"/>
          <c:tx>
            <c:strRef>
              <c:f>[工作簿1]Sheet1!$B$8</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[工作簿1]Sheet1!$C$8:$G$8</c:f>
              <c:numCache>
                <c:formatCode>General</c:formatCode>
                <c:ptCount val="5"/>
                <c:pt idx="0">
                  <c:v>-0.4563</c:v>
                </c:pt>
                <c:pt idx="1">
                  <c:v>0.03</c:v>
                </c:pt>
                <c:pt idx="2">
                  <c:v>-0.2316</c:v>
                </c:pt>
                <c:pt idx="3">
                  <c:v>-0.0901</c:v>
                </c:pt>
                <c:pt idx="4">
                  <c:v>-0.0244</c:v>
                </c:pt>
              </c:numCache>
            </c:numRef>
          </c:val>
          <c:smooth val="0"/>
        </c:ser>
        <c:dLbls>
          <c:showLegendKey val="0"/>
          <c:showVal val="0"/>
          <c:showCatName val="0"/>
          <c:showSerName val="0"/>
          <c:showPercent val="0"/>
          <c:showBubbleSize val="0"/>
        </c:dLbls>
        <c:marker val="0"/>
        <c:smooth val="0"/>
        <c:axId val="966301305"/>
        <c:axId val="39886715"/>
        <c:extLst>
          <c:ext xmlns:c15="http://schemas.microsoft.com/office/drawing/2012/chart" uri="{02D57815-91ED-43cb-92C2-25804820EDAC}">
            <c15:filteredLineSeries>
              <c15:ser>
                <c:idx val="0"/>
                <c:order val="0"/>
                <c:tx>
                  <c:strRef>
                    <c:extLst>
                      <c:ext uri="{02D57815-91ED-43cb-92C2-25804820EDAC}">
                        <c15:formulaRef>
                          <c15:sqref>[工作簿1]Sheet1!$B$2</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[工作簿1]Sheet1!$C$2:$G$2</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663013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86715"/>
        <c:crosses val="autoZero"/>
        <c:auto val="1"/>
        <c:lblAlgn val="ctr"/>
        <c:lblOffset val="100"/>
        <c:noMultiLvlLbl val="0"/>
      </c:catAx>
      <c:valAx>
        <c:axId val="3988671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63013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0c8568-edbb-49ce-aec9-50a03ddd73f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solidFill>
          <a:srgbClr val="FFFFFF"/>
        </a:solidFill>
      </a:ln>
      <a:effectLst/>
    </cs:spPr>
  </cs:dataPoint>
  <cs:dataPoint3D>
    <cs:lnRef idx="0"/>
    <cs:fillRef idx="1">
      <cs:styleClr val="auto"/>
    </cs:fillRef>
    <cs:effectRef idx="0"/>
    <cs:fontRef idx="minor">
      <a:srgbClr val="000000"/>
    </cs:fontRef>
    <cs:spPr>
      <a:ln w="25400">
        <a:solidFill>
          <a:srgbClr val="FFFFFF"/>
        </a:solidFill>
      </a:ln>
    </cs:spPr>
  </cs:dataPoint3D>
  <cs:dataPointLine>
    <cs:lnRef idx="0">
      <cs:styleClr val="auto"/>
    </cs:lnRef>
    <cs:fillRef idx="0"/>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noFill/>
      </a:ln>
      <a:effectLst/>
    </cs:spPr>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6256115-BEE6-4349-AA1A-26F8B3E858A8}">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3164</Words>
  <Characters>4019</Characters>
  <Lines>267</Lines>
  <Paragraphs>239</Paragraphs>
  <TotalTime>15</TotalTime>
  <ScaleCrop>false</ScaleCrop>
  <LinksUpToDate>false</LinksUpToDate>
  <CharactersWithSpaces>6944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2018-06-05T10:15:00Z</dcterms:created>
  <dc:creator>pc</dc:creator>
  <cp:lastModifiedBy>xxx</cp:lastModifiedBy>
  <cp:lastPrinted>2019-01-24T19:37:00Z</cp:lastPrinted>
  <dcterms:modified xsi:type="dcterms:W3CDTF">2026-03-09T18:15:11Z</dcterms:modified>
  <dc:title>绪论  应收账款的概念和内容</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RubyTemplateID" linkTarget="0">
    <vt:lpwstr>6</vt:lpwstr>
  </property>
  <property fmtid="{D5CDD505-2E9C-101B-9397-08002B2CF9AE}" pid="4" name="ICV">
    <vt:lpwstr>077DC49E39F4619B2E79A969D7D7BF34_43</vt:lpwstr>
  </property>
</Properties>
</file>