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B0A7F1">
      <w:pPr>
        <w:pStyle w:val="2"/>
        <w:autoSpaceDE/>
        <w:autoSpaceDN/>
        <w:snapToGrid/>
        <w:spacing w:before="156" w:beforeLines="50" w:after="0" w:line="240" w:lineRule="auto"/>
        <w:rPr>
          <w:rFonts w:hint="default" w:ascii="Times New Roman" w:hAnsi="Times New Roman" w:eastAsia="黑体" w:cs="Times New Roman"/>
          <w:sz w:val="36"/>
          <w:szCs w:val="36"/>
          <w:lang w:val="en-US" w:eastAsia="zh-CN"/>
        </w:rPr>
      </w:pPr>
      <w:r>
        <w:rPr>
          <w:rFonts w:hint="default" w:ascii="Times New Roman" w:hAnsi="Times New Roman" w:eastAsia="黑体" w:cs="Times New Roman"/>
          <w:sz w:val="36"/>
          <w:szCs w:val="36"/>
          <w:lang w:val="en-US" w:eastAsia="zh-CN"/>
        </w:rPr>
        <w:t>4 A股人工智能应用层中小企业盈利能力分析</w:t>
      </w:r>
    </w:p>
    <w:p w14:paraId="487954D4">
      <w:pPr>
        <w:pStyle w:val="3"/>
        <w:autoSpaceDE/>
        <w:autoSpaceDN/>
        <w:snapToGrid/>
        <w:spacing w:before="156" w:beforeLines="50" w:after="156" w:afterLines="50" w:line="420" w:lineRule="exact"/>
        <w:rPr>
          <w:rFonts w:hint="default" w:ascii="Times New Roman" w:hAnsi="Times New Roman" w:eastAsia="黑体" w:cs="Times New Roman"/>
          <w:b w:val="0"/>
          <w:bCs w:val="0"/>
          <w:color w:val="000000"/>
          <w:kern w:val="0"/>
          <w:sz w:val="30"/>
          <w:szCs w:val="30"/>
          <w:lang w:val="en-US" w:eastAsia="zh-CN"/>
        </w:rPr>
      </w:pPr>
      <w:r>
        <w:rPr>
          <w:rFonts w:hint="default" w:ascii="Times New Roman" w:hAnsi="Times New Roman" w:eastAsia="黑体" w:cs="Times New Roman"/>
          <w:b w:val="0"/>
          <w:bCs w:val="0"/>
          <w:color w:val="000000"/>
          <w:kern w:val="0"/>
          <w:sz w:val="30"/>
          <w:szCs w:val="30"/>
          <w:lang w:val="en-US" w:eastAsia="zh-CN"/>
        </w:rPr>
        <w:t>4.1基于熵权法的盈利能力横向对比分析（全样本）</w:t>
      </w:r>
    </w:p>
    <w:p w14:paraId="5BAF7A87">
      <w:pPr>
        <w:autoSpaceDE/>
        <w:autoSpaceDN/>
        <w:snapToGrid/>
        <w:spacing w:before="156" w:beforeLines="50" w:after="156" w:afterLines="50" w:line="420" w:lineRule="exact"/>
        <w:jc w:val="left"/>
        <w:outlineLvl w:val="2"/>
        <w:rPr>
          <w:rFonts w:hint="default" w:ascii="Times New Roman" w:hAnsi="Times New Roman" w:eastAsia="黑体" w:cs="Times New Roman"/>
          <w:color w:val="000000"/>
          <w:kern w:val="0"/>
          <w:sz w:val="28"/>
          <w:szCs w:val="28"/>
          <w:lang w:val="en-US" w:eastAsia="zh-CN"/>
        </w:rPr>
      </w:pPr>
      <w:r>
        <w:rPr>
          <w:rFonts w:hint="default" w:ascii="Times New Roman" w:hAnsi="Times New Roman" w:eastAsia="黑体" w:cs="Times New Roman"/>
          <w:color w:val="000000"/>
          <w:kern w:val="0"/>
          <w:sz w:val="28"/>
          <w:szCs w:val="28"/>
          <w:lang w:val="en-US" w:eastAsia="zh-CN"/>
        </w:rPr>
        <w:t>4.1.1评价指标的原则</w:t>
      </w:r>
    </w:p>
    <w:p w14:paraId="09122182">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企业盈利能力通常受到多个财务指标的共同影响，单一指标难以全面反映企业真实盈利状况。在综合指标测度方法中，层次分析法、主成分分析法和熵权法等是较为常用的方法。其中，主成分分析法在应用前需要满足KMO检验等统计前提条件；层次分析法的权重设定主要依赖专家判断，主观性较强；相比之下，熵权法根据指标数据本身的信息量确定权重，能够在一定程度上减少人为干预，具有较强的客观性。此外，在企业绩效评价研究中，熵权法已被广泛应用于上市公司财务绩效评价、产业竞争力评价以及企业综合发展能力评价等研究领域（Zou，2006；张新民，2019）。因此，本文采用熵权法构建企业盈利能力综合评价指数。</w:t>
      </w:r>
    </w:p>
    <w:p w14:paraId="23C6ECCB">
      <w:pPr>
        <w:autoSpaceDE/>
        <w:autoSpaceDN/>
        <w:snapToGrid/>
        <w:spacing w:before="156" w:beforeLines="50" w:after="156" w:afterLines="50" w:line="420" w:lineRule="exact"/>
        <w:jc w:val="left"/>
        <w:outlineLvl w:val="2"/>
        <w:rPr>
          <w:rFonts w:hint="default" w:ascii="Times New Roman" w:hAnsi="Times New Roman" w:eastAsia="黑体" w:cs="Times New Roman"/>
          <w:color w:val="000000"/>
          <w:kern w:val="0"/>
          <w:sz w:val="28"/>
          <w:szCs w:val="28"/>
          <w:lang w:val="en-US" w:eastAsia="zh-CN"/>
        </w:rPr>
      </w:pPr>
      <w:r>
        <w:rPr>
          <w:rFonts w:hint="default" w:ascii="Times New Roman" w:hAnsi="Times New Roman" w:eastAsia="黑体" w:cs="Times New Roman"/>
          <w:color w:val="000000"/>
          <w:kern w:val="0"/>
          <w:sz w:val="28"/>
          <w:szCs w:val="28"/>
          <w:lang w:val="en-US" w:eastAsia="zh-CN"/>
        </w:rPr>
        <w:t>4.1.2具体指标的选取</w:t>
      </w:r>
    </w:p>
    <w:p w14:paraId="2A5B35B6">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本文结合人工智能应用层企业的行业特征以及企业盈利能力评价的一般理论，遵循系统性、客观性、可比性与行业适配性原则构建盈利能力评价指标体系。</w:t>
      </w:r>
    </w:p>
    <w:p w14:paraId="77B51DAF">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企业盈利能力不仅取决于利润规模，还受到盈利结构、经营效率以及成本控制等多方面因素的影响</w:t>
      </w:r>
      <w:r>
        <w:rPr>
          <w:rFonts w:hint="eastAsia" w:ascii="Times New Roman" w:hAnsi="Times New Roman" w:eastAsia="宋体" w:cs="Times New Roman"/>
          <w:kern w:val="2"/>
          <w:sz w:val="24"/>
          <w:szCs w:val="24"/>
          <w:lang w:val="en-US" w:eastAsia="zh-CN" w:bidi="ar-SA"/>
        </w:rPr>
        <w:t>（</w:t>
      </w:r>
      <w:r>
        <w:rPr>
          <w:rFonts w:hint="default" w:ascii="Times New Roman" w:hAnsi="Times New Roman" w:cs="Times New Roman"/>
          <w:szCs w:val="22"/>
          <w:lang w:val="en-US" w:eastAsia="zh-CN"/>
        </w:rPr>
        <w:t>孙晓华</w:t>
      </w:r>
      <w:r>
        <w:rPr>
          <w:rFonts w:hint="eastAsia" w:ascii="Times New Roman" w:hAnsi="Times New Roman" w:cs="Times New Roman"/>
          <w:szCs w:val="22"/>
          <w:lang w:val="en-US" w:eastAsia="zh-CN"/>
        </w:rPr>
        <w:t>和</w:t>
      </w:r>
      <w:r>
        <w:rPr>
          <w:rFonts w:hint="default" w:ascii="Times New Roman" w:hAnsi="Times New Roman" w:cs="Times New Roman"/>
          <w:szCs w:val="22"/>
          <w:lang w:val="en-US" w:eastAsia="zh-CN"/>
        </w:rPr>
        <w:t>翟钰</w:t>
      </w:r>
      <w:r>
        <w:rPr>
          <w:rFonts w:hint="eastAsia" w:ascii="Times New Roman" w:hAnsi="Times New Roman" w:cs="Times New Roman"/>
          <w:szCs w:val="22"/>
          <w:lang w:val="en-US" w:eastAsia="zh-CN"/>
        </w:rPr>
        <w:t>，2021</w:t>
      </w:r>
      <w:r>
        <w:rPr>
          <w:rFonts w:hint="eastAsia" w:ascii="Times New Roman" w:hAnsi="Times New Roman" w:eastAsia="宋体" w:cs="Times New Roman"/>
          <w:kern w:val="2"/>
          <w:sz w:val="24"/>
          <w:szCs w:val="24"/>
          <w:lang w:val="en-US" w:eastAsia="zh-CN" w:bidi="ar-SA"/>
        </w:rPr>
        <w:t>），</w:t>
      </w:r>
      <w:r>
        <w:rPr>
          <w:rFonts w:hint="default" w:ascii="Times New Roman" w:hAnsi="Times New Roman" w:eastAsia="宋体" w:cs="Times New Roman"/>
          <w:kern w:val="2"/>
          <w:sz w:val="24"/>
          <w:szCs w:val="24"/>
          <w:lang w:val="en-US" w:eastAsia="zh-CN" w:bidi="ar-SA"/>
        </w:rPr>
        <w:t>因此，在构建盈利能力评价指标体系时，需要从多个维度综合考察企业盈利状况。本文将盈利能力划分为盈利水平、经营盈利能力以及成本与可持续性三个维度。其中，盈利水平主要反映企业当前利润获取能力；经营盈利能力反映企业通过经营活动创造利润的能力和经营效率；成本与可持续性维度则反映企业成本控制能力以及通过研发投入维持长期盈利能力的潜在基础。</w:t>
      </w:r>
    </w:p>
    <w:p w14:paraId="77F4810B">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在具体指标选择方面，盈利水平维度主要选取总资产收益率、净资产收益率、营业毛利率和营业净利率等指标。这类指标直接反映企业利润水平以及股东资本回报能力，是衡量企业盈利能力最常用的指标。经营盈利能力维度选取EBIT率和EBITDA率，用以反映企业在剔除财务结构和折旧摊销影响后的经营盈利能力，从而更加真实地体现企业主营业务创造利润的能力。成本与可持续性维度则选取研发费用率、投资收益率以及营业成本率。其中，研发费用率反映企业技术研发投入水平，在人工智能应用层企业中，研发投入是推动产品创新和提升市场竞争力的重要因素，能够对企业未来盈利能力产生重要影响，因此将其纳入盈利能力评价体系；投资收益率反映企业通过资本运作获得收益的能力；营业成本率则体现企业在生产经营过程中对成本的控制能力。</w:t>
      </w:r>
    </w:p>
    <w:p w14:paraId="25815DF4">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在指标属性设定方面，本文根据各指标与企业盈利能力之间的关系确定正负属性。对于总资产收益率、净资产收益率、毛利率、净利率、EBIT率、EBITDA率、研发费用率和投资收益率等指标，其数值越大通常意味着企业盈利能力越强，因此设定为正向指标；而营业成本率反映企业成本占收入的比例，该指标越高通常意味着企业利润空间越小，因此设定为负向指标。同时，为保证评价结果的客观性，所选指标均来源于上市公司财务报表，使用明确的计算方法和统一的统计口径进行计算，并通过标准化处理后进入熵权法计算。此外，为减少企业规模差异对评价结果的影响，本文在指标选取过程中尽量采用比例指标或相对指标，如总资产收益率、净资产收益率等。具体指标如表4-1所示，通过熵权法计算企业盈利能力综合得分，从而对AI独立产品型企业与AI业务赋能型企业的盈利表现进行比较分析。</w:t>
      </w:r>
    </w:p>
    <w:p w14:paraId="178A466A">
      <w:pPr>
        <w:widowControl/>
        <w:tabs>
          <w:tab w:val="left" w:pos="377"/>
        </w:tabs>
        <w:autoSpaceDE/>
        <w:autoSpaceDN/>
        <w:snapToGrid/>
        <w:spacing w:before="156" w:beforeLines="50"/>
        <w:jc w:val="center"/>
        <w:rPr>
          <w:rFonts w:hint="default" w:ascii="Times New Roman" w:hAnsi="Times New Roman" w:eastAsia="宋体" w:cs="Times New Roman"/>
          <w:spacing w:val="10"/>
          <w:kern w:val="0"/>
          <w:szCs w:val="20"/>
          <w:lang w:val="en-US" w:eastAsia="zh-CN"/>
        </w:rPr>
      </w:pPr>
      <w:r>
        <w:rPr>
          <w:rFonts w:hint="default" w:ascii="Times New Roman" w:hAnsi="Times New Roman" w:eastAsia="宋体" w:cs="Times New Roman"/>
          <w:spacing w:val="10"/>
          <w:kern w:val="0"/>
          <w:szCs w:val="20"/>
          <w:lang w:val="en-US" w:eastAsia="zh-CN"/>
        </w:rPr>
        <w:t>表4-1 盈利能力指标体系</w:t>
      </w:r>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705"/>
        <w:gridCol w:w="1593"/>
        <w:gridCol w:w="1572"/>
        <w:gridCol w:w="3451"/>
        <w:gridCol w:w="495"/>
      </w:tblGrid>
      <w:tr w14:paraId="553A7783">
        <w:trPr>
          <w:trHeight w:val="516" w:hRule="atLeast"/>
          <w:tblHeader/>
        </w:trPr>
        <w:tc>
          <w:tcPr>
            <w:tcW w:w="705" w:type="dxa"/>
            <w:tcBorders>
              <w:top w:val="single" w:color="auto" w:sz="12" w:space="0"/>
              <w:left w:val="nil"/>
              <w:bottom w:val="single" w:color="auto" w:sz="4" w:space="0"/>
              <w:right w:val="nil"/>
            </w:tcBorders>
            <w:shd w:val="clear" w:color="auto" w:fill="auto"/>
            <w:vAlign w:val="center"/>
          </w:tcPr>
          <w:p w14:paraId="51F78348">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Times New Roman" w:hAnsi="Times New Roman" w:eastAsia="宋体" w:cs="Times New Roman"/>
                <w:b/>
                <w:bCs/>
                <w:i w:val="0"/>
                <w:iCs w:val="0"/>
                <w:color w:val="000000"/>
                <w:kern w:val="0"/>
                <w:sz w:val="21"/>
                <w:szCs w:val="21"/>
                <w:u w:val="none"/>
                <w:lang w:val="en-US" w:eastAsia="zh-CN" w:bidi="ar"/>
              </w:rPr>
              <w:t>维度</w:t>
            </w:r>
          </w:p>
        </w:tc>
        <w:tc>
          <w:tcPr>
            <w:tcW w:w="1593" w:type="dxa"/>
            <w:tcBorders>
              <w:top w:val="single" w:color="auto" w:sz="12" w:space="0"/>
              <w:left w:val="nil"/>
              <w:bottom w:val="single" w:color="auto" w:sz="4" w:space="0"/>
              <w:right w:val="nil"/>
            </w:tcBorders>
            <w:shd w:val="clear" w:color="auto" w:fill="auto"/>
            <w:vAlign w:val="center"/>
          </w:tcPr>
          <w:p w14:paraId="4B3F9AE5">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cs="Times New Roman"/>
                <w:b/>
                <w:bCs/>
                <w:i w:val="0"/>
                <w:iCs w:val="0"/>
                <w:color w:val="000000"/>
                <w:sz w:val="21"/>
                <w:szCs w:val="21"/>
                <w:u w:val="none"/>
              </w:rPr>
            </w:pPr>
            <w:r>
              <w:rPr>
                <w:rFonts w:hint="default" w:ascii="Times New Roman" w:hAnsi="Times New Roman" w:eastAsia="宋体" w:cs="Times New Roman"/>
                <w:b/>
                <w:bCs/>
                <w:i w:val="0"/>
                <w:iCs w:val="0"/>
                <w:color w:val="000000"/>
                <w:kern w:val="0"/>
                <w:sz w:val="21"/>
                <w:szCs w:val="21"/>
                <w:u w:val="none"/>
                <w:lang w:val="en-US" w:eastAsia="zh-CN" w:bidi="ar"/>
              </w:rPr>
              <w:t>指标名称</w:t>
            </w:r>
          </w:p>
        </w:tc>
        <w:tc>
          <w:tcPr>
            <w:tcW w:w="1572" w:type="dxa"/>
            <w:tcBorders>
              <w:top w:val="single" w:color="auto" w:sz="12" w:space="0"/>
              <w:left w:val="nil"/>
              <w:bottom w:val="single" w:color="auto" w:sz="4" w:space="0"/>
              <w:right w:val="nil"/>
            </w:tcBorders>
            <w:shd w:val="clear" w:color="auto" w:fill="auto"/>
            <w:vAlign w:val="center"/>
          </w:tcPr>
          <w:p w14:paraId="45C751C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cs="Times New Roman"/>
                <w:b/>
                <w:bCs/>
                <w:i w:val="0"/>
                <w:iCs w:val="0"/>
                <w:color w:val="000000"/>
                <w:sz w:val="21"/>
                <w:szCs w:val="21"/>
                <w:u w:val="none"/>
              </w:rPr>
            </w:pPr>
            <w:r>
              <w:rPr>
                <w:rFonts w:hint="default" w:ascii="Times New Roman" w:hAnsi="Times New Roman" w:eastAsia="宋体" w:cs="Times New Roman"/>
                <w:b/>
                <w:bCs/>
                <w:i w:val="0"/>
                <w:iCs w:val="0"/>
                <w:color w:val="000000"/>
                <w:kern w:val="0"/>
                <w:sz w:val="21"/>
                <w:szCs w:val="21"/>
                <w:u w:val="none"/>
                <w:lang w:val="en-US" w:eastAsia="zh-CN" w:bidi="ar"/>
              </w:rPr>
              <w:t>变量</w:t>
            </w:r>
          </w:p>
        </w:tc>
        <w:tc>
          <w:tcPr>
            <w:tcW w:w="3451" w:type="dxa"/>
            <w:tcBorders>
              <w:top w:val="single" w:color="auto" w:sz="12" w:space="0"/>
              <w:left w:val="nil"/>
              <w:bottom w:val="single" w:color="auto" w:sz="4" w:space="0"/>
              <w:right w:val="nil"/>
            </w:tcBorders>
            <w:shd w:val="clear" w:color="auto" w:fill="auto"/>
            <w:vAlign w:val="center"/>
          </w:tcPr>
          <w:p w14:paraId="2E459550">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cs="Times New Roman"/>
                <w:b/>
                <w:bCs/>
                <w:i w:val="0"/>
                <w:iCs w:val="0"/>
                <w:color w:val="000000"/>
                <w:sz w:val="21"/>
                <w:szCs w:val="21"/>
                <w:u w:val="none"/>
              </w:rPr>
            </w:pPr>
            <w:r>
              <w:rPr>
                <w:rFonts w:hint="default" w:ascii="Times New Roman" w:hAnsi="Times New Roman" w:eastAsia="宋体" w:cs="Times New Roman"/>
                <w:b/>
                <w:bCs/>
                <w:i w:val="0"/>
                <w:iCs w:val="0"/>
                <w:color w:val="000000"/>
                <w:kern w:val="0"/>
                <w:sz w:val="21"/>
                <w:szCs w:val="21"/>
                <w:u w:val="none"/>
                <w:lang w:val="en-US" w:eastAsia="zh-CN" w:bidi="ar"/>
              </w:rPr>
              <w:t>指标说明</w:t>
            </w:r>
          </w:p>
        </w:tc>
        <w:tc>
          <w:tcPr>
            <w:tcW w:w="495" w:type="dxa"/>
            <w:tcBorders>
              <w:top w:val="single" w:color="auto" w:sz="12" w:space="0"/>
              <w:left w:val="nil"/>
              <w:bottom w:val="single" w:color="auto" w:sz="4" w:space="0"/>
              <w:right w:val="nil"/>
            </w:tcBorders>
            <w:shd w:val="clear" w:color="auto" w:fill="auto"/>
            <w:vAlign w:val="center"/>
          </w:tcPr>
          <w:p w14:paraId="699B1755">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cs="Times New Roman"/>
                <w:b/>
                <w:bCs/>
                <w:i w:val="0"/>
                <w:iCs w:val="0"/>
                <w:color w:val="000000"/>
                <w:sz w:val="21"/>
                <w:szCs w:val="21"/>
                <w:u w:val="none"/>
              </w:rPr>
            </w:pPr>
            <w:r>
              <w:rPr>
                <w:rFonts w:hint="default" w:ascii="Times New Roman" w:hAnsi="Times New Roman" w:eastAsia="宋体" w:cs="Times New Roman"/>
                <w:b/>
                <w:bCs/>
                <w:i w:val="0"/>
                <w:iCs w:val="0"/>
                <w:color w:val="000000"/>
                <w:kern w:val="0"/>
                <w:sz w:val="21"/>
                <w:szCs w:val="21"/>
                <w:u w:val="none"/>
                <w:lang w:val="en-US" w:eastAsia="zh-CN" w:bidi="ar"/>
              </w:rPr>
              <w:t>属性</w:t>
            </w:r>
          </w:p>
        </w:tc>
      </w:tr>
      <w:tr w14:paraId="00F12E74">
        <w:trPr>
          <w:trHeight w:val="516" w:hRule="atLeast"/>
        </w:trPr>
        <w:tc>
          <w:tcPr>
            <w:tcW w:w="705" w:type="dxa"/>
            <w:vMerge w:val="restart"/>
            <w:tcBorders>
              <w:top w:val="single" w:color="auto" w:sz="4" w:space="0"/>
              <w:left w:val="nil"/>
              <w:right w:val="nil"/>
            </w:tcBorders>
            <w:shd w:val="clear" w:color="auto" w:fill="auto"/>
            <w:vAlign w:val="center"/>
          </w:tcPr>
          <w:p w14:paraId="31706C3D">
            <w:pPr>
              <w:keepNext w:val="0"/>
              <w:keepLines w:val="0"/>
              <w:widowControl/>
              <w:suppressLineNumbers w:val="0"/>
              <w:jc w:val="left"/>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盈利水平</w:t>
            </w:r>
          </w:p>
        </w:tc>
        <w:tc>
          <w:tcPr>
            <w:tcW w:w="1593" w:type="dxa"/>
            <w:tcBorders>
              <w:top w:val="single" w:color="auto" w:sz="4" w:space="0"/>
              <w:left w:val="nil"/>
              <w:bottom w:val="nil"/>
              <w:right w:val="nil"/>
            </w:tcBorders>
            <w:shd w:val="clear" w:color="auto" w:fill="auto"/>
            <w:vAlign w:val="center"/>
          </w:tcPr>
          <w:p w14:paraId="0D8CBD0E">
            <w:pPr>
              <w:keepNext w:val="0"/>
              <w:keepLines w:val="0"/>
              <w:widowControl/>
              <w:suppressLineNumbers w:val="0"/>
              <w:jc w:val="left"/>
              <w:textAlignment w:val="center"/>
              <w:rPr>
                <w:rFonts w:hint="default" w:ascii="Times New Roman" w:hAnsi="Times New Roman"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总资产收益率</w:t>
            </w:r>
          </w:p>
        </w:tc>
        <w:tc>
          <w:tcPr>
            <w:tcW w:w="1572" w:type="dxa"/>
            <w:tcBorders>
              <w:top w:val="single" w:color="auto" w:sz="4" w:space="0"/>
              <w:left w:val="nil"/>
              <w:bottom w:val="nil"/>
              <w:right w:val="nil"/>
            </w:tcBorders>
            <w:shd w:val="clear" w:color="auto" w:fill="auto"/>
            <w:vAlign w:val="center"/>
          </w:tcPr>
          <w:p w14:paraId="4F5E8207">
            <w:pPr>
              <w:keepNext w:val="0"/>
              <w:keepLines w:val="0"/>
              <w:widowControl/>
              <w:suppressLineNumbers w:val="0"/>
              <w:jc w:val="left"/>
              <w:textAlignment w:val="center"/>
              <w:rPr>
                <w:rFonts w:hint="default" w:ascii="Times New Roman" w:hAnsi="Times New Roman"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ROA</w:t>
            </w:r>
          </w:p>
        </w:tc>
        <w:tc>
          <w:tcPr>
            <w:tcW w:w="3451" w:type="dxa"/>
            <w:tcBorders>
              <w:top w:val="single" w:color="auto" w:sz="4" w:space="0"/>
              <w:left w:val="nil"/>
              <w:bottom w:val="nil"/>
              <w:right w:val="nil"/>
            </w:tcBorders>
            <w:shd w:val="clear" w:color="auto" w:fill="auto"/>
            <w:vAlign w:val="center"/>
          </w:tcPr>
          <w:p w14:paraId="0B84CBAE">
            <w:pPr>
              <w:keepNext w:val="0"/>
              <w:keepLines w:val="0"/>
              <w:widowControl/>
              <w:suppressLineNumbers w:val="0"/>
              <w:jc w:val="left"/>
              <w:textAlignment w:val="center"/>
              <w:rPr>
                <w:rFonts w:hint="default" w:ascii="Times New Roman" w:hAnsi="Times New Roman"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净利润/平均总资产，反映企业利用资产获取利润的能力</w:t>
            </w:r>
          </w:p>
        </w:tc>
        <w:tc>
          <w:tcPr>
            <w:tcW w:w="495" w:type="dxa"/>
            <w:tcBorders>
              <w:top w:val="single" w:color="auto" w:sz="4" w:space="0"/>
              <w:left w:val="nil"/>
              <w:bottom w:val="nil"/>
              <w:right w:val="nil"/>
            </w:tcBorders>
            <w:shd w:val="clear" w:color="auto" w:fill="auto"/>
            <w:vAlign w:val="center"/>
          </w:tcPr>
          <w:p w14:paraId="2E2E5E67">
            <w:pPr>
              <w:keepNext w:val="0"/>
              <w:keepLines w:val="0"/>
              <w:widowControl/>
              <w:suppressLineNumbers w:val="0"/>
              <w:jc w:val="left"/>
              <w:textAlignment w:val="center"/>
              <w:rPr>
                <w:rFonts w:hint="default" w:ascii="Times New Roman" w:hAnsi="Times New Roman" w:cs="Times New Roman" w:eastAsiaTheme="minorEastAsia"/>
                <w:i w:val="0"/>
                <w:iCs w:val="0"/>
                <w:color w:val="000000"/>
                <w:sz w:val="21"/>
                <w:szCs w:val="21"/>
                <w:u w:val="no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w:t>
            </w:r>
          </w:p>
        </w:tc>
      </w:tr>
      <w:tr w14:paraId="46608CE4">
        <w:trPr>
          <w:trHeight w:val="516" w:hRule="atLeast"/>
        </w:trPr>
        <w:tc>
          <w:tcPr>
            <w:tcW w:w="705" w:type="dxa"/>
            <w:vMerge w:val="continue"/>
            <w:tcBorders>
              <w:left w:val="nil"/>
              <w:right w:val="nil"/>
            </w:tcBorders>
            <w:shd w:val="clear" w:color="auto" w:fill="auto"/>
            <w:vAlign w:val="center"/>
          </w:tcPr>
          <w:p w14:paraId="15F7C8B5">
            <w:pPr>
              <w:rPr>
                <w:rFonts w:hint="default" w:ascii="Times New Roman" w:hAnsi="Times New Roman" w:cs="Times New Roman"/>
                <w:i w:val="0"/>
                <w:iCs w:val="0"/>
                <w:color w:val="000000"/>
                <w:sz w:val="21"/>
                <w:szCs w:val="21"/>
                <w:u w:val="none"/>
              </w:rPr>
            </w:pPr>
          </w:p>
        </w:tc>
        <w:tc>
          <w:tcPr>
            <w:tcW w:w="1593" w:type="dxa"/>
            <w:tcBorders>
              <w:top w:val="nil"/>
              <w:left w:val="nil"/>
              <w:bottom w:val="nil"/>
              <w:right w:val="nil"/>
            </w:tcBorders>
            <w:shd w:val="clear" w:color="auto" w:fill="auto"/>
            <w:vAlign w:val="center"/>
          </w:tcPr>
          <w:p w14:paraId="77588DC6">
            <w:pPr>
              <w:keepNext w:val="0"/>
              <w:keepLines w:val="0"/>
              <w:widowControl/>
              <w:suppressLineNumbers w:val="0"/>
              <w:jc w:val="left"/>
              <w:textAlignment w:val="center"/>
              <w:rPr>
                <w:rFonts w:hint="default" w:ascii="Times New Roman" w:hAnsi="Times New Roman"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净资产收益率</w:t>
            </w:r>
          </w:p>
        </w:tc>
        <w:tc>
          <w:tcPr>
            <w:tcW w:w="1572" w:type="dxa"/>
            <w:tcBorders>
              <w:top w:val="nil"/>
              <w:left w:val="nil"/>
              <w:bottom w:val="nil"/>
              <w:right w:val="nil"/>
            </w:tcBorders>
            <w:shd w:val="clear" w:color="auto" w:fill="auto"/>
            <w:vAlign w:val="center"/>
          </w:tcPr>
          <w:p w14:paraId="517FD6C3">
            <w:pPr>
              <w:keepNext w:val="0"/>
              <w:keepLines w:val="0"/>
              <w:widowControl/>
              <w:suppressLineNumbers w:val="0"/>
              <w:jc w:val="left"/>
              <w:textAlignment w:val="center"/>
              <w:rPr>
                <w:rFonts w:hint="default" w:ascii="Times New Roman" w:hAnsi="Times New Roman"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ROE</w:t>
            </w:r>
          </w:p>
        </w:tc>
        <w:tc>
          <w:tcPr>
            <w:tcW w:w="3451" w:type="dxa"/>
            <w:tcBorders>
              <w:top w:val="nil"/>
              <w:left w:val="nil"/>
              <w:bottom w:val="nil"/>
              <w:right w:val="nil"/>
            </w:tcBorders>
            <w:shd w:val="clear" w:color="auto" w:fill="auto"/>
            <w:vAlign w:val="center"/>
          </w:tcPr>
          <w:p w14:paraId="119873C6">
            <w:pPr>
              <w:keepNext w:val="0"/>
              <w:keepLines w:val="0"/>
              <w:widowControl/>
              <w:suppressLineNumbers w:val="0"/>
              <w:jc w:val="left"/>
              <w:textAlignment w:val="center"/>
              <w:rPr>
                <w:rFonts w:hint="default" w:ascii="Times New Roman" w:hAnsi="Times New Roman"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净利润/平均净资产，反映股东资本回报水平</w:t>
            </w:r>
          </w:p>
        </w:tc>
        <w:tc>
          <w:tcPr>
            <w:tcW w:w="495" w:type="dxa"/>
            <w:tcBorders>
              <w:top w:val="nil"/>
              <w:left w:val="nil"/>
              <w:bottom w:val="nil"/>
              <w:right w:val="nil"/>
            </w:tcBorders>
            <w:shd w:val="clear" w:color="auto" w:fill="auto"/>
            <w:vAlign w:val="center"/>
          </w:tcPr>
          <w:p w14:paraId="0882661C">
            <w:pPr>
              <w:keepNext w:val="0"/>
              <w:keepLines w:val="0"/>
              <w:widowControl/>
              <w:suppressLineNumbers w:val="0"/>
              <w:jc w:val="left"/>
              <w:textAlignment w:val="center"/>
              <w:rPr>
                <w:rFonts w:hint="default" w:ascii="Times New Roman" w:hAnsi="Times New Roman"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w:t>
            </w:r>
          </w:p>
        </w:tc>
      </w:tr>
      <w:tr w14:paraId="73A6A30B">
        <w:trPr>
          <w:trHeight w:val="516" w:hRule="atLeast"/>
        </w:trPr>
        <w:tc>
          <w:tcPr>
            <w:tcW w:w="705" w:type="dxa"/>
            <w:vMerge w:val="continue"/>
            <w:tcBorders>
              <w:left w:val="nil"/>
              <w:right w:val="nil"/>
            </w:tcBorders>
            <w:shd w:val="clear" w:color="auto" w:fill="auto"/>
            <w:vAlign w:val="center"/>
          </w:tcPr>
          <w:p w14:paraId="2D0FDF61">
            <w:pPr>
              <w:rPr>
                <w:rFonts w:hint="default" w:ascii="Times New Roman" w:hAnsi="Times New Roman" w:cs="Times New Roman"/>
                <w:i w:val="0"/>
                <w:iCs w:val="0"/>
                <w:color w:val="000000"/>
                <w:sz w:val="21"/>
                <w:szCs w:val="21"/>
                <w:u w:val="none"/>
              </w:rPr>
            </w:pPr>
          </w:p>
        </w:tc>
        <w:tc>
          <w:tcPr>
            <w:tcW w:w="1593" w:type="dxa"/>
            <w:tcBorders>
              <w:top w:val="nil"/>
              <w:left w:val="nil"/>
              <w:bottom w:val="nil"/>
              <w:right w:val="nil"/>
            </w:tcBorders>
            <w:shd w:val="clear" w:color="auto" w:fill="auto"/>
            <w:vAlign w:val="center"/>
          </w:tcPr>
          <w:p w14:paraId="5DDCD4C4">
            <w:pPr>
              <w:keepNext w:val="0"/>
              <w:keepLines w:val="0"/>
              <w:widowControl/>
              <w:suppressLineNumbers w:val="0"/>
              <w:jc w:val="left"/>
              <w:textAlignment w:val="center"/>
              <w:rPr>
                <w:rFonts w:hint="default" w:ascii="Times New Roman" w:hAnsi="Times New Roman"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营业毛利率</w:t>
            </w:r>
          </w:p>
        </w:tc>
        <w:tc>
          <w:tcPr>
            <w:tcW w:w="1572" w:type="dxa"/>
            <w:tcBorders>
              <w:top w:val="nil"/>
              <w:left w:val="nil"/>
              <w:bottom w:val="nil"/>
              <w:right w:val="nil"/>
            </w:tcBorders>
            <w:shd w:val="clear" w:color="auto" w:fill="auto"/>
            <w:vAlign w:val="center"/>
          </w:tcPr>
          <w:p w14:paraId="673E0821">
            <w:pPr>
              <w:keepNext w:val="0"/>
              <w:keepLines w:val="0"/>
              <w:widowControl/>
              <w:suppressLineNumbers w:val="0"/>
              <w:jc w:val="left"/>
              <w:textAlignment w:val="center"/>
              <w:rPr>
                <w:rFonts w:hint="default" w:ascii="Times New Roman" w:hAnsi="Times New Roman"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毛利率</w:t>
            </w:r>
          </w:p>
        </w:tc>
        <w:tc>
          <w:tcPr>
            <w:tcW w:w="3451" w:type="dxa"/>
            <w:tcBorders>
              <w:top w:val="nil"/>
              <w:left w:val="nil"/>
              <w:bottom w:val="nil"/>
              <w:right w:val="nil"/>
            </w:tcBorders>
            <w:shd w:val="clear" w:color="auto" w:fill="auto"/>
            <w:vAlign w:val="center"/>
          </w:tcPr>
          <w:p w14:paraId="49A46D1D">
            <w:pPr>
              <w:keepNext w:val="0"/>
              <w:keepLines w:val="0"/>
              <w:widowControl/>
              <w:suppressLineNumbers w:val="0"/>
              <w:jc w:val="left"/>
              <w:textAlignment w:val="center"/>
              <w:rPr>
                <w:rFonts w:hint="default" w:ascii="Times New Roman" w:hAnsi="Times New Roman"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（营业收入－营业成本）/营业收入，反映产品或服务的盈利空间</w:t>
            </w:r>
          </w:p>
        </w:tc>
        <w:tc>
          <w:tcPr>
            <w:tcW w:w="495" w:type="dxa"/>
            <w:tcBorders>
              <w:top w:val="nil"/>
              <w:left w:val="nil"/>
              <w:bottom w:val="nil"/>
              <w:right w:val="nil"/>
            </w:tcBorders>
            <w:shd w:val="clear" w:color="auto" w:fill="auto"/>
            <w:vAlign w:val="center"/>
          </w:tcPr>
          <w:p w14:paraId="42349EA9">
            <w:pPr>
              <w:keepNext w:val="0"/>
              <w:keepLines w:val="0"/>
              <w:widowControl/>
              <w:suppressLineNumbers w:val="0"/>
              <w:jc w:val="left"/>
              <w:textAlignment w:val="center"/>
              <w:rPr>
                <w:rFonts w:hint="default" w:ascii="Times New Roman" w:hAnsi="Times New Roman"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w:t>
            </w:r>
          </w:p>
        </w:tc>
      </w:tr>
      <w:tr w14:paraId="5297252D">
        <w:trPr>
          <w:trHeight w:val="516" w:hRule="atLeast"/>
        </w:trPr>
        <w:tc>
          <w:tcPr>
            <w:tcW w:w="705" w:type="dxa"/>
            <w:vMerge w:val="continue"/>
            <w:tcBorders>
              <w:left w:val="nil"/>
              <w:bottom w:val="nil"/>
              <w:right w:val="nil"/>
            </w:tcBorders>
            <w:shd w:val="clear" w:color="auto" w:fill="auto"/>
            <w:vAlign w:val="center"/>
          </w:tcPr>
          <w:p w14:paraId="1C9F0722">
            <w:pPr>
              <w:rPr>
                <w:rFonts w:hint="default" w:ascii="Times New Roman" w:hAnsi="Times New Roman" w:cs="Times New Roman"/>
                <w:i w:val="0"/>
                <w:iCs w:val="0"/>
                <w:color w:val="000000"/>
                <w:sz w:val="21"/>
                <w:szCs w:val="21"/>
                <w:u w:val="none"/>
              </w:rPr>
            </w:pPr>
          </w:p>
        </w:tc>
        <w:tc>
          <w:tcPr>
            <w:tcW w:w="1593" w:type="dxa"/>
            <w:tcBorders>
              <w:top w:val="nil"/>
              <w:left w:val="nil"/>
              <w:bottom w:val="nil"/>
              <w:right w:val="nil"/>
            </w:tcBorders>
            <w:shd w:val="clear" w:color="auto" w:fill="auto"/>
            <w:vAlign w:val="center"/>
          </w:tcPr>
          <w:p w14:paraId="7D6DA26B">
            <w:pPr>
              <w:keepNext w:val="0"/>
              <w:keepLines w:val="0"/>
              <w:widowControl/>
              <w:suppressLineNumbers w:val="0"/>
              <w:jc w:val="left"/>
              <w:textAlignment w:val="center"/>
              <w:rPr>
                <w:rFonts w:hint="default" w:ascii="Times New Roman" w:hAnsi="Times New Roman"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营业净利率</w:t>
            </w:r>
          </w:p>
        </w:tc>
        <w:tc>
          <w:tcPr>
            <w:tcW w:w="1572" w:type="dxa"/>
            <w:tcBorders>
              <w:top w:val="nil"/>
              <w:left w:val="nil"/>
              <w:bottom w:val="nil"/>
              <w:right w:val="nil"/>
            </w:tcBorders>
            <w:shd w:val="clear" w:color="auto" w:fill="auto"/>
            <w:vAlign w:val="center"/>
          </w:tcPr>
          <w:p w14:paraId="6CC3DD95">
            <w:pPr>
              <w:keepNext w:val="0"/>
              <w:keepLines w:val="0"/>
              <w:widowControl/>
              <w:suppressLineNumbers w:val="0"/>
              <w:jc w:val="left"/>
              <w:textAlignment w:val="center"/>
              <w:rPr>
                <w:rFonts w:hint="default" w:ascii="Times New Roman" w:hAnsi="Times New Roman"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净利率</w:t>
            </w:r>
          </w:p>
        </w:tc>
        <w:tc>
          <w:tcPr>
            <w:tcW w:w="3451" w:type="dxa"/>
            <w:tcBorders>
              <w:top w:val="nil"/>
              <w:left w:val="nil"/>
              <w:bottom w:val="nil"/>
              <w:right w:val="nil"/>
            </w:tcBorders>
            <w:shd w:val="clear" w:color="auto" w:fill="auto"/>
            <w:vAlign w:val="center"/>
          </w:tcPr>
          <w:p w14:paraId="09491591">
            <w:pPr>
              <w:keepNext w:val="0"/>
              <w:keepLines w:val="0"/>
              <w:widowControl/>
              <w:suppressLineNumbers w:val="0"/>
              <w:jc w:val="left"/>
              <w:textAlignment w:val="center"/>
              <w:rPr>
                <w:rFonts w:hint="default" w:ascii="Times New Roman" w:hAnsi="Times New Roman"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净利润/营业收入，反映企业主营业务盈利能力</w:t>
            </w:r>
          </w:p>
        </w:tc>
        <w:tc>
          <w:tcPr>
            <w:tcW w:w="495" w:type="dxa"/>
            <w:tcBorders>
              <w:top w:val="nil"/>
              <w:left w:val="nil"/>
              <w:bottom w:val="nil"/>
              <w:right w:val="nil"/>
            </w:tcBorders>
            <w:shd w:val="clear" w:color="auto" w:fill="auto"/>
            <w:vAlign w:val="center"/>
          </w:tcPr>
          <w:p w14:paraId="0963AF0B">
            <w:pPr>
              <w:keepNext w:val="0"/>
              <w:keepLines w:val="0"/>
              <w:widowControl/>
              <w:suppressLineNumbers w:val="0"/>
              <w:jc w:val="left"/>
              <w:textAlignment w:val="center"/>
              <w:rPr>
                <w:rFonts w:hint="default" w:ascii="Times New Roman" w:hAnsi="Times New Roman"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w:t>
            </w:r>
          </w:p>
        </w:tc>
      </w:tr>
      <w:tr w14:paraId="4EF7CAF7">
        <w:trPr>
          <w:trHeight w:val="516" w:hRule="atLeast"/>
        </w:trPr>
        <w:tc>
          <w:tcPr>
            <w:tcW w:w="705" w:type="dxa"/>
            <w:vMerge w:val="restart"/>
            <w:tcBorders>
              <w:top w:val="nil"/>
              <w:left w:val="nil"/>
              <w:right w:val="nil"/>
            </w:tcBorders>
            <w:shd w:val="clear" w:color="auto" w:fill="auto"/>
            <w:vAlign w:val="center"/>
          </w:tcPr>
          <w:p w14:paraId="5ADB631E">
            <w:pPr>
              <w:keepNext w:val="0"/>
              <w:keepLines w:val="0"/>
              <w:widowControl/>
              <w:suppressLineNumbers w:val="0"/>
              <w:jc w:val="left"/>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经营盈利能力</w:t>
            </w:r>
          </w:p>
        </w:tc>
        <w:tc>
          <w:tcPr>
            <w:tcW w:w="1593" w:type="dxa"/>
            <w:tcBorders>
              <w:top w:val="nil"/>
              <w:left w:val="nil"/>
              <w:bottom w:val="nil"/>
              <w:right w:val="nil"/>
            </w:tcBorders>
            <w:shd w:val="clear" w:color="auto" w:fill="auto"/>
            <w:vAlign w:val="center"/>
          </w:tcPr>
          <w:p w14:paraId="5CB8BC34">
            <w:pPr>
              <w:keepNext w:val="0"/>
              <w:keepLines w:val="0"/>
              <w:widowControl/>
              <w:suppressLineNumbers w:val="0"/>
              <w:jc w:val="left"/>
              <w:textAlignment w:val="center"/>
              <w:rPr>
                <w:rFonts w:hint="default" w:ascii="Times New Roman" w:hAnsi="Times New Roman"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EBIT率</w:t>
            </w:r>
          </w:p>
        </w:tc>
        <w:tc>
          <w:tcPr>
            <w:tcW w:w="1572" w:type="dxa"/>
            <w:tcBorders>
              <w:top w:val="nil"/>
              <w:left w:val="nil"/>
              <w:bottom w:val="nil"/>
              <w:right w:val="nil"/>
            </w:tcBorders>
            <w:shd w:val="clear" w:color="auto" w:fill="auto"/>
            <w:vAlign w:val="center"/>
          </w:tcPr>
          <w:p w14:paraId="72BBEB12">
            <w:pPr>
              <w:keepNext w:val="0"/>
              <w:keepLines w:val="0"/>
              <w:widowControl/>
              <w:suppressLineNumbers w:val="0"/>
              <w:jc w:val="left"/>
              <w:textAlignment w:val="center"/>
              <w:rPr>
                <w:rFonts w:hint="default" w:ascii="Times New Roman" w:hAnsi="Times New Roman"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EBIT率</w:t>
            </w:r>
          </w:p>
        </w:tc>
        <w:tc>
          <w:tcPr>
            <w:tcW w:w="3451" w:type="dxa"/>
            <w:tcBorders>
              <w:top w:val="nil"/>
              <w:left w:val="nil"/>
              <w:bottom w:val="nil"/>
              <w:right w:val="nil"/>
            </w:tcBorders>
            <w:shd w:val="clear" w:color="auto" w:fill="auto"/>
            <w:vAlign w:val="center"/>
          </w:tcPr>
          <w:p w14:paraId="5D881085">
            <w:pPr>
              <w:keepNext w:val="0"/>
              <w:keepLines w:val="0"/>
              <w:widowControl/>
              <w:suppressLineNumbers w:val="0"/>
              <w:jc w:val="left"/>
              <w:textAlignment w:val="center"/>
              <w:rPr>
                <w:rFonts w:hint="default" w:ascii="Times New Roman" w:hAnsi="Times New Roman"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EBIT/营业收入，反映企业经营活动盈利能力</w:t>
            </w:r>
          </w:p>
        </w:tc>
        <w:tc>
          <w:tcPr>
            <w:tcW w:w="495" w:type="dxa"/>
            <w:tcBorders>
              <w:top w:val="nil"/>
              <w:left w:val="nil"/>
              <w:bottom w:val="nil"/>
              <w:right w:val="nil"/>
            </w:tcBorders>
            <w:shd w:val="clear" w:color="auto" w:fill="auto"/>
            <w:vAlign w:val="center"/>
          </w:tcPr>
          <w:p w14:paraId="5843D72D">
            <w:pPr>
              <w:keepNext w:val="0"/>
              <w:keepLines w:val="0"/>
              <w:widowControl/>
              <w:suppressLineNumbers w:val="0"/>
              <w:jc w:val="left"/>
              <w:textAlignment w:val="center"/>
              <w:rPr>
                <w:rFonts w:hint="default" w:ascii="Times New Roman" w:hAnsi="Times New Roman"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w:t>
            </w:r>
          </w:p>
        </w:tc>
      </w:tr>
      <w:tr w14:paraId="70B61000">
        <w:trPr>
          <w:trHeight w:val="516" w:hRule="atLeast"/>
        </w:trPr>
        <w:tc>
          <w:tcPr>
            <w:tcW w:w="705" w:type="dxa"/>
            <w:vMerge w:val="continue"/>
            <w:tcBorders>
              <w:left w:val="nil"/>
              <w:bottom w:val="nil"/>
              <w:right w:val="nil"/>
            </w:tcBorders>
            <w:shd w:val="clear" w:color="auto" w:fill="auto"/>
            <w:vAlign w:val="center"/>
          </w:tcPr>
          <w:p w14:paraId="0A59F601">
            <w:pPr>
              <w:rPr>
                <w:rFonts w:hint="default" w:ascii="Times New Roman" w:hAnsi="Times New Roman" w:cs="Times New Roman"/>
                <w:i w:val="0"/>
                <w:iCs w:val="0"/>
                <w:color w:val="000000"/>
                <w:sz w:val="21"/>
                <w:szCs w:val="21"/>
                <w:u w:val="none"/>
              </w:rPr>
            </w:pPr>
          </w:p>
        </w:tc>
        <w:tc>
          <w:tcPr>
            <w:tcW w:w="1593" w:type="dxa"/>
            <w:tcBorders>
              <w:top w:val="nil"/>
              <w:left w:val="nil"/>
              <w:bottom w:val="nil"/>
              <w:right w:val="nil"/>
            </w:tcBorders>
            <w:shd w:val="clear" w:color="auto" w:fill="auto"/>
            <w:vAlign w:val="center"/>
          </w:tcPr>
          <w:p w14:paraId="7CF72B43">
            <w:pPr>
              <w:keepNext w:val="0"/>
              <w:keepLines w:val="0"/>
              <w:widowControl/>
              <w:suppressLineNumbers w:val="0"/>
              <w:jc w:val="left"/>
              <w:textAlignment w:val="center"/>
              <w:rPr>
                <w:rFonts w:hint="default" w:ascii="Times New Roman" w:hAnsi="Times New Roman"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EBITDA率</w:t>
            </w:r>
          </w:p>
        </w:tc>
        <w:tc>
          <w:tcPr>
            <w:tcW w:w="1572" w:type="dxa"/>
            <w:tcBorders>
              <w:top w:val="nil"/>
              <w:left w:val="nil"/>
              <w:bottom w:val="nil"/>
              <w:right w:val="nil"/>
            </w:tcBorders>
            <w:shd w:val="clear" w:color="auto" w:fill="auto"/>
            <w:vAlign w:val="center"/>
          </w:tcPr>
          <w:p w14:paraId="1B5ABBE9">
            <w:pPr>
              <w:keepNext w:val="0"/>
              <w:keepLines w:val="0"/>
              <w:widowControl/>
              <w:suppressLineNumbers w:val="0"/>
              <w:jc w:val="left"/>
              <w:textAlignment w:val="center"/>
              <w:rPr>
                <w:rFonts w:hint="default" w:ascii="Times New Roman" w:hAnsi="Times New Roman"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EBITDA率</w:t>
            </w:r>
          </w:p>
        </w:tc>
        <w:tc>
          <w:tcPr>
            <w:tcW w:w="3451" w:type="dxa"/>
            <w:tcBorders>
              <w:top w:val="nil"/>
              <w:left w:val="nil"/>
              <w:bottom w:val="nil"/>
              <w:right w:val="nil"/>
            </w:tcBorders>
            <w:shd w:val="clear" w:color="auto" w:fill="auto"/>
            <w:vAlign w:val="center"/>
          </w:tcPr>
          <w:p w14:paraId="0E4CFBD6">
            <w:pPr>
              <w:keepNext w:val="0"/>
              <w:keepLines w:val="0"/>
              <w:widowControl/>
              <w:suppressLineNumbers w:val="0"/>
              <w:jc w:val="left"/>
              <w:textAlignment w:val="center"/>
              <w:rPr>
                <w:rFonts w:hint="default" w:ascii="Times New Roman" w:hAnsi="Times New Roman"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EBITDA/营业收入，反映企业经营现金盈利能力</w:t>
            </w:r>
          </w:p>
        </w:tc>
        <w:tc>
          <w:tcPr>
            <w:tcW w:w="495" w:type="dxa"/>
            <w:tcBorders>
              <w:top w:val="nil"/>
              <w:left w:val="nil"/>
              <w:bottom w:val="nil"/>
              <w:right w:val="nil"/>
            </w:tcBorders>
            <w:shd w:val="clear" w:color="auto" w:fill="auto"/>
            <w:vAlign w:val="center"/>
          </w:tcPr>
          <w:p w14:paraId="3F4B514C">
            <w:pPr>
              <w:keepNext w:val="0"/>
              <w:keepLines w:val="0"/>
              <w:widowControl/>
              <w:suppressLineNumbers w:val="0"/>
              <w:jc w:val="left"/>
              <w:textAlignment w:val="center"/>
              <w:rPr>
                <w:rFonts w:hint="default" w:ascii="Times New Roman" w:hAnsi="Times New Roman" w:cs="Times New Roman" w:eastAsiaTheme="minorEastAsia"/>
                <w:i w:val="0"/>
                <w:iCs w:val="0"/>
                <w:color w:val="000000"/>
                <w:sz w:val="21"/>
                <w:szCs w:val="21"/>
                <w:u w:val="none"/>
                <w:lang w:val="en-US" w:eastAsia="zh-CN"/>
              </w:rPr>
            </w:pPr>
            <w:r>
              <w:rPr>
                <w:rFonts w:hint="default" w:ascii="Times New Roman" w:hAnsi="Times New Roman" w:eastAsia="宋体" w:cs="Times New Roman"/>
                <w:i w:val="0"/>
                <w:iCs w:val="0"/>
                <w:color w:val="000000"/>
                <w:kern w:val="0"/>
                <w:sz w:val="21"/>
                <w:szCs w:val="21"/>
                <w:u w:val="none"/>
                <w:lang w:val="en-US" w:eastAsia="zh-CN" w:bidi="ar"/>
              </w:rPr>
              <w:t>+</w:t>
            </w:r>
          </w:p>
        </w:tc>
      </w:tr>
      <w:tr w14:paraId="3AD3A0C3">
        <w:trPr>
          <w:trHeight w:val="516" w:hRule="atLeast"/>
        </w:trPr>
        <w:tc>
          <w:tcPr>
            <w:tcW w:w="705" w:type="dxa"/>
            <w:vMerge w:val="restart"/>
            <w:tcBorders>
              <w:top w:val="nil"/>
              <w:left w:val="nil"/>
              <w:right w:val="nil"/>
            </w:tcBorders>
            <w:shd w:val="clear" w:color="auto" w:fill="auto"/>
            <w:vAlign w:val="center"/>
          </w:tcPr>
          <w:p w14:paraId="45E2877F">
            <w:pPr>
              <w:keepNext w:val="0"/>
              <w:keepLines w:val="0"/>
              <w:widowControl/>
              <w:suppressLineNumbers w:val="0"/>
              <w:jc w:val="left"/>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成本与可持续性</w:t>
            </w:r>
          </w:p>
        </w:tc>
        <w:tc>
          <w:tcPr>
            <w:tcW w:w="1593" w:type="dxa"/>
            <w:tcBorders>
              <w:top w:val="nil"/>
              <w:left w:val="nil"/>
              <w:bottom w:val="nil"/>
              <w:right w:val="nil"/>
            </w:tcBorders>
            <w:shd w:val="clear" w:color="auto" w:fill="auto"/>
            <w:vAlign w:val="center"/>
          </w:tcPr>
          <w:p w14:paraId="3A0B87D6">
            <w:pPr>
              <w:keepNext w:val="0"/>
              <w:keepLines w:val="0"/>
              <w:widowControl/>
              <w:suppressLineNumbers w:val="0"/>
              <w:jc w:val="left"/>
              <w:textAlignment w:val="center"/>
              <w:rPr>
                <w:rFonts w:hint="default" w:ascii="Times New Roman" w:hAnsi="Times New Roman"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研发费用率</w:t>
            </w:r>
          </w:p>
        </w:tc>
        <w:tc>
          <w:tcPr>
            <w:tcW w:w="1572" w:type="dxa"/>
            <w:tcBorders>
              <w:top w:val="nil"/>
              <w:left w:val="nil"/>
              <w:bottom w:val="nil"/>
              <w:right w:val="nil"/>
            </w:tcBorders>
            <w:shd w:val="clear" w:color="auto" w:fill="auto"/>
            <w:vAlign w:val="center"/>
          </w:tcPr>
          <w:p w14:paraId="19ED08F1">
            <w:pPr>
              <w:keepNext w:val="0"/>
              <w:keepLines w:val="0"/>
              <w:widowControl/>
              <w:suppressLineNumbers w:val="0"/>
              <w:jc w:val="left"/>
              <w:textAlignment w:val="center"/>
              <w:rPr>
                <w:rFonts w:hint="default" w:ascii="Times New Roman" w:hAnsi="Times New Roman"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研发费用率</w:t>
            </w:r>
          </w:p>
        </w:tc>
        <w:tc>
          <w:tcPr>
            <w:tcW w:w="3451" w:type="dxa"/>
            <w:tcBorders>
              <w:top w:val="nil"/>
              <w:left w:val="nil"/>
              <w:bottom w:val="nil"/>
              <w:right w:val="nil"/>
            </w:tcBorders>
            <w:shd w:val="clear" w:color="auto" w:fill="auto"/>
            <w:vAlign w:val="center"/>
          </w:tcPr>
          <w:p w14:paraId="58E5D3A7">
            <w:pPr>
              <w:keepNext w:val="0"/>
              <w:keepLines w:val="0"/>
              <w:widowControl/>
              <w:suppressLineNumbers w:val="0"/>
              <w:jc w:val="left"/>
              <w:textAlignment w:val="center"/>
              <w:rPr>
                <w:rFonts w:hint="default" w:ascii="Times New Roman" w:hAnsi="Times New Roman"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研发费用/营业收入，反映企业技术投入水平</w:t>
            </w:r>
          </w:p>
        </w:tc>
        <w:tc>
          <w:tcPr>
            <w:tcW w:w="495" w:type="dxa"/>
            <w:tcBorders>
              <w:top w:val="nil"/>
              <w:left w:val="nil"/>
              <w:bottom w:val="nil"/>
              <w:right w:val="nil"/>
            </w:tcBorders>
            <w:shd w:val="clear" w:color="auto" w:fill="auto"/>
            <w:vAlign w:val="center"/>
          </w:tcPr>
          <w:p w14:paraId="050CF166">
            <w:pPr>
              <w:keepNext w:val="0"/>
              <w:keepLines w:val="0"/>
              <w:widowControl/>
              <w:suppressLineNumbers w:val="0"/>
              <w:jc w:val="left"/>
              <w:textAlignment w:val="center"/>
              <w:rPr>
                <w:rFonts w:hint="default" w:ascii="Times New Roman" w:hAnsi="Times New Roman"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w:t>
            </w:r>
          </w:p>
        </w:tc>
      </w:tr>
      <w:tr w14:paraId="353B0B91">
        <w:trPr>
          <w:trHeight w:val="516" w:hRule="atLeast"/>
        </w:trPr>
        <w:tc>
          <w:tcPr>
            <w:tcW w:w="705" w:type="dxa"/>
            <w:vMerge w:val="continue"/>
            <w:tcBorders>
              <w:left w:val="nil"/>
              <w:right w:val="nil"/>
            </w:tcBorders>
            <w:shd w:val="clear" w:color="auto" w:fill="auto"/>
            <w:vAlign w:val="center"/>
          </w:tcPr>
          <w:p w14:paraId="31622988">
            <w:pPr>
              <w:rPr>
                <w:rFonts w:hint="default" w:ascii="Times New Roman" w:hAnsi="Times New Roman" w:cs="Times New Roman"/>
                <w:i w:val="0"/>
                <w:iCs w:val="0"/>
                <w:color w:val="000000"/>
                <w:sz w:val="21"/>
                <w:szCs w:val="21"/>
                <w:u w:val="none"/>
              </w:rPr>
            </w:pPr>
          </w:p>
        </w:tc>
        <w:tc>
          <w:tcPr>
            <w:tcW w:w="1593" w:type="dxa"/>
            <w:tcBorders>
              <w:top w:val="nil"/>
              <w:left w:val="nil"/>
              <w:bottom w:val="nil"/>
              <w:right w:val="nil"/>
            </w:tcBorders>
            <w:shd w:val="clear" w:color="auto" w:fill="auto"/>
            <w:vAlign w:val="center"/>
          </w:tcPr>
          <w:p w14:paraId="66F9E2E3">
            <w:pPr>
              <w:keepNext w:val="0"/>
              <w:keepLines w:val="0"/>
              <w:widowControl/>
              <w:suppressLineNumbers w:val="0"/>
              <w:jc w:val="left"/>
              <w:textAlignment w:val="center"/>
              <w:rPr>
                <w:rFonts w:hint="default" w:ascii="Times New Roman" w:hAnsi="Times New Roman"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投资收益率</w:t>
            </w:r>
          </w:p>
        </w:tc>
        <w:tc>
          <w:tcPr>
            <w:tcW w:w="1572" w:type="dxa"/>
            <w:tcBorders>
              <w:top w:val="nil"/>
              <w:left w:val="nil"/>
              <w:bottom w:val="nil"/>
              <w:right w:val="nil"/>
            </w:tcBorders>
            <w:shd w:val="clear" w:color="auto" w:fill="auto"/>
            <w:vAlign w:val="center"/>
          </w:tcPr>
          <w:p w14:paraId="7C8F5C48">
            <w:pPr>
              <w:keepNext w:val="0"/>
              <w:keepLines w:val="0"/>
              <w:widowControl/>
              <w:suppressLineNumbers w:val="0"/>
              <w:jc w:val="left"/>
              <w:textAlignment w:val="center"/>
              <w:rPr>
                <w:rFonts w:hint="default" w:ascii="Times New Roman" w:hAnsi="Times New Roman"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投资收益率</w:t>
            </w:r>
          </w:p>
        </w:tc>
        <w:tc>
          <w:tcPr>
            <w:tcW w:w="3451" w:type="dxa"/>
            <w:tcBorders>
              <w:top w:val="nil"/>
              <w:left w:val="nil"/>
              <w:bottom w:val="nil"/>
              <w:right w:val="nil"/>
            </w:tcBorders>
            <w:shd w:val="clear" w:color="auto" w:fill="auto"/>
            <w:vAlign w:val="center"/>
          </w:tcPr>
          <w:p w14:paraId="2758F8E9">
            <w:pPr>
              <w:keepNext w:val="0"/>
              <w:keepLines w:val="0"/>
              <w:widowControl/>
              <w:suppressLineNumbers w:val="0"/>
              <w:jc w:val="left"/>
              <w:textAlignment w:val="center"/>
              <w:rPr>
                <w:rFonts w:hint="default" w:ascii="Times New Roman" w:hAnsi="Times New Roman"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投资收益/营业收入，反映企业投资收益能力</w:t>
            </w:r>
          </w:p>
        </w:tc>
        <w:tc>
          <w:tcPr>
            <w:tcW w:w="495" w:type="dxa"/>
            <w:tcBorders>
              <w:top w:val="nil"/>
              <w:left w:val="nil"/>
              <w:bottom w:val="nil"/>
              <w:right w:val="nil"/>
            </w:tcBorders>
            <w:shd w:val="clear" w:color="auto" w:fill="auto"/>
            <w:vAlign w:val="center"/>
          </w:tcPr>
          <w:p w14:paraId="0181434C">
            <w:pPr>
              <w:keepNext w:val="0"/>
              <w:keepLines w:val="0"/>
              <w:widowControl/>
              <w:suppressLineNumbers w:val="0"/>
              <w:jc w:val="left"/>
              <w:textAlignment w:val="center"/>
              <w:rPr>
                <w:rFonts w:hint="default" w:ascii="Times New Roman" w:hAnsi="Times New Roman"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w:t>
            </w:r>
          </w:p>
        </w:tc>
      </w:tr>
      <w:tr w14:paraId="7B6B7053">
        <w:trPr>
          <w:trHeight w:val="516" w:hRule="atLeast"/>
        </w:trPr>
        <w:tc>
          <w:tcPr>
            <w:tcW w:w="705" w:type="dxa"/>
            <w:vMerge w:val="continue"/>
            <w:tcBorders>
              <w:left w:val="nil"/>
              <w:bottom w:val="single" w:color="auto" w:sz="12" w:space="0"/>
              <w:right w:val="nil"/>
            </w:tcBorders>
            <w:shd w:val="clear" w:color="auto" w:fill="auto"/>
            <w:vAlign w:val="center"/>
          </w:tcPr>
          <w:p w14:paraId="4B1FC2D6">
            <w:pPr>
              <w:rPr>
                <w:rFonts w:hint="default" w:ascii="Times New Roman" w:hAnsi="Times New Roman" w:cs="Times New Roman"/>
                <w:i w:val="0"/>
                <w:iCs w:val="0"/>
                <w:color w:val="000000"/>
                <w:sz w:val="21"/>
                <w:szCs w:val="21"/>
                <w:u w:val="none"/>
              </w:rPr>
            </w:pPr>
          </w:p>
        </w:tc>
        <w:tc>
          <w:tcPr>
            <w:tcW w:w="1593" w:type="dxa"/>
            <w:tcBorders>
              <w:top w:val="nil"/>
              <w:left w:val="nil"/>
              <w:bottom w:val="single" w:color="auto" w:sz="12" w:space="0"/>
              <w:right w:val="nil"/>
            </w:tcBorders>
            <w:shd w:val="clear" w:color="auto" w:fill="auto"/>
            <w:vAlign w:val="center"/>
          </w:tcPr>
          <w:p w14:paraId="2BD2F10A">
            <w:pPr>
              <w:keepNext w:val="0"/>
              <w:keepLines w:val="0"/>
              <w:widowControl/>
              <w:suppressLineNumbers w:val="0"/>
              <w:jc w:val="left"/>
              <w:textAlignment w:val="center"/>
              <w:rPr>
                <w:rFonts w:hint="default" w:ascii="Times New Roman" w:hAnsi="Times New Roman"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营业成本率</w:t>
            </w:r>
          </w:p>
        </w:tc>
        <w:tc>
          <w:tcPr>
            <w:tcW w:w="1572" w:type="dxa"/>
            <w:tcBorders>
              <w:top w:val="nil"/>
              <w:left w:val="nil"/>
              <w:bottom w:val="single" w:color="auto" w:sz="12" w:space="0"/>
              <w:right w:val="nil"/>
            </w:tcBorders>
            <w:shd w:val="clear" w:color="auto" w:fill="auto"/>
            <w:vAlign w:val="center"/>
          </w:tcPr>
          <w:p w14:paraId="0BF2A8E8">
            <w:pPr>
              <w:keepNext w:val="0"/>
              <w:keepLines w:val="0"/>
              <w:widowControl/>
              <w:suppressLineNumbers w:val="0"/>
              <w:jc w:val="left"/>
              <w:textAlignment w:val="center"/>
              <w:rPr>
                <w:rFonts w:hint="default" w:ascii="Times New Roman" w:hAnsi="Times New Roman"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营业成本率</w:t>
            </w:r>
          </w:p>
        </w:tc>
        <w:tc>
          <w:tcPr>
            <w:tcW w:w="3451" w:type="dxa"/>
            <w:tcBorders>
              <w:top w:val="nil"/>
              <w:left w:val="nil"/>
              <w:bottom w:val="single" w:color="auto" w:sz="12" w:space="0"/>
              <w:right w:val="nil"/>
            </w:tcBorders>
            <w:shd w:val="clear" w:color="auto" w:fill="auto"/>
            <w:vAlign w:val="center"/>
          </w:tcPr>
          <w:p w14:paraId="549503FD">
            <w:pPr>
              <w:keepNext w:val="0"/>
              <w:keepLines w:val="0"/>
              <w:widowControl/>
              <w:suppressLineNumbers w:val="0"/>
              <w:jc w:val="left"/>
              <w:textAlignment w:val="center"/>
              <w:rPr>
                <w:rFonts w:hint="default" w:ascii="Times New Roman" w:hAnsi="Times New Roman"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营业成本/营业收入，反映企业成本控制能力</w:t>
            </w:r>
          </w:p>
        </w:tc>
        <w:tc>
          <w:tcPr>
            <w:tcW w:w="495" w:type="dxa"/>
            <w:tcBorders>
              <w:top w:val="nil"/>
              <w:left w:val="nil"/>
              <w:bottom w:val="single" w:color="auto" w:sz="12" w:space="0"/>
              <w:right w:val="nil"/>
            </w:tcBorders>
            <w:shd w:val="clear" w:color="auto" w:fill="auto"/>
            <w:vAlign w:val="center"/>
          </w:tcPr>
          <w:p w14:paraId="6834E629">
            <w:pPr>
              <w:keepNext w:val="0"/>
              <w:keepLines w:val="0"/>
              <w:widowControl/>
              <w:suppressLineNumbers w:val="0"/>
              <w:jc w:val="left"/>
              <w:textAlignment w:val="center"/>
              <w:rPr>
                <w:rFonts w:hint="default" w:ascii="Times New Roman" w:hAnsi="Times New Roman"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w:t>
            </w:r>
          </w:p>
        </w:tc>
      </w:tr>
    </w:tbl>
    <w:p w14:paraId="61747E9E">
      <w:pPr>
        <w:autoSpaceDE/>
        <w:autoSpaceDN/>
        <w:snapToGrid/>
        <w:spacing w:before="156" w:beforeLines="50" w:after="156" w:afterLines="50" w:line="420" w:lineRule="exact"/>
        <w:jc w:val="left"/>
        <w:outlineLvl w:val="2"/>
        <w:rPr>
          <w:rFonts w:hint="default" w:ascii="Times New Roman" w:hAnsi="Times New Roman" w:eastAsia="黑体" w:cs="Times New Roman"/>
          <w:color w:val="000000"/>
          <w:kern w:val="0"/>
          <w:sz w:val="28"/>
          <w:szCs w:val="28"/>
          <w:lang w:val="en-US" w:eastAsia="zh-CN"/>
        </w:rPr>
      </w:pPr>
      <w:r>
        <w:rPr>
          <w:rFonts w:hint="default" w:ascii="Times New Roman" w:hAnsi="Times New Roman" w:eastAsia="黑体" w:cs="Times New Roman"/>
          <w:color w:val="000000"/>
          <w:kern w:val="0"/>
          <w:sz w:val="28"/>
          <w:szCs w:val="28"/>
          <w:lang w:val="en-US" w:eastAsia="zh-CN"/>
        </w:rPr>
        <w:t>4.1.3数据处理和权重的确定</w:t>
      </w:r>
    </w:p>
    <w:p w14:paraId="6E399E76">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本研究所需的企业财务指标主要来源于同花顺（ifinD）以及上市公司年度报告，通过对相关财务报表数据进行整理与匹配，构建了2020—2024年A股人工智能应用层中小企业的面板数据样本，为避免极端观测值对综合评价结果产生过度影响，本文对主要财务指标</w:t>
      </w:r>
      <w:r>
        <w:rPr>
          <w:rFonts w:hint="default" w:ascii="Times New Roman" w:hAnsi="Times New Roman" w:eastAsia="宋体" w:cs="Times New Roman"/>
          <w:sz w:val="24"/>
          <w:szCs w:val="24"/>
        </w:rPr>
        <w:t>在1%和99%分位处进行缩尾处理</w:t>
      </w:r>
      <w:r>
        <w:rPr>
          <w:rFonts w:hint="default" w:ascii="Times New Roman" w:hAnsi="Times New Roman" w:eastAsia="宋体" w:cs="Times New Roman"/>
          <w:kern w:val="2"/>
          <w:sz w:val="24"/>
          <w:szCs w:val="24"/>
          <w:lang w:val="en-US" w:eastAsia="zh-CN" w:bidi="ar-SA"/>
        </w:rPr>
        <w:t>。</w:t>
      </w:r>
    </w:p>
    <w:p w14:paraId="45558498">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kern w:val="2"/>
          <w:sz w:val="24"/>
          <w:szCs w:val="24"/>
          <w:lang w:val="en-US" w:eastAsia="zh-CN" w:bidi="ar-SA"/>
        </w:rPr>
        <w:t>随后，对各指标进行极差标准化处理，将不同量纲的指标转化为无量纲指标，以保证各指标之间具有可比性。在指标标准化的基础上，本文采用熵权法对各指标进行客观赋权。熵权法通过计算各指标在样本中的信息熵值来衡量其信息量大小，指标差异越大，所包含的信息量越多，其在综合评价中的权重也越高。通过计算各指标的信息熵、冗余度以及归一化权重，最终得到各盈利能力评价指标的权重，并据此计算企业盈利能力综合得分。</w:t>
      </w:r>
    </w:p>
    <w:p w14:paraId="10EB3A2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首先，构建原始数据矩阵：</w:t>
      </w:r>
    </w:p>
    <w:p w14:paraId="5A1302D6">
      <w:pPr>
        <w:rPr>
          <w:rFonts w:hint="default" w:ascii="Times New Roman" w:hAnsi="Times New Roman" w:eastAsia="宋体" w:cs="Times New Roman"/>
          <w:sz w:val="24"/>
          <w:szCs w:val="24"/>
          <w:lang w:val="en-US" w:eastAsia="zh-CN"/>
        </w:rPr>
      </w:pPr>
    </w:p>
    <w:p w14:paraId="09C3E8B1">
      <w:pPr>
        <w:rPr>
          <w:rFonts w:hint="default" w:ascii="Times New Roman" w:hAnsi="Times New Roman" w:cs="Times New Roman"/>
        </w:rPr>
      </w:pPr>
      <m:oMathPara>
        <m:oMath>
          <m:r>
            <m:rPr>
              <m:nor/>
            </m:rPr>
            <w:rPr>
              <w:rFonts w:hint="default" w:ascii="Times New Roman" w:hAnsi="Times New Roman" w:eastAsia="Cambria Math" w:cs="Times New Roman"/>
              <w:i/>
            </w:rPr>
            <m:t>X</m:t>
          </m:r>
          <m:r>
            <m:rPr>
              <m:nor/>
              <m:sty m:val="p"/>
            </m:rPr>
            <w:rPr>
              <w:rFonts w:hint="default" w:ascii="Times New Roman" w:hAnsi="Times New Roman" w:eastAsia="Cambria Math" w:cs="Times New Roman"/>
              <w:b w:val="0"/>
              <w:i w:val="0"/>
            </w:rPr>
            <m:t>=</m:t>
          </m:r>
          <m:sSub>
            <m:sSubPr>
              <m:ctrlPr>
                <w:rPr>
                  <w:rFonts w:hint="default" w:ascii="Cambria Math" w:hAnsi="Cambria Math" w:cs="Times New Roman"/>
                </w:rPr>
              </m:ctrlPr>
            </m:sSubPr>
            <m:e>
              <m:r>
                <m:rPr>
                  <m:nor/>
                  <m:sty m:val="p"/>
                </m:rPr>
                <w:rPr>
                  <w:rFonts w:hint="default" w:ascii="Times New Roman" w:hAnsi="Times New Roman" w:eastAsia="Cambria Math" w:cs="Times New Roman"/>
                  <w:b w:val="0"/>
                  <w:i w:val="0"/>
                </w:rPr>
                <m:t>[</m:t>
              </m:r>
              <m:m>
                <m:mPr>
                  <m:mcs>
                    <m:mc>
                      <m:mcPr>
                        <m:count m:val="3"/>
                        <m:mcJc m:val="center"/>
                      </m:mcPr>
                    </m:mc>
                  </m:mcs>
                  <m:plcHide m:val="1"/>
                  <m:ctrlPr>
                    <w:rPr>
                      <w:rFonts w:hint="default" w:ascii="Cambria Math" w:hAnsi="Cambria Math" w:cs="Times New Roman"/>
                    </w:rPr>
                  </m:ctrlPr>
                </m:mPr>
                <m:mr>
                  <m:e>
                    <m:sSub>
                      <m:sSubPr>
                        <m:ctrlPr>
                          <w:rPr>
                            <w:rFonts w:hint="default" w:ascii="Cambria Math" w:hAnsi="Cambria Math" w:cs="Times New Roman"/>
                          </w:rPr>
                        </m:ctrlPr>
                      </m:sSubPr>
                      <m:e>
                        <m:r>
                          <m:rPr>
                            <m:nor/>
                          </m:rPr>
                          <w:rPr>
                            <w:rFonts w:hint="default" w:ascii="Times New Roman" w:hAnsi="Times New Roman" w:eastAsia="Cambria Math" w:cs="Times New Roman"/>
                            <w:i/>
                          </w:rPr>
                          <m:t>x</m:t>
                        </m:r>
                        <m:ctrlPr>
                          <w:rPr>
                            <w:rFonts w:hint="default" w:ascii="Cambria Math" w:hAnsi="Cambria Math" w:cs="Times New Roman"/>
                          </w:rPr>
                        </m:ctrlPr>
                      </m:e>
                      <m:sub>
                        <m:r>
                          <m:rPr>
                            <m:nor/>
                            <m:sty m:val="p"/>
                          </m:rPr>
                          <w:rPr>
                            <w:rFonts w:hint="default" w:ascii="Times New Roman" w:hAnsi="Times New Roman" w:eastAsia="Cambria Math" w:cs="Times New Roman"/>
                            <w:b w:val="0"/>
                            <w:i w:val="0"/>
                          </w:rPr>
                          <m:t>11</m:t>
                        </m:r>
                        <m:ctrlPr>
                          <w:rPr>
                            <w:rFonts w:hint="default" w:ascii="Cambria Math" w:hAnsi="Cambria Math" w:cs="Times New Roman"/>
                          </w:rPr>
                        </m:ctrlPr>
                      </m:sub>
                    </m:sSub>
                    <m:ctrlPr>
                      <w:rPr>
                        <w:rFonts w:hint="default" w:ascii="Cambria Math" w:hAnsi="Cambria Math" w:cs="Times New Roman"/>
                      </w:rPr>
                    </m:ctrlPr>
                  </m:e>
                  <m:e>
                    <m:r>
                      <m:rPr>
                        <m:nor/>
                        <m:sty m:val="p"/>
                      </m:rPr>
                      <w:rPr>
                        <w:rFonts w:hint="default" w:ascii="Times New Roman" w:hAnsi="Times New Roman" w:eastAsia="Cambria Math" w:cs="Times New Roman"/>
                        <w:b w:val="0"/>
                        <w:i w:val="0"/>
                      </w:rPr>
                      <m:t>⋯</m:t>
                    </m:r>
                    <m:ctrlPr>
                      <w:rPr>
                        <w:rFonts w:hint="default" w:ascii="Cambria Math" w:hAnsi="Cambria Math" w:cs="Times New Roman"/>
                      </w:rPr>
                    </m:ctrlPr>
                  </m:e>
                  <m:e>
                    <m:sSub>
                      <m:sSubPr>
                        <m:ctrlPr>
                          <w:rPr>
                            <w:rFonts w:hint="default" w:ascii="Cambria Math" w:hAnsi="Cambria Math" w:cs="Times New Roman"/>
                          </w:rPr>
                        </m:ctrlPr>
                      </m:sSubPr>
                      <m:e>
                        <m:r>
                          <m:rPr>
                            <m:nor/>
                          </m:rPr>
                          <w:rPr>
                            <w:rFonts w:hint="default" w:ascii="Times New Roman" w:hAnsi="Times New Roman" w:eastAsia="Cambria Math" w:cs="Times New Roman"/>
                            <w:i/>
                          </w:rPr>
                          <m:t>x</m:t>
                        </m:r>
                        <m:ctrlPr>
                          <w:rPr>
                            <w:rFonts w:hint="default" w:ascii="Cambria Math" w:hAnsi="Cambria Math" w:cs="Times New Roman"/>
                          </w:rPr>
                        </m:ctrlPr>
                      </m:e>
                      <m:sub>
                        <m:r>
                          <m:rPr>
                            <m:nor/>
                            <m:sty m:val="p"/>
                          </m:rPr>
                          <w:rPr>
                            <w:rFonts w:hint="default" w:ascii="Times New Roman" w:hAnsi="Times New Roman" w:eastAsia="Cambria Math" w:cs="Times New Roman"/>
                            <w:b w:val="0"/>
                            <w:i w:val="0"/>
                          </w:rPr>
                          <m:t>1</m:t>
                        </m:r>
                        <m:r>
                          <m:rPr>
                            <m:nor/>
                          </m:rPr>
                          <w:rPr>
                            <w:rFonts w:hint="default" w:ascii="Times New Roman" w:hAnsi="Times New Roman" w:eastAsia="Cambria Math" w:cs="Times New Roman"/>
                            <w:i/>
                          </w:rPr>
                          <m:t>m</m:t>
                        </m:r>
                        <m:ctrlPr>
                          <w:rPr>
                            <w:rFonts w:hint="default" w:ascii="Cambria Math" w:hAnsi="Cambria Math" w:cs="Times New Roman"/>
                          </w:rPr>
                        </m:ctrlPr>
                      </m:sub>
                    </m:sSub>
                    <m:ctrlPr>
                      <w:rPr>
                        <w:rFonts w:hint="default" w:ascii="Cambria Math" w:hAnsi="Cambria Math" w:cs="Times New Roman"/>
                      </w:rPr>
                    </m:ctrlPr>
                  </m:e>
                </m:mr>
                <m:mr>
                  <m:e>
                    <m:r>
                      <m:rPr>
                        <m:nor/>
                        <m:sty m:val="p"/>
                      </m:rPr>
                      <w:rPr>
                        <w:rFonts w:hint="default" w:ascii="Times New Roman" w:hAnsi="Times New Roman" w:eastAsia="Cambria Math" w:cs="Times New Roman"/>
                        <w:b w:val="0"/>
                        <w:i w:val="0"/>
                      </w:rPr>
                      <m:t>⋮</m:t>
                    </m:r>
                    <m:ctrlPr>
                      <w:rPr>
                        <w:rFonts w:hint="default" w:ascii="Cambria Math" w:hAnsi="Cambria Math" w:cs="Times New Roman"/>
                      </w:rPr>
                    </m:ctrlPr>
                  </m:e>
                  <m:e>
                    <m:r>
                      <m:rPr>
                        <m:nor/>
                        <m:sty m:val="p"/>
                      </m:rPr>
                      <w:rPr>
                        <w:rFonts w:hint="default" w:ascii="Times New Roman" w:hAnsi="Times New Roman" w:eastAsia="Cambria Math" w:cs="Times New Roman"/>
                        <w:b w:val="0"/>
                        <w:i w:val="0"/>
                      </w:rPr>
                      <m:t>⋱</m:t>
                    </m:r>
                    <m:ctrlPr>
                      <w:rPr>
                        <w:rFonts w:hint="default" w:ascii="Cambria Math" w:hAnsi="Cambria Math" w:cs="Times New Roman"/>
                      </w:rPr>
                    </m:ctrlPr>
                  </m:e>
                  <m:e>
                    <m:r>
                      <m:rPr>
                        <m:nor/>
                        <m:sty m:val="p"/>
                      </m:rPr>
                      <w:rPr>
                        <w:rFonts w:hint="default" w:ascii="Times New Roman" w:hAnsi="Times New Roman" w:eastAsia="Cambria Math" w:cs="Times New Roman"/>
                        <w:b w:val="0"/>
                        <w:i w:val="0"/>
                      </w:rPr>
                      <m:t>⋮</m:t>
                    </m:r>
                    <m:ctrlPr>
                      <w:rPr>
                        <w:rFonts w:hint="default" w:ascii="Cambria Math" w:hAnsi="Cambria Math" w:cs="Times New Roman"/>
                      </w:rPr>
                    </m:ctrlPr>
                  </m:e>
                </m:mr>
                <m:mr>
                  <m:e>
                    <m:sSub>
                      <m:sSubPr>
                        <m:ctrlPr>
                          <w:rPr>
                            <w:rFonts w:hint="default" w:ascii="Cambria Math" w:hAnsi="Cambria Math" w:cs="Times New Roman"/>
                          </w:rPr>
                        </m:ctrlPr>
                      </m:sSubPr>
                      <m:e>
                        <m:r>
                          <m:rPr>
                            <m:nor/>
                          </m:rPr>
                          <w:rPr>
                            <w:rFonts w:hint="default" w:ascii="Times New Roman" w:hAnsi="Times New Roman" w:eastAsia="Cambria Math" w:cs="Times New Roman"/>
                            <w:i/>
                          </w:rPr>
                          <m:t>x</m:t>
                        </m:r>
                        <m:ctrlPr>
                          <w:rPr>
                            <w:rFonts w:hint="default" w:ascii="Cambria Math" w:hAnsi="Cambria Math" w:cs="Times New Roman"/>
                          </w:rPr>
                        </m:ctrlPr>
                      </m:e>
                      <m:sub>
                        <m:r>
                          <m:rPr>
                            <m:nor/>
                          </m:rPr>
                          <w:rPr>
                            <w:rFonts w:hint="default" w:ascii="Times New Roman" w:hAnsi="Times New Roman" w:eastAsia="Cambria Math" w:cs="Times New Roman"/>
                            <w:i/>
                          </w:rPr>
                          <m:t>n</m:t>
                        </m:r>
                        <m:r>
                          <m:rPr>
                            <m:nor/>
                            <m:sty m:val="p"/>
                          </m:rPr>
                          <w:rPr>
                            <w:rFonts w:hint="default" w:ascii="Times New Roman" w:hAnsi="Times New Roman" w:eastAsia="Cambria Math" w:cs="Times New Roman"/>
                            <w:b w:val="0"/>
                            <w:i w:val="0"/>
                          </w:rPr>
                          <m:t>1</m:t>
                        </m:r>
                        <m:ctrlPr>
                          <w:rPr>
                            <w:rFonts w:hint="default" w:ascii="Cambria Math" w:hAnsi="Cambria Math" w:cs="Times New Roman"/>
                          </w:rPr>
                        </m:ctrlPr>
                      </m:sub>
                    </m:sSub>
                    <m:ctrlPr>
                      <w:rPr>
                        <w:rFonts w:hint="default" w:ascii="Cambria Math" w:hAnsi="Cambria Math" w:cs="Times New Roman"/>
                      </w:rPr>
                    </m:ctrlPr>
                  </m:e>
                  <m:e>
                    <m:r>
                      <m:rPr>
                        <m:nor/>
                        <m:sty m:val="p"/>
                      </m:rPr>
                      <w:rPr>
                        <w:rFonts w:hint="default" w:ascii="Times New Roman" w:hAnsi="Times New Roman" w:eastAsia="Cambria Math" w:cs="Times New Roman"/>
                        <w:b w:val="0"/>
                        <w:i w:val="0"/>
                      </w:rPr>
                      <m:t>⋯</m:t>
                    </m:r>
                    <m:ctrlPr>
                      <w:rPr>
                        <w:rFonts w:hint="default" w:ascii="Cambria Math" w:hAnsi="Cambria Math" w:cs="Times New Roman"/>
                      </w:rPr>
                    </m:ctrlPr>
                  </m:e>
                  <m:e>
                    <m:sSub>
                      <m:sSubPr>
                        <m:ctrlPr>
                          <w:rPr>
                            <w:rFonts w:hint="default" w:ascii="Cambria Math" w:hAnsi="Cambria Math" w:cs="Times New Roman"/>
                          </w:rPr>
                        </m:ctrlPr>
                      </m:sSubPr>
                      <m:e>
                        <m:r>
                          <m:rPr>
                            <m:nor/>
                          </m:rPr>
                          <w:rPr>
                            <w:rFonts w:hint="default" w:ascii="Times New Roman" w:hAnsi="Times New Roman" w:eastAsia="Cambria Math" w:cs="Times New Roman"/>
                            <w:i/>
                          </w:rPr>
                          <m:t>x</m:t>
                        </m:r>
                        <m:ctrlPr>
                          <w:rPr>
                            <w:rFonts w:hint="default" w:ascii="Cambria Math" w:hAnsi="Cambria Math" w:cs="Times New Roman"/>
                          </w:rPr>
                        </m:ctrlPr>
                      </m:e>
                      <m:sub>
                        <m:r>
                          <m:rPr>
                            <m:nor/>
                          </m:rPr>
                          <w:rPr>
                            <w:rFonts w:hint="default" w:ascii="Times New Roman" w:hAnsi="Times New Roman" w:eastAsia="Cambria Math" w:cs="Times New Roman"/>
                            <w:i/>
                          </w:rPr>
                          <m:t>nm</m:t>
                        </m:r>
                        <m:ctrlPr>
                          <w:rPr>
                            <w:rFonts w:hint="default" w:ascii="Cambria Math" w:hAnsi="Cambria Math" w:cs="Times New Roman"/>
                          </w:rPr>
                        </m:ctrlPr>
                      </m:sub>
                    </m:sSub>
                    <m:ctrlPr>
                      <w:rPr>
                        <w:rFonts w:hint="default" w:ascii="Cambria Math" w:hAnsi="Cambria Math" w:cs="Times New Roman"/>
                      </w:rPr>
                    </m:ctrlPr>
                  </m:e>
                </m:mr>
              </m:m>
              <m:r>
                <m:rPr>
                  <m:nor/>
                  <m:sty m:val="p"/>
                </m:rPr>
                <w:rPr>
                  <w:rFonts w:hint="default" w:ascii="Times New Roman" w:hAnsi="Times New Roman" w:eastAsia="Cambria Math" w:cs="Times New Roman"/>
                  <w:b w:val="0"/>
                  <w:i w:val="0"/>
                </w:rPr>
                <m:t>]</m:t>
              </m:r>
              <m:ctrlPr>
                <w:rPr>
                  <w:rFonts w:hint="default" w:ascii="Cambria Math" w:hAnsi="Cambria Math" w:cs="Times New Roman"/>
                </w:rPr>
              </m:ctrlPr>
            </m:e>
            <m:sub>
              <m:r>
                <m:rPr>
                  <m:nor/>
                </m:rPr>
                <w:rPr>
                  <w:rFonts w:hint="default" w:ascii="Times New Roman" w:hAnsi="Times New Roman" w:eastAsia="Cambria Math" w:cs="Times New Roman"/>
                  <w:i/>
                </w:rPr>
                <m:t>n</m:t>
              </m:r>
              <m:r>
                <m:rPr>
                  <m:nor/>
                  <m:sty m:val="p"/>
                </m:rPr>
                <w:rPr>
                  <w:rFonts w:hint="default" w:ascii="Times New Roman" w:hAnsi="Times New Roman" w:eastAsia="Cambria Math" w:cs="Times New Roman"/>
                  <w:b w:val="0"/>
                  <w:i w:val="0"/>
                </w:rPr>
                <m:t>×</m:t>
              </m:r>
              <m:r>
                <m:rPr>
                  <m:nor/>
                </m:rPr>
                <w:rPr>
                  <w:rFonts w:hint="default" w:ascii="Times New Roman" w:hAnsi="Times New Roman" w:eastAsia="Cambria Math" w:cs="Times New Roman"/>
                  <w:i/>
                </w:rPr>
                <m:t>m</m:t>
              </m:r>
              <m:ctrlPr>
                <w:rPr>
                  <w:rFonts w:hint="default" w:ascii="Cambria Math" w:hAnsi="Cambria Math" w:cs="Times New Roman"/>
                </w:rPr>
              </m:ctrlPr>
            </m:sub>
          </m:sSub>
        </m:oMath>
      </m:oMathPara>
    </w:p>
    <w:p w14:paraId="40D3E14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其中</w:t>
      </w:r>
      <m:oMath>
        <m:r>
          <m:rPr>
            <m:nor/>
          </m:rPr>
          <w:rPr>
            <w:rFonts w:hint="default" w:ascii="Times New Roman" w:hAnsi="Times New Roman" w:eastAsia="宋体" w:cs="Times New Roman"/>
            <w:i/>
            <w:kern w:val="2"/>
            <w:sz w:val="24"/>
            <w:szCs w:val="24"/>
            <w:lang w:val="en-US" w:eastAsia="zh-CN" w:bidi="ar-SA"/>
          </w:rPr>
          <m:t>n</m:t>
        </m:r>
      </m:oMath>
      <w:r>
        <w:rPr>
          <w:rFonts w:hint="default" w:ascii="Times New Roman" w:hAnsi="Times New Roman" w:eastAsia="宋体" w:cs="Times New Roman"/>
          <w:i w:val="0"/>
          <w:kern w:val="2"/>
          <w:sz w:val="24"/>
          <w:szCs w:val="24"/>
          <w:lang w:val="en-US" w:eastAsia="zh-CN" w:bidi="ar-SA"/>
        </w:rPr>
        <w:t>表示</w:t>
      </w:r>
      <w:r>
        <w:rPr>
          <w:rFonts w:hint="default" w:ascii="Times New Roman" w:hAnsi="Times New Roman" w:eastAsia="宋体" w:cs="Times New Roman"/>
          <w:sz w:val="24"/>
          <w:szCs w:val="24"/>
        </w:rPr>
        <w:t>样本数量，</w:t>
      </w:r>
      <m:oMath>
        <m:r>
          <m:rPr>
            <m:nor/>
          </m:rPr>
          <w:rPr>
            <w:rFonts w:hint="default" w:ascii="Times New Roman" w:hAnsi="Times New Roman" w:eastAsia="宋体" w:cs="Times New Roman"/>
            <w:i/>
            <w:kern w:val="2"/>
            <w:sz w:val="24"/>
            <w:szCs w:val="24"/>
            <w:lang w:val="en-US" w:eastAsia="zh-CN" w:bidi="ar-SA"/>
          </w:rPr>
          <m:t>m</m:t>
        </m:r>
      </m:oMath>
      <w:r>
        <w:rPr>
          <w:rFonts w:hint="default" w:ascii="Times New Roman" w:hAnsi="Times New Roman" w:eastAsia="宋体" w:cs="Times New Roman"/>
          <w:sz w:val="24"/>
          <w:szCs w:val="24"/>
        </w:rPr>
        <w:t>表示评价指标数量，</w:t>
      </w:r>
      <m:oMath>
        <m:sSub>
          <m:sSubPr>
            <m:ctrlPr>
              <w:rPr>
                <w:rFonts w:hint="default" w:ascii="Cambria Math" w:hAnsi="Cambria Math" w:cs="Times New Roman"/>
              </w:rPr>
            </m:ctrlPr>
          </m:sSubPr>
          <m:e>
            <m:r>
              <m:rPr>
                <m:nor/>
              </m:rPr>
              <w:rPr>
                <w:rFonts w:hint="default" w:ascii="Times New Roman" w:hAnsi="Times New Roman" w:eastAsia="Cambria Math" w:cs="Times New Roman"/>
                <w:i/>
              </w:rPr>
              <m:t>x</m:t>
            </m:r>
            <m:ctrlPr>
              <w:rPr>
                <w:rFonts w:hint="default" w:ascii="Cambria Math" w:hAnsi="Cambria Math" w:cs="Times New Roman"/>
              </w:rPr>
            </m:ctrlPr>
          </m:e>
          <m:sub>
            <m:r>
              <m:rPr>
                <m:nor/>
              </m:rPr>
              <w:rPr>
                <w:rFonts w:hint="default" w:ascii="Times New Roman" w:hAnsi="Times New Roman" w:eastAsia="Cambria Math" w:cs="Times New Roman"/>
                <w:i/>
              </w:rPr>
              <m:t>ij</m:t>
            </m:r>
            <m:ctrlPr>
              <w:rPr>
                <w:rFonts w:hint="default" w:ascii="Cambria Math" w:hAnsi="Cambria Math" w:cs="Times New Roman"/>
              </w:rPr>
            </m:ctrlPr>
          </m:sub>
        </m:sSub>
      </m:oMath>
      <w:r>
        <w:rPr>
          <w:rFonts w:hint="default" w:ascii="Times New Roman" w:hAnsi="Times New Roman" w:cs="Times New Roman"/>
          <w:i w:val="0"/>
          <w:lang w:val="en-US" w:eastAsia="zh-CN"/>
        </w:rPr>
        <w:t>表示第</w:t>
      </w:r>
      <m:oMath>
        <m:r>
          <m:rPr>
            <m:nor/>
          </m:rPr>
          <w:rPr>
            <w:rFonts w:hint="default" w:ascii="Times New Roman" w:hAnsi="Times New Roman" w:cs="Times New Roman"/>
            <w:i/>
            <w:kern w:val="2"/>
            <w:sz w:val="21"/>
            <w:szCs w:val="24"/>
            <w:lang w:val="en-US" w:eastAsia="zh-CN" w:bidi="ar-SA"/>
          </w:rPr>
          <m:t>i</m:t>
        </m:r>
      </m:oMath>
      <w:r>
        <w:rPr>
          <w:rFonts w:hint="default" w:ascii="Times New Roman" w:hAnsi="Times New Roman" w:cs="Times New Roman"/>
          <w:i w:val="0"/>
          <w:kern w:val="2"/>
          <w:sz w:val="21"/>
          <w:szCs w:val="24"/>
          <w:lang w:val="en-US" w:eastAsia="zh-CN" w:bidi="ar-SA"/>
        </w:rPr>
        <w:t>个样本中在第</w:t>
      </w:r>
      <m:oMath>
        <m:r>
          <m:rPr>
            <m:nor/>
          </m:rPr>
          <w:rPr>
            <w:rFonts w:hint="default" w:ascii="Times New Roman" w:hAnsi="Times New Roman" w:cs="Times New Roman"/>
            <w:i/>
            <w:kern w:val="2"/>
            <w:sz w:val="21"/>
            <w:szCs w:val="24"/>
            <w:lang w:val="en-US" w:eastAsia="zh-CN" w:bidi="ar-SA"/>
          </w:rPr>
          <m:t>j</m:t>
        </m:r>
      </m:oMath>
      <w:r>
        <w:rPr>
          <w:rFonts w:hint="default" w:ascii="Times New Roman" w:hAnsi="Times New Roman" w:cs="Times New Roman"/>
          <w:i w:val="0"/>
          <w:kern w:val="2"/>
          <w:sz w:val="21"/>
          <w:szCs w:val="24"/>
          <w:lang w:val="en-US" w:eastAsia="zh-CN" w:bidi="ar-SA"/>
        </w:rPr>
        <w:t>个</w:t>
      </w:r>
      <w:r>
        <w:rPr>
          <w:rFonts w:hint="default" w:ascii="Times New Roman" w:hAnsi="Times New Roman" w:eastAsia="宋体" w:cs="Times New Roman"/>
          <w:sz w:val="24"/>
          <w:szCs w:val="24"/>
        </w:rPr>
        <w:t>个指标上的原始取值。</w:t>
      </w:r>
      <w:r>
        <w:rPr>
          <w:rFonts w:hint="default" w:ascii="Times New Roman" w:hAnsi="Times New Roman" w:eastAsia="宋体" w:cs="Times New Roman"/>
          <w:sz w:val="24"/>
          <w:szCs w:val="24"/>
          <w:lang w:val="en-US" w:eastAsia="zh-CN"/>
        </w:rPr>
        <w:t>第二，由于各数据的单位（量纲）不一致，为了为解决指标量纲差异，采用极差标准化处理：</w:t>
      </w:r>
    </w:p>
    <w:p w14:paraId="2C03F2FE">
      <w:pPr>
        <w:rPr>
          <w:rFonts w:hint="default" w:ascii="Times New Roman" w:hAnsi="Times New Roman" w:cs="Times New Roman"/>
        </w:rPr>
      </w:pPr>
      <m:oMathPara>
        <m:oMath>
          <m:sSub>
            <m:sSubPr>
              <m:ctrlPr>
                <w:rPr>
                  <w:rFonts w:hint="default" w:ascii="Cambria Math" w:hAnsi="Cambria Math" w:cs="Times New Roman"/>
                </w:rPr>
              </m:ctrlPr>
            </m:sSubPr>
            <m:e>
              <m:r>
                <m:rPr>
                  <m:nor/>
                </m:rPr>
                <w:rPr>
                  <w:rFonts w:hint="default" w:ascii="Times New Roman" w:hAnsi="Times New Roman" w:eastAsia="Cambria Math" w:cs="Times New Roman"/>
                  <w:i/>
                </w:rPr>
                <m:t>z</m:t>
              </m:r>
              <m:ctrlPr>
                <w:rPr>
                  <w:rFonts w:hint="default" w:ascii="Cambria Math" w:hAnsi="Cambria Math" w:cs="Times New Roman"/>
                </w:rPr>
              </m:ctrlPr>
            </m:e>
            <m:sub>
              <m:r>
                <m:rPr>
                  <m:nor/>
                </m:rPr>
                <w:rPr>
                  <w:rFonts w:hint="default" w:ascii="Times New Roman" w:hAnsi="Times New Roman" w:eastAsia="Cambria Math" w:cs="Times New Roman"/>
                  <w:i/>
                </w:rPr>
                <m:t>ij</m:t>
              </m:r>
              <m:ctrlPr>
                <w:rPr>
                  <w:rFonts w:hint="default" w:ascii="Cambria Math" w:hAnsi="Cambria Math" w:cs="Times New Roman"/>
                </w:rPr>
              </m:ctrlPr>
            </m:sub>
          </m:sSub>
          <m:r>
            <m:rPr>
              <m:nor/>
              <m:sty m:val="p"/>
            </m:rPr>
            <w:rPr>
              <w:rFonts w:hint="default" w:ascii="Times New Roman" w:hAnsi="Times New Roman" w:eastAsia="Cambria Math" w:cs="Times New Roman"/>
              <w:b w:val="0"/>
              <w:i w:val="0"/>
            </w:rPr>
            <m:t>=</m:t>
          </m:r>
          <m:f>
            <m:fPr>
              <m:ctrlPr>
                <w:rPr>
                  <w:rFonts w:hint="default" w:ascii="Cambria Math" w:hAnsi="Cambria Math" w:cs="Times New Roman"/>
                </w:rPr>
              </m:ctrlPr>
            </m:fPr>
            <m:num>
              <m:sSub>
                <m:sSubPr>
                  <m:ctrlPr>
                    <w:rPr>
                      <w:rFonts w:hint="default" w:ascii="Cambria Math" w:hAnsi="Cambria Math" w:cs="Times New Roman"/>
                    </w:rPr>
                  </m:ctrlPr>
                </m:sSubPr>
                <m:e>
                  <m:r>
                    <m:rPr>
                      <m:nor/>
                    </m:rPr>
                    <w:rPr>
                      <w:rFonts w:hint="default" w:ascii="Times New Roman" w:hAnsi="Times New Roman" w:eastAsia="Cambria Math" w:cs="Times New Roman"/>
                      <w:i/>
                    </w:rPr>
                    <m:t>x</m:t>
                  </m:r>
                  <m:ctrlPr>
                    <w:rPr>
                      <w:rFonts w:hint="default" w:ascii="Cambria Math" w:hAnsi="Cambria Math" w:cs="Times New Roman"/>
                    </w:rPr>
                  </m:ctrlPr>
                </m:e>
                <m:sub>
                  <m:r>
                    <m:rPr>
                      <m:nor/>
                    </m:rPr>
                    <w:rPr>
                      <w:rFonts w:hint="default" w:ascii="Times New Roman" w:hAnsi="Times New Roman" w:eastAsia="Cambria Math" w:cs="Times New Roman"/>
                      <w:i/>
                    </w:rPr>
                    <m:t>ij</m:t>
                  </m:r>
                  <m:ctrlPr>
                    <w:rPr>
                      <w:rFonts w:hint="default" w:ascii="Cambria Math" w:hAnsi="Cambria Math" w:cs="Times New Roman"/>
                    </w:rPr>
                  </m:ctrlPr>
                </m:sub>
              </m:sSub>
              <m:r>
                <m:rPr>
                  <m:nor/>
                  <m:sty m:val="p"/>
                </m:rPr>
                <w:rPr>
                  <w:rFonts w:hint="default" w:ascii="Times New Roman" w:hAnsi="Times New Roman" w:eastAsia="Cambria Math" w:cs="Times New Roman"/>
                  <w:b w:val="0"/>
                  <w:i w:val="0"/>
                </w:rPr>
                <m:t>−</m:t>
              </m:r>
              <m:r>
                <m:rPr>
                  <m:nor/>
                </m:rPr>
                <w:rPr>
                  <w:rFonts w:hint="default" w:ascii="Times New Roman" w:hAnsi="Times New Roman" w:eastAsia="Cambria Math" w:cs="Times New Roman"/>
                  <w:i/>
                </w:rPr>
                <m:t>min</m:t>
              </m:r>
              <m:r>
                <m:rPr>
                  <m:nor/>
                  <m:sty m:val="p"/>
                </m:rPr>
                <w:rPr>
                  <w:rFonts w:hint="default" w:ascii="Times New Roman" w:hAnsi="Times New Roman" w:eastAsia="Cambria Math" w:cs="Times New Roman"/>
                  <w:b w:val="0"/>
                  <w:i w:val="0"/>
                </w:rPr>
                <m:t>(</m:t>
              </m:r>
              <m:sSub>
                <m:sSubPr>
                  <m:ctrlPr>
                    <w:rPr>
                      <w:rFonts w:hint="default" w:ascii="Cambria Math" w:hAnsi="Cambria Math" w:cs="Times New Roman"/>
                    </w:rPr>
                  </m:ctrlPr>
                </m:sSubPr>
                <m:e>
                  <m:r>
                    <m:rPr>
                      <m:nor/>
                    </m:rPr>
                    <w:rPr>
                      <w:rFonts w:hint="default" w:ascii="Times New Roman" w:hAnsi="Times New Roman" w:eastAsia="Cambria Math" w:cs="Times New Roman"/>
                      <w:i/>
                    </w:rPr>
                    <m:t>x</m:t>
                  </m:r>
                  <m:ctrlPr>
                    <w:rPr>
                      <w:rFonts w:hint="default" w:ascii="Cambria Math" w:hAnsi="Cambria Math" w:cs="Times New Roman"/>
                    </w:rPr>
                  </m:ctrlPr>
                </m:e>
                <m:sub>
                  <m:r>
                    <m:rPr>
                      <m:nor/>
                    </m:rPr>
                    <w:rPr>
                      <w:rFonts w:hint="default" w:ascii="Times New Roman" w:hAnsi="Times New Roman" w:eastAsia="Cambria Math" w:cs="Times New Roman"/>
                      <w:i/>
                    </w:rPr>
                    <m:t>j</m:t>
                  </m:r>
                  <m:ctrlPr>
                    <w:rPr>
                      <w:rFonts w:hint="default" w:ascii="Cambria Math" w:hAnsi="Cambria Math" w:cs="Times New Roman"/>
                    </w:rPr>
                  </m:ctrlPr>
                </m:sub>
              </m:sSub>
              <m:r>
                <m:rPr>
                  <m:nor/>
                  <m:sty m:val="p"/>
                </m:rPr>
                <w:rPr>
                  <w:rFonts w:hint="default" w:ascii="Times New Roman" w:hAnsi="Times New Roman" w:eastAsia="Cambria Math" w:cs="Times New Roman"/>
                  <w:b w:val="0"/>
                  <w:i w:val="0"/>
                </w:rPr>
                <m:t>)</m:t>
              </m:r>
              <m:ctrlPr>
                <w:rPr>
                  <w:rFonts w:hint="default" w:ascii="Cambria Math" w:hAnsi="Cambria Math" w:cs="Times New Roman"/>
                </w:rPr>
              </m:ctrlPr>
            </m:num>
            <m:den>
              <m:r>
                <m:rPr>
                  <m:nor/>
                </m:rPr>
                <w:rPr>
                  <w:rFonts w:hint="default" w:ascii="Times New Roman" w:hAnsi="Times New Roman" w:eastAsia="Cambria Math" w:cs="Times New Roman"/>
                  <w:i/>
                </w:rPr>
                <m:t>max</m:t>
              </m:r>
              <m:r>
                <m:rPr>
                  <m:nor/>
                  <m:sty m:val="p"/>
                </m:rPr>
                <w:rPr>
                  <w:rFonts w:hint="default" w:ascii="Times New Roman" w:hAnsi="Times New Roman" w:eastAsia="Cambria Math" w:cs="Times New Roman"/>
                  <w:b w:val="0"/>
                  <w:i w:val="0"/>
                </w:rPr>
                <m:t>(</m:t>
              </m:r>
              <m:sSub>
                <m:sSubPr>
                  <m:ctrlPr>
                    <w:rPr>
                      <w:rFonts w:hint="default" w:ascii="Cambria Math" w:hAnsi="Cambria Math" w:cs="Times New Roman"/>
                    </w:rPr>
                  </m:ctrlPr>
                </m:sSubPr>
                <m:e>
                  <m:r>
                    <m:rPr>
                      <m:nor/>
                    </m:rPr>
                    <w:rPr>
                      <w:rFonts w:hint="default" w:ascii="Times New Roman" w:hAnsi="Times New Roman" w:eastAsia="Cambria Math" w:cs="Times New Roman"/>
                      <w:i/>
                    </w:rPr>
                    <m:t>x</m:t>
                  </m:r>
                  <m:ctrlPr>
                    <w:rPr>
                      <w:rFonts w:hint="default" w:ascii="Cambria Math" w:hAnsi="Cambria Math" w:cs="Times New Roman"/>
                    </w:rPr>
                  </m:ctrlPr>
                </m:e>
                <m:sub>
                  <m:r>
                    <m:rPr>
                      <m:nor/>
                    </m:rPr>
                    <w:rPr>
                      <w:rFonts w:hint="default" w:ascii="Times New Roman" w:hAnsi="Times New Roman" w:eastAsia="Cambria Math" w:cs="Times New Roman"/>
                      <w:i/>
                    </w:rPr>
                    <m:t>j</m:t>
                  </m:r>
                  <m:ctrlPr>
                    <w:rPr>
                      <w:rFonts w:hint="default" w:ascii="Cambria Math" w:hAnsi="Cambria Math" w:cs="Times New Roman"/>
                    </w:rPr>
                  </m:ctrlPr>
                </m:sub>
              </m:sSub>
              <m:r>
                <m:rPr>
                  <m:nor/>
                  <m:sty m:val="p"/>
                </m:rPr>
                <w:rPr>
                  <w:rFonts w:hint="default" w:ascii="Times New Roman" w:hAnsi="Times New Roman" w:eastAsia="Cambria Math" w:cs="Times New Roman"/>
                  <w:b w:val="0"/>
                  <w:i w:val="0"/>
                </w:rPr>
                <m:t>)−</m:t>
              </m:r>
              <m:r>
                <m:rPr>
                  <m:nor/>
                </m:rPr>
                <w:rPr>
                  <w:rFonts w:hint="default" w:ascii="Times New Roman" w:hAnsi="Times New Roman" w:eastAsia="Cambria Math" w:cs="Times New Roman"/>
                  <w:i/>
                </w:rPr>
                <m:t>min</m:t>
              </m:r>
              <m:r>
                <m:rPr>
                  <m:nor/>
                  <m:sty m:val="p"/>
                </m:rPr>
                <w:rPr>
                  <w:rFonts w:hint="default" w:ascii="Times New Roman" w:hAnsi="Times New Roman" w:eastAsia="Cambria Math" w:cs="Times New Roman"/>
                  <w:b w:val="0"/>
                  <w:i w:val="0"/>
                </w:rPr>
                <m:t>(</m:t>
              </m:r>
              <m:sSub>
                <m:sSubPr>
                  <m:ctrlPr>
                    <w:rPr>
                      <w:rFonts w:hint="default" w:ascii="Cambria Math" w:hAnsi="Cambria Math" w:cs="Times New Roman"/>
                    </w:rPr>
                  </m:ctrlPr>
                </m:sSubPr>
                <m:e>
                  <m:r>
                    <m:rPr>
                      <m:nor/>
                    </m:rPr>
                    <w:rPr>
                      <w:rFonts w:hint="default" w:ascii="Times New Roman" w:hAnsi="Times New Roman" w:eastAsia="Cambria Math" w:cs="Times New Roman"/>
                      <w:i/>
                    </w:rPr>
                    <m:t>x</m:t>
                  </m:r>
                  <m:ctrlPr>
                    <w:rPr>
                      <w:rFonts w:hint="default" w:ascii="Cambria Math" w:hAnsi="Cambria Math" w:cs="Times New Roman"/>
                    </w:rPr>
                  </m:ctrlPr>
                </m:e>
                <m:sub>
                  <m:r>
                    <m:rPr>
                      <m:nor/>
                    </m:rPr>
                    <w:rPr>
                      <w:rFonts w:hint="default" w:ascii="Times New Roman" w:hAnsi="Times New Roman" w:eastAsia="Cambria Math" w:cs="Times New Roman"/>
                      <w:i/>
                    </w:rPr>
                    <m:t>j</m:t>
                  </m:r>
                  <m:ctrlPr>
                    <w:rPr>
                      <w:rFonts w:hint="default" w:ascii="Cambria Math" w:hAnsi="Cambria Math" w:cs="Times New Roman"/>
                    </w:rPr>
                  </m:ctrlPr>
                </m:sub>
              </m:sSub>
              <m:r>
                <m:rPr>
                  <m:nor/>
                  <m:sty m:val="p"/>
                </m:rPr>
                <w:rPr>
                  <w:rFonts w:hint="default" w:ascii="Times New Roman" w:hAnsi="Times New Roman" w:eastAsia="Cambria Math" w:cs="Times New Roman"/>
                  <w:b w:val="0"/>
                  <w:i w:val="0"/>
                </w:rPr>
                <m:t>)</m:t>
              </m:r>
              <m:ctrlPr>
                <w:rPr>
                  <w:rFonts w:hint="default" w:ascii="Cambria Math" w:hAnsi="Cambria Math" w:cs="Times New Roman"/>
                </w:rPr>
              </m:ctrlPr>
            </m:den>
          </m:f>
        </m:oMath>
      </m:oMathPara>
    </w:p>
    <w:p w14:paraId="2BBE298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第三，计算第</w:t>
      </w:r>
      <m:oMath>
        <m:r>
          <m:rPr>
            <m:nor/>
            <m:sty m:val="p"/>
          </m:rPr>
          <w:rPr>
            <w:rFonts w:hint="default" w:ascii="Times New Roman" w:hAnsi="Times New Roman" w:eastAsia="宋体" w:cs="Times New Roman"/>
            <w:b w:val="0"/>
            <w:i w:val="0"/>
            <w:sz w:val="24"/>
            <w:szCs w:val="24"/>
            <w:lang w:val="en-US" w:eastAsia="zh-CN"/>
          </w:rPr>
          <m:t>j</m:t>
        </m:r>
      </m:oMath>
      <w:r>
        <w:rPr>
          <w:rFonts w:hint="default" w:ascii="Times New Roman" w:hAnsi="Times New Roman" w:eastAsia="宋体" w:cs="Times New Roman"/>
          <w:sz w:val="24"/>
          <w:szCs w:val="24"/>
          <w:lang w:val="en-US" w:eastAsia="zh-CN"/>
        </w:rPr>
        <w:t>项指标下第</w:t>
      </w:r>
      <m:oMath>
        <m:r>
          <m:rPr>
            <m:nor/>
            <m:sty m:val="p"/>
          </m:rPr>
          <w:rPr>
            <w:rFonts w:hint="default" w:ascii="Times New Roman" w:hAnsi="Times New Roman" w:eastAsia="宋体" w:cs="Times New Roman"/>
            <w:b w:val="0"/>
            <w:i w:val="0"/>
            <w:sz w:val="24"/>
            <w:szCs w:val="24"/>
            <w:lang w:val="en-US" w:eastAsia="zh-CN"/>
          </w:rPr>
          <m:t>i</m:t>
        </m:r>
      </m:oMath>
      <w:r>
        <w:rPr>
          <w:rFonts w:hint="default" w:ascii="Times New Roman" w:hAnsi="Times New Roman" w:eastAsia="宋体" w:cs="Times New Roman"/>
          <w:sz w:val="24"/>
          <w:szCs w:val="24"/>
        </w:rPr>
        <w:t>个样本值在该指标所有样本中的比重：</w:t>
      </w:r>
    </w:p>
    <w:p w14:paraId="23C24F81">
      <w:pPr>
        <w:numPr>
          <w:ilvl w:val="0"/>
          <w:numId w:val="0"/>
        </w:numPr>
        <w:rPr>
          <w:rFonts w:hint="default" w:ascii="Times New Roman" w:hAnsi="Times New Roman" w:cs="Times New Roman"/>
        </w:rPr>
      </w:pPr>
      <m:oMathPara>
        <m:oMath>
          <m:sSub>
            <m:sSubPr>
              <m:ctrlPr>
                <w:rPr>
                  <w:rFonts w:hint="default" w:ascii="Cambria Math" w:hAnsi="Cambria Math" w:cs="Times New Roman"/>
                </w:rPr>
              </m:ctrlPr>
            </m:sSubPr>
            <m:e>
              <m:r>
                <m:rPr>
                  <m:nor/>
                </m:rPr>
                <w:rPr>
                  <w:rFonts w:hint="default" w:ascii="Times New Roman" w:hAnsi="Times New Roman" w:eastAsia="Cambria Math" w:cs="Times New Roman"/>
                  <w:i/>
                </w:rPr>
                <m:t>p</m:t>
              </m:r>
              <m:ctrlPr>
                <w:rPr>
                  <w:rFonts w:hint="default" w:ascii="Cambria Math" w:hAnsi="Cambria Math" w:cs="Times New Roman"/>
                </w:rPr>
              </m:ctrlPr>
            </m:e>
            <m:sub>
              <m:r>
                <m:rPr>
                  <m:nor/>
                </m:rPr>
                <w:rPr>
                  <w:rFonts w:hint="default" w:ascii="Times New Roman" w:hAnsi="Times New Roman" w:eastAsia="Cambria Math" w:cs="Times New Roman"/>
                  <w:i/>
                </w:rPr>
                <m:t>ij</m:t>
              </m:r>
              <m:ctrlPr>
                <w:rPr>
                  <w:rFonts w:hint="default" w:ascii="Cambria Math" w:hAnsi="Cambria Math" w:cs="Times New Roman"/>
                </w:rPr>
              </m:ctrlPr>
            </m:sub>
          </m:sSub>
          <m:r>
            <m:rPr>
              <m:nor/>
              <m:sty m:val="p"/>
            </m:rPr>
            <w:rPr>
              <w:rFonts w:hint="default" w:ascii="Times New Roman" w:hAnsi="Times New Roman" w:eastAsia="Cambria Math" w:cs="Times New Roman"/>
              <w:b w:val="0"/>
              <w:i w:val="0"/>
            </w:rPr>
            <m:t>=</m:t>
          </m:r>
          <m:f>
            <m:fPr>
              <m:ctrlPr>
                <w:rPr>
                  <w:rFonts w:hint="default" w:ascii="Cambria Math" w:hAnsi="Cambria Math" w:cs="Times New Roman"/>
                </w:rPr>
              </m:ctrlPr>
            </m:fPr>
            <m:num>
              <m:sSub>
                <m:sSubPr>
                  <m:ctrlPr>
                    <w:rPr>
                      <w:rFonts w:hint="default" w:ascii="Cambria Math" w:hAnsi="Cambria Math" w:cs="Times New Roman"/>
                    </w:rPr>
                  </m:ctrlPr>
                </m:sSubPr>
                <m:e>
                  <m:r>
                    <m:rPr>
                      <m:nor/>
                    </m:rPr>
                    <w:rPr>
                      <w:rFonts w:hint="default" w:ascii="Times New Roman" w:hAnsi="Times New Roman" w:eastAsia="Cambria Math" w:cs="Times New Roman"/>
                      <w:i/>
                    </w:rPr>
                    <m:t>z</m:t>
                  </m:r>
                  <m:ctrlPr>
                    <w:rPr>
                      <w:rFonts w:hint="default" w:ascii="Cambria Math" w:hAnsi="Cambria Math" w:cs="Times New Roman"/>
                    </w:rPr>
                  </m:ctrlPr>
                </m:e>
                <m:sub>
                  <m:r>
                    <m:rPr>
                      <m:nor/>
                    </m:rPr>
                    <w:rPr>
                      <w:rFonts w:hint="default" w:ascii="Times New Roman" w:hAnsi="Times New Roman" w:eastAsia="Cambria Math" w:cs="Times New Roman"/>
                      <w:i/>
                    </w:rPr>
                    <m:t>ij</m:t>
                  </m:r>
                  <m:ctrlPr>
                    <w:rPr>
                      <w:rFonts w:hint="default" w:ascii="Cambria Math" w:hAnsi="Cambria Math" w:cs="Times New Roman"/>
                    </w:rPr>
                  </m:ctrlPr>
                </m:sub>
              </m:sSub>
              <m:ctrlPr>
                <w:rPr>
                  <w:rFonts w:hint="default" w:ascii="Cambria Math" w:hAnsi="Cambria Math" w:cs="Times New Roman"/>
                </w:rPr>
              </m:ctrlPr>
            </m:num>
            <m:den>
              <m:nary>
                <m:naryPr>
                  <m:chr m:val="∑"/>
                  <m:ctrlPr>
                    <w:rPr>
                      <w:rFonts w:hint="default" w:ascii="Cambria Math" w:hAnsi="Cambria Math" w:cs="Times New Roman"/>
                    </w:rPr>
                  </m:ctrlPr>
                </m:naryPr>
                <m:sub>
                  <m:r>
                    <m:rPr>
                      <m:nor/>
                    </m:rPr>
                    <w:rPr>
                      <w:rFonts w:hint="default" w:ascii="Times New Roman" w:hAnsi="Times New Roman" w:eastAsia="Cambria Math" w:cs="Times New Roman"/>
                      <w:i/>
                    </w:rPr>
                    <m:t>i</m:t>
                  </m:r>
                  <m:r>
                    <m:rPr>
                      <m:nor/>
                      <m:sty m:val="p"/>
                    </m:rPr>
                    <w:rPr>
                      <w:rFonts w:hint="default" w:ascii="Times New Roman" w:hAnsi="Times New Roman" w:eastAsia="Cambria Math" w:cs="Times New Roman"/>
                      <w:b w:val="0"/>
                      <w:i w:val="0"/>
                    </w:rPr>
                    <m:t>=1</m:t>
                  </m:r>
                  <m:ctrlPr>
                    <w:rPr>
                      <w:rFonts w:hint="default" w:ascii="Cambria Math" w:hAnsi="Cambria Math" w:cs="Times New Roman"/>
                    </w:rPr>
                  </m:ctrlPr>
                </m:sub>
                <m:sup>
                  <m:r>
                    <m:rPr>
                      <m:nor/>
                    </m:rPr>
                    <w:rPr>
                      <w:rFonts w:hint="default" w:ascii="Times New Roman" w:hAnsi="Times New Roman" w:eastAsia="Cambria Math" w:cs="Times New Roman"/>
                      <w:i/>
                    </w:rPr>
                    <m:t>n</m:t>
                  </m:r>
                  <m:ctrlPr>
                    <w:rPr>
                      <w:rFonts w:hint="default" w:ascii="Cambria Math" w:hAnsi="Cambria Math" w:cs="Times New Roman"/>
                    </w:rPr>
                  </m:ctrlPr>
                </m:sup>
                <m:e>
                  <m:sSub>
                    <m:sSubPr>
                      <m:ctrlPr>
                        <w:rPr>
                          <w:rFonts w:hint="default" w:ascii="Cambria Math" w:hAnsi="Cambria Math" w:cs="Times New Roman"/>
                        </w:rPr>
                      </m:ctrlPr>
                    </m:sSubPr>
                    <m:e>
                      <m:r>
                        <m:rPr>
                          <m:nor/>
                        </m:rPr>
                        <w:rPr>
                          <w:rFonts w:hint="default" w:ascii="Times New Roman" w:hAnsi="Times New Roman" w:eastAsia="Cambria Math" w:cs="Times New Roman"/>
                          <w:i/>
                        </w:rPr>
                        <m:t>z</m:t>
                      </m:r>
                      <m:ctrlPr>
                        <w:rPr>
                          <w:rFonts w:hint="default" w:ascii="Cambria Math" w:hAnsi="Cambria Math" w:cs="Times New Roman"/>
                        </w:rPr>
                      </m:ctrlPr>
                    </m:e>
                    <m:sub>
                      <m:r>
                        <m:rPr>
                          <m:nor/>
                        </m:rPr>
                        <w:rPr>
                          <w:rFonts w:hint="default" w:ascii="Times New Roman" w:hAnsi="Times New Roman" w:eastAsia="Cambria Math" w:cs="Times New Roman"/>
                          <w:i/>
                        </w:rPr>
                        <m:t>ij</m:t>
                      </m:r>
                      <m:ctrlPr>
                        <w:rPr>
                          <w:rFonts w:hint="default" w:ascii="Cambria Math" w:hAnsi="Cambria Math" w:cs="Times New Roman"/>
                        </w:rPr>
                      </m:ctrlPr>
                    </m:sub>
                  </m:sSub>
                  <m:ctrlPr>
                    <w:rPr>
                      <w:rFonts w:hint="default" w:ascii="Cambria Math" w:hAnsi="Cambria Math" w:cs="Times New Roman"/>
                    </w:rPr>
                  </m:ctrlPr>
                </m:e>
              </m:nary>
              <m:ctrlPr>
                <w:rPr>
                  <w:rFonts w:hint="default" w:ascii="Cambria Math" w:hAnsi="Cambria Math" w:cs="Times New Roman"/>
                </w:rPr>
              </m:ctrlPr>
            </m:den>
          </m:f>
        </m:oMath>
      </m:oMathPara>
    </w:p>
    <w:p w14:paraId="670DCF1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第四，计算第</w:t>
      </w:r>
      <m:oMath>
        <m:r>
          <m:rPr>
            <m:nor/>
            <m:sty m:val="p"/>
          </m:rPr>
          <w:rPr>
            <w:rFonts w:hint="default" w:ascii="Times New Roman" w:hAnsi="Times New Roman" w:eastAsia="宋体" w:cs="Times New Roman"/>
            <w:b w:val="0"/>
            <w:i w:val="0"/>
            <w:sz w:val="24"/>
            <w:szCs w:val="24"/>
            <w:lang w:val="en-US" w:eastAsia="zh-CN"/>
          </w:rPr>
          <m:t>j</m:t>
        </m:r>
      </m:oMath>
      <w:r>
        <w:rPr>
          <w:rFonts w:hint="default" w:ascii="Times New Roman" w:hAnsi="Times New Roman" w:eastAsia="宋体" w:cs="Times New Roman"/>
          <w:sz w:val="24"/>
          <w:szCs w:val="24"/>
          <w:lang w:val="en-US" w:eastAsia="zh-CN"/>
        </w:rPr>
        <w:t>项的熵值：</w:t>
      </w:r>
    </w:p>
    <w:p w14:paraId="7C5D03D3">
      <w:pPr>
        <w:rPr>
          <w:rFonts w:hint="default" w:ascii="Times New Roman" w:hAnsi="Times New Roman" w:cs="Times New Roman"/>
        </w:rPr>
      </w:pPr>
      <m:oMathPara>
        <m:oMath>
          <m:sSub>
            <m:sSubPr>
              <m:ctrlPr>
                <w:rPr>
                  <w:rFonts w:hint="default" w:ascii="Cambria Math" w:hAnsi="Cambria Math" w:cs="Times New Roman"/>
                </w:rPr>
              </m:ctrlPr>
            </m:sSubPr>
            <m:e>
              <m:r>
                <m:rPr>
                  <m:nor/>
                </m:rPr>
                <w:rPr>
                  <w:rFonts w:hint="default" w:ascii="Times New Roman" w:hAnsi="Times New Roman" w:eastAsia="Cambria Math" w:cs="Times New Roman"/>
                  <w:i/>
                </w:rPr>
                <m:t>e</m:t>
              </m:r>
              <m:ctrlPr>
                <w:rPr>
                  <w:rFonts w:hint="default" w:ascii="Cambria Math" w:hAnsi="Cambria Math" w:cs="Times New Roman"/>
                </w:rPr>
              </m:ctrlPr>
            </m:e>
            <m:sub>
              <m:r>
                <m:rPr>
                  <m:nor/>
                </m:rPr>
                <w:rPr>
                  <w:rFonts w:hint="default" w:ascii="Times New Roman" w:hAnsi="Times New Roman" w:eastAsia="Cambria Math" w:cs="Times New Roman"/>
                  <w:i/>
                </w:rPr>
                <m:t>j</m:t>
              </m:r>
              <m:ctrlPr>
                <w:rPr>
                  <w:rFonts w:hint="default" w:ascii="Cambria Math" w:hAnsi="Cambria Math" w:cs="Times New Roman"/>
                </w:rPr>
              </m:ctrlPr>
            </m:sub>
          </m:sSub>
          <m:r>
            <m:rPr>
              <m:nor/>
              <m:sty m:val="p"/>
            </m:rPr>
            <w:rPr>
              <w:rFonts w:hint="default" w:ascii="Times New Roman" w:hAnsi="Times New Roman" w:eastAsia="Cambria Math" w:cs="Times New Roman"/>
              <w:b w:val="0"/>
              <w:i w:val="0"/>
            </w:rPr>
            <m:t>=−</m:t>
          </m:r>
          <m:f>
            <m:fPr>
              <m:ctrlPr>
                <w:rPr>
                  <w:rFonts w:hint="default" w:ascii="Cambria Math" w:hAnsi="Cambria Math" w:cs="Times New Roman"/>
                </w:rPr>
              </m:ctrlPr>
            </m:fPr>
            <m:num>
              <m:r>
                <m:rPr>
                  <m:nor/>
                  <m:sty m:val="p"/>
                </m:rPr>
                <w:rPr>
                  <w:rFonts w:hint="default" w:ascii="Times New Roman" w:hAnsi="Times New Roman" w:eastAsia="Cambria Math" w:cs="Times New Roman"/>
                  <w:b w:val="0"/>
                  <w:i w:val="0"/>
                </w:rPr>
                <m:t>1</m:t>
              </m:r>
              <m:ctrlPr>
                <w:rPr>
                  <w:rFonts w:hint="default" w:ascii="Cambria Math" w:hAnsi="Cambria Math" w:cs="Times New Roman"/>
                </w:rPr>
              </m:ctrlPr>
            </m:num>
            <m:den>
              <m:r>
                <m:rPr>
                  <m:nor/>
                </m:rPr>
                <w:rPr>
                  <w:rFonts w:hint="default" w:ascii="Times New Roman" w:hAnsi="Times New Roman" w:eastAsia="Cambria Math" w:cs="Times New Roman"/>
                  <w:i/>
                </w:rPr>
                <m:t>ln</m:t>
              </m:r>
              <m:r>
                <m:rPr>
                  <m:nor/>
                  <m:sty m:val="p"/>
                </m:rPr>
                <w:rPr>
                  <w:rFonts w:hint="default" w:ascii="Times New Roman" w:hAnsi="Times New Roman" w:eastAsia="Cambria Math" w:cs="Times New Roman"/>
                  <w:b w:val="0"/>
                  <w:i w:val="0"/>
                </w:rPr>
                <m:t>⁡</m:t>
              </m:r>
              <m:r>
                <m:rPr>
                  <m:nor/>
                </m:rPr>
                <w:rPr>
                  <w:rFonts w:hint="default" w:ascii="Times New Roman" w:hAnsi="Times New Roman" w:eastAsia="Cambria Math" w:cs="Times New Roman"/>
                  <w:i/>
                </w:rPr>
                <m:t>n</m:t>
              </m:r>
              <m:ctrlPr>
                <w:rPr>
                  <w:rFonts w:hint="default" w:ascii="Cambria Math" w:hAnsi="Cambria Math" w:cs="Times New Roman"/>
                </w:rPr>
              </m:ctrlPr>
            </m:den>
          </m:f>
          <m:nary>
            <m:naryPr>
              <m:chr m:val="∑"/>
              <m:ctrlPr>
                <w:rPr>
                  <w:rFonts w:hint="default" w:ascii="Cambria Math" w:hAnsi="Cambria Math" w:cs="Times New Roman"/>
                </w:rPr>
              </m:ctrlPr>
            </m:naryPr>
            <m:sub>
              <m:r>
                <m:rPr>
                  <m:nor/>
                </m:rPr>
                <w:rPr>
                  <w:rFonts w:hint="default" w:ascii="Times New Roman" w:hAnsi="Times New Roman" w:eastAsia="Cambria Math" w:cs="Times New Roman"/>
                  <w:i/>
                </w:rPr>
                <m:t>i</m:t>
              </m:r>
              <m:r>
                <m:rPr>
                  <m:nor/>
                  <m:sty m:val="p"/>
                </m:rPr>
                <w:rPr>
                  <w:rFonts w:hint="default" w:ascii="Times New Roman" w:hAnsi="Times New Roman" w:eastAsia="Cambria Math" w:cs="Times New Roman"/>
                  <w:b w:val="0"/>
                  <w:i w:val="0"/>
                </w:rPr>
                <m:t>=1</m:t>
              </m:r>
              <m:ctrlPr>
                <w:rPr>
                  <w:rFonts w:hint="default" w:ascii="Cambria Math" w:hAnsi="Cambria Math" w:cs="Times New Roman"/>
                </w:rPr>
              </m:ctrlPr>
            </m:sub>
            <m:sup>
              <m:r>
                <m:rPr>
                  <m:nor/>
                </m:rPr>
                <w:rPr>
                  <w:rFonts w:hint="default" w:ascii="Times New Roman" w:hAnsi="Times New Roman" w:eastAsia="Cambria Math" w:cs="Times New Roman"/>
                  <w:i/>
                </w:rPr>
                <m:t>n</m:t>
              </m:r>
              <m:ctrlPr>
                <w:rPr>
                  <w:rFonts w:hint="default" w:ascii="Cambria Math" w:hAnsi="Cambria Math" w:cs="Times New Roman"/>
                </w:rPr>
              </m:ctrlPr>
            </m:sup>
            <m:e>
              <m:sSub>
                <m:sSubPr>
                  <m:ctrlPr>
                    <w:rPr>
                      <w:rFonts w:hint="default" w:ascii="Cambria Math" w:hAnsi="Cambria Math" w:cs="Times New Roman"/>
                    </w:rPr>
                  </m:ctrlPr>
                </m:sSubPr>
                <m:e>
                  <m:r>
                    <m:rPr>
                      <m:nor/>
                    </m:rPr>
                    <w:rPr>
                      <w:rFonts w:hint="default" w:ascii="Times New Roman" w:hAnsi="Times New Roman" w:eastAsia="Cambria Math" w:cs="Times New Roman"/>
                      <w:i/>
                    </w:rPr>
                    <m:t>p</m:t>
                  </m:r>
                  <m:ctrlPr>
                    <w:rPr>
                      <w:rFonts w:hint="default" w:ascii="Cambria Math" w:hAnsi="Cambria Math" w:cs="Times New Roman"/>
                    </w:rPr>
                  </m:ctrlPr>
                </m:e>
                <m:sub>
                  <m:r>
                    <m:rPr>
                      <m:nor/>
                    </m:rPr>
                    <w:rPr>
                      <w:rFonts w:hint="default" w:ascii="Times New Roman" w:hAnsi="Times New Roman" w:eastAsia="Cambria Math" w:cs="Times New Roman"/>
                      <w:i/>
                    </w:rPr>
                    <m:t>ij</m:t>
                  </m:r>
                  <m:ctrlPr>
                    <w:rPr>
                      <w:rFonts w:hint="default" w:ascii="Cambria Math" w:hAnsi="Cambria Math" w:cs="Times New Roman"/>
                    </w:rPr>
                  </m:ctrlPr>
                </m:sub>
              </m:sSub>
              <m:ctrlPr>
                <w:rPr>
                  <w:rFonts w:hint="default" w:ascii="Cambria Math" w:hAnsi="Cambria Math" w:cs="Times New Roman"/>
                </w:rPr>
              </m:ctrlPr>
            </m:e>
          </m:nary>
          <m:r>
            <m:rPr>
              <m:nor/>
            </m:rPr>
            <w:rPr>
              <w:rFonts w:hint="default" w:ascii="Times New Roman" w:hAnsi="Times New Roman" w:eastAsia="Cambria Math" w:cs="Times New Roman"/>
              <w:i/>
            </w:rPr>
            <m:t>ln</m:t>
          </m:r>
          <m:r>
            <m:rPr>
              <m:nor/>
              <m:sty m:val="p"/>
            </m:rPr>
            <w:rPr>
              <w:rFonts w:hint="default" w:ascii="Times New Roman" w:hAnsi="Times New Roman" w:eastAsia="Cambria Math" w:cs="Times New Roman"/>
              <w:b w:val="0"/>
              <w:i w:val="0"/>
            </w:rPr>
            <m:t>⁡</m:t>
          </m:r>
          <m:sSub>
            <m:sSubPr>
              <m:ctrlPr>
                <w:rPr>
                  <w:rFonts w:hint="default" w:ascii="Cambria Math" w:hAnsi="Cambria Math" w:cs="Times New Roman"/>
                </w:rPr>
              </m:ctrlPr>
            </m:sSubPr>
            <m:e>
              <m:r>
                <m:rPr>
                  <m:nor/>
                </m:rPr>
                <w:rPr>
                  <w:rFonts w:hint="default" w:ascii="Times New Roman" w:hAnsi="Times New Roman" w:eastAsia="Cambria Math" w:cs="Times New Roman"/>
                  <w:i/>
                </w:rPr>
                <m:t>p</m:t>
              </m:r>
              <m:ctrlPr>
                <w:rPr>
                  <w:rFonts w:hint="default" w:ascii="Cambria Math" w:hAnsi="Cambria Math" w:cs="Times New Roman"/>
                </w:rPr>
              </m:ctrlPr>
            </m:e>
            <m:sub>
              <m:r>
                <m:rPr>
                  <m:nor/>
                </m:rPr>
                <w:rPr>
                  <w:rFonts w:hint="default" w:ascii="Times New Roman" w:hAnsi="Times New Roman" w:eastAsia="Cambria Math" w:cs="Times New Roman"/>
                  <w:i/>
                </w:rPr>
                <m:t>ij</m:t>
              </m:r>
              <m:ctrlPr>
                <w:rPr>
                  <w:rFonts w:hint="default" w:ascii="Cambria Math" w:hAnsi="Cambria Math" w:cs="Times New Roman"/>
                </w:rPr>
              </m:ctrlPr>
            </m:sub>
          </m:sSub>
        </m:oMath>
      </m:oMathPara>
    </w:p>
    <w:p w14:paraId="5795925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第五，计算指标差异性系数：</w:t>
      </w:r>
    </w:p>
    <w:p w14:paraId="2CBBE041">
      <w:pPr>
        <w:rPr>
          <w:rFonts w:hint="default" w:ascii="Times New Roman" w:hAnsi="Times New Roman" w:cs="Times New Roman"/>
        </w:rPr>
      </w:pPr>
      <m:oMathPara>
        <m:oMath>
          <m:sSub>
            <m:sSubPr>
              <m:ctrlPr>
                <w:rPr>
                  <w:rFonts w:hint="default" w:ascii="Cambria Math" w:hAnsi="Cambria Math" w:cs="Times New Roman"/>
                </w:rPr>
              </m:ctrlPr>
            </m:sSubPr>
            <m:e>
              <m:r>
                <m:rPr>
                  <m:nor/>
                </m:rPr>
                <w:rPr>
                  <w:rFonts w:hint="default" w:ascii="Times New Roman" w:hAnsi="Times New Roman" w:eastAsia="Cambria Math" w:cs="Times New Roman"/>
                  <w:i/>
                </w:rPr>
                <m:t>d</m:t>
              </m:r>
              <m:ctrlPr>
                <w:rPr>
                  <w:rFonts w:hint="default" w:ascii="Cambria Math" w:hAnsi="Cambria Math" w:cs="Times New Roman"/>
                </w:rPr>
              </m:ctrlPr>
            </m:e>
            <m:sub>
              <m:r>
                <m:rPr>
                  <m:nor/>
                </m:rPr>
                <w:rPr>
                  <w:rFonts w:hint="default" w:ascii="Times New Roman" w:hAnsi="Times New Roman" w:eastAsia="Cambria Math" w:cs="Times New Roman"/>
                  <w:i/>
                </w:rPr>
                <m:t>j</m:t>
              </m:r>
              <m:ctrlPr>
                <w:rPr>
                  <w:rFonts w:hint="default" w:ascii="Cambria Math" w:hAnsi="Cambria Math" w:cs="Times New Roman"/>
                </w:rPr>
              </m:ctrlPr>
            </m:sub>
          </m:sSub>
          <m:r>
            <m:rPr>
              <m:nor/>
              <m:sty m:val="p"/>
            </m:rPr>
            <w:rPr>
              <w:rFonts w:hint="default" w:ascii="Times New Roman" w:hAnsi="Times New Roman" w:eastAsia="Cambria Math" w:cs="Times New Roman"/>
              <w:b w:val="0"/>
              <w:i w:val="0"/>
            </w:rPr>
            <m:t>=1−</m:t>
          </m:r>
          <m:sSub>
            <m:sSubPr>
              <m:ctrlPr>
                <w:rPr>
                  <w:rFonts w:hint="default" w:ascii="Cambria Math" w:hAnsi="Cambria Math" w:cs="Times New Roman"/>
                </w:rPr>
              </m:ctrlPr>
            </m:sSubPr>
            <m:e>
              <m:r>
                <m:rPr>
                  <m:nor/>
                </m:rPr>
                <w:rPr>
                  <w:rFonts w:hint="default" w:ascii="Times New Roman" w:hAnsi="Times New Roman" w:eastAsia="Cambria Math" w:cs="Times New Roman"/>
                  <w:i/>
                </w:rPr>
                <m:t>e</m:t>
              </m:r>
              <m:ctrlPr>
                <w:rPr>
                  <w:rFonts w:hint="default" w:ascii="Cambria Math" w:hAnsi="Cambria Math" w:cs="Times New Roman"/>
                </w:rPr>
              </m:ctrlPr>
            </m:e>
            <m:sub>
              <m:r>
                <m:rPr>
                  <m:nor/>
                </m:rPr>
                <w:rPr>
                  <w:rFonts w:hint="default" w:ascii="Times New Roman" w:hAnsi="Times New Roman" w:eastAsia="Cambria Math" w:cs="Times New Roman"/>
                  <w:i/>
                </w:rPr>
                <m:t>j</m:t>
              </m:r>
              <m:ctrlPr>
                <w:rPr>
                  <w:rFonts w:hint="default" w:ascii="Cambria Math" w:hAnsi="Cambria Math" w:cs="Times New Roman"/>
                </w:rPr>
              </m:ctrlPr>
            </m:sub>
          </m:sSub>
        </m:oMath>
      </m:oMathPara>
    </w:p>
    <w:p w14:paraId="3BD49F0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第六，</w:t>
      </w:r>
      <w:r>
        <w:rPr>
          <w:rFonts w:hint="default" w:ascii="Times New Roman" w:hAnsi="Times New Roman" w:eastAsia="宋体" w:cs="Times New Roman"/>
          <w:sz w:val="24"/>
          <w:szCs w:val="24"/>
        </w:rPr>
        <w:t>对差异系数进行归一化处理，得到各指标的权重：</w:t>
      </w:r>
    </w:p>
    <w:p w14:paraId="17B0EAB7">
      <w:pPr>
        <w:rPr>
          <w:rFonts w:hint="default" w:ascii="Times New Roman" w:hAnsi="Times New Roman" w:cs="Times New Roman"/>
        </w:rPr>
      </w:pPr>
      <m:oMathPara>
        <m:oMath>
          <m:sSub>
            <m:sSubPr>
              <m:ctrlPr>
                <w:rPr>
                  <w:rFonts w:hint="default" w:ascii="Cambria Math" w:hAnsi="Cambria Math" w:cs="Times New Roman"/>
                </w:rPr>
              </m:ctrlPr>
            </m:sSubPr>
            <m:e>
              <m:r>
                <m:rPr>
                  <m:nor/>
                </m:rPr>
                <w:rPr>
                  <w:rFonts w:hint="default" w:ascii="Times New Roman" w:hAnsi="Times New Roman" w:eastAsia="Cambria Math" w:cs="Times New Roman"/>
                  <w:i/>
                </w:rPr>
                <m:t>w</m:t>
              </m:r>
              <m:ctrlPr>
                <w:rPr>
                  <w:rFonts w:hint="default" w:ascii="Cambria Math" w:hAnsi="Cambria Math" w:cs="Times New Roman"/>
                </w:rPr>
              </m:ctrlPr>
            </m:e>
            <m:sub>
              <m:r>
                <m:rPr>
                  <m:nor/>
                </m:rPr>
                <w:rPr>
                  <w:rFonts w:hint="default" w:ascii="Times New Roman" w:hAnsi="Times New Roman" w:eastAsia="Cambria Math" w:cs="Times New Roman"/>
                  <w:i/>
                </w:rPr>
                <m:t>j</m:t>
              </m:r>
              <m:ctrlPr>
                <w:rPr>
                  <w:rFonts w:hint="default" w:ascii="Cambria Math" w:hAnsi="Cambria Math" w:cs="Times New Roman"/>
                </w:rPr>
              </m:ctrlPr>
            </m:sub>
          </m:sSub>
          <m:r>
            <m:rPr>
              <m:nor/>
              <m:sty m:val="p"/>
            </m:rPr>
            <w:rPr>
              <w:rFonts w:hint="default" w:ascii="Times New Roman" w:hAnsi="Times New Roman" w:eastAsia="Cambria Math" w:cs="Times New Roman"/>
              <w:b w:val="0"/>
              <w:i w:val="0"/>
            </w:rPr>
            <m:t>=</m:t>
          </m:r>
          <m:f>
            <m:fPr>
              <m:ctrlPr>
                <w:rPr>
                  <w:rFonts w:hint="default" w:ascii="Cambria Math" w:hAnsi="Cambria Math" w:cs="Times New Roman"/>
                </w:rPr>
              </m:ctrlPr>
            </m:fPr>
            <m:num>
              <m:sSub>
                <m:sSubPr>
                  <m:ctrlPr>
                    <w:rPr>
                      <w:rFonts w:hint="default" w:ascii="Cambria Math" w:hAnsi="Cambria Math" w:cs="Times New Roman"/>
                    </w:rPr>
                  </m:ctrlPr>
                </m:sSubPr>
                <m:e>
                  <m:r>
                    <m:rPr>
                      <m:nor/>
                    </m:rPr>
                    <w:rPr>
                      <w:rFonts w:hint="default" w:ascii="Times New Roman" w:hAnsi="Times New Roman" w:eastAsia="Cambria Math" w:cs="Times New Roman"/>
                      <w:i/>
                    </w:rPr>
                    <m:t>d</m:t>
                  </m:r>
                  <m:ctrlPr>
                    <w:rPr>
                      <w:rFonts w:hint="default" w:ascii="Cambria Math" w:hAnsi="Cambria Math" w:cs="Times New Roman"/>
                    </w:rPr>
                  </m:ctrlPr>
                </m:e>
                <m:sub>
                  <m:r>
                    <m:rPr>
                      <m:nor/>
                    </m:rPr>
                    <w:rPr>
                      <w:rFonts w:hint="default" w:ascii="Times New Roman" w:hAnsi="Times New Roman" w:eastAsia="Cambria Math" w:cs="Times New Roman"/>
                      <w:i/>
                    </w:rPr>
                    <m:t>j</m:t>
                  </m:r>
                  <m:ctrlPr>
                    <w:rPr>
                      <w:rFonts w:hint="default" w:ascii="Cambria Math" w:hAnsi="Cambria Math" w:cs="Times New Roman"/>
                    </w:rPr>
                  </m:ctrlPr>
                </m:sub>
              </m:sSub>
              <m:ctrlPr>
                <w:rPr>
                  <w:rFonts w:hint="default" w:ascii="Cambria Math" w:hAnsi="Cambria Math" w:cs="Times New Roman"/>
                </w:rPr>
              </m:ctrlPr>
            </m:num>
            <m:den>
              <m:nary>
                <m:naryPr>
                  <m:chr m:val="∑"/>
                  <m:ctrlPr>
                    <w:rPr>
                      <w:rFonts w:hint="default" w:ascii="Cambria Math" w:hAnsi="Cambria Math" w:cs="Times New Roman"/>
                    </w:rPr>
                  </m:ctrlPr>
                </m:naryPr>
                <m:sub>
                  <m:r>
                    <m:rPr>
                      <m:nor/>
                    </m:rPr>
                    <w:rPr>
                      <w:rFonts w:hint="default" w:ascii="Times New Roman" w:hAnsi="Times New Roman" w:eastAsia="Cambria Math" w:cs="Times New Roman"/>
                      <w:i/>
                    </w:rPr>
                    <m:t>j</m:t>
                  </m:r>
                  <m:r>
                    <m:rPr>
                      <m:nor/>
                      <m:sty m:val="p"/>
                    </m:rPr>
                    <w:rPr>
                      <w:rFonts w:hint="default" w:ascii="Times New Roman" w:hAnsi="Times New Roman" w:eastAsia="Cambria Math" w:cs="Times New Roman"/>
                      <w:b w:val="0"/>
                      <w:i w:val="0"/>
                    </w:rPr>
                    <m:t>=1</m:t>
                  </m:r>
                  <m:ctrlPr>
                    <w:rPr>
                      <w:rFonts w:hint="default" w:ascii="Cambria Math" w:hAnsi="Cambria Math" w:cs="Times New Roman"/>
                    </w:rPr>
                  </m:ctrlPr>
                </m:sub>
                <m:sup>
                  <m:r>
                    <m:rPr>
                      <m:nor/>
                    </m:rPr>
                    <w:rPr>
                      <w:rFonts w:hint="default" w:ascii="Times New Roman" w:hAnsi="Times New Roman" w:eastAsia="Cambria Math" w:cs="Times New Roman"/>
                      <w:i/>
                    </w:rPr>
                    <m:t>m</m:t>
                  </m:r>
                  <m:ctrlPr>
                    <w:rPr>
                      <w:rFonts w:hint="default" w:ascii="Cambria Math" w:hAnsi="Cambria Math" w:cs="Times New Roman"/>
                    </w:rPr>
                  </m:ctrlPr>
                </m:sup>
                <m:e>
                  <m:sSub>
                    <m:sSubPr>
                      <m:ctrlPr>
                        <w:rPr>
                          <w:rFonts w:hint="default" w:ascii="Cambria Math" w:hAnsi="Cambria Math" w:cs="Times New Roman"/>
                        </w:rPr>
                      </m:ctrlPr>
                    </m:sSubPr>
                    <m:e>
                      <m:r>
                        <m:rPr>
                          <m:nor/>
                        </m:rPr>
                        <w:rPr>
                          <w:rFonts w:hint="default" w:ascii="Times New Roman" w:hAnsi="Times New Roman" w:eastAsia="Cambria Math" w:cs="Times New Roman"/>
                          <w:i/>
                        </w:rPr>
                        <m:t>d</m:t>
                      </m:r>
                      <m:ctrlPr>
                        <w:rPr>
                          <w:rFonts w:hint="default" w:ascii="Cambria Math" w:hAnsi="Cambria Math" w:cs="Times New Roman"/>
                        </w:rPr>
                      </m:ctrlPr>
                    </m:e>
                    <m:sub>
                      <m:r>
                        <m:rPr>
                          <m:nor/>
                        </m:rPr>
                        <w:rPr>
                          <w:rFonts w:hint="default" w:ascii="Times New Roman" w:hAnsi="Times New Roman" w:eastAsia="Cambria Math" w:cs="Times New Roman"/>
                          <w:i/>
                        </w:rPr>
                        <m:t>j</m:t>
                      </m:r>
                      <m:ctrlPr>
                        <w:rPr>
                          <w:rFonts w:hint="default" w:ascii="Cambria Math" w:hAnsi="Cambria Math" w:cs="Times New Roman"/>
                        </w:rPr>
                      </m:ctrlPr>
                    </m:sub>
                  </m:sSub>
                  <m:ctrlPr>
                    <w:rPr>
                      <w:rFonts w:hint="default" w:ascii="Cambria Math" w:hAnsi="Cambria Math" w:cs="Times New Roman"/>
                    </w:rPr>
                  </m:ctrlPr>
                </m:e>
              </m:nary>
              <m:ctrlPr>
                <w:rPr>
                  <w:rFonts w:hint="default" w:ascii="Cambria Math" w:hAnsi="Cambria Math" w:cs="Times New Roman"/>
                </w:rPr>
              </m:ctrlPr>
            </m:den>
          </m:f>
        </m:oMath>
      </m:oMathPara>
    </w:p>
    <w:p w14:paraId="57FC830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第七，</w:t>
      </w:r>
      <w:r>
        <w:rPr>
          <w:rFonts w:hint="default" w:ascii="Times New Roman" w:hAnsi="Times New Roman" w:eastAsia="宋体" w:cs="Times New Roman"/>
          <w:sz w:val="24"/>
          <w:szCs w:val="24"/>
        </w:rPr>
        <w:t>通过加权求和计算企业盈利能力综合得分：</w:t>
      </w:r>
    </w:p>
    <w:p w14:paraId="1A586461">
      <w:pPr>
        <w:rPr>
          <w:rFonts w:hint="default" w:ascii="Times New Roman" w:hAnsi="Times New Roman" w:cs="Times New Roman"/>
        </w:rPr>
      </w:pPr>
      <m:oMathPara>
        <m:oMath>
          <m:sSub>
            <m:sSubPr>
              <m:ctrlPr>
                <w:rPr>
                  <w:rFonts w:hint="default" w:ascii="Cambria Math" w:hAnsi="Cambria Math" w:cs="Times New Roman"/>
                </w:rPr>
              </m:ctrlPr>
            </m:sSubPr>
            <m:e>
              <m:r>
                <m:rPr>
                  <m:nor/>
                </m:rPr>
                <w:rPr>
                  <w:rFonts w:hint="default" w:ascii="Times New Roman" w:hAnsi="Times New Roman" w:eastAsia="Cambria Math" w:cs="Times New Roman"/>
                  <w:i/>
                </w:rPr>
                <m:t>S</m:t>
              </m:r>
              <m:ctrlPr>
                <w:rPr>
                  <w:rFonts w:hint="default" w:ascii="Cambria Math" w:hAnsi="Cambria Math" w:cs="Times New Roman"/>
                </w:rPr>
              </m:ctrlPr>
            </m:e>
            <m:sub>
              <m:r>
                <m:rPr>
                  <m:nor/>
                </m:rPr>
                <w:rPr>
                  <w:rFonts w:hint="default" w:ascii="Times New Roman" w:hAnsi="Times New Roman" w:eastAsia="Cambria Math" w:cs="Times New Roman"/>
                  <w:i/>
                </w:rPr>
                <m:t>i</m:t>
              </m:r>
              <m:ctrlPr>
                <w:rPr>
                  <w:rFonts w:hint="default" w:ascii="Cambria Math" w:hAnsi="Cambria Math" w:cs="Times New Roman"/>
                </w:rPr>
              </m:ctrlPr>
            </m:sub>
          </m:sSub>
          <m:r>
            <m:rPr>
              <m:nor/>
              <m:sty m:val="p"/>
            </m:rPr>
            <w:rPr>
              <w:rFonts w:hint="default" w:ascii="Times New Roman" w:hAnsi="Times New Roman" w:eastAsia="Cambria Math" w:cs="Times New Roman"/>
              <w:b w:val="0"/>
              <w:i w:val="0"/>
            </w:rPr>
            <m:t>=</m:t>
          </m:r>
          <m:nary>
            <m:naryPr>
              <m:chr m:val="∑"/>
              <m:ctrlPr>
                <w:rPr>
                  <w:rFonts w:hint="default" w:ascii="Cambria Math" w:hAnsi="Cambria Math" w:cs="Times New Roman"/>
                </w:rPr>
              </m:ctrlPr>
            </m:naryPr>
            <m:sub>
              <m:r>
                <m:rPr>
                  <m:nor/>
                </m:rPr>
                <w:rPr>
                  <w:rFonts w:hint="default" w:ascii="Times New Roman" w:hAnsi="Times New Roman" w:eastAsia="Cambria Math" w:cs="Times New Roman"/>
                  <w:i/>
                </w:rPr>
                <m:t>j</m:t>
              </m:r>
              <m:r>
                <m:rPr>
                  <m:nor/>
                  <m:sty m:val="p"/>
                </m:rPr>
                <w:rPr>
                  <w:rFonts w:hint="default" w:ascii="Times New Roman" w:hAnsi="Times New Roman" w:eastAsia="Cambria Math" w:cs="Times New Roman"/>
                  <w:b w:val="0"/>
                  <w:i w:val="0"/>
                </w:rPr>
                <m:t>=1</m:t>
              </m:r>
              <m:ctrlPr>
                <w:rPr>
                  <w:rFonts w:hint="default" w:ascii="Cambria Math" w:hAnsi="Cambria Math" w:cs="Times New Roman"/>
                </w:rPr>
              </m:ctrlPr>
            </m:sub>
            <m:sup>
              <m:r>
                <m:rPr>
                  <m:nor/>
                </m:rPr>
                <w:rPr>
                  <w:rFonts w:hint="default" w:ascii="Times New Roman" w:hAnsi="Times New Roman" w:eastAsia="Cambria Math" w:cs="Times New Roman"/>
                  <w:i/>
                </w:rPr>
                <m:t>m</m:t>
              </m:r>
              <m:ctrlPr>
                <w:rPr>
                  <w:rFonts w:hint="default" w:ascii="Cambria Math" w:hAnsi="Cambria Math" w:cs="Times New Roman"/>
                </w:rPr>
              </m:ctrlPr>
            </m:sup>
            <m:e>
              <m:sSub>
                <m:sSubPr>
                  <m:ctrlPr>
                    <w:rPr>
                      <w:rFonts w:hint="default" w:ascii="Cambria Math" w:hAnsi="Cambria Math" w:cs="Times New Roman"/>
                    </w:rPr>
                  </m:ctrlPr>
                </m:sSubPr>
                <m:e>
                  <m:r>
                    <m:rPr>
                      <m:nor/>
                    </m:rPr>
                    <w:rPr>
                      <w:rFonts w:hint="default" w:ascii="Times New Roman" w:hAnsi="Times New Roman" w:eastAsia="Cambria Math" w:cs="Times New Roman"/>
                      <w:i/>
                    </w:rPr>
                    <m:t>w</m:t>
                  </m:r>
                  <m:ctrlPr>
                    <w:rPr>
                      <w:rFonts w:hint="default" w:ascii="Cambria Math" w:hAnsi="Cambria Math" w:cs="Times New Roman"/>
                    </w:rPr>
                  </m:ctrlPr>
                </m:e>
                <m:sub>
                  <m:r>
                    <m:rPr>
                      <m:nor/>
                    </m:rPr>
                    <w:rPr>
                      <w:rFonts w:hint="default" w:ascii="Times New Roman" w:hAnsi="Times New Roman" w:eastAsia="Cambria Math" w:cs="Times New Roman"/>
                      <w:i/>
                    </w:rPr>
                    <m:t>j</m:t>
                  </m:r>
                  <m:ctrlPr>
                    <w:rPr>
                      <w:rFonts w:hint="default" w:ascii="Cambria Math" w:hAnsi="Cambria Math" w:cs="Times New Roman"/>
                    </w:rPr>
                  </m:ctrlPr>
                </m:sub>
              </m:sSub>
              <m:ctrlPr>
                <w:rPr>
                  <w:rFonts w:hint="default" w:ascii="Cambria Math" w:hAnsi="Cambria Math" w:cs="Times New Roman"/>
                </w:rPr>
              </m:ctrlPr>
            </m:e>
          </m:nary>
          <m:r>
            <m:rPr>
              <m:nor/>
              <m:sty m:val="p"/>
            </m:rPr>
            <w:rPr>
              <w:rFonts w:hint="default" w:ascii="Times New Roman" w:hAnsi="Times New Roman" w:eastAsia="Cambria Math" w:cs="Times New Roman"/>
              <w:b w:val="0"/>
              <w:i w:val="0"/>
            </w:rPr>
            <m:t>⋅</m:t>
          </m:r>
          <m:sSub>
            <m:sSubPr>
              <m:ctrlPr>
                <w:rPr>
                  <w:rFonts w:hint="default" w:ascii="Cambria Math" w:hAnsi="Cambria Math" w:cs="Times New Roman"/>
                </w:rPr>
              </m:ctrlPr>
            </m:sSubPr>
            <m:e>
              <m:r>
                <m:rPr>
                  <m:nor/>
                </m:rPr>
                <w:rPr>
                  <w:rFonts w:hint="default" w:ascii="Times New Roman" w:hAnsi="Times New Roman" w:eastAsia="Cambria Math" w:cs="Times New Roman"/>
                  <w:i/>
                </w:rPr>
                <m:t>z</m:t>
              </m:r>
              <m:ctrlPr>
                <w:rPr>
                  <w:rFonts w:hint="default" w:ascii="Cambria Math" w:hAnsi="Cambria Math" w:cs="Times New Roman"/>
                </w:rPr>
              </m:ctrlPr>
            </m:e>
            <m:sub>
              <m:r>
                <m:rPr>
                  <m:nor/>
                </m:rPr>
                <w:rPr>
                  <w:rFonts w:hint="default" w:ascii="Times New Roman" w:hAnsi="Times New Roman" w:eastAsia="Cambria Math" w:cs="Times New Roman"/>
                  <w:i/>
                </w:rPr>
                <m:t>ij</m:t>
              </m:r>
              <m:ctrlPr>
                <w:rPr>
                  <w:rFonts w:hint="default" w:ascii="Cambria Math" w:hAnsi="Cambria Math" w:cs="Times New Roman"/>
                </w:rPr>
              </m:ctrlPr>
            </m:sub>
          </m:sSub>
        </m:oMath>
      </m:oMathPara>
    </w:p>
    <w:p w14:paraId="4439E96D">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m:oMath>
        <m:sSub>
          <m:sSubPr>
            <m:ctrlPr>
              <w:rPr>
                <w:rFonts w:hint="default" w:ascii="Cambria Math" w:hAnsi="Cambria Math" w:eastAsia="宋体" w:cs="Times New Roman"/>
                <w:kern w:val="2"/>
                <w:sz w:val="24"/>
                <w:szCs w:val="24"/>
                <w:lang w:val="en-US" w:eastAsia="zh-CN" w:bidi="ar-SA"/>
              </w:rPr>
            </m:ctrlPr>
          </m:sSubPr>
          <m:e>
            <m:r>
              <m:rPr>
                <m:nor/>
                <m:sty m:val="p"/>
              </m:rPr>
              <w:rPr>
                <w:rFonts w:hint="default" w:ascii="Times New Roman" w:hAnsi="Times New Roman" w:eastAsia="宋体" w:cs="Times New Roman"/>
                <w:b w:val="0"/>
                <w:i w:val="0"/>
                <w:kern w:val="2"/>
                <w:sz w:val="24"/>
                <w:szCs w:val="24"/>
                <w:lang w:val="en-US" w:eastAsia="zh-CN" w:bidi="ar-SA"/>
              </w:rPr>
              <m:t>S</m:t>
            </m:r>
            <m:ctrlPr>
              <w:rPr>
                <w:rFonts w:hint="default" w:ascii="Cambria Math" w:hAnsi="Cambria Math" w:eastAsia="宋体" w:cs="Times New Roman"/>
                <w:kern w:val="2"/>
                <w:sz w:val="24"/>
                <w:szCs w:val="24"/>
                <w:lang w:val="en-US" w:eastAsia="zh-CN" w:bidi="ar-SA"/>
              </w:rPr>
            </m:ctrlPr>
          </m:e>
          <m:sub>
            <m:r>
              <m:rPr>
                <m:nor/>
                <m:sty m:val="p"/>
              </m:rPr>
              <w:rPr>
                <w:rFonts w:hint="default" w:ascii="Times New Roman" w:hAnsi="Times New Roman" w:eastAsia="宋体" w:cs="Times New Roman"/>
                <w:b w:val="0"/>
                <w:i w:val="0"/>
                <w:kern w:val="2"/>
                <w:sz w:val="24"/>
                <w:szCs w:val="24"/>
                <w:lang w:val="en-US" w:eastAsia="zh-CN" w:bidi="ar-SA"/>
              </w:rPr>
              <m:t>i</m:t>
            </m:r>
            <m:ctrlPr>
              <w:rPr>
                <w:rFonts w:hint="default" w:ascii="Cambria Math" w:hAnsi="Cambria Math" w:eastAsia="宋体" w:cs="Times New Roman"/>
                <w:kern w:val="2"/>
                <w:sz w:val="24"/>
                <w:szCs w:val="24"/>
                <w:lang w:val="en-US" w:eastAsia="zh-CN" w:bidi="ar-SA"/>
              </w:rPr>
            </m:ctrlPr>
          </m:sub>
        </m:sSub>
      </m:oMath>
      <w:r>
        <w:rPr>
          <w:rFonts w:hint="default" w:ascii="Times New Roman" w:hAnsi="Times New Roman" w:eastAsia="宋体" w:cs="Times New Roman"/>
          <w:kern w:val="2"/>
          <w:sz w:val="24"/>
          <w:szCs w:val="24"/>
          <w:lang w:val="en-US" w:eastAsia="zh-CN" w:bidi="ar-SA"/>
        </w:rPr>
        <w:t>表示第</w:t>
      </w:r>
      <m:oMath>
        <m:r>
          <m:rPr>
            <m:nor/>
            <m:sty m:val="p"/>
          </m:rPr>
          <w:rPr>
            <w:rFonts w:hint="default" w:ascii="Times New Roman" w:hAnsi="Times New Roman" w:eastAsia="宋体" w:cs="Times New Roman"/>
            <w:b w:val="0"/>
            <w:i w:val="0"/>
            <w:kern w:val="2"/>
            <w:sz w:val="24"/>
            <w:szCs w:val="24"/>
            <w:lang w:val="en-US" w:eastAsia="zh-CN" w:bidi="ar-SA"/>
          </w:rPr>
          <m:t>i</m:t>
        </m:r>
      </m:oMath>
      <w:r>
        <w:rPr>
          <w:rFonts w:hint="default" w:ascii="Times New Roman" w:hAnsi="Times New Roman" w:eastAsia="宋体" w:cs="Times New Roman"/>
          <w:kern w:val="2"/>
          <w:sz w:val="24"/>
          <w:szCs w:val="24"/>
          <w:lang w:val="en-US" w:eastAsia="zh-CN" w:bidi="ar-SA"/>
        </w:rPr>
        <w:t>个企业的盈利能力综合得分，得分越高，说明企业整体盈利能力越强。表4-2列示了各指标的熵权法计算结果。</w:t>
      </w:r>
    </w:p>
    <w:p w14:paraId="440E10F0">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从结果可知，不同指标在综合评价中的权重存在一定差异。其中，研发费用率的权重最高，说明在样本企业之间，该指标的离散程度最大，对企业盈利能力综合评价具有较强的区分作用。这表明不同人工智能应用层企业在研发投入水平方面存在较为明显的差异。其次是投资收益率，说明不同企业在投资收益能力方面存在较为明显的差异。投资收益率反映企业通过对外投资获取收益的能力，在一定程度上能够补充企业主营业务盈利来源。此外，营业成本率和营业毛利率的权重也处于相对较高水平，说明样本企业在成本结构和主营业务盈利空间方面存在一定差异。其中，营业成本率反映企业在生产经营过程中对成本的控制能力，而营业毛利率则体现企业产品或服务的盈利空间。</w:t>
      </w:r>
    </w:p>
    <w:p w14:paraId="3AC15B4E">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相比之下，总资产收益率、净资产收益率、EBIT率、EBITDA率以及营业净利率等指标的权重相对较低，说明这些指标在样本企业之间的差异程度相对较小，对综合评价结果的区分作用相对有限。</w:t>
      </w:r>
    </w:p>
    <w:p w14:paraId="5EFE249F">
      <w:pPr>
        <w:widowControl/>
        <w:tabs>
          <w:tab w:val="left" w:pos="377"/>
        </w:tabs>
        <w:autoSpaceDE/>
        <w:autoSpaceDN/>
        <w:snapToGrid/>
        <w:spacing w:before="156" w:beforeLines="50"/>
        <w:jc w:val="center"/>
        <w:rPr>
          <w:rFonts w:hint="default" w:ascii="Times New Roman" w:hAnsi="Times New Roman" w:eastAsia="宋体" w:cs="Times New Roman"/>
          <w:spacing w:val="10"/>
          <w:kern w:val="0"/>
          <w:szCs w:val="20"/>
          <w:lang w:val="en-US" w:eastAsia="zh-CN"/>
        </w:rPr>
      </w:pPr>
      <w:r>
        <w:rPr>
          <w:rFonts w:hint="default" w:ascii="Times New Roman" w:hAnsi="Times New Roman" w:eastAsia="宋体" w:cs="Times New Roman"/>
          <w:spacing w:val="10"/>
          <w:kern w:val="0"/>
          <w:szCs w:val="20"/>
          <w:lang w:val="en-US" w:eastAsia="zh-CN"/>
        </w:rPr>
        <w:t>表4-2 盈利能力指标权重</w:t>
      </w:r>
    </w:p>
    <w:tbl>
      <w:tblPr>
        <w:tblStyle w:val="7"/>
        <w:tblW w:w="851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64"/>
        <w:gridCol w:w="6023"/>
        <w:gridCol w:w="1432"/>
      </w:tblGrid>
      <w:tr w14:paraId="6FDDABC0">
        <w:trPr>
          <w:trHeight w:val="0" w:hRule="atLeast"/>
          <w:tblHeader/>
        </w:trPr>
        <w:tc>
          <w:tcPr>
            <w:tcW w:w="1064" w:type="dxa"/>
            <w:tcBorders>
              <w:top w:val="single" w:color="000000" w:sz="12" w:space="0"/>
              <w:left w:val="nil"/>
              <w:bottom w:val="single" w:color="000000" w:sz="8" w:space="0"/>
              <w:right w:val="nil"/>
            </w:tcBorders>
            <w:shd w:val="clear" w:color="auto" w:fill="auto"/>
            <w:vAlign w:val="center"/>
          </w:tcPr>
          <w:p w14:paraId="7FD2FEFB">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Times New Roman" w:hAnsi="Times New Roman" w:eastAsia="宋体" w:cs="Times New Roman"/>
                <w:b/>
                <w:bCs/>
                <w:i w:val="0"/>
                <w:iCs w:val="0"/>
                <w:color w:val="000000"/>
                <w:kern w:val="0"/>
                <w:sz w:val="21"/>
                <w:szCs w:val="21"/>
                <w:u w:val="none"/>
                <w:lang w:val="en-US" w:eastAsia="zh-CN" w:bidi="ar"/>
              </w:rPr>
              <w:t>指标</w:t>
            </w:r>
          </w:p>
        </w:tc>
        <w:tc>
          <w:tcPr>
            <w:tcW w:w="6023" w:type="dxa"/>
            <w:tcBorders>
              <w:top w:val="single" w:color="000000" w:sz="12" w:space="0"/>
              <w:left w:val="nil"/>
              <w:bottom w:val="single" w:color="000000" w:sz="8" w:space="0"/>
              <w:right w:val="nil"/>
            </w:tcBorders>
            <w:shd w:val="clear" w:color="auto" w:fill="auto"/>
            <w:vAlign w:val="center"/>
          </w:tcPr>
          <w:p w14:paraId="6D169D13">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Times New Roman" w:hAnsi="Times New Roman" w:eastAsia="宋体" w:cs="Times New Roman"/>
                <w:b/>
                <w:bCs/>
                <w:i w:val="0"/>
                <w:iCs w:val="0"/>
                <w:color w:val="000000"/>
                <w:kern w:val="0"/>
                <w:sz w:val="21"/>
                <w:szCs w:val="21"/>
                <w:u w:val="none"/>
                <w:lang w:val="en-US" w:eastAsia="zh-CN" w:bidi="ar"/>
              </w:rPr>
              <w:t>指标含义</w:t>
            </w:r>
          </w:p>
        </w:tc>
        <w:tc>
          <w:tcPr>
            <w:tcW w:w="1432" w:type="dxa"/>
            <w:tcBorders>
              <w:top w:val="single" w:color="000000" w:sz="12" w:space="0"/>
              <w:left w:val="nil"/>
              <w:bottom w:val="single" w:color="000000" w:sz="8" w:space="0"/>
              <w:right w:val="nil"/>
            </w:tcBorders>
            <w:shd w:val="clear" w:color="auto" w:fill="auto"/>
            <w:vAlign w:val="center"/>
          </w:tcPr>
          <w:p w14:paraId="291803FA">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Times New Roman" w:hAnsi="Times New Roman" w:eastAsia="宋体" w:cs="Times New Roman"/>
                <w:b/>
                <w:bCs/>
                <w:i w:val="0"/>
                <w:iCs w:val="0"/>
                <w:color w:val="000000"/>
                <w:kern w:val="0"/>
                <w:sz w:val="21"/>
                <w:szCs w:val="21"/>
                <w:u w:val="none"/>
                <w:lang w:val="en-US" w:eastAsia="zh-CN" w:bidi="ar"/>
              </w:rPr>
              <w:t>权重</w:t>
            </w:r>
          </w:p>
        </w:tc>
      </w:tr>
      <w:tr w14:paraId="06C9AC0D">
        <w:trPr>
          <w:trHeight w:val="0" w:hRule="atLeast"/>
        </w:trPr>
        <w:tc>
          <w:tcPr>
            <w:tcW w:w="1064" w:type="dxa"/>
            <w:tcBorders>
              <w:top w:val="nil"/>
              <w:left w:val="nil"/>
              <w:bottom w:val="nil"/>
              <w:right w:val="nil"/>
            </w:tcBorders>
            <w:shd w:val="clear" w:color="auto" w:fill="auto"/>
            <w:vAlign w:val="center"/>
          </w:tcPr>
          <w:p w14:paraId="6FBF7D4A">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w1</w:t>
            </w:r>
          </w:p>
        </w:tc>
        <w:tc>
          <w:tcPr>
            <w:tcW w:w="6023" w:type="dxa"/>
            <w:tcBorders>
              <w:top w:val="nil"/>
              <w:left w:val="nil"/>
              <w:bottom w:val="nil"/>
              <w:right w:val="nil"/>
            </w:tcBorders>
            <w:shd w:val="clear" w:color="auto" w:fill="auto"/>
            <w:vAlign w:val="center"/>
          </w:tcPr>
          <w:p w14:paraId="3CD6DF7F">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总资产收益率（ROA）</w:t>
            </w:r>
          </w:p>
        </w:tc>
        <w:tc>
          <w:tcPr>
            <w:tcW w:w="1432" w:type="dxa"/>
            <w:tcBorders>
              <w:top w:val="nil"/>
              <w:left w:val="nil"/>
              <w:bottom w:val="nil"/>
              <w:right w:val="nil"/>
            </w:tcBorders>
            <w:shd w:val="clear" w:color="auto" w:fill="auto"/>
            <w:vAlign w:val="center"/>
          </w:tcPr>
          <w:p w14:paraId="5B4A3813">
            <w:pPr>
              <w:keepNext w:val="0"/>
              <w:keepLines w:val="0"/>
              <w:widowControl/>
              <w:suppressLineNumbers w:val="0"/>
              <w:jc w:val="right"/>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0.0316</w:t>
            </w:r>
          </w:p>
        </w:tc>
      </w:tr>
      <w:tr w14:paraId="065D581B">
        <w:trPr>
          <w:trHeight w:val="0" w:hRule="atLeast"/>
        </w:trPr>
        <w:tc>
          <w:tcPr>
            <w:tcW w:w="1064" w:type="dxa"/>
            <w:tcBorders>
              <w:top w:val="nil"/>
              <w:left w:val="nil"/>
              <w:bottom w:val="nil"/>
              <w:right w:val="nil"/>
            </w:tcBorders>
            <w:shd w:val="clear" w:color="auto" w:fill="auto"/>
            <w:vAlign w:val="center"/>
          </w:tcPr>
          <w:p w14:paraId="1D84B78A">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w2</w:t>
            </w:r>
          </w:p>
        </w:tc>
        <w:tc>
          <w:tcPr>
            <w:tcW w:w="6023" w:type="dxa"/>
            <w:tcBorders>
              <w:top w:val="nil"/>
              <w:left w:val="nil"/>
              <w:bottom w:val="nil"/>
              <w:right w:val="nil"/>
            </w:tcBorders>
            <w:shd w:val="clear" w:color="auto" w:fill="auto"/>
            <w:vAlign w:val="center"/>
          </w:tcPr>
          <w:p w14:paraId="337E261A">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净资产收益率（ROE）</w:t>
            </w:r>
          </w:p>
        </w:tc>
        <w:tc>
          <w:tcPr>
            <w:tcW w:w="1432" w:type="dxa"/>
            <w:tcBorders>
              <w:top w:val="nil"/>
              <w:left w:val="nil"/>
              <w:bottom w:val="nil"/>
              <w:right w:val="nil"/>
            </w:tcBorders>
            <w:shd w:val="clear" w:color="auto" w:fill="auto"/>
            <w:vAlign w:val="center"/>
          </w:tcPr>
          <w:p w14:paraId="17AB933B">
            <w:pPr>
              <w:keepNext w:val="0"/>
              <w:keepLines w:val="0"/>
              <w:widowControl/>
              <w:suppressLineNumbers w:val="0"/>
              <w:jc w:val="right"/>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0.0301</w:t>
            </w:r>
          </w:p>
        </w:tc>
      </w:tr>
      <w:tr w14:paraId="4E9B65A7">
        <w:trPr>
          <w:trHeight w:val="0" w:hRule="atLeast"/>
        </w:trPr>
        <w:tc>
          <w:tcPr>
            <w:tcW w:w="1064" w:type="dxa"/>
            <w:tcBorders>
              <w:top w:val="nil"/>
              <w:left w:val="nil"/>
              <w:bottom w:val="nil"/>
              <w:right w:val="nil"/>
            </w:tcBorders>
            <w:shd w:val="clear" w:color="auto" w:fill="auto"/>
            <w:vAlign w:val="center"/>
          </w:tcPr>
          <w:p w14:paraId="62D7290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w3</w:t>
            </w:r>
          </w:p>
        </w:tc>
        <w:tc>
          <w:tcPr>
            <w:tcW w:w="6023" w:type="dxa"/>
            <w:tcBorders>
              <w:top w:val="nil"/>
              <w:left w:val="nil"/>
              <w:bottom w:val="nil"/>
              <w:right w:val="nil"/>
            </w:tcBorders>
            <w:shd w:val="clear" w:color="auto" w:fill="auto"/>
            <w:vAlign w:val="center"/>
          </w:tcPr>
          <w:p w14:paraId="1E99B775">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营业毛利率</w:t>
            </w:r>
          </w:p>
        </w:tc>
        <w:tc>
          <w:tcPr>
            <w:tcW w:w="1432" w:type="dxa"/>
            <w:tcBorders>
              <w:top w:val="nil"/>
              <w:left w:val="nil"/>
              <w:bottom w:val="nil"/>
              <w:right w:val="nil"/>
            </w:tcBorders>
            <w:shd w:val="clear" w:color="auto" w:fill="auto"/>
            <w:vAlign w:val="center"/>
          </w:tcPr>
          <w:p w14:paraId="11B7806C">
            <w:pPr>
              <w:keepNext w:val="0"/>
              <w:keepLines w:val="0"/>
              <w:widowControl/>
              <w:suppressLineNumbers w:val="0"/>
              <w:jc w:val="right"/>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0.1517</w:t>
            </w:r>
          </w:p>
        </w:tc>
      </w:tr>
      <w:tr w14:paraId="1566A39F">
        <w:trPr>
          <w:trHeight w:val="0" w:hRule="atLeast"/>
        </w:trPr>
        <w:tc>
          <w:tcPr>
            <w:tcW w:w="1064" w:type="dxa"/>
            <w:tcBorders>
              <w:top w:val="nil"/>
              <w:left w:val="nil"/>
              <w:bottom w:val="nil"/>
              <w:right w:val="nil"/>
            </w:tcBorders>
            <w:shd w:val="clear" w:color="auto" w:fill="auto"/>
            <w:vAlign w:val="center"/>
          </w:tcPr>
          <w:p w14:paraId="42F82021">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w4</w:t>
            </w:r>
          </w:p>
        </w:tc>
        <w:tc>
          <w:tcPr>
            <w:tcW w:w="6023" w:type="dxa"/>
            <w:tcBorders>
              <w:top w:val="nil"/>
              <w:left w:val="nil"/>
              <w:bottom w:val="nil"/>
              <w:right w:val="nil"/>
            </w:tcBorders>
            <w:shd w:val="clear" w:color="auto" w:fill="auto"/>
            <w:vAlign w:val="center"/>
          </w:tcPr>
          <w:p w14:paraId="2E17DDA7">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营业净利率</w:t>
            </w:r>
          </w:p>
        </w:tc>
        <w:tc>
          <w:tcPr>
            <w:tcW w:w="1432" w:type="dxa"/>
            <w:tcBorders>
              <w:top w:val="nil"/>
              <w:left w:val="nil"/>
              <w:bottom w:val="nil"/>
              <w:right w:val="nil"/>
            </w:tcBorders>
            <w:shd w:val="clear" w:color="auto" w:fill="auto"/>
            <w:vAlign w:val="center"/>
          </w:tcPr>
          <w:p w14:paraId="0DB620C8">
            <w:pPr>
              <w:keepNext w:val="0"/>
              <w:keepLines w:val="0"/>
              <w:widowControl/>
              <w:suppressLineNumbers w:val="0"/>
              <w:jc w:val="right"/>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0.0159</w:t>
            </w:r>
          </w:p>
        </w:tc>
      </w:tr>
      <w:tr w14:paraId="64D77C99">
        <w:trPr>
          <w:trHeight w:val="0" w:hRule="atLeast"/>
        </w:trPr>
        <w:tc>
          <w:tcPr>
            <w:tcW w:w="1064" w:type="dxa"/>
            <w:tcBorders>
              <w:top w:val="nil"/>
              <w:left w:val="nil"/>
              <w:bottom w:val="nil"/>
              <w:right w:val="nil"/>
            </w:tcBorders>
            <w:shd w:val="clear" w:color="auto" w:fill="auto"/>
            <w:vAlign w:val="center"/>
          </w:tcPr>
          <w:p w14:paraId="1B8B7BA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w5</w:t>
            </w:r>
          </w:p>
        </w:tc>
        <w:tc>
          <w:tcPr>
            <w:tcW w:w="6023" w:type="dxa"/>
            <w:tcBorders>
              <w:top w:val="nil"/>
              <w:left w:val="nil"/>
              <w:bottom w:val="nil"/>
              <w:right w:val="nil"/>
            </w:tcBorders>
            <w:shd w:val="clear" w:color="auto" w:fill="auto"/>
            <w:vAlign w:val="center"/>
          </w:tcPr>
          <w:p w14:paraId="4E73CB51">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研发费用率</w:t>
            </w:r>
          </w:p>
        </w:tc>
        <w:tc>
          <w:tcPr>
            <w:tcW w:w="1432" w:type="dxa"/>
            <w:tcBorders>
              <w:top w:val="nil"/>
              <w:left w:val="nil"/>
              <w:bottom w:val="nil"/>
              <w:right w:val="nil"/>
            </w:tcBorders>
            <w:shd w:val="clear" w:color="auto" w:fill="auto"/>
            <w:vAlign w:val="center"/>
          </w:tcPr>
          <w:p w14:paraId="3AE1AEC7">
            <w:pPr>
              <w:keepNext w:val="0"/>
              <w:keepLines w:val="0"/>
              <w:widowControl/>
              <w:suppressLineNumbers w:val="0"/>
              <w:jc w:val="right"/>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0.3151</w:t>
            </w:r>
          </w:p>
        </w:tc>
      </w:tr>
      <w:tr w14:paraId="10C59DB1">
        <w:trPr>
          <w:trHeight w:val="0" w:hRule="atLeast"/>
        </w:trPr>
        <w:tc>
          <w:tcPr>
            <w:tcW w:w="1064" w:type="dxa"/>
            <w:tcBorders>
              <w:top w:val="nil"/>
              <w:left w:val="nil"/>
              <w:bottom w:val="nil"/>
              <w:right w:val="nil"/>
            </w:tcBorders>
            <w:shd w:val="clear" w:color="auto" w:fill="auto"/>
            <w:vAlign w:val="center"/>
          </w:tcPr>
          <w:p w14:paraId="019D7801">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w6</w:t>
            </w:r>
          </w:p>
        </w:tc>
        <w:tc>
          <w:tcPr>
            <w:tcW w:w="6023" w:type="dxa"/>
            <w:tcBorders>
              <w:top w:val="nil"/>
              <w:left w:val="nil"/>
              <w:bottom w:val="nil"/>
              <w:right w:val="nil"/>
            </w:tcBorders>
            <w:shd w:val="clear" w:color="auto" w:fill="auto"/>
            <w:vAlign w:val="center"/>
          </w:tcPr>
          <w:p w14:paraId="48889340">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EBIT率</w:t>
            </w:r>
          </w:p>
        </w:tc>
        <w:tc>
          <w:tcPr>
            <w:tcW w:w="1432" w:type="dxa"/>
            <w:tcBorders>
              <w:top w:val="nil"/>
              <w:left w:val="nil"/>
              <w:bottom w:val="nil"/>
              <w:right w:val="nil"/>
            </w:tcBorders>
            <w:shd w:val="clear" w:color="auto" w:fill="auto"/>
            <w:vAlign w:val="center"/>
          </w:tcPr>
          <w:p w14:paraId="092D5DCF">
            <w:pPr>
              <w:keepNext w:val="0"/>
              <w:keepLines w:val="0"/>
              <w:widowControl/>
              <w:suppressLineNumbers w:val="0"/>
              <w:jc w:val="right"/>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0.0171</w:t>
            </w:r>
          </w:p>
        </w:tc>
      </w:tr>
      <w:tr w14:paraId="07AB3F2C">
        <w:trPr>
          <w:trHeight w:val="0" w:hRule="atLeast"/>
        </w:trPr>
        <w:tc>
          <w:tcPr>
            <w:tcW w:w="1064" w:type="dxa"/>
            <w:tcBorders>
              <w:top w:val="nil"/>
              <w:left w:val="nil"/>
              <w:bottom w:val="nil"/>
              <w:right w:val="nil"/>
            </w:tcBorders>
            <w:shd w:val="clear" w:color="auto" w:fill="auto"/>
            <w:vAlign w:val="center"/>
          </w:tcPr>
          <w:p w14:paraId="5E2C74B0">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w7</w:t>
            </w:r>
          </w:p>
        </w:tc>
        <w:tc>
          <w:tcPr>
            <w:tcW w:w="6023" w:type="dxa"/>
            <w:tcBorders>
              <w:top w:val="nil"/>
              <w:left w:val="nil"/>
              <w:bottom w:val="nil"/>
              <w:right w:val="nil"/>
            </w:tcBorders>
            <w:shd w:val="clear" w:color="auto" w:fill="auto"/>
            <w:vAlign w:val="center"/>
          </w:tcPr>
          <w:p w14:paraId="24D7A7B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EBITDA率</w:t>
            </w:r>
          </w:p>
        </w:tc>
        <w:tc>
          <w:tcPr>
            <w:tcW w:w="1432" w:type="dxa"/>
            <w:tcBorders>
              <w:top w:val="nil"/>
              <w:left w:val="nil"/>
              <w:bottom w:val="nil"/>
              <w:right w:val="nil"/>
            </w:tcBorders>
            <w:shd w:val="clear" w:color="auto" w:fill="auto"/>
            <w:vAlign w:val="center"/>
          </w:tcPr>
          <w:p w14:paraId="0695E421">
            <w:pPr>
              <w:keepNext w:val="0"/>
              <w:keepLines w:val="0"/>
              <w:widowControl/>
              <w:suppressLineNumbers w:val="0"/>
              <w:jc w:val="right"/>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0.0185</w:t>
            </w:r>
          </w:p>
        </w:tc>
      </w:tr>
      <w:tr w14:paraId="68D45BAD">
        <w:trPr>
          <w:trHeight w:val="0" w:hRule="atLeast"/>
        </w:trPr>
        <w:tc>
          <w:tcPr>
            <w:tcW w:w="1064" w:type="dxa"/>
            <w:tcBorders>
              <w:top w:val="nil"/>
              <w:left w:val="nil"/>
              <w:bottom w:val="nil"/>
              <w:right w:val="nil"/>
            </w:tcBorders>
            <w:shd w:val="clear" w:color="auto" w:fill="auto"/>
            <w:vAlign w:val="center"/>
          </w:tcPr>
          <w:p w14:paraId="0EE9154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w8</w:t>
            </w:r>
          </w:p>
        </w:tc>
        <w:tc>
          <w:tcPr>
            <w:tcW w:w="6023" w:type="dxa"/>
            <w:tcBorders>
              <w:top w:val="nil"/>
              <w:left w:val="nil"/>
              <w:bottom w:val="nil"/>
              <w:right w:val="nil"/>
            </w:tcBorders>
            <w:shd w:val="clear" w:color="auto" w:fill="auto"/>
            <w:vAlign w:val="center"/>
          </w:tcPr>
          <w:p w14:paraId="455540E9">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投资收益率</w:t>
            </w:r>
          </w:p>
        </w:tc>
        <w:tc>
          <w:tcPr>
            <w:tcW w:w="1432" w:type="dxa"/>
            <w:tcBorders>
              <w:top w:val="nil"/>
              <w:left w:val="nil"/>
              <w:bottom w:val="nil"/>
              <w:right w:val="nil"/>
            </w:tcBorders>
            <w:shd w:val="clear" w:color="auto" w:fill="auto"/>
            <w:vAlign w:val="center"/>
          </w:tcPr>
          <w:p w14:paraId="0B963C13">
            <w:pPr>
              <w:keepNext w:val="0"/>
              <w:keepLines w:val="0"/>
              <w:widowControl/>
              <w:suppressLineNumbers w:val="0"/>
              <w:jc w:val="right"/>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0.2678</w:t>
            </w:r>
          </w:p>
        </w:tc>
      </w:tr>
      <w:tr w14:paraId="4C7CCA7C">
        <w:trPr>
          <w:trHeight w:val="0" w:hRule="atLeast"/>
        </w:trPr>
        <w:tc>
          <w:tcPr>
            <w:tcW w:w="1064" w:type="dxa"/>
            <w:tcBorders>
              <w:top w:val="nil"/>
              <w:left w:val="nil"/>
              <w:bottom w:val="single" w:color="auto" w:sz="12" w:space="0"/>
              <w:right w:val="nil"/>
            </w:tcBorders>
            <w:shd w:val="clear" w:color="auto" w:fill="auto"/>
            <w:vAlign w:val="center"/>
          </w:tcPr>
          <w:p w14:paraId="7CF13F1A">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w9</w:t>
            </w:r>
          </w:p>
        </w:tc>
        <w:tc>
          <w:tcPr>
            <w:tcW w:w="6023" w:type="dxa"/>
            <w:tcBorders>
              <w:top w:val="nil"/>
              <w:left w:val="nil"/>
              <w:bottom w:val="single" w:color="auto" w:sz="12" w:space="0"/>
              <w:right w:val="nil"/>
            </w:tcBorders>
            <w:shd w:val="clear" w:color="auto" w:fill="auto"/>
            <w:vAlign w:val="center"/>
          </w:tcPr>
          <w:p w14:paraId="478E27AE">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营业成本率</w:t>
            </w:r>
          </w:p>
        </w:tc>
        <w:tc>
          <w:tcPr>
            <w:tcW w:w="1432" w:type="dxa"/>
            <w:tcBorders>
              <w:top w:val="nil"/>
              <w:left w:val="nil"/>
              <w:bottom w:val="single" w:color="auto" w:sz="12" w:space="0"/>
              <w:right w:val="nil"/>
            </w:tcBorders>
            <w:shd w:val="clear" w:color="auto" w:fill="auto"/>
            <w:vAlign w:val="center"/>
          </w:tcPr>
          <w:p w14:paraId="7F7CE83F">
            <w:pPr>
              <w:keepNext w:val="0"/>
              <w:keepLines w:val="0"/>
              <w:widowControl/>
              <w:suppressLineNumbers w:val="0"/>
              <w:jc w:val="right"/>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0.1521</w:t>
            </w:r>
          </w:p>
        </w:tc>
      </w:tr>
    </w:tbl>
    <w:p w14:paraId="09F1ECFB">
      <w:pPr>
        <w:autoSpaceDE/>
        <w:autoSpaceDN/>
        <w:snapToGrid/>
        <w:spacing w:before="156" w:beforeLines="50" w:after="156" w:afterLines="50" w:line="420" w:lineRule="exact"/>
        <w:jc w:val="left"/>
        <w:outlineLvl w:val="2"/>
        <w:rPr>
          <w:rFonts w:hint="default" w:ascii="Times New Roman" w:hAnsi="Times New Roman" w:eastAsia="黑体" w:cs="Times New Roman"/>
          <w:color w:val="000000"/>
          <w:kern w:val="0"/>
          <w:sz w:val="28"/>
          <w:szCs w:val="28"/>
          <w:lang w:val="en-US" w:eastAsia="zh-CN"/>
        </w:rPr>
      </w:pPr>
      <w:r>
        <w:rPr>
          <w:rFonts w:hint="default" w:ascii="Times New Roman" w:hAnsi="Times New Roman" w:eastAsia="黑体" w:cs="Times New Roman"/>
          <w:color w:val="000000"/>
          <w:kern w:val="0"/>
          <w:sz w:val="28"/>
          <w:szCs w:val="28"/>
          <w:lang w:val="en-US" w:eastAsia="zh-CN"/>
        </w:rPr>
        <w:t>4.1.4 盈利差异分析</w:t>
      </w:r>
    </w:p>
    <w:p w14:paraId="5D512FA9">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在通过熵权法计算企业盈利能力综合得分后，本文进一步比较AI独立产品型企业与AI业务赋能型企业在样本期内的盈利表现差异。表4-3报告了两类企业盈利能力综合得分的描述性统计结果。</w:t>
      </w:r>
    </w:p>
    <w:p w14:paraId="6ED0F3EB">
      <w:pPr>
        <w:widowControl/>
        <w:tabs>
          <w:tab w:val="left" w:pos="377"/>
        </w:tabs>
        <w:autoSpaceDE/>
        <w:autoSpaceDN/>
        <w:snapToGrid/>
        <w:spacing w:before="156" w:beforeLines="50"/>
        <w:jc w:val="center"/>
        <w:rPr>
          <w:rFonts w:hint="default" w:ascii="Times New Roman" w:hAnsi="Times New Roman" w:eastAsia="宋体" w:cs="Times New Roman"/>
          <w:spacing w:val="10"/>
          <w:kern w:val="0"/>
          <w:szCs w:val="20"/>
          <w:lang w:val="en-US" w:eastAsia="zh-CN"/>
        </w:rPr>
      </w:pPr>
      <w:r>
        <w:rPr>
          <w:rFonts w:hint="default" w:ascii="Times New Roman" w:hAnsi="Times New Roman" w:eastAsia="宋体" w:cs="Times New Roman"/>
          <w:spacing w:val="10"/>
          <w:kern w:val="0"/>
          <w:szCs w:val="20"/>
          <w:lang w:val="en-US" w:eastAsia="zh-CN"/>
        </w:rPr>
        <w:t>表4-3 两类企业盈利能力综合得分的描述性统计结果表</w:t>
      </w:r>
    </w:p>
    <w:tbl>
      <w:tblPr>
        <w:tblStyle w:val="7"/>
        <w:tblW w:w="852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779"/>
        <w:gridCol w:w="1490"/>
        <w:gridCol w:w="1490"/>
        <w:gridCol w:w="1490"/>
        <w:gridCol w:w="1490"/>
        <w:gridCol w:w="782"/>
      </w:tblGrid>
      <w:tr w14:paraId="4306EDDB">
        <w:trPr>
          <w:trHeight w:val="0" w:hRule="atLeast"/>
          <w:tblHeader/>
        </w:trPr>
        <w:tc>
          <w:tcPr>
            <w:tcW w:w="1779" w:type="dxa"/>
            <w:tcBorders>
              <w:top w:val="single" w:color="auto" w:sz="12" w:space="0"/>
              <w:left w:val="nil"/>
              <w:bottom w:val="single" w:color="auto" w:sz="4" w:space="0"/>
              <w:right w:val="nil"/>
            </w:tcBorders>
            <w:shd w:val="clear" w:color="auto" w:fill="auto"/>
            <w:noWrap/>
            <w:vAlign w:val="center"/>
          </w:tcPr>
          <w:p w14:paraId="6E0A13FC">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Times New Roman" w:hAnsi="Times New Roman" w:eastAsia="宋体" w:cs="Times New Roman"/>
                <w:b/>
                <w:bCs/>
                <w:i w:val="0"/>
                <w:iCs w:val="0"/>
                <w:color w:val="000000"/>
                <w:kern w:val="0"/>
                <w:sz w:val="21"/>
                <w:szCs w:val="21"/>
                <w:u w:val="none"/>
                <w:lang w:val="en-US" w:eastAsia="zh-CN" w:bidi="ar"/>
              </w:rPr>
              <w:t>业务类别</w:t>
            </w:r>
          </w:p>
        </w:tc>
        <w:tc>
          <w:tcPr>
            <w:tcW w:w="1490" w:type="dxa"/>
            <w:tcBorders>
              <w:top w:val="single" w:color="auto" w:sz="12" w:space="0"/>
              <w:left w:val="nil"/>
              <w:bottom w:val="single" w:color="auto" w:sz="4" w:space="0"/>
              <w:right w:val="nil"/>
            </w:tcBorders>
            <w:shd w:val="clear" w:color="auto" w:fill="auto"/>
            <w:noWrap/>
            <w:vAlign w:val="center"/>
          </w:tcPr>
          <w:p w14:paraId="4BCB17AE">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Times New Roman" w:hAnsi="Times New Roman" w:eastAsia="宋体" w:cs="Times New Roman"/>
                <w:b/>
                <w:bCs/>
                <w:i w:val="0"/>
                <w:iCs w:val="0"/>
                <w:color w:val="000000"/>
                <w:kern w:val="0"/>
                <w:sz w:val="21"/>
                <w:szCs w:val="21"/>
                <w:u w:val="none"/>
                <w:lang w:val="en-US" w:eastAsia="zh-CN" w:bidi="ar"/>
              </w:rPr>
              <w:t>Mean</w:t>
            </w:r>
          </w:p>
        </w:tc>
        <w:tc>
          <w:tcPr>
            <w:tcW w:w="1490" w:type="dxa"/>
            <w:tcBorders>
              <w:top w:val="single" w:color="auto" w:sz="12" w:space="0"/>
              <w:left w:val="nil"/>
              <w:bottom w:val="single" w:color="auto" w:sz="4" w:space="0"/>
              <w:right w:val="nil"/>
            </w:tcBorders>
            <w:shd w:val="clear" w:color="auto" w:fill="auto"/>
            <w:noWrap/>
            <w:vAlign w:val="center"/>
          </w:tcPr>
          <w:p w14:paraId="4ECC27D7">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Times New Roman" w:hAnsi="Times New Roman" w:eastAsia="宋体" w:cs="Times New Roman"/>
                <w:b/>
                <w:bCs/>
                <w:i w:val="0"/>
                <w:iCs w:val="0"/>
                <w:color w:val="000000"/>
                <w:kern w:val="0"/>
                <w:sz w:val="21"/>
                <w:szCs w:val="21"/>
                <w:u w:val="none"/>
                <w:lang w:val="en-US" w:eastAsia="zh-CN" w:bidi="ar"/>
              </w:rPr>
              <w:t>SD</w:t>
            </w:r>
          </w:p>
        </w:tc>
        <w:tc>
          <w:tcPr>
            <w:tcW w:w="1490" w:type="dxa"/>
            <w:tcBorders>
              <w:top w:val="single" w:color="auto" w:sz="12" w:space="0"/>
              <w:left w:val="nil"/>
              <w:bottom w:val="single" w:color="auto" w:sz="4" w:space="0"/>
              <w:right w:val="nil"/>
            </w:tcBorders>
            <w:shd w:val="clear" w:color="auto" w:fill="auto"/>
            <w:noWrap/>
            <w:vAlign w:val="center"/>
          </w:tcPr>
          <w:p w14:paraId="736F8DB7">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Times New Roman" w:hAnsi="Times New Roman" w:eastAsia="宋体" w:cs="Times New Roman"/>
                <w:b/>
                <w:bCs/>
                <w:i w:val="0"/>
                <w:iCs w:val="0"/>
                <w:color w:val="000000"/>
                <w:kern w:val="0"/>
                <w:sz w:val="21"/>
                <w:szCs w:val="21"/>
                <w:u w:val="none"/>
                <w:lang w:val="en-US" w:eastAsia="zh-CN" w:bidi="ar"/>
              </w:rPr>
              <w:t>Min</w:t>
            </w:r>
          </w:p>
        </w:tc>
        <w:tc>
          <w:tcPr>
            <w:tcW w:w="1490" w:type="dxa"/>
            <w:tcBorders>
              <w:top w:val="single" w:color="auto" w:sz="12" w:space="0"/>
              <w:left w:val="nil"/>
              <w:bottom w:val="single" w:color="auto" w:sz="4" w:space="0"/>
              <w:right w:val="nil"/>
            </w:tcBorders>
            <w:shd w:val="clear" w:color="auto" w:fill="auto"/>
            <w:noWrap/>
            <w:vAlign w:val="center"/>
          </w:tcPr>
          <w:p w14:paraId="095255F2">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Times New Roman" w:hAnsi="Times New Roman" w:eastAsia="宋体" w:cs="Times New Roman"/>
                <w:b/>
                <w:bCs/>
                <w:i w:val="0"/>
                <w:iCs w:val="0"/>
                <w:color w:val="000000"/>
                <w:kern w:val="0"/>
                <w:sz w:val="21"/>
                <w:szCs w:val="21"/>
                <w:u w:val="none"/>
                <w:lang w:val="en-US" w:eastAsia="zh-CN" w:bidi="ar"/>
              </w:rPr>
              <w:t>Max</w:t>
            </w:r>
          </w:p>
        </w:tc>
        <w:tc>
          <w:tcPr>
            <w:tcW w:w="782" w:type="dxa"/>
            <w:tcBorders>
              <w:top w:val="single" w:color="auto" w:sz="12" w:space="0"/>
              <w:left w:val="nil"/>
              <w:bottom w:val="single" w:color="auto" w:sz="4" w:space="0"/>
              <w:right w:val="nil"/>
            </w:tcBorders>
            <w:shd w:val="clear" w:color="auto" w:fill="auto"/>
            <w:noWrap/>
            <w:vAlign w:val="center"/>
          </w:tcPr>
          <w:p w14:paraId="7E5F3DE6">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Times New Roman" w:hAnsi="Times New Roman" w:eastAsia="宋体" w:cs="Times New Roman"/>
                <w:b/>
                <w:bCs/>
                <w:i w:val="0"/>
                <w:iCs w:val="0"/>
                <w:color w:val="000000"/>
                <w:kern w:val="0"/>
                <w:sz w:val="21"/>
                <w:szCs w:val="21"/>
                <w:u w:val="none"/>
                <w:lang w:val="en-US" w:eastAsia="zh-CN" w:bidi="ar"/>
              </w:rPr>
              <w:t>N</w:t>
            </w:r>
          </w:p>
        </w:tc>
      </w:tr>
      <w:tr w14:paraId="1E2B221F">
        <w:trPr>
          <w:trHeight w:val="0" w:hRule="atLeast"/>
        </w:trPr>
        <w:tc>
          <w:tcPr>
            <w:tcW w:w="1779" w:type="dxa"/>
            <w:tcBorders>
              <w:top w:val="nil"/>
              <w:left w:val="nil"/>
              <w:bottom w:val="nil"/>
              <w:right w:val="nil"/>
            </w:tcBorders>
            <w:shd w:val="clear" w:color="auto" w:fill="auto"/>
            <w:noWrap/>
            <w:vAlign w:val="center"/>
          </w:tcPr>
          <w:p w14:paraId="63949EF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Times New Roman" w:hAnsi="Times New Roman" w:eastAsia="宋体" w:cs="Times New Roman"/>
                <w:b/>
                <w:bCs/>
                <w:i w:val="0"/>
                <w:iCs w:val="0"/>
                <w:color w:val="000000"/>
                <w:kern w:val="0"/>
                <w:sz w:val="21"/>
                <w:szCs w:val="21"/>
                <w:u w:val="none"/>
                <w:lang w:val="en-US" w:eastAsia="zh-CN" w:bidi="ar"/>
              </w:rPr>
              <w:t>AI业务赋能型</w:t>
            </w:r>
          </w:p>
        </w:tc>
        <w:tc>
          <w:tcPr>
            <w:tcW w:w="1490" w:type="dxa"/>
            <w:tcBorders>
              <w:top w:val="nil"/>
              <w:left w:val="nil"/>
              <w:bottom w:val="nil"/>
              <w:right w:val="nil"/>
            </w:tcBorders>
            <w:shd w:val="clear" w:color="auto" w:fill="auto"/>
            <w:noWrap/>
            <w:vAlign w:val="center"/>
          </w:tcPr>
          <w:p w14:paraId="19F5D906">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0.2589</w:t>
            </w:r>
          </w:p>
        </w:tc>
        <w:tc>
          <w:tcPr>
            <w:tcW w:w="1490" w:type="dxa"/>
            <w:tcBorders>
              <w:top w:val="nil"/>
              <w:left w:val="nil"/>
              <w:bottom w:val="nil"/>
              <w:right w:val="nil"/>
            </w:tcBorders>
            <w:shd w:val="clear" w:color="auto" w:fill="auto"/>
            <w:noWrap/>
            <w:vAlign w:val="center"/>
          </w:tcPr>
          <w:p w14:paraId="06E92D7E">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0.1518</w:t>
            </w:r>
          </w:p>
        </w:tc>
        <w:tc>
          <w:tcPr>
            <w:tcW w:w="1490" w:type="dxa"/>
            <w:tcBorders>
              <w:top w:val="nil"/>
              <w:left w:val="nil"/>
              <w:bottom w:val="nil"/>
              <w:right w:val="nil"/>
            </w:tcBorders>
            <w:shd w:val="clear" w:color="auto" w:fill="auto"/>
            <w:noWrap/>
            <w:vAlign w:val="center"/>
          </w:tcPr>
          <w:p w14:paraId="7190064E">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0.0778</w:t>
            </w:r>
          </w:p>
        </w:tc>
        <w:tc>
          <w:tcPr>
            <w:tcW w:w="1490" w:type="dxa"/>
            <w:tcBorders>
              <w:top w:val="nil"/>
              <w:left w:val="nil"/>
              <w:bottom w:val="nil"/>
              <w:right w:val="nil"/>
            </w:tcBorders>
            <w:shd w:val="clear" w:color="auto" w:fill="auto"/>
            <w:noWrap/>
            <w:vAlign w:val="center"/>
          </w:tcPr>
          <w:p w14:paraId="6D0FCF25">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0.8316</w:t>
            </w:r>
          </w:p>
        </w:tc>
        <w:tc>
          <w:tcPr>
            <w:tcW w:w="782" w:type="dxa"/>
            <w:tcBorders>
              <w:top w:val="nil"/>
              <w:left w:val="nil"/>
              <w:bottom w:val="nil"/>
              <w:right w:val="nil"/>
            </w:tcBorders>
            <w:shd w:val="clear" w:color="auto" w:fill="auto"/>
            <w:noWrap/>
            <w:vAlign w:val="center"/>
          </w:tcPr>
          <w:p w14:paraId="27F43E46">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155</w:t>
            </w:r>
          </w:p>
        </w:tc>
      </w:tr>
      <w:tr w14:paraId="3B13D62A">
        <w:trPr>
          <w:trHeight w:val="0" w:hRule="atLeast"/>
        </w:trPr>
        <w:tc>
          <w:tcPr>
            <w:tcW w:w="1779" w:type="dxa"/>
            <w:tcBorders>
              <w:top w:val="nil"/>
              <w:left w:val="nil"/>
              <w:bottom w:val="nil"/>
              <w:right w:val="nil"/>
            </w:tcBorders>
            <w:shd w:val="clear" w:color="auto" w:fill="auto"/>
            <w:noWrap/>
            <w:vAlign w:val="center"/>
          </w:tcPr>
          <w:p w14:paraId="1B812F06">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Times New Roman" w:hAnsi="Times New Roman" w:eastAsia="宋体" w:cs="Times New Roman"/>
                <w:b/>
                <w:bCs/>
                <w:i w:val="0"/>
                <w:iCs w:val="0"/>
                <w:color w:val="000000"/>
                <w:kern w:val="0"/>
                <w:sz w:val="21"/>
                <w:szCs w:val="21"/>
                <w:u w:val="none"/>
                <w:lang w:val="en-US" w:eastAsia="zh-CN" w:bidi="ar"/>
              </w:rPr>
              <w:t>AI独立产品型</w:t>
            </w:r>
          </w:p>
        </w:tc>
        <w:tc>
          <w:tcPr>
            <w:tcW w:w="1490" w:type="dxa"/>
            <w:tcBorders>
              <w:top w:val="nil"/>
              <w:left w:val="nil"/>
              <w:bottom w:val="nil"/>
              <w:right w:val="nil"/>
            </w:tcBorders>
            <w:shd w:val="clear" w:color="auto" w:fill="auto"/>
            <w:noWrap/>
            <w:vAlign w:val="center"/>
          </w:tcPr>
          <w:p w14:paraId="5FB046FA">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0.3214</w:t>
            </w:r>
          </w:p>
        </w:tc>
        <w:tc>
          <w:tcPr>
            <w:tcW w:w="1490" w:type="dxa"/>
            <w:tcBorders>
              <w:top w:val="nil"/>
              <w:left w:val="nil"/>
              <w:bottom w:val="nil"/>
              <w:right w:val="nil"/>
            </w:tcBorders>
            <w:shd w:val="clear" w:color="auto" w:fill="auto"/>
            <w:noWrap/>
            <w:vAlign w:val="center"/>
          </w:tcPr>
          <w:p w14:paraId="2C0964F7">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0.1153</w:t>
            </w:r>
          </w:p>
        </w:tc>
        <w:tc>
          <w:tcPr>
            <w:tcW w:w="1490" w:type="dxa"/>
            <w:tcBorders>
              <w:top w:val="nil"/>
              <w:left w:val="nil"/>
              <w:bottom w:val="nil"/>
              <w:right w:val="nil"/>
            </w:tcBorders>
            <w:shd w:val="clear" w:color="auto" w:fill="auto"/>
            <w:noWrap/>
            <w:vAlign w:val="center"/>
          </w:tcPr>
          <w:p w14:paraId="57DD3462">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0.1249</w:t>
            </w:r>
          </w:p>
        </w:tc>
        <w:tc>
          <w:tcPr>
            <w:tcW w:w="1490" w:type="dxa"/>
            <w:tcBorders>
              <w:top w:val="nil"/>
              <w:left w:val="nil"/>
              <w:bottom w:val="nil"/>
              <w:right w:val="nil"/>
            </w:tcBorders>
            <w:shd w:val="clear" w:color="auto" w:fill="auto"/>
            <w:noWrap/>
            <w:vAlign w:val="center"/>
          </w:tcPr>
          <w:p w14:paraId="1DD86711">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0.6359</w:t>
            </w:r>
          </w:p>
        </w:tc>
        <w:tc>
          <w:tcPr>
            <w:tcW w:w="782" w:type="dxa"/>
            <w:tcBorders>
              <w:top w:val="nil"/>
              <w:left w:val="nil"/>
              <w:bottom w:val="nil"/>
              <w:right w:val="nil"/>
            </w:tcBorders>
            <w:shd w:val="clear" w:color="auto" w:fill="auto"/>
            <w:noWrap/>
            <w:vAlign w:val="center"/>
          </w:tcPr>
          <w:p w14:paraId="1A02F933">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179</w:t>
            </w:r>
          </w:p>
        </w:tc>
      </w:tr>
      <w:tr w14:paraId="73B0CF84">
        <w:trPr>
          <w:trHeight w:val="0" w:hRule="atLeast"/>
        </w:trPr>
        <w:tc>
          <w:tcPr>
            <w:tcW w:w="1779" w:type="dxa"/>
            <w:tcBorders>
              <w:top w:val="nil"/>
              <w:left w:val="nil"/>
              <w:bottom w:val="single" w:color="auto" w:sz="12" w:space="0"/>
              <w:right w:val="nil"/>
            </w:tcBorders>
            <w:shd w:val="clear" w:color="auto" w:fill="auto"/>
            <w:noWrap/>
            <w:vAlign w:val="center"/>
          </w:tcPr>
          <w:p w14:paraId="0BBA3E8A">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Times New Roman" w:hAnsi="Times New Roman" w:eastAsia="宋体" w:cs="Times New Roman"/>
                <w:b/>
                <w:bCs/>
                <w:i w:val="0"/>
                <w:iCs w:val="0"/>
                <w:color w:val="000000"/>
                <w:kern w:val="0"/>
                <w:sz w:val="21"/>
                <w:szCs w:val="21"/>
                <w:u w:val="none"/>
                <w:lang w:val="en-US" w:eastAsia="zh-CN" w:bidi="ar"/>
              </w:rPr>
              <w:t>Total</w:t>
            </w:r>
          </w:p>
        </w:tc>
        <w:tc>
          <w:tcPr>
            <w:tcW w:w="1490" w:type="dxa"/>
            <w:tcBorders>
              <w:top w:val="nil"/>
              <w:left w:val="nil"/>
              <w:bottom w:val="single" w:color="auto" w:sz="12" w:space="0"/>
              <w:right w:val="nil"/>
            </w:tcBorders>
            <w:shd w:val="clear" w:color="auto" w:fill="auto"/>
            <w:noWrap/>
            <w:vAlign w:val="center"/>
          </w:tcPr>
          <w:p w14:paraId="6F305F33">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0.2924</w:t>
            </w:r>
          </w:p>
        </w:tc>
        <w:tc>
          <w:tcPr>
            <w:tcW w:w="1490" w:type="dxa"/>
            <w:tcBorders>
              <w:top w:val="nil"/>
              <w:left w:val="nil"/>
              <w:bottom w:val="single" w:color="auto" w:sz="12" w:space="0"/>
              <w:right w:val="nil"/>
            </w:tcBorders>
            <w:shd w:val="clear" w:color="auto" w:fill="auto"/>
            <w:noWrap/>
            <w:vAlign w:val="center"/>
          </w:tcPr>
          <w:p w14:paraId="200F4AD0">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0.1369</w:t>
            </w:r>
          </w:p>
        </w:tc>
        <w:tc>
          <w:tcPr>
            <w:tcW w:w="1490" w:type="dxa"/>
            <w:tcBorders>
              <w:top w:val="nil"/>
              <w:left w:val="nil"/>
              <w:bottom w:val="single" w:color="auto" w:sz="12" w:space="0"/>
              <w:right w:val="nil"/>
            </w:tcBorders>
            <w:shd w:val="clear" w:color="auto" w:fill="auto"/>
            <w:noWrap/>
            <w:vAlign w:val="center"/>
          </w:tcPr>
          <w:p w14:paraId="16FB2030">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0.0778</w:t>
            </w:r>
          </w:p>
        </w:tc>
        <w:tc>
          <w:tcPr>
            <w:tcW w:w="1490" w:type="dxa"/>
            <w:tcBorders>
              <w:top w:val="nil"/>
              <w:left w:val="nil"/>
              <w:bottom w:val="single" w:color="auto" w:sz="12" w:space="0"/>
              <w:right w:val="nil"/>
            </w:tcBorders>
            <w:shd w:val="clear" w:color="auto" w:fill="auto"/>
            <w:noWrap/>
            <w:vAlign w:val="center"/>
          </w:tcPr>
          <w:p w14:paraId="09F8D191">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0.8316</w:t>
            </w:r>
          </w:p>
        </w:tc>
        <w:tc>
          <w:tcPr>
            <w:tcW w:w="782" w:type="dxa"/>
            <w:tcBorders>
              <w:top w:val="nil"/>
              <w:left w:val="nil"/>
              <w:bottom w:val="single" w:color="auto" w:sz="12" w:space="0"/>
              <w:right w:val="nil"/>
            </w:tcBorders>
            <w:shd w:val="clear" w:color="auto" w:fill="auto"/>
            <w:noWrap/>
            <w:vAlign w:val="center"/>
          </w:tcPr>
          <w:p w14:paraId="6E18304C">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334</w:t>
            </w:r>
          </w:p>
        </w:tc>
      </w:tr>
    </w:tbl>
    <w:p w14:paraId="6C8DABAA">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从两类企业盈利能力综合得分的平均值来看，AI独立产品型企业的均值为0.3214，高于AI业务赋能型企业的0.2589，说明在样本期内AI独立产品型企业整体盈利能力相对更高。这表明，当企业能够将人工智能技术形成可独立交付的产品或服务并直接参与市场交易时，其盈利能力往往更为突出。这类企业通常依托技术优势和产品附加值获取收入，从而在整体盈利表现上具有一定优势。</w:t>
      </w:r>
    </w:p>
    <w:p w14:paraId="1AE3A74F">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其次，通过企业盈利能力得分的标准差可以衡量两类企业盈利水平的离散程度。结果显示，AI业务赋能型企业的标准差为0.1518，高于AI独立产品型企业的0.1153，说明AI业务赋能型企业不仅平均盈利水平相对较低，而且不同企业之间的盈利差异更大，盈利表现呈现出较为明显的离散特征；相比之下，AI独立产品型企业的盈利能力得分波动相对较小，整体表现更为稳定。</w:t>
      </w:r>
    </w:p>
    <w:p w14:paraId="7A3111F2">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从两类企业综合得分的极值情况来看，AI业务赋能型企业的盈利能力得分最大值为0.8316，高于AI独立产品型企业的0.6359，同时其最小值也低于AI独立产品型企业。这进一步说明AI业务赋能型企业内部盈利能力差异较大，部分企业表现突出，而部分企业盈利水平相对较低。</w:t>
      </w:r>
    </w:p>
    <w:p w14:paraId="186B0E6F">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drawing>
          <wp:anchor distT="0" distB="0" distL="114300" distR="114300" simplePos="0" relativeHeight="251660288" behindDoc="0" locked="0" layoutInCell="1" allowOverlap="1">
            <wp:simplePos x="0" y="0"/>
            <wp:positionH relativeFrom="column">
              <wp:posOffset>719455</wp:posOffset>
            </wp:positionH>
            <wp:positionV relativeFrom="paragraph">
              <wp:posOffset>664210</wp:posOffset>
            </wp:positionV>
            <wp:extent cx="3804285" cy="2282825"/>
            <wp:effectExtent l="0" t="0" r="5715" b="3175"/>
            <wp:wrapTopAndBottom/>
            <wp:docPr id="2" name="图片 2" descr="现象与0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现象与0307"/>
                    <pic:cNvPicPr>
                      <a:picLocks noChangeAspect="1"/>
                    </pic:cNvPicPr>
                  </pic:nvPicPr>
                  <pic:blipFill>
                    <a:blip r:embed="rId4"/>
                    <a:stretch>
                      <a:fillRect/>
                    </a:stretch>
                  </pic:blipFill>
                  <pic:spPr>
                    <a:xfrm>
                      <a:off x="0" y="0"/>
                      <a:ext cx="3804285" cy="2282825"/>
                    </a:xfrm>
                    <a:prstGeom prst="rect">
                      <a:avLst/>
                    </a:prstGeom>
                  </pic:spPr>
                </pic:pic>
              </a:graphicData>
            </a:graphic>
          </wp:anchor>
        </w:drawing>
      </w:r>
      <w:r>
        <w:rPr>
          <w:rFonts w:hint="default" w:ascii="Times New Roman" w:hAnsi="Times New Roman" w:eastAsia="宋体" w:cs="Times New Roman"/>
          <w:kern w:val="2"/>
          <w:sz w:val="24"/>
          <w:szCs w:val="24"/>
          <w:lang w:val="en-US" w:eastAsia="zh-CN" w:bidi="ar-SA"/>
        </w:rPr>
        <w:t>为了更直观地展示两类企业盈利能力分布情况，本文绘制了盈利能力综合得分的箱线图，如图4-1所示，AI独立产品型企业为1，AI业务赋能型企业为0。</w:t>
      </w:r>
    </w:p>
    <w:p w14:paraId="1059012D">
      <w:pPr>
        <w:widowControl/>
        <w:tabs>
          <w:tab w:val="left" w:pos="377"/>
        </w:tabs>
        <w:autoSpaceDE/>
        <w:autoSpaceDN/>
        <w:snapToGrid/>
        <w:spacing w:before="156" w:beforeLines="50"/>
        <w:jc w:val="center"/>
        <w:rPr>
          <w:rFonts w:hint="default" w:ascii="Times New Roman" w:hAnsi="Times New Roman" w:eastAsia="宋体" w:cs="Times New Roman"/>
          <w:spacing w:val="10"/>
          <w:kern w:val="0"/>
          <w:szCs w:val="20"/>
          <w:lang w:val="en-US" w:eastAsia="zh-CN"/>
        </w:rPr>
      </w:pPr>
      <w:r>
        <w:rPr>
          <w:rFonts w:hint="default" w:ascii="Times New Roman" w:hAnsi="Times New Roman" w:eastAsia="宋体" w:cs="Times New Roman"/>
          <w:spacing w:val="10"/>
          <w:kern w:val="0"/>
          <w:szCs w:val="20"/>
          <w:lang w:val="en-US" w:eastAsia="zh-CN"/>
        </w:rPr>
        <w:t>图4-1 盈利能力综合得分箱线图</w:t>
      </w:r>
    </w:p>
    <w:p w14:paraId="2CB04347">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由图可得，AI独立产品型企业的中位数明显高于AI业务赋能型企业，同时其箱体整体位置也更高，说明在样本期内AI独立产品型企业整体盈利水平更突出；而AI业务赋能型企业的箱体范围相对更大，离群点数量也更多，表明该类企业内部盈利能力差异比较明显。为进一步分析两类企业盈利差异的来源，本文对各盈利能力指标的均值进行了比较，结果如表4-4所示。</w:t>
      </w:r>
    </w:p>
    <w:p w14:paraId="2899B3C6">
      <w:pPr>
        <w:widowControl/>
        <w:tabs>
          <w:tab w:val="left" w:pos="377"/>
        </w:tabs>
        <w:autoSpaceDE/>
        <w:autoSpaceDN/>
        <w:snapToGrid/>
        <w:spacing w:before="156" w:beforeLines="50"/>
        <w:jc w:val="center"/>
        <w:rPr>
          <w:rFonts w:hint="default" w:ascii="Times New Roman" w:hAnsi="Times New Roman" w:eastAsia="宋体" w:cs="Times New Roman"/>
          <w:spacing w:val="10"/>
          <w:kern w:val="0"/>
          <w:szCs w:val="20"/>
          <w:lang w:val="en-US" w:eastAsia="zh-CN"/>
        </w:rPr>
      </w:pPr>
      <w:r>
        <w:rPr>
          <w:rFonts w:hint="default" w:ascii="Times New Roman" w:hAnsi="Times New Roman" w:eastAsia="宋体" w:cs="Times New Roman"/>
          <w:spacing w:val="10"/>
          <w:kern w:val="0"/>
          <w:szCs w:val="20"/>
          <w:lang w:val="en-US" w:eastAsia="zh-CN"/>
        </w:rPr>
        <w:t>表4-4 各盈利能力指标均值</w:t>
      </w:r>
    </w:p>
    <w:tbl>
      <w:tblPr>
        <w:tblStyle w:val="7"/>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3395"/>
        <w:gridCol w:w="2562"/>
        <w:gridCol w:w="2562"/>
      </w:tblGrid>
      <w:tr w14:paraId="2AFCDDAE">
        <w:trPr>
          <w:trHeight w:val="0" w:hRule="atLeast"/>
          <w:tblHeader/>
          <w:jc w:val="center"/>
        </w:trPr>
        <w:tc>
          <w:tcPr>
            <w:tcW w:w="3395" w:type="dxa"/>
            <w:tcBorders>
              <w:top w:val="single" w:color="auto" w:sz="12" w:space="0"/>
              <w:left w:val="nil"/>
              <w:bottom w:val="single" w:color="auto" w:sz="6" w:space="0"/>
              <w:right w:val="nil"/>
            </w:tcBorders>
            <w:shd w:val="clear" w:color="auto" w:fill="auto"/>
            <w:vAlign w:val="bottom"/>
          </w:tcPr>
          <w:p w14:paraId="0808CC19">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Times New Roman" w:hAnsi="Times New Roman" w:eastAsia="宋体" w:cs="Times New Roman"/>
                <w:b/>
                <w:bCs/>
                <w:i w:val="0"/>
                <w:iCs w:val="0"/>
                <w:color w:val="000000"/>
                <w:kern w:val="0"/>
                <w:sz w:val="21"/>
                <w:szCs w:val="21"/>
                <w:u w:val="none"/>
                <w:lang w:val="en-US" w:eastAsia="zh-CN" w:bidi="ar"/>
              </w:rPr>
              <w:t>指标</w:t>
            </w:r>
          </w:p>
        </w:tc>
        <w:tc>
          <w:tcPr>
            <w:tcW w:w="2562" w:type="dxa"/>
            <w:tcBorders>
              <w:top w:val="single" w:color="auto" w:sz="12" w:space="0"/>
              <w:left w:val="nil"/>
              <w:bottom w:val="single" w:color="auto" w:sz="6" w:space="0"/>
              <w:right w:val="nil"/>
            </w:tcBorders>
            <w:shd w:val="clear" w:color="auto" w:fill="auto"/>
            <w:vAlign w:val="bottom"/>
          </w:tcPr>
          <w:p w14:paraId="7844B219">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Times New Roman" w:hAnsi="Times New Roman" w:eastAsia="宋体" w:cs="Times New Roman"/>
                <w:b/>
                <w:bCs/>
                <w:i w:val="0"/>
                <w:iCs w:val="0"/>
                <w:color w:val="000000"/>
                <w:kern w:val="0"/>
                <w:sz w:val="21"/>
                <w:szCs w:val="21"/>
                <w:u w:val="none"/>
                <w:lang w:val="en-US" w:eastAsia="zh-CN" w:bidi="ar"/>
              </w:rPr>
              <w:t>AI业务赋能型</w:t>
            </w:r>
          </w:p>
        </w:tc>
        <w:tc>
          <w:tcPr>
            <w:tcW w:w="2562" w:type="dxa"/>
            <w:tcBorders>
              <w:top w:val="single" w:color="auto" w:sz="12" w:space="0"/>
              <w:left w:val="nil"/>
              <w:bottom w:val="single" w:color="auto" w:sz="6" w:space="0"/>
              <w:right w:val="nil"/>
            </w:tcBorders>
            <w:shd w:val="clear" w:color="auto" w:fill="auto"/>
            <w:vAlign w:val="bottom"/>
          </w:tcPr>
          <w:p w14:paraId="6F87E7B0">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Times New Roman" w:hAnsi="Times New Roman" w:eastAsia="宋体" w:cs="Times New Roman"/>
                <w:b/>
                <w:bCs/>
                <w:i w:val="0"/>
                <w:iCs w:val="0"/>
                <w:color w:val="000000"/>
                <w:kern w:val="0"/>
                <w:sz w:val="21"/>
                <w:szCs w:val="21"/>
                <w:u w:val="none"/>
                <w:lang w:val="en-US" w:eastAsia="zh-CN" w:bidi="ar"/>
              </w:rPr>
              <w:t>AI独立产品型</w:t>
            </w:r>
          </w:p>
        </w:tc>
      </w:tr>
      <w:tr w14:paraId="73DCF882">
        <w:trPr>
          <w:trHeight w:val="90" w:hRule="atLeast"/>
          <w:tblHeader/>
          <w:jc w:val="center"/>
        </w:trPr>
        <w:tc>
          <w:tcPr>
            <w:tcW w:w="3395" w:type="dxa"/>
            <w:tcBorders>
              <w:top w:val="single" w:color="auto" w:sz="6" w:space="0"/>
              <w:left w:val="nil"/>
              <w:bottom w:val="nil"/>
              <w:right w:val="nil"/>
            </w:tcBorders>
            <w:shd w:val="clear" w:color="auto" w:fill="auto"/>
            <w:vAlign w:val="center"/>
          </w:tcPr>
          <w:p w14:paraId="3841CD78">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ROA</w:t>
            </w:r>
          </w:p>
        </w:tc>
        <w:tc>
          <w:tcPr>
            <w:tcW w:w="2562" w:type="dxa"/>
            <w:tcBorders>
              <w:top w:val="single" w:color="auto" w:sz="6" w:space="0"/>
              <w:left w:val="nil"/>
              <w:bottom w:val="nil"/>
              <w:right w:val="nil"/>
            </w:tcBorders>
            <w:shd w:val="clear" w:color="auto" w:fill="auto"/>
            <w:vAlign w:val="center"/>
          </w:tcPr>
          <w:p w14:paraId="1FA3CACD">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-0.0013</w:t>
            </w:r>
          </w:p>
        </w:tc>
        <w:tc>
          <w:tcPr>
            <w:tcW w:w="2562" w:type="dxa"/>
            <w:tcBorders>
              <w:top w:val="single" w:color="auto" w:sz="6" w:space="0"/>
              <w:left w:val="nil"/>
              <w:bottom w:val="nil"/>
              <w:right w:val="nil"/>
            </w:tcBorders>
            <w:shd w:val="clear" w:color="auto" w:fill="auto"/>
            <w:vAlign w:val="center"/>
          </w:tcPr>
          <w:p w14:paraId="13DA6F52">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0.0402</w:t>
            </w:r>
          </w:p>
        </w:tc>
      </w:tr>
      <w:tr w14:paraId="16A67FA0">
        <w:trPr>
          <w:trHeight w:val="0" w:hRule="atLeast"/>
          <w:tblHeader/>
          <w:jc w:val="center"/>
        </w:trPr>
        <w:tc>
          <w:tcPr>
            <w:tcW w:w="3395" w:type="dxa"/>
            <w:tcBorders>
              <w:top w:val="nil"/>
              <w:left w:val="nil"/>
              <w:bottom w:val="nil"/>
              <w:right w:val="nil"/>
            </w:tcBorders>
            <w:shd w:val="clear" w:color="auto" w:fill="auto"/>
            <w:vAlign w:val="center"/>
          </w:tcPr>
          <w:p w14:paraId="790266C9">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ROE</w:t>
            </w:r>
          </w:p>
        </w:tc>
        <w:tc>
          <w:tcPr>
            <w:tcW w:w="2562" w:type="dxa"/>
            <w:tcBorders>
              <w:top w:val="nil"/>
              <w:left w:val="nil"/>
              <w:bottom w:val="nil"/>
              <w:right w:val="nil"/>
            </w:tcBorders>
            <w:shd w:val="clear" w:color="auto" w:fill="auto"/>
            <w:vAlign w:val="center"/>
          </w:tcPr>
          <w:p w14:paraId="3675B3FA">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-0.0059</w:t>
            </w:r>
          </w:p>
        </w:tc>
        <w:tc>
          <w:tcPr>
            <w:tcW w:w="2562" w:type="dxa"/>
            <w:tcBorders>
              <w:top w:val="nil"/>
              <w:left w:val="nil"/>
              <w:bottom w:val="nil"/>
              <w:right w:val="nil"/>
            </w:tcBorders>
            <w:shd w:val="clear" w:color="auto" w:fill="auto"/>
            <w:vAlign w:val="center"/>
          </w:tcPr>
          <w:p w14:paraId="3EEB3E39">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0.0647</w:t>
            </w:r>
          </w:p>
        </w:tc>
      </w:tr>
      <w:tr w14:paraId="4A75AC4E">
        <w:trPr>
          <w:trHeight w:val="0" w:hRule="atLeast"/>
          <w:tblHeader/>
          <w:jc w:val="center"/>
        </w:trPr>
        <w:tc>
          <w:tcPr>
            <w:tcW w:w="3395" w:type="dxa"/>
            <w:tcBorders>
              <w:top w:val="nil"/>
              <w:left w:val="nil"/>
              <w:bottom w:val="nil"/>
              <w:right w:val="nil"/>
            </w:tcBorders>
            <w:shd w:val="clear" w:color="auto" w:fill="auto"/>
            <w:vAlign w:val="center"/>
          </w:tcPr>
          <w:p w14:paraId="0B3A36F5">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营业毛利率</w:t>
            </w:r>
          </w:p>
        </w:tc>
        <w:tc>
          <w:tcPr>
            <w:tcW w:w="2562" w:type="dxa"/>
            <w:tcBorders>
              <w:top w:val="nil"/>
              <w:left w:val="nil"/>
              <w:bottom w:val="nil"/>
              <w:right w:val="nil"/>
            </w:tcBorders>
            <w:shd w:val="clear" w:color="auto" w:fill="auto"/>
            <w:vAlign w:val="center"/>
          </w:tcPr>
          <w:p w14:paraId="7E6DD631">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0.292</w:t>
            </w:r>
          </w:p>
        </w:tc>
        <w:tc>
          <w:tcPr>
            <w:tcW w:w="2562" w:type="dxa"/>
            <w:tcBorders>
              <w:top w:val="nil"/>
              <w:left w:val="nil"/>
              <w:bottom w:val="nil"/>
              <w:right w:val="nil"/>
            </w:tcBorders>
            <w:shd w:val="clear" w:color="auto" w:fill="auto"/>
            <w:vAlign w:val="center"/>
          </w:tcPr>
          <w:p w14:paraId="4C30ACE5">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0.3999</w:t>
            </w:r>
          </w:p>
        </w:tc>
      </w:tr>
      <w:tr w14:paraId="40D6711D">
        <w:trPr>
          <w:trHeight w:val="0" w:hRule="atLeast"/>
          <w:tblHeader/>
          <w:jc w:val="center"/>
        </w:trPr>
        <w:tc>
          <w:tcPr>
            <w:tcW w:w="3395" w:type="dxa"/>
            <w:tcBorders>
              <w:top w:val="nil"/>
              <w:left w:val="nil"/>
              <w:bottom w:val="nil"/>
              <w:right w:val="nil"/>
            </w:tcBorders>
            <w:shd w:val="clear" w:color="auto" w:fill="auto"/>
            <w:vAlign w:val="center"/>
          </w:tcPr>
          <w:p w14:paraId="33ECF022">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营业净利率</w:t>
            </w:r>
          </w:p>
        </w:tc>
        <w:tc>
          <w:tcPr>
            <w:tcW w:w="2562" w:type="dxa"/>
            <w:tcBorders>
              <w:top w:val="nil"/>
              <w:left w:val="nil"/>
              <w:bottom w:val="nil"/>
              <w:right w:val="nil"/>
            </w:tcBorders>
            <w:shd w:val="clear" w:color="auto" w:fill="auto"/>
            <w:vAlign w:val="center"/>
          </w:tcPr>
          <w:p w14:paraId="285388E3">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-0.0858</w:t>
            </w:r>
          </w:p>
        </w:tc>
        <w:tc>
          <w:tcPr>
            <w:tcW w:w="2562" w:type="dxa"/>
            <w:tcBorders>
              <w:top w:val="nil"/>
              <w:left w:val="nil"/>
              <w:bottom w:val="nil"/>
              <w:right w:val="nil"/>
            </w:tcBorders>
            <w:shd w:val="clear" w:color="auto" w:fill="auto"/>
            <w:vAlign w:val="center"/>
          </w:tcPr>
          <w:p w14:paraId="0E577F1E">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0.0673</w:t>
            </w:r>
          </w:p>
        </w:tc>
      </w:tr>
      <w:tr w14:paraId="6E9D621D">
        <w:trPr>
          <w:trHeight w:val="0" w:hRule="atLeast"/>
          <w:tblHeader/>
          <w:jc w:val="center"/>
        </w:trPr>
        <w:tc>
          <w:tcPr>
            <w:tcW w:w="3395" w:type="dxa"/>
            <w:tcBorders>
              <w:top w:val="nil"/>
              <w:left w:val="nil"/>
              <w:bottom w:val="nil"/>
              <w:right w:val="nil"/>
            </w:tcBorders>
            <w:shd w:val="clear" w:color="auto" w:fill="auto"/>
            <w:vAlign w:val="center"/>
          </w:tcPr>
          <w:p w14:paraId="0712462D">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研发费用率</w:t>
            </w:r>
          </w:p>
        </w:tc>
        <w:tc>
          <w:tcPr>
            <w:tcW w:w="2562" w:type="dxa"/>
            <w:tcBorders>
              <w:top w:val="nil"/>
              <w:left w:val="nil"/>
              <w:bottom w:val="nil"/>
              <w:right w:val="nil"/>
            </w:tcBorders>
            <w:shd w:val="clear" w:color="auto" w:fill="auto"/>
            <w:vAlign w:val="center"/>
          </w:tcPr>
          <w:p w14:paraId="520E908C">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0.0608</w:t>
            </w:r>
          </w:p>
        </w:tc>
        <w:tc>
          <w:tcPr>
            <w:tcW w:w="2562" w:type="dxa"/>
            <w:tcBorders>
              <w:top w:val="nil"/>
              <w:left w:val="nil"/>
              <w:bottom w:val="nil"/>
              <w:right w:val="nil"/>
            </w:tcBorders>
            <w:shd w:val="clear" w:color="auto" w:fill="auto"/>
            <w:vAlign w:val="center"/>
          </w:tcPr>
          <w:p w14:paraId="14F0686F">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0.0837</w:t>
            </w:r>
          </w:p>
        </w:tc>
      </w:tr>
      <w:tr w14:paraId="5951DE39">
        <w:trPr>
          <w:trHeight w:val="0" w:hRule="atLeast"/>
          <w:tblHeader/>
          <w:jc w:val="center"/>
        </w:trPr>
        <w:tc>
          <w:tcPr>
            <w:tcW w:w="3395" w:type="dxa"/>
            <w:tcBorders>
              <w:top w:val="nil"/>
              <w:left w:val="nil"/>
              <w:bottom w:val="nil"/>
              <w:right w:val="nil"/>
            </w:tcBorders>
            <w:shd w:val="clear" w:color="auto" w:fill="auto"/>
            <w:vAlign w:val="center"/>
          </w:tcPr>
          <w:p w14:paraId="794571CF">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EBIT率</w:t>
            </w:r>
          </w:p>
        </w:tc>
        <w:tc>
          <w:tcPr>
            <w:tcW w:w="2562" w:type="dxa"/>
            <w:tcBorders>
              <w:top w:val="nil"/>
              <w:left w:val="nil"/>
              <w:bottom w:val="nil"/>
              <w:right w:val="nil"/>
            </w:tcBorders>
            <w:shd w:val="clear" w:color="auto" w:fill="auto"/>
            <w:vAlign w:val="center"/>
          </w:tcPr>
          <w:p w14:paraId="0ADB6042">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-0.0574</w:t>
            </w:r>
          </w:p>
        </w:tc>
        <w:tc>
          <w:tcPr>
            <w:tcW w:w="2562" w:type="dxa"/>
            <w:tcBorders>
              <w:top w:val="nil"/>
              <w:left w:val="nil"/>
              <w:bottom w:val="nil"/>
              <w:right w:val="nil"/>
            </w:tcBorders>
            <w:shd w:val="clear" w:color="auto" w:fill="auto"/>
            <w:vAlign w:val="center"/>
          </w:tcPr>
          <w:p w14:paraId="7291BE9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0.0789</w:t>
            </w:r>
          </w:p>
        </w:tc>
      </w:tr>
      <w:tr w14:paraId="77E68ACD">
        <w:trPr>
          <w:trHeight w:val="0" w:hRule="atLeast"/>
          <w:tblHeader/>
          <w:jc w:val="center"/>
        </w:trPr>
        <w:tc>
          <w:tcPr>
            <w:tcW w:w="3395" w:type="dxa"/>
            <w:tcBorders>
              <w:top w:val="nil"/>
              <w:left w:val="nil"/>
              <w:bottom w:val="nil"/>
              <w:right w:val="nil"/>
            </w:tcBorders>
            <w:shd w:val="clear" w:color="auto" w:fill="auto"/>
            <w:vAlign w:val="center"/>
          </w:tcPr>
          <w:p w14:paraId="03FCD956">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EBITDA率</w:t>
            </w:r>
          </w:p>
        </w:tc>
        <w:tc>
          <w:tcPr>
            <w:tcW w:w="2562" w:type="dxa"/>
            <w:tcBorders>
              <w:top w:val="nil"/>
              <w:left w:val="nil"/>
              <w:bottom w:val="nil"/>
              <w:right w:val="nil"/>
            </w:tcBorders>
            <w:shd w:val="clear" w:color="auto" w:fill="auto"/>
            <w:vAlign w:val="center"/>
          </w:tcPr>
          <w:p w14:paraId="2480BB68">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-0.0052</w:t>
            </w:r>
          </w:p>
        </w:tc>
        <w:tc>
          <w:tcPr>
            <w:tcW w:w="2562" w:type="dxa"/>
            <w:tcBorders>
              <w:top w:val="nil"/>
              <w:left w:val="nil"/>
              <w:bottom w:val="nil"/>
              <w:right w:val="nil"/>
            </w:tcBorders>
            <w:shd w:val="clear" w:color="auto" w:fill="auto"/>
            <w:vAlign w:val="center"/>
          </w:tcPr>
          <w:p w14:paraId="335FDFB5">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0.1365</w:t>
            </w:r>
          </w:p>
        </w:tc>
      </w:tr>
      <w:tr w14:paraId="4F26B519">
        <w:trPr>
          <w:trHeight w:val="0" w:hRule="atLeast"/>
          <w:tblHeader/>
          <w:jc w:val="center"/>
        </w:trPr>
        <w:tc>
          <w:tcPr>
            <w:tcW w:w="3395" w:type="dxa"/>
            <w:tcBorders>
              <w:top w:val="nil"/>
              <w:left w:val="nil"/>
              <w:bottom w:val="nil"/>
              <w:right w:val="nil"/>
            </w:tcBorders>
            <w:shd w:val="clear" w:color="auto" w:fill="auto"/>
            <w:vAlign w:val="center"/>
          </w:tcPr>
          <w:p w14:paraId="72DB759B">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投资收益率</w:t>
            </w:r>
          </w:p>
        </w:tc>
        <w:tc>
          <w:tcPr>
            <w:tcW w:w="2562" w:type="dxa"/>
            <w:tcBorders>
              <w:top w:val="nil"/>
              <w:left w:val="nil"/>
              <w:bottom w:val="nil"/>
              <w:right w:val="nil"/>
            </w:tcBorders>
            <w:shd w:val="clear" w:color="auto" w:fill="auto"/>
            <w:vAlign w:val="center"/>
          </w:tcPr>
          <w:p w14:paraId="349F1747">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0.0232</w:t>
            </w:r>
          </w:p>
        </w:tc>
        <w:tc>
          <w:tcPr>
            <w:tcW w:w="2562" w:type="dxa"/>
            <w:tcBorders>
              <w:top w:val="nil"/>
              <w:left w:val="nil"/>
              <w:bottom w:val="nil"/>
              <w:right w:val="nil"/>
            </w:tcBorders>
            <w:shd w:val="clear" w:color="auto" w:fill="auto"/>
            <w:vAlign w:val="center"/>
          </w:tcPr>
          <w:p w14:paraId="3DD6CEAC">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0.0247</w:t>
            </w:r>
          </w:p>
        </w:tc>
      </w:tr>
      <w:tr w14:paraId="7CC9437B">
        <w:trPr>
          <w:trHeight w:val="0" w:hRule="atLeast"/>
          <w:tblHeader/>
          <w:jc w:val="center"/>
        </w:trPr>
        <w:tc>
          <w:tcPr>
            <w:tcW w:w="3395" w:type="dxa"/>
            <w:tcBorders>
              <w:top w:val="nil"/>
              <w:left w:val="nil"/>
              <w:bottom w:val="single" w:color="auto" w:sz="12" w:space="0"/>
              <w:right w:val="nil"/>
            </w:tcBorders>
            <w:shd w:val="clear" w:color="auto" w:fill="auto"/>
            <w:vAlign w:val="center"/>
          </w:tcPr>
          <w:p w14:paraId="45B55154">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营业成本率</w:t>
            </w:r>
          </w:p>
        </w:tc>
        <w:tc>
          <w:tcPr>
            <w:tcW w:w="2562" w:type="dxa"/>
            <w:tcBorders>
              <w:top w:val="nil"/>
              <w:left w:val="nil"/>
              <w:bottom w:val="single" w:color="auto" w:sz="12" w:space="0"/>
              <w:right w:val="nil"/>
            </w:tcBorders>
            <w:shd w:val="clear" w:color="auto" w:fill="auto"/>
            <w:vAlign w:val="center"/>
          </w:tcPr>
          <w:p w14:paraId="12902D5F">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0.7064</w:t>
            </w:r>
          </w:p>
        </w:tc>
        <w:tc>
          <w:tcPr>
            <w:tcW w:w="2562" w:type="dxa"/>
            <w:tcBorders>
              <w:top w:val="nil"/>
              <w:left w:val="nil"/>
              <w:bottom w:val="single" w:color="auto" w:sz="12" w:space="0"/>
              <w:right w:val="nil"/>
            </w:tcBorders>
            <w:shd w:val="clear" w:color="auto" w:fill="auto"/>
            <w:vAlign w:val="center"/>
          </w:tcPr>
          <w:p w14:paraId="28256DB8">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0.6</w:t>
            </w:r>
          </w:p>
        </w:tc>
      </w:tr>
    </w:tbl>
    <w:p w14:paraId="039A3F5D">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从各指标的均值比较来看，两类企业盈利差异主要来源于以下几个方面。</w:t>
      </w:r>
    </w:p>
    <w:p w14:paraId="72457067">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第一，在盈利水平方面，AI独立产品型企业在总资产收益率（ROA）、净资产收益率（ROE）、</w:t>
      </w:r>
      <w:r>
        <w:rPr>
          <w:rFonts w:hint="default" w:ascii="Times New Roman" w:hAnsi="Times New Roman" w:eastAsia="宋体" w:cs="Times New Roman"/>
          <w:sz w:val="24"/>
          <w:szCs w:val="24"/>
        </w:rPr>
        <w:t>营业毛利率以及营业净利率</w:t>
      </w:r>
      <w:r>
        <w:rPr>
          <w:rFonts w:hint="default" w:ascii="Times New Roman" w:hAnsi="Times New Roman" w:eastAsia="宋体" w:cs="Times New Roman"/>
          <w:kern w:val="2"/>
          <w:sz w:val="24"/>
          <w:szCs w:val="24"/>
          <w:lang w:val="en-US" w:eastAsia="zh-CN" w:bidi="ar-SA"/>
        </w:rPr>
        <w:t>等指标上整体高于AI业务赋能型企业。这主要是因为AI独立产品型企业通常通过销售人工智能软件、算法或解决方案获取收入，其产品附加值较高，因此利润率水平相对较高。</w:t>
      </w:r>
    </w:p>
    <w:p w14:paraId="3FB48DD5">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第二，在经营盈利能力方面，AI独立产品型企业在EBIT率和EBITDA率方面也高于AI业务赋能型企业，这表明AI独立产品型企业在核心经营活动中的盈利能力更强。相比之下，AI业务赋能型企业更多是将人工智能技术融入到现有的业务体系中，这类企业的盈利水平在较大程度上受到原有行业竞争环境的影响。</w:t>
      </w:r>
    </w:p>
    <w:p w14:paraId="5C2B02C5">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第三，在成本控制方面，AI独立产品型企业的营业成本率明显低于AI业务赋能型企业，这表明AI独立产品型企业的产品附加值较高，成本结构更合理，从而能够获得更高的盈利空间。</w:t>
      </w:r>
    </w:p>
    <w:p w14:paraId="167DC8DB">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第四，在研发投入方面，AI独立产品型企业的研发费用率明显高于AI业务赋能型企业。AI独立产品型企业通常需要持续进行技术研发和算法迭代，以保持技术领先优势。但与此同时，大规模研发投入也可能在短期内增加企业成本，对当期盈利水平形成一定压力。</w:t>
      </w:r>
    </w:p>
    <w:p w14:paraId="0B45C118">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综合来看，AI独立产品型企业在盈利水平、经营盈利能力以及技术投入等方面均表现出明显优势，因此其整体盈利能力综合得分高于AI业务赋能型企业。而AI业务赋能型企业虽然能够通过技术应用提升原有业务效率，但其盈利模式仍然依赖传统业务结构，因此整体盈利能力相对较弱，且企业之间的盈利差异较为明显。</w:t>
      </w:r>
    </w:p>
    <w:p w14:paraId="36E53C7C">
      <w:pPr>
        <w:pStyle w:val="3"/>
        <w:autoSpaceDE/>
        <w:autoSpaceDN/>
        <w:snapToGrid/>
        <w:spacing w:before="156" w:beforeLines="50" w:after="156" w:afterLines="50" w:line="420" w:lineRule="exact"/>
        <w:rPr>
          <w:rFonts w:hint="default" w:ascii="Times New Roman" w:hAnsi="Times New Roman" w:eastAsia="黑体" w:cs="Times New Roman"/>
          <w:b w:val="0"/>
          <w:bCs w:val="0"/>
          <w:color w:val="000000"/>
          <w:kern w:val="0"/>
          <w:sz w:val="30"/>
          <w:szCs w:val="30"/>
          <w:lang w:val="en-US" w:eastAsia="zh-CN"/>
        </w:rPr>
      </w:pPr>
      <w:bookmarkStart w:id="0" w:name="_GoBack"/>
      <w:r>
        <w:rPr>
          <w:rFonts w:hint="default" w:ascii="Times New Roman" w:hAnsi="Times New Roman" w:eastAsia="黑体" w:cs="Times New Roman"/>
          <w:b w:val="0"/>
          <w:bCs w:val="0"/>
          <w:color w:val="000000"/>
          <w:kern w:val="0"/>
          <w:sz w:val="30"/>
          <w:szCs w:val="30"/>
          <w:lang w:val="en-US" w:eastAsia="zh-CN"/>
        </w:rPr>
        <w:t>4.2基于杜邦分析法的盈利能力纵向对比分析（典型样本）</w:t>
      </w:r>
    </w:p>
    <w:p w14:paraId="14ADB6F0">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前文基于全样本数据分析发现，A股人工智能应用层中小企业整体盈利能力偏弱且呈现出较为明显的分化趋势，并且在2021—2024年期间盈利水平整体有所下降。为了进一步分析这一现象的形成原因，本文在AI独立产品型企业与AI业务赋能型企业两类样本中分别选取具有代表性的6个企业作为典型案例，并基于杜邦分析法从净资产收益率、销售净利率、总资产周转率以及权益乘数等方面对企业盈利能力进行纵向分析。</w:t>
      </w:r>
    </w:p>
    <w:p w14:paraId="4EA4DA0D">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6个典型样本企业的选取上，首先对样本企业进行筛选，剔除样本期内出现ST或PT状态的企业，以避免财务异常或经营风险较高企业对分析结果产生干扰。随后，以企业盈利能力综合得分作为排序依据，在AI独立产品型企业与AI业务赋能型企业两类样本中分别按照得分从高到低进行排序，并采用五分位法对企业进行分组。具体而言，将企业盈利能力综合得分按20%分位间隔划分为五个区间，分别对应第1至第5分位，其中第1分位代表盈利能力较低的企业，第3分位代表盈利能力处于中等水</w:t>
      </w:r>
      <w:r>
        <w:rPr>
          <w:rFonts w:hint="default" w:ascii="Times New Roman" w:hAnsi="Times New Roman" w:eastAsia="宋体" w:cs="Times New Roman"/>
          <w:b w:val="0"/>
          <w:bCs w:val="0"/>
          <w:kern w:val="2"/>
          <w:sz w:val="24"/>
          <w:szCs w:val="24"/>
          <w:lang w:val="en-US" w:eastAsia="zh-CN" w:bidi="ar-SA"/>
        </w:rPr>
        <w:t>平的企业，第5分位代表盈利能力较高的企业。在典型样本选择过程中，</w:t>
      </w:r>
      <w:r>
        <w:rPr>
          <w:rFonts w:hint="default" w:ascii="Times New Roman" w:hAnsi="Times New Roman" w:eastAsia="宋体" w:cs="Times New Roman"/>
          <w:b w:val="0"/>
          <w:bCs w:val="0"/>
          <w:sz w:val="24"/>
          <w:szCs w:val="24"/>
        </w:rPr>
        <w:t>本文分别从第1、第3和第5分位中各选取1家在2020—2024年期间</w:t>
      </w:r>
      <w:r>
        <w:rPr>
          <w:rStyle w:val="9"/>
          <w:rFonts w:hint="default" w:ascii="Times New Roman" w:hAnsi="Times New Roman" w:eastAsia="宋体" w:cs="Times New Roman"/>
          <w:b w:val="0"/>
          <w:bCs w:val="0"/>
          <w:sz w:val="24"/>
          <w:szCs w:val="24"/>
        </w:rPr>
        <w:t>处于该分位次数最多的企业</w:t>
      </w:r>
      <w:r>
        <w:rPr>
          <w:rFonts w:hint="default" w:ascii="Times New Roman" w:hAnsi="Times New Roman" w:eastAsia="宋体" w:cs="Times New Roman"/>
          <w:b w:val="0"/>
          <w:bCs w:val="0"/>
          <w:sz w:val="24"/>
          <w:szCs w:val="24"/>
        </w:rPr>
        <w:t>作为代表样本</w:t>
      </w:r>
      <w:r>
        <w:rPr>
          <w:rFonts w:hint="default" w:ascii="Times New Roman" w:hAnsi="Times New Roman" w:eastAsia="宋体" w:cs="Times New Roman"/>
          <w:b w:val="0"/>
          <w:bCs w:val="0"/>
          <w:kern w:val="2"/>
          <w:sz w:val="24"/>
          <w:szCs w:val="24"/>
          <w:lang w:val="en-US" w:eastAsia="zh-CN" w:bidi="ar-SA"/>
        </w:rPr>
        <w:t>，以分别代表低盈利、中等盈利和高盈利企业。这种分位选取方式能够在保证样本具有代表性的同时，避免仅选择极端企业所带来的偏差，从而更好地反映</w:t>
      </w:r>
      <w:r>
        <w:rPr>
          <w:rFonts w:hint="default" w:ascii="Times New Roman" w:hAnsi="Times New Roman" w:eastAsia="宋体" w:cs="Times New Roman"/>
          <w:kern w:val="2"/>
          <w:sz w:val="24"/>
          <w:szCs w:val="24"/>
          <w:lang w:val="en-US" w:eastAsia="zh-CN" w:bidi="ar-SA"/>
        </w:rPr>
        <w:t>不同盈利水平企业的经营特征和盈利能力形成机制。</w:t>
      </w:r>
    </w:p>
    <w:p w14:paraId="09015D19">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最终，在AI独立产品型企业中选取方直科技（300235）作为高盈利代表企业，佳讯飞鸿（300213）作为中盈利代表企业，天地在线（002995）作为低盈利代表企业；在AI业务赋能型企业中选取巨人网络（002558）作为高盈利代表企业，世纪天鸿（300654）作为中盈利代表企业，思美传媒（002712）作为低盈利代表企业。在后续分析中，本文将基于杜邦分析法对上述企业2020—2024年的盈利能力变化情况进行纵向对比，分析不同业务模式企业盈利能力的形成机制及其主要影响因素。</w:t>
      </w:r>
    </w:p>
    <w:p w14:paraId="4C2C949D">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560" w:firstLineChars="200"/>
        <w:jc w:val="both"/>
        <w:textAlignment w:val="auto"/>
        <w:rPr>
          <w:rFonts w:hint="default" w:ascii="Times New Roman" w:hAnsi="Times New Roman" w:eastAsia="黑体" w:cs="Times New Roman"/>
          <w:color w:val="000000"/>
          <w:kern w:val="0"/>
          <w:sz w:val="28"/>
          <w:szCs w:val="28"/>
          <w:lang w:val="en-US" w:eastAsia="zh-CN"/>
        </w:rPr>
      </w:pPr>
      <w:r>
        <w:rPr>
          <w:rFonts w:hint="default" w:ascii="Times New Roman" w:hAnsi="Times New Roman" w:eastAsia="黑体" w:cs="Times New Roman"/>
          <w:color w:val="000000"/>
          <w:kern w:val="0"/>
          <w:sz w:val="28"/>
          <w:szCs w:val="28"/>
          <w:lang w:val="en-US" w:eastAsia="zh-CN"/>
        </w:rPr>
        <w:t>4.2.1销售净利率分析</w:t>
      </w:r>
    </w:p>
    <w:p w14:paraId="33ACA29B">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t>销售净利率反映企业每单位营业收入能够转化为净利润的水平，是衡量企业主营业务盈利能力的重要指标，在杜邦分析体系中，销售净利率直接影响净资产收益率的高低，</w:t>
      </w:r>
      <w:r>
        <w:rPr>
          <w:rFonts w:hint="default" w:ascii="Times New Roman" w:hAnsi="Times New Roman" w:eastAsia="宋体" w:cs="Times New Roman"/>
          <w:sz w:val="24"/>
          <w:szCs w:val="24"/>
        </w:rPr>
        <w:t>其计算公式为：</w:t>
      </w:r>
    </w:p>
    <w:p w14:paraId="07C22F1C">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m:oMathPara>
        <m:oMath>
          <m:r>
            <m:rPr>
              <m:nor/>
              <m:sty m:val="p"/>
            </m:rPr>
            <w:rPr>
              <w:rFonts w:hint="default" w:ascii="Times New Roman" w:hAnsi="Times New Roman" w:eastAsia="宋体" w:cs="Times New Roman"/>
              <w:b w:val="0"/>
              <w:i w:val="0"/>
              <w:sz w:val="24"/>
            </w:rPr>
            <m:t>销售净利率=</m:t>
          </m:r>
          <m:f>
            <m:fPr>
              <m:ctrlPr>
                <w:rPr>
                  <w:rFonts w:hint="default" w:ascii="Cambria Math" w:hAnsi="Cambria Math" w:eastAsia="宋体" w:cs="Times New Roman"/>
                  <w:i/>
                  <w:sz w:val="24"/>
                </w:rPr>
              </m:ctrlPr>
            </m:fPr>
            <m:num>
              <m:r>
                <m:rPr>
                  <m:nor/>
                  <m:sty m:val="p"/>
                </m:rPr>
                <w:rPr>
                  <w:rFonts w:hint="default" w:ascii="Times New Roman" w:hAnsi="Times New Roman" w:eastAsia="宋体" w:cs="Times New Roman"/>
                  <w:b w:val="0"/>
                  <w:i w:val="0"/>
                  <w:sz w:val="24"/>
                </w:rPr>
                <m:t>净利润</m:t>
              </m:r>
              <m:ctrlPr>
                <w:rPr>
                  <w:rFonts w:hint="default" w:ascii="Cambria Math" w:hAnsi="Cambria Math" w:eastAsia="宋体" w:cs="Times New Roman"/>
                  <w:sz w:val="24"/>
                </w:rPr>
              </m:ctrlPr>
            </m:num>
            <m:den>
              <m:r>
                <m:rPr>
                  <m:nor/>
                  <m:sty m:val="p"/>
                </m:rPr>
                <w:rPr>
                  <w:rFonts w:hint="default" w:ascii="Times New Roman" w:hAnsi="Times New Roman" w:eastAsia="宋体" w:cs="Times New Roman"/>
                  <w:b w:val="0"/>
                  <w:i w:val="0"/>
                  <w:sz w:val="24"/>
                </w:rPr>
                <m:t>营业收入</m:t>
              </m:r>
              <m:ctrlPr>
                <w:rPr>
                  <w:rFonts w:hint="default" w:ascii="Cambria Math" w:hAnsi="Cambria Math" w:eastAsia="宋体" w:cs="Times New Roman"/>
                  <w:sz w:val="24"/>
                </w:rPr>
              </m:ctrlPr>
            </m:den>
          </m:f>
        </m:oMath>
      </m:oMathPara>
    </w:p>
    <w:p w14:paraId="1D23C41D">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sz w:val="24"/>
          <w:szCs w:val="24"/>
        </w:rPr>
        <w:t>销售净利率的变化主要取决于企业在实现营业收入后，成本费用控制及利润转化能力。换言之，在营业收入既定的情况下，企业成本结构、费用投入以及盈利模式都会直接影响净利润水平，从而改变销售净利率。</w:t>
      </w:r>
      <w:r>
        <w:rPr>
          <w:rFonts w:hint="default" w:ascii="Times New Roman" w:hAnsi="Times New Roman" w:eastAsia="宋体" w:cs="Times New Roman"/>
          <w:kern w:val="2"/>
          <w:sz w:val="24"/>
          <w:szCs w:val="24"/>
          <w:lang w:val="en-US" w:eastAsia="zh-CN" w:bidi="ar-SA"/>
        </w:rPr>
        <w:t>对于人工智能应用层企业而言，销售净利率不仅受到传统业务盈利模式的影响，还与AI技术的商业化成熟度、产品附加值以及市场竞争格局密切相关。中国信息通信研究院发布的《人工智能发展报告》</w:t>
      </w:r>
      <w:r>
        <w:rPr>
          <w:rFonts w:hint="default" w:ascii="Times New Roman" w:hAnsi="Times New Roman" w:eastAsia="宋体" w:cs="Times New Roman"/>
          <w:sz w:val="24"/>
          <w:szCs w:val="24"/>
        </w:rPr>
        <w:t>也指出，人工智能企业在技术研发和场景落地阶段往往需要较高的研发投入和技术迭代成本，这在一定程度上会影响企业短期盈利能力。</w:t>
      </w:r>
    </w:p>
    <w:p w14:paraId="521E781A">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因此，在分析典型样本企业销售净利率变化时，本文主要从成本费用结构角度进行拆解，重点关注企业销售费用率、管理费用率和研发费用率等指标变化，并结合企业AI业务发展情况，对销售净利率变化原因进行分析。典型样本企业2020—2024年的销售净利率情况如表4-6所示。</w:t>
      </w:r>
    </w:p>
    <w:p w14:paraId="31025E41">
      <w:pPr>
        <w:widowControl/>
        <w:tabs>
          <w:tab w:val="left" w:pos="377"/>
        </w:tabs>
        <w:autoSpaceDE/>
        <w:autoSpaceDN/>
        <w:snapToGrid/>
        <w:spacing w:before="156" w:beforeLines="50"/>
        <w:jc w:val="center"/>
        <w:rPr>
          <w:rFonts w:hint="default" w:ascii="Times New Roman" w:hAnsi="Times New Roman" w:eastAsia="宋体" w:cs="Times New Roman"/>
          <w:spacing w:val="10"/>
          <w:kern w:val="0"/>
          <w:szCs w:val="20"/>
          <w:lang w:val="en-US" w:eastAsia="zh-CN"/>
        </w:rPr>
      </w:pPr>
      <w:r>
        <w:rPr>
          <w:rFonts w:hint="default" w:ascii="Times New Roman" w:hAnsi="Times New Roman" w:eastAsia="宋体" w:cs="Times New Roman"/>
          <w:spacing w:val="10"/>
          <w:kern w:val="0"/>
          <w:szCs w:val="20"/>
          <w:lang w:val="en-US" w:eastAsia="zh-CN"/>
        </w:rPr>
        <w:t>表4-6 典型样本企业销售净利率</w:t>
      </w:r>
    </w:p>
    <w:tbl>
      <w:tblPr>
        <w:tblStyle w:val="7"/>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585"/>
        <w:gridCol w:w="1508"/>
        <w:gridCol w:w="1205"/>
        <w:gridCol w:w="1055"/>
        <w:gridCol w:w="1055"/>
        <w:gridCol w:w="1055"/>
        <w:gridCol w:w="1056"/>
      </w:tblGrid>
      <w:tr w14:paraId="36711322">
        <w:trPr>
          <w:trHeight w:val="0" w:hRule="atLeast"/>
          <w:tblHeader/>
          <w:jc w:val="center"/>
        </w:trPr>
        <w:tc>
          <w:tcPr>
            <w:tcW w:w="1585" w:type="dxa"/>
            <w:tcBorders>
              <w:top w:val="single" w:color="auto" w:sz="12" w:space="0"/>
              <w:left w:val="nil"/>
              <w:bottom w:val="single" w:color="auto" w:sz="4" w:space="0"/>
              <w:right w:val="nil"/>
            </w:tcBorders>
            <w:shd w:val="clear" w:color="auto" w:fill="auto"/>
            <w:vAlign w:val="center"/>
          </w:tcPr>
          <w:p w14:paraId="679A2540">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Times New Roman" w:hAnsi="Times New Roman" w:eastAsia="宋体" w:cs="Times New Roman"/>
                <w:b/>
                <w:bCs/>
                <w:i w:val="0"/>
                <w:iCs w:val="0"/>
                <w:color w:val="000000"/>
                <w:kern w:val="0"/>
                <w:sz w:val="21"/>
                <w:szCs w:val="21"/>
                <w:u w:val="none"/>
                <w:lang w:val="en-US" w:eastAsia="zh-CN" w:bidi="ar"/>
              </w:rPr>
              <w:t>企业类型</w:t>
            </w:r>
          </w:p>
        </w:tc>
        <w:tc>
          <w:tcPr>
            <w:tcW w:w="1508" w:type="dxa"/>
            <w:tcBorders>
              <w:top w:val="single" w:color="auto" w:sz="12" w:space="0"/>
              <w:left w:val="nil"/>
              <w:bottom w:val="single" w:color="auto" w:sz="4" w:space="0"/>
              <w:right w:val="nil"/>
            </w:tcBorders>
            <w:shd w:val="clear" w:color="auto" w:fill="auto"/>
            <w:vAlign w:val="center"/>
          </w:tcPr>
          <w:p w14:paraId="1816D122">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Times New Roman" w:hAnsi="Times New Roman" w:eastAsia="宋体" w:cs="Times New Roman"/>
                <w:b/>
                <w:bCs/>
                <w:i w:val="0"/>
                <w:iCs w:val="0"/>
                <w:color w:val="000000"/>
                <w:kern w:val="0"/>
                <w:sz w:val="21"/>
                <w:szCs w:val="21"/>
                <w:u w:val="none"/>
                <w:lang w:val="en-US" w:eastAsia="zh-CN" w:bidi="ar"/>
              </w:rPr>
              <w:t>企业</w:t>
            </w:r>
          </w:p>
        </w:tc>
        <w:tc>
          <w:tcPr>
            <w:tcW w:w="1205" w:type="dxa"/>
            <w:tcBorders>
              <w:top w:val="single" w:color="auto" w:sz="12" w:space="0"/>
              <w:left w:val="nil"/>
              <w:bottom w:val="single" w:color="auto" w:sz="4" w:space="0"/>
              <w:right w:val="nil"/>
            </w:tcBorders>
            <w:shd w:val="clear" w:color="auto" w:fill="auto"/>
            <w:vAlign w:val="center"/>
          </w:tcPr>
          <w:p w14:paraId="1D259C78">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Times New Roman" w:hAnsi="Times New Roman" w:eastAsia="宋体" w:cs="Times New Roman"/>
                <w:b/>
                <w:bCs/>
                <w:i w:val="0"/>
                <w:iCs w:val="0"/>
                <w:color w:val="000000"/>
                <w:kern w:val="0"/>
                <w:sz w:val="21"/>
                <w:szCs w:val="21"/>
                <w:u w:val="none"/>
                <w:lang w:val="en-US" w:eastAsia="zh-CN" w:bidi="ar"/>
              </w:rPr>
              <w:t>2020</w:t>
            </w:r>
          </w:p>
        </w:tc>
        <w:tc>
          <w:tcPr>
            <w:tcW w:w="1055" w:type="dxa"/>
            <w:tcBorders>
              <w:top w:val="single" w:color="auto" w:sz="12" w:space="0"/>
              <w:left w:val="nil"/>
              <w:bottom w:val="single" w:color="auto" w:sz="4" w:space="0"/>
              <w:right w:val="nil"/>
            </w:tcBorders>
            <w:shd w:val="clear" w:color="auto" w:fill="auto"/>
            <w:vAlign w:val="center"/>
          </w:tcPr>
          <w:p w14:paraId="5FA5165B">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Times New Roman" w:hAnsi="Times New Roman" w:eastAsia="宋体" w:cs="Times New Roman"/>
                <w:b/>
                <w:bCs/>
                <w:i w:val="0"/>
                <w:iCs w:val="0"/>
                <w:color w:val="000000"/>
                <w:kern w:val="0"/>
                <w:sz w:val="21"/>
                <w:szCs w:val="21"/>
                <w:u w:val="none"/>
                <w:lang w:val="en-US" w:eastAsia="zh-CN" w:bidi="ar"/>
              </w:rPr>
              <w:t>2021</w:t>
            </w:r>
          </w:p>
        </w:tc>
        <w:tc>
          <w:tcPr>
            <w:tcW w:w="1055" w:type="dxa"/>
            <w:tcBorders>
              <w:top w:val="single" w:color="auto" w:sz="12" w:space="0"/>
              <w:left w:val="nil"/>
              <w:bottom w:val="single" w:color="auto" w:sz="4" w:space="0"/>
              <w:right w:val="nil"/>
            </w:tcBorders>
            <w:shd w:val="clear" w:color="auto" w:fill="auto"/>
            <w:vAlign w:val="center"/>
          </w:tcPr>
          <w:p w14:paraId="0F1AB20D">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Times New Roman" w:hAnsi="Times New Roman" w:eastAsia="宋体" w:cs="Times New Roman"/>
                <w:b/>
                <w:bCs/>
                <w:i w:val="0"/>
                <w:iCs w:val="0"/>
                <w:color w:val="000000"/>
                <w:kern w:val="0"/>
                <w:sz w:val="21"/>
                <w:szCs w:val="21"/>
                <w:u w:val="none"/>
                <w:lang w:val="en-US" w:eastAsia="zh-CN" w:bidi="ar"/>
              </w:rPr>
              <w:t>2022</w:t>
            </w:r>
          </w:p>
        </w:tc>
        <w:tc>
          <w:tcPr>
            <w:tcW w:w="1055" w:type="dxa"/>
            <w:tcBorders>
              <w:top w:val="single" w:color="auto" w:sz="12" w:space="0"/>
              <w:left w:val="nil"/>
              <w:bottom w:val="single" w:color="auto" w:sz="4" w:space="0"/>
              <w:right w:val="nil"/>
            </w:tcBorders>
            <w:shd w:val="clear" w:color="auto" w:fill="auto"/>
            <w:vAlign w:val="center"/>
          </w:tcPr>
          <w:p w14:paraId="4FF40E03">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Times New Roman" w:hAnsi="Times New Roman" w:eastAsia="宋体" w:cs="Times New Roman"/>
                <w:b/>
                <w:bCs/>
                <w:i w:val="0"/>
                <w:iCs w:val="0"/>
                <w:color w:val="000000"/>
                <w:kern w:val="0"/>
                <w:sz w:val="21"/>
                <w:szCs w:val="21"/>
                <w:u w:val="none"/>
                <w:lang w:val="en-US" w:eastAsia="zh-CN" w:bidi="ar"/>
              </w:rPr>
              <w:t>2023</w:t>
            </w:r>
          </w:p>
        </w:tc>
        <w:tc>
          <w:tcPr>
            <w:tcW w:w="1056" w:type="dxa"/>
            <w:tcBorders>
              <w:top w:val="single" w:color="auto" w:sz="12" w:space="0"/>
              <w:left w:val="nil"/>
              <w:bottom w:val="single" w:color="auto" w:sz="4" w:space="0"/>
              <w:right w:val="nil"/>
            </w:tcBorders>
            <w:shd w:val="clear" w:color="auto" w:fill="auto"/>
            <w:vAlign w:val="center"/>
          </w:tcPr>
          <w:p w14:paraId="6BF80786">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Times New Roman" w:hAnsi="Times New Roman" w:eastAsia="宋体" w:cs="Times New Roman"/>
                <w:b/>
                <w:bCs/>
                <w:i w:val="0"/>
                <w:iCs w:val="0"/>
                <w:color w:val="000000"/>
                <w:kern w:val="0"/>
                <w:sz w:val="21"/>
                <w:szCs w:val="21"/>
                <w:u w:val="none"/>
                <w:lang w:val="en-US" w:eastAsia="zh-CN" w:bidi="ar"/>
              </w:rPr>
              <w:t>2024</w:t>
            </w:r>
          </w:p>
        </w:tc>
      </w:tr>
      <w:tr w14:paraId="391AE75F">
        <w:trPr>
          <w:trHeight w:val="0" w:hRule="atLeast"/>
          <w:jc w:val="center"/>
        </w:trPr>
        <w:tc>
          <w:tcPr>
            <w:tcW w:w="1585" w:type="dxa"/>
            <w:tcBorders>
              <w:top w:val="single" w:color="auto" w:sz="4" w:space="0"/>
              <w:left w:val="nil"/>
              <w:bottom w:val="nil"/>
              <w:right w:val="nil"/>
            </w:tcBorders>
            <w:shd w:val="clear" w:color="auto" w:fill="auto"/>
            <w:vAlign w:val="center"/>
          </w:tcPr>
          <w:p w14:paraId="1C1252A7">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AI独立产品型</w:t>
            </w:r>
          </w:p>
        </w:tc>
        <w:tc>
          <w:tcPr>
            <w:tcW w:w="1508" w:type="dxa"/>
            <w:tcBorders>
              <w:top w:val="single" w:color="auto" w:sz="4" w:space="0"/>
              <w:left w:val="nil"/>
              <w:bottom w:val="nil"/>
              <w:right w:val="nil"/>
            </w:tcBorders>
            <w:shd w:val="clear" w:color="auto" w:fill="auto"/>
            <w:vAlign w:val="center"/>
          </w:tcPr>
          <w:p w14:paraId="615C36F8">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方直科技</w:t>
            </w:r>
          </w:p>
        </w:tc>
        <w:tc>
          <w:tcPr>
            <w:tcW w:w="1205" w:type="dxa"/>
            <w:tcBorders>
              <w:top w:val="single" w:color="auto" w:sz="4" w:space="0"/>
              <w:left w:val="nil"/>
              <w:bottom w:val="nil"/>
              <w:right w:val="nil"/>
            </w:tcBorders>
            <w:shd w:val="clear" w:color="auto" w:fill="auto"/>
            <w:vAlign w:val="center"/>
          </w:tcPr>
          <w:p w14:paraId="754C933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25.44%</w:t>
            </w:r>
          </w:p>
        </w:tc>
        <w:tc>
          <w:tcPr>
            <w:tcW w:w="1055" w:type="dxa"/>
            <w:tcBorders>
              <w:top w:val="single" w:color="auto" w:sz="4" w:space="0"/>
              <w:left w:val="nil"/>
              <w:bottom w:val="nil"/>
              <w:right w:val="nil"/>
            </w:tcBorders>
            <w:shd w:val="clear" w:color="auto" w:fill="auto"/>
            <w:vAlign w:val="center"/>
          </w:tcPr>
          <w:p w14:paraId="5410DB35">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20.37%</w:t>
            </w:r>
          </w:p>
        </w:tc>
        <w:tc>
          <w:tcPr>
            <w:tcW w:w="1055" w:type="dxa"/>
            <w:tcBorders>
              <w:top w:val="single" w:color="auto" w:sz="4" w:space="0"/>
              <w:left w:val="nil"/>
              <w:bottom w:val="nil"/>
              <w:right w:val="nil"/>
            </w:tcBorders>
            <w:shd w:val="clear" w:color="auto" w:fill="auto"/>
            <w:vAlign w:val="center"/>
          </w:tcPr>
          <w:p w14:paraId="38CC4C11">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21.65%</w:t>
            </w:r>
          </w:p>
        </w:tc>
        <w:tc>
          <w:tcPr>
            <w:tcW w:w="1055" w:type="dxa"/>
            <w:tcBorders>
              <w:top w:val="single" w:color="auto" w:sz="4" w:space="0"/>
              <w:left w:val="nil"/>
              <w:bottom w:val="nil"/>
              <w:right w:val="nil"/>
            </w:tcBorders>
            <w:shd w:val="clear" w:color="auto" w:fill="auto"/>
            <w:vAlign w:val="center"/>
          </w:tcPr>
          <w:p w14:paraId="74767ECA">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31.33%</w:t>
            </w:r>
          </w:p>
        </w:tc>
        <w:tc>
          <w:tcPr>
            <w:tcW w:w="1056" w:type="dxa"/>
            <w:tcBorders>
              <w:top w:val="single" w:color="auto" w:sz="4" w:space="0"/>
              <w:left w:val="nil"/>
              <w:bottom w:val="nil"/>
              <w:right w:val="nil"/>
            </w:tcBorders>
            <w:shd w:val="clear" w:color="auto" w:fill="auto"/>
            <w:vAlign w:val="center"/>
          </w:tcPr>
          <w:p w14:paraId="58009A95">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18.80%</w:t>
            </w:r>
          </w:p>
        </w:tc>
      </w:tr>
      <w:tr w14:paraId="524E3E30">
        <w:trPr>
          <w:trHeight w:val="0" w:hRule="atLeast"/>
          <w:jc w:val="center"/>
        </w:trPr>
        <w:tc>
          <w:tcPr>
            <w:tcW w:w="1585" w:type="dxa"/>
            <w:tcBorders>
              <w:top w:val="nil"/>
              <w:left w:val="nil"/>
              <w:bottom w:val="nil"/>
              <w:right w:val="nil"/>
            </w:tcBorders>
            <w:shd w:val="clear" w:color="auto" w:fill="auto"/>
            <w:vAlign w:val="center"/>
          </w:tcPr>
          <w:p w14:paraId="003847C5">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AI独立产品型</w:t>
            </w:r>
          </w:p>
        </w:tc>
        <w:tc>
          <w:tcPr>
            <w:tcW w:w="1508" w:type="dxa"/>
            <w:tcBorders>
              <w:top w:val="nil"/>
              <w:left w:val="nil"/>
              <w:bottom w:val="nil"/>
              <w:right w:val="nil"/>
            </w:tcBorders>
            <w:shd w:val="clear" w:color="auto" w:fill="auto"/>
            <w:vAlign w:val="center"/>
          </w:tcPr>
          <w:p w14:paraId="5D028E53">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佳讯飞鸿</w:t>
            </w:r>
          </w:p>
        </w:tc>
        <w:tc>
          <w:tcPr>
            <w:tcW w:w="1205" w:type="dxa"/>
            <w:tcBorders>
              <w:top w:val="nil"/>
              <w:left w:val="nil"/>
              <w:bottom w:val="nil"/>
              <w:right w:val="nil"/>
            </w:tcBorders>
            <w:shd w:val="clear" w:color="auto" w:fill="auto"/>
            <w:vAlign w:val="center"/>
          </w:tcPr>
          <w:p w14:paraId="5522D2FC">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12.15%</w:t>
            </w:r>
          </w:p>
        </w:tc>
        <w:tc>
          <w:tcPr>
            <w:tcW w:w="1055" w:type="dxa"/>
            <w:tcBorders>
              <w:top w:val="nil"/>
              <w:left w:val="nil"/>
              <w:bottom w:val="nil"/>
              <w:right w:val="nil"/>
            </w:tcBorders>
            <w:shd w:val="clear" w:color="auto" w:fill="auto"/>
            <w:vAlign w:val="center"/>
          </w:tcPr>
          <w:p w14:paraId="12E40517">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11.45%</w:t>
            </w:r>
          </w:p>
        </w:tc>
        <w:tc>
          <w:tcPr>
            <w:tcW w:w="1055" w:type="dxa"/>
            <w:tcBorders>
              <w:top w:val="nil"/>
              <w:left w:val="nil"/>
              <w:bottom w:val="nil"/>
              <w:right w:val="nil"/>
            </w:tcBorders>
            <w:shd w:val="clear" w:color="auto" w:fill="auto"/>
            <w:vAlign w:val="center"/>
          </w:tcPr>
          <w:p w14:paraId="460E2F63">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5.33%</w:t>
            </w:r>
          </w:p>
        </w:tc>
        <w:tc>
          <w:tcPr>
            <w:tcW w:w="1055" w:type="dxa"/>
            <w:tcBorders>
              <w:top w:val="nil"/>
              <w:left w:val="nil"/>
              <w:bottom w:val="nil"/>
              <w:right w:val="nil"/>
            </w:tcBorders>
            <w:shd w:val="clear" w:color="auto" w:fill="auto"/>
            <w:vAlign w:val="center"/>
          </w:tcPr>
          <w:p w14:paraId="57CA1516">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5.65%</w:t>
            </w:r>
          </w:p>
        </w:tc>
        <w:tc>
          <w:tcPr>
            <w:tcW w:w="1056" w:type="dxa"/>
            <w:tcBorders>
              <w:top w:val="nil"/>
              <w:left w:val="nil"/>
              <w:bottom w:val="nil"/>
              <w:right w:val="nil"/>
            </w:tcBorders>
            <w:shd w:val="clear" w:color="auto" w:fill="auto"/>
            <w:vAlign w:val="center"/>
          </w:tcPr>
          <w:p w14:paraId="2902F23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5.97%</w:t>
            </w:r>
          </w:p>
        </w:tc>
      </w:tr>
      <w:tr w14:paraId="11543A73">
        <w:trPr>
          <w:trHeight w:val="0" w:hRule="atLeast"/>
          <w:jc w:val="center"/>
        </w:trPr>
        <w:tc>
          <w:tcPr>
            <w:tcW w:w="1585" w:type="dxa"/>
            <w:tcBorders>
              <w:top w:val="nil"/>
              <w:left w:val="nil"/>
              <w:bottom w:val="nil"/>
              <w:right w:val="nil"/>
            </w:tcBorders>
            <w:shd w:val="clear" w:color="auto" w:fill="auto"/>
            <w:vAlign w:val="center"/>
          </w:tcPr>
          <w:p w14:paraId="0823B1F4">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AI独立产品型</w:t>
            </w:r>
          </w:p>
        </w:tc>
        <w:tc>
          <w:tcPr>
            <w:tcW w:w="1508" w:type="dxa"/>
            <w:tcBorders>
              <w:top w:val="nil"/>
              <w:left w:val="nil"/>
              <w:bottom w:val="nil"/>
              <w:right w:val="nil"/>
            </w:tcBorders>
            <w:shd w:val="clear" w:color="auto" w:fill="auto"/>
            <w:vAlign w:val="center"/>
          </w:tcPr>
          <w:p w14:paraId="29F9C8AC">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天地在线</w:t>
            </w:r>
          </w:p>
        </w:tc>
        <w:tc>
          <w:tcPr>
            <w:tcW w:w="1205" w:type="dxa"/>
            <w:tcBorders>
              <w:top w:val="nil"/>
              <w:left w:val="nil"/>
              <w:bottom w:val="nil"/>
              <w:right w:val="nil"/>
            </w:tcBorders>
            <w:shd w:val="clear" w:color="auto" w:fill="auto"/>
            <w:vAlign w:val="center"/>
          </w:tcPr>
          <w:p w14:paraId="63A6FCF3">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3.21%</w:t>
            </w:r>
          </w:p>
        </w:tc>
        <w:tc>
          <w:tcPr>
            <w:tcW w:w="1055" w:type="dxa"/>
            <w:tcBorders>
              <w:top w:val="nil"/>
              <w:left w:val="nil"/>
              <w:bottom w:val="nil"/>
              <w:right w:val="nil"/>
            </w:tcBorders>
            <w:shd w:val="clear" w:color="auto" w:fill="auto"/>
            <w:vAlign w:val="center"/>
          </w:tcPr>
          <w:p w14:paraId="48EFFA9A">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1.37%</w:t>
            </w:r>
          </w:p>
        </w:tc>
        <w:tc>
          <w:tcPr>
            <w:tcW w:w="1055" w:type="dxa"/>
            <w:tcBorders>
              <w:top w:val="nil"/>
              <w:left w:val="nil"/>
              <w:bottom w:val="nil"/>
              <w:right w:val="nil"/>
            </w:tcBorders>
            <w:shd w:val="clear" w:color="auto" w:fill="auto"/>
            <w:vAlign w:val="center"/>
          </w:tcPr>
          <w:p w14:paraId="72BC1F62">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0.16%</w:t>
            </w:r>
          </w:p>
        </w:tc>
        <w:tc>
          <w:tcPr>
            <w:tcW w:w="1055" w:type="dxa"/>
            <w:tcBorders>
              <w:top w:val="nil"/>
              <w:left w:val="nil"/>
              <w:bottom w:val="nil"/>
              <w:right w:val="nil"/>
            </w:tcBorders>
            <w:shd w:val="clear" w:color="auto" w:fill="auto"/>
            <w:vAlign w:val="center"/>
          </w:tcPr>
          <w:p w14:paraId="5718C482">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-1.41%</w:t>
            </w:r>
          </w:p>
        </w:tc>
        <w:tc>
          <w:tcPr>
            <w:tcW w:w="1056" w:type="dxa"/>
            <w:tcBorders>
              <w:top w:val="nil"/>
              <w:left w:val="nil"/>
              <w:bottom w:val="nil"/>
              <w:right w:val="nil"/>
            </w:tcBorders>
            <w:shd w:val="clear" w:color="auto" w:fill="auto"/>
            <w:vAlign w:val="center"/>
          </w:tcPr>
          <w:p w14:paraId="58E7220D">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-5.00%</w:t>
            </w:r>
          </w:p>
        </w:tc>
      </w:tr>
      <w:tr w14:paraId="7BCBA974">
        <w:trPr>
          <w:trHeight w:val="0" w:hRule="atLeast"/>
          <w:jc w:val="center"/>
        </w:trPr>
        <w:tc>
          <w:tcPr>
            <w:tcW w:w="1585" w:type="dxa"/>
            <w:tcBorders>
              <w:top w:val="nil"/>
              <w:left w:val="nil"/>
              <w:bottom w:val="nil"/>
              <w:right w:val="nil"/>
            </w:tcBorders>
            <w:shd w:val="clear" w:color="auto" w:fill="auto"/>
            <w:vAlign w:val="center"/>
          </w:tcPr>
          <w:p w14:paraId="2B6985F5">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AI业务赋能型</w:t>
            </w:r>
          </w:p>
        </w:tc>
        <w:tc>
          <w:tcPr>
            <w:tcW w:w="1508" w:type="dxa"/>
            <w:tcBorders>
              <w:top w:val="nil"/>
              <w:left w:val="nil"/>
              <w:bottom w:val="nil"/>
              <w:right w:val="nil"/>
            </w:tcBorders>
            <w:shd w:val="clear" w:color="auto" w:fill="auto"/>
            <w:vAlign w:val="center"/>
          </w:tcPr>
          <w:p w14:paraId="47A987E0">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巨人网络</w:t>
            </w:r>
          </w:p>
        </w:tc>
        <w:tc>
          <w:tcPr>
            <w:tcW w:w="1205" w:type="dxa"/>
            <w:tcBorders>
              <w:top w:val="nil"/>
              <w:left w:val="nil"/>
              <w:bottom w:val="nil"/>
              <w:right w:val="nil"/>
            </w:tcBorders>
            <w:shd w:val="clear" w:color="auto" w:fill="auto"/>
            <w:vAlign w:val="center"/>
          </w:tcPr>
          <w:p w14:paraId="649A24A7">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46.94%</w:t>
            </w:r>
          </w:p>
        </w:tc>
        <w:tc>
          <w:tcPr>
            <w:tcW w:w="1055" w:type="dxa"/>
            <w:tcBorders>
              <w:top w:val="nil"/>
              <w:left w:val="nil"/>
              <w:bottom w:val="nil"/>
              <w:right w:val="nil"/>
            </w:tcBorders>
            <w:shd w:val="clear" w:color="auto" w:fill="auto"/>
            <w:vAlign w:val="center"/>
          </w:tcPr>
          <w:p w14:paraId="0C3188B3">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46.58%</w:t>
            </w:r>
          </w:p>
        </w:tc>
        <w:tc>
          <w:tcPr>
            <w:tcW w:w="1055" w:type="dxa"/>
            <w:tcBorders>
              <w:top w:val="nil"/>
              <w:left w:val="nil"/>
              <w:bottom w:val="nil"/>
              <w:right w:val="nil"/>
            </w:tcBorders>
            <w:shd w:val="clear" w:color="auto" w:fill="auto"/>
            <w:vAlign w:val="center"/>
          </w:tcPr>
          <w:p w14:paraId="36C9C2FB">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40.92%</w:t>
            </w:r>
          </w:p>
        </w:tc>
        <w:tc>
          <w:tcPr>
            <w:tcW w:w="1055" w:type="dxa"/>
            <w:tcBorders>
              <w:top w:val="nil"/>
              <w:left w:val="nil"/>
              <w:bottom w:val="nil"/>
              <w:right w:val="nil"/>
            </w:tcBorders>
            <w:shd w:val="clear" w:color="auto" w:fill="auto"/>
            <w:vAlign w:val="center"/>
          </w:tcPr>
          <w:p w14:paraId="7C3B42B5">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37.34%</w:t>
            </w:r>
          </w:p>
        </w:tc>
        <w:tc>
          <w:tcPr>
            <w:tcW w:w="1056" w:type="dxa"/>
            <w:tcBorders>
              <w:top w:val="nil"/>
              <w:left w:val="nil"/>
              <w:bottom w:val="nil"/>
              <w:right w:val="nil"/>
            </w:tcBorders>
            <w:shd w:val="clear" w:color="auto" w:fill="auto"/>
            <w:vAlign w:val="center"/>
          </w:tcPr>
          <w:p w14:paraId="2AAE2927">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48.96%</w:t>
            </w:r>
          </w:p>
        </w:tc>
      </w:tr>
      <w:tr w14:paraId="1060B2BF">
        <w:trPr>
          <w:trHeight w:val="0" w:hRule="atLeast"/>
          <w:jc w:val="center"/>
        </w:trPr>
        <w:tc>
          <w:tcPr>
            <w:tcW w:w="1585" w:type="dxa"/>
            <w:tcBorders>
              <w:top w:val="nil"/>
              <w:left w:val="nil"/>
              <w:bottom w:val="nil"/>
              <w:right w:val="nil"/>
            </w:tcBorders>
            <w:shd w:val="clear" w:color="auto" w:fill="auto"/>
            <w:vAlign w:val="center"/>
          </w:tcPr>
          <w:p w14:paraId="5C058FDB">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AI业务赋能型</w:t>
            </w:r>
          </w:p>
        </w:tc>
        <w:tc>
          <w:tcPr>
            <w:tcW w:w="1508" w:type="dxa"/>
            <w:tcBorders>
              <w:top w:val="nil"/>
              <w:left w:val="nil"/>
              <w:bottom w:val="nil"/>
              <w:right w:val="nil"/>
            </w:tcBorders>
            <w:shd w:val="clear" w:color="auto" w:fill="auto"/>
            <w:vAlign w:val="center"/>
          </w:tcPr>
          <w:p w14:paraId="25A210C0">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世纪天鸿</w:t>
            </w:r>
          </w:p>
        </w:tc>
        <w:tc>
          <w:tcPr>
            <w:tcW w:w="1205" w:type="dxa"/>
            <w:tcBorders>
              <w:top w:val="nil"/>
              <w:left w:val="nil"/>
              <w:bottom w:val="nil"/>
              <w:right w:val="nil"/>
            </w:tcBorders>
            <w:shd w:val="clear" w:color="auto" w:fill="auto"/>
            <w:vAlign w:val="center"/>
          </w:tcPr>
          <w:p w14:paraId="59773ECC">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9.32%</w:t>
            </w:r>
          </w:p>
        </w:tc>
        <w:tc>
          <w:tcPr>
            <w:tcW w:w="1055" w:type="dxa"/>
            <w:tcBorders>
              <w:top w:val="nil"/>
              <w:left w:val="nil"/>
              <w:bottom w:val="nil"/>
              <w:right w:val="nil"/>
            </w:tcBorders>
            <w:shd w:val="clear" w:color="auto" w:fill="auto"/>
            <w:vAlign w:val="center"/>
          </w:tcPr>
          <w:p w14:paraId="70059D2E">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8.66%</w:t>
            </w:r>
          </w:p>
        </w:tc>
        <w:tc>
          <w:tcPr>
            <w:tcW w:w="1055" w:type="dxa"/>
            <w:tcBorders>
              <w:top w:val="nil"/>
              <w:left w:val="nil"/>
              <w:bottom w:val="nil"/>
              <w:right w:val="nil"/>
            </w:tcBorders>
            <w:shd w:val="clear" w:color="auto" w:fill="auto"/>
            <w:vAlign w:val="center"/>
          </w:tcPr>
          <w:p w14:paraId="082F34C9">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8.47%</w:t>
            </w:r>
          </w:p>
        </w:tc>
        <w:tc>
          <w:tcPr>
            <w:tcW w:w="1055" w:type="dxa"/>
            <w:tcBorders>
              <w:top w:val="nil"/>
              <w:left w:val="nil"/>
              <w:bottom w:val="nil"/>
              <w:right w:val="nil"/>
            </w:tcBorders>
            <w:shd w:val="clear" w:color="auto" w:fill="auto"/>
            <w:vAlign w:val="center"/>
          </w:tcPr>
          <w:p w14:paraId="38C11189">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8.55%</w:t>
            </w:r>
          </w:p>
        </w:tc>
        <w:tc>
          <w:tcPr>
            <w:tcW w:w="1056" w:type="dxa"/>
            <w:tcBorders>
              <w:top w:val="nil"/>
              <w:left w:val="nil"/>
              <w:bottom w:val="nil"/>
              <w:right w:val="nil"/>
            </w:tcBorders>
            <w:shd w:val="clear" w:color="auto" w:fill="auto"/>
            <w:vAlign w:val="center"/>
          </w:tcPr>
          <w:p w14:paraId="328C30EA">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8.38%</w:t>
            </w:r>
          </w:p>
        </w:tc>
      </w:tr>
      <w:tr w14:paraId="37AA53B2">
        <w:trPr>
          <w:trHeight w:val="0" w:hRule="atLeast"/>
          <w:jc w:val="center"/>
        </w:trPr>
        <w:tc>
          <w:tcPr>
            <w:tcW w:w="1585" w:type="dxa"/>
            <w:tcBorders>
              <w:top w:val="nil"/>
              <w:left w:val="nil"/>
              <w:bottom w:val="single" w:color="auto" w:sz="12" w:space="0"/>
              <w:right w:val="nil"/>
            </w:tcBorders>
            <w:shd w:val="clear" w:color="auto" w:fill="auto"/>
            <w:vAlign w:val="center"/>
          </w:tcPr>
          <w:p w14:paraId="161F398F">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AI业务赋能型</w:t>
            </w:r>
          </w:p>
        </w:tc>
        <w:tc>
          <w:tcPr>
            <w:tcW w:w="1508" w:type="dxa"/>
            <w:tcBorders>
              <w:top w:val="nil"/>
              <w:left w:val="nil"/>
              <w:bottom w:val="single" w:color="auto" w:sz="12" w:space="0"/>
              <w:right w:val="nil"/>
            </w:tcBorders>
            <w:shd w:val="clear" w:color="auto" w:fill="auto"/>
            <w:vAlign w:val="center"/>
          </w:tcPr>
          <w:p w14:paraId="220EBEFB">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思美传媒</w:t>
            </w:r>
          </w:p>
        </w:tc>
        <w:tc>
          <w:tcPr>
            <w:tcW w:w="1205" w:type="dxa"/>
            <w:tcBorders>
              <w:top w:val="nil"/>
              <w:left w:val="nil"/>
              <w:bottom w:val="single" w:color="auto" w:sz="12" w:space="0"/>
              <w:right w:val="nil"/>
            </w:tcBorders>
            <w:shd w:val="clear" w:color="auto" w:fill="auto"/>
            <w:vAlign w:val="center"/>
          </w:tcPr>
          <w:p w14:paraId="5D3E1587">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-28.95%</w:t>
            </w:r>
          </w:p>
        </w:tc>
        <w:tc>
          <w:tcPr>
            <w:tcW w:w="1055" w:type="dxa"/>
            <w:tcBorders>
              <w:top w:val="nil"/>
              <w:left w:val="nil"/>
              <w:bottom w:val="single" w:color="auto" w:sz="12" w:space="0"/>
              <w:right w:val="nil"/>
            </w:tcBorders>
            <w:shd w:val="clear" w:color="auto" w:fill="auto"/>
            <w:vAlign w:val="center"/>
          </w:tcPr>
          <w:p w14:paraId="597A029D">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1.45%</w:t>
            </w:r>
          </w:p>
        </w:tc>
        <w:tc>
          <w:tcPr>
            <w:tcW w:w="1055" w:type="dxa"/>
            <w:tcBorders>
              <w:top w:val="nil"/>
              <w:left w:val="nil"/>
              <w:bottom w:val="single" w:color="auto" w:sz="12" w:space="0"/>
              <w:right w:val="nil"/>
            </w:tcBorders>
            <w:shd w:val="clear" w:color="auto" w:fill="auto"/>
            <w:vAlign w:val="center"/>
          </w:tcPr>
          <w:p w14:paraId="03219323">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-9.72%</w:t>
            </w:r>
          </w:p>
        </w:tc>
        <w:tc>
          <w:tcPr>
            <w:tcW w:w="1055" w:type="dxa"/>
            <w:tcBorders>
              <w:top w:val="nil"/>
              <w:left w:val="nil"/>
              <w:bottom w:val="single" w:color="auto" w:sz="12" w:space="0"/>
              <w:right w:val="nil"/>
            </w:tcBorders>
            <w:shd w:val="clear" w:color="auto" w:fill="auto"/>
            <w:vAlign w:val="center"/>
          </w:tcPr>
          <w:p w14:paraId="3C6F88D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-2.37%</w:t>
            </w:r>
          </w:p>
        </w:tc>
        <w:tc>
          <w:tcPr>
            <w:tcW w:w="1056" w:type="dxa"/>
            <w:tcBorders>
              <w:top w:val="nil"/>
              <w:left w:val="nil"/>
              <w:bottom w:val="single" w:color="auto" w:sz="12" w:space="0"/>
              <w:right w:val="nil"/>
            </w:tcBorders>
            <w:shd w:val="clear" w:color="auto" w:fill="auto"/>
            <w:vAlign w:val="center"/>
          </w:tcPr>
          <w:p w14:paraId="329CEEF3">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-0.58%</w:t>
            </w:r>
          </w:p>
        </w:tc>
      </w:tr>
    </w:tbl>
    <w:p w14:paraId="7A50E94E">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从上述分析和图4-3的整体趋势变化可知，销售净利率在不同企业之间呈现出明显差异，</w:t>
      </w:r>
      <w:r>
        <w:rPr>
          <w:rFonts w:hint="default" w:ascii="Times New Roman" w:hAnsi="Times New Roman" w:eastAsia="宋体" w:cs="Times New Roman"/>
          <w:sz w:val="24"/>
          <w:szCs w:val="24"/>
        </w:rPr>
        <w:t>其中巨人网络长期维持较高水平，说明其收入向利润的转化效率显著强于其他样本</w:t>
      </w:r>
      <w:r>
        <w:rPr>
          <w:rFonts w:hint="default" w:ascii="Times New Roman" w:hAnsi="Times New Roman" w:eastAsia="宋体" w:cs="Times New Roman"/>
          <w:sz w:val="24"/>
          <w:szCs w:val="24"/>
          <w:lang w:val="en-US" w:eastAsia="zh-CN"/>
        </w:rPr>
        <w:t>企业</w:t>
      </w:r>
      <w:r>
        <w:rPr>
          <w:rFonts w:hint="default" w:ascii="Times New Roman" w:hAnsi="Times New Roman" w:eastAsia="宋体" w:cs="Times New Roman"/>
          <w:sz w:val="24"/>
          <w:szCs w:val="24"/>
          <w:lang w:eastAsia="zh-CN"/>
        </w:rPr>
        <w:t>；世纪天鸿和佳讯飞鸿处于中低位但相对稳定，表现出一定的盈利韧性；</w:t>
      </w:r>
      <w:r>
        <w:rPr>
          <w:rFonts w:hint="default" w:ascii="Times New Roman" w:hAnsi="Times New Roman" w:eastAsia="宋体" w:cs="Times New Roman"/>
          <w:sz w:val="24"/>
          <w:szCs w:val="24"/>
        </w:rPr>
        <w:t>方直科技净利率水平较高，但年度波动较为明显；而天地在线与思美传媒则在样本期内出现明显下降甚至转负的情况</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说明其收入扩张并未有效转化为利润增长。也就是说，样本企业之间盈利能力的差异，首先就体现在销售净利率这一环节</w:t>
      </w:r>
      <w:r>
        <w:rPr>
          <w:rFonts w:hint="default" w:ascii="Times New Roman" w:hAnsi="Times New Roman" w:eastAsia="宋体" w:cs="Times New Roman"/>
          <w:kern w:val="2"/>
          <w:sz w:val="24"/>
          <w:szCs w:val="24"/>
          <w:lang w:val="en-US" w:eastAsia="zh-CN" w:bidi="ar-SA"/>
        </w:rPr>
        <w:t>。</w:t>
      </w:r>
    </w:p>
    <w:p w14:paraId="6D12623B">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cs="Times New Roman"/>
        </w:rPr>
        <w:drawing>
          <wp:anchor distT="0" distB="0" distL="114300" distR="114300" simplePos="0" relativeHeight="251659264" behindDoc="0" locked="0" layoutInCell="1" allowOverlap="1">
            <wp:simplePos x="0" y="0"/>
            <wp:positionH relativeFrom="column">
              <wp:posOffset>100965</wp:posOffset>
            </wp:positionH>
            <wp:positionV relativeFrom="paragraph">
              <wp:posOffset>274320</wp:posOffset>
            </wp:positionV>
            <wp:extent cx="5269865" cy="2475230"/>
            <wp:effectExtent l="4445" t="4445" r="12065" b="6350"/>
            <wp:wrapTopAndBottom/>
            <wp:docPr id="4" name="图表 3"/>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anchor>
        </w:drawing>
      </w:r>
    </w:p>
    <w:p w14:paraId="7CE1EC9D">
      <w:pPr>
        <w:widowControl/>
        <w:tabs>
          <w:tab w:val="left" w:pos="377"/>
        </w:tabs>
        <w:autoSpaceDE/>
        <w:autoSpaceDN/>
        <w:snapToGrid/>
        <w:spacing w:before="156" w:beforeLines="50"/>
        <w:jc w:val="center"/>
        <w:rPr>
          <w:rFonts w:hint="default" w:ascii="Times New Roman" w:hAnsi="Times New Roman" w:eastAsia="宋体" w:cs="Times New Roman"/>
          <w:spacing w:val="10"/>
          <w:kern w:val="0"/>
          <w:szCs w:val="20"/>
          <w:lang w:val="en-US" w:eastAsia="zh-CN"/>
        </w:rPr>
      </w:pPr>
      <w:r>
        <w:rPr>
          <w:rFonts w:hint="default" w:ascii="Times New Roman" w:hAnsi="Times New Roman" w:eastAsia="宋体" w:cs="Times New Roman"/>
          <w:spacing w:val="10"/>
          <w:kern w:val="0"/>
          <w:szCs w:val="20"/>
          <w:lang w:val="en-US" w:eastAsia="zh-CN"/>
        </w:rPr>
        <w:t>图4-3 典型样本企业销售净利率变化趋势图</w:t>
      </w:r>
    </w:p>
    <w:p w14:paraId="43561211">
      <w:pPr>
        <w:autoSpaceDE/>
        <w:autoSpaceDN/>
        <w:snapToGrid/>
        <w:spacing w:before="156" w:beforeLines="50" w:after="156" w:afterLines="50" w:line="420" w:lineRule="exact"/>
        <w:jc w:val="left"/>
        <w:outlineLvl w:val="2"/>
        <w:rPr>
          <w:rFonts w:hint="default" w:ascii="Times New Roman" w:hAnsi="Times New Roman" w:eastAsia="黑体" w:cs="Times New Roman"/>
          <w:color w:val="000000"/>
          <w:kern w:val="0"/>
          <w:sz w:val="28"/>
          <w:szCs w:val="28"/>
          <w:lang w:val="en-US" w:eastAsia="zh-CN"/>
        </w:rPr>
      </w:pPr>
      <w:r>
        <w:rPr>
          <w:rFonts w:hint="default" w:ascii="Times New Roman" w:hAnsi="Times New Roman" w:eastAsia="黑体" w:cs="Times New Roman"/>
          <w:color w:val="000000"/>
          <w:kern w:val="0"/>
          <w:sz w:val="28"/>
          <w:szCs w:val="28"/>
          <w:lang w:val="en-US" w:eastAsia="zh-CN"/>
        </w:rPr>
        <w:t>4.2.1.1 AI独立产品型企业销售净利率分析</w:t>
      </w:r>
    </w:p>
    <w:p w14:paraId="4A5D4C90">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1</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方直科技</w:t>
      </w:r>
    </w:p>
    <w:p w14:paraId="0289DAC0">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2020—2024年，方直科技的销售净利率分别为0.2544、0.2037、0.2165、0.3133和0.188，整体呈现出波动较大的特征。其中2023年销售净利率达到31.33%的阶段性高点，而2024年则回落至18.80%。进一步拆解可以看到，公司同期毛利率由64.30%上升至82.84%，营业成本率则由35.71%持续下降至17.16%，说明其产品本身的盈利空间实际上在不断改善。从产品盈利基础看，方直科技并不存在毛利不足的问题，相反，其教育数字化和AI教育产品的高附加值使其拥有较强的毛利能力。</w:t>
      </w:r>
    </w:p>
    <w:p w14:paraId="674D4F15">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问题主要出现在费用端</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表4-7列示了方直科技2020—2024年的主要期间费用率变化情况</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公司销售费用率由2020年的14.03%上升至2024年的36.05%，五年累计提升超过22个百分点，是费用结构中变化最为明显的部分；管理费用率整体维持在11%—15%之间，波动幅度相对较小；研发费用率则长期维持在较高水平，2021年甚至达到30.23%。相比之下，公司财务费用率长期为负，对利润影响相对有限。</w:t>
      </w:r>
    </w:p>
    <w:p w14:paraId="2A508308">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也就是说，方直科技并不是由于产品卖不出利润，而是由于为了推广教育AI产品和维持技术迭代，需要承担较高的市场与研发投入，导致高毛利并没有完全转化为高净利率。这一现象与</w:t>
      </w:r>
      <w:r>
        <w:rPr>
          <w:rFonts w:hint="default" w:ascii="Times New Roman" w:hAnsi="Times New Roman" w:eastAsia="宋体" w:cs="Times New Roman"/>
          <w:sz w:val="24"/>
          <w:szCs w:val="24"/>
          <w:lang w:val="en-US"/>
        </w:rPr>
        <w:t>AI</w:t>
      </w:r>
      <w:r>
        <w:rPr>
          <w:rFonts w:hint="default" w:ascii="Times New Roman" w:hAnsi="Times New Roman" w:eastAsia="宋体" w:cs="Times New Roman"/>
          <w:sz w:val="24"/>
          <w:szCs w:val="24"/>
        </w:rPr>
        <w:t>教育行业的商业化特征相吻合。教育部关于人工智能赋能教育行动的公开信息显示，当前AI教育应用正处于由试点走向系统化推广的阶段，产品落地需要经历课程适配、学校试用、区域推广和持续迭代等过程。对方直科技而言，正是这种高附加值产品</w:t>
      </w:r>
      <w:r>
        <w:rPr>
          <w:rFonts w:hint="default" w:ascii="Times New Roman" w:hAnsi="Times New Roman" w:eastAsia="宋体" w:cs="Times New Roman"/>
          <w:sz w:val="24"/>
          <w:szCs w:val="24"/>
          <w:lang w:val="en-US"/>
        </w:rPr>
        <w:t>、</w:t>
      </w:r>
      <w:r>
        <w:rPr>
          <w:rFonts w:hint="default" w:ascii="Times New Roman" w:hAnsi="Times New Roman" w:eastAsia="宋体" w:cs="Times New Roman"/>
          <w:sz w:val="24"/>
          <w:szCs w:val="24"/>
        </w:rPr>
        <w:t>较长推广周期</w:t>
      </w:r>
      <w:r>
        <w:rPr>
          <w:rFonts w:hint="eastAsia" w:ascii="Times New Roman" w:hAnsi="Times New Roman" w:eastAsia="宋体" w:cs="Times New Roman"/>
          <w:sz w:val="24"/>
          <w:szCs w:val="24"/>
          <w:lang w:val="en-US" w:eastAsia="zh-CN"/>
        </w:rPr>
        <w:t>和</w:t>
      </w:r>
      <w:r>
        <w:rPr>
          <w:rFonts w:hint="default" w:ascii="Times New Roman" w:hAnsi="Times New Roman" w:eastAsia="宋体" w:cs="Times New Roman"/>
          <w:sz w:val="24"/>
          <w:szCs w:val="24"/>
        </w:rPr>
        <w:t>持续</w:t>
      </w:r>
      <w:r>
        <w:rPr>
          <w:rFonts w:hint="eastAsia" w:ascii="Times New Roman" w:hAnsi="Times New Roman" w:eastAsia="宋体" w:cs="Times New Roman"/>
          <w:sz w:val="24"/>
          <w:szCs w:val="24"/>
          <w:lang w:val="en-US" w:eastAsia="zh-CN"/>
        </w:rPr>
        <w:t>研发</w:t>
      </w:r>
      <w:r>
        <w:rPr>
          <w:rFonts w:hint="default" w:ascii="Times New Roman" w:hAnsi="Times New Roman" w:eastAsia="宋体" w:cs="Times New Roman"/>
          <w:sz w:val="24"/>
          <w:szCs w:val="24"/>
        </w:rPr>
        <w:t>投入的组合，导致其销售净利率虽然整体较高，但难以保持持续上升。</w:t>
      </w:r>
    </w:p>
    <w:p w14:paraId="544FB78B">
      <w:pPr>
        <w:widowControl/>
        <w:tabs>
          <w:tab w:val="left" w:pos="377"/>
        </w:tabs>
        <w:autoSpaceDE/>
        <w:autoSpaceDN/>
        <w:snapToGrid/>
        <w:spacing w:before="156" w:beforeLines="50"/>
        <w:jc w:val="center"/>
        <w:rPr>
          <w:rFonts w:hint="default" w:ascii="Times New Roman" w:hAnsi="Times New Roman" w:eastAsia="宋体" w:cs="Times New Roman"/>
          <w:spacing w:val="10"/>
          <w:kern w:val="0"/>
          <w:szCs w:val="20"/>
          <w:lang w:val="en-US" w:eastAsia="zh-CN"/>
        </w:rPr>
      </w:pPr>
      <w:r>
        <w:rPr>
          <w:rFonts w:hint="default" w:ascii="Times New Roman" w:hAnsi="Times New Roman" w:eastAsia="宋体" w:cs="Times New Roman"/>
          <w:spacing w:val="10"/>
          <w:kern w:val="0"/>
          <w:szCs w:val="20"/>
          <w:lang w:val="en-US" w:eastAsia="zh-CN"/>
        </w:rPr>
        <w:t>表4-7 方直科技期间费用率变化表</w:t>
      </w:r>
    </w:p>
    <w:tbl>
      <w:tblPr>
        <w:tblStyle w:val="7"/>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943"/>
        <w:gridCol w:w="1894"/>
        <w:gridCol w:w="1894"/>
        <w:gridCol w:w="1894"/>
        <w:gridCol w:w="1894"/>
      </w:tblGrid>
      <w:tr w14:paraId="375764D3">
        <w:trPr>
          <w:trHeight w:val="0" w:hRule="atLeast"/>
          <w:tblHeader/>
          <w:jc w:val="center"/>
        </w:trPr>
        <w:tc>
          <w:tcPr>
            <w:tcW w:w="943" w:type="dxa"/>
            <w:tcBorders>
              <w:top w:val="single" w:color="auto" w:sz="12" w:space="0"/>
              <w:left w:val="nil"/>
              <w:bottom w:val="single" w:color="auto" w:sz="4" w:space="0"/>
              <w:right w:val="nil"/>
            </w:tcBorders>
            <w:shd w:val="clear" w:color="auto" w:fill="auto"/>
            <w:vAlign w:val="center"/>
          </w:tcPr>
          <w:p w14:paraId="4D7BBA33">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年份</w:t>
            </w:r>
          </w:p>
        </w:tc>
        <w:tc>
          <w:tcPr>
            <w:tcW w:w="1894" w:type="dxa"/>
            <w:tcBorders>
              <w:top w:val="single" w:color="auto" w:sz="12" w:space="0"/>
              <w:left w:val="nil"/>
              <w:bottom w:val="single" w:color="auto" w:sz="4" w:space="0"/>
              <w:right w:val="nil"/>
            </w:tcBorders>
            <w:shd w:val="clear" w:color="auto" w:fill="auto"/>
            <w:vAlign w:val="center"/>
          </w:tcPr>
          <w:p w14:paraId="4DFEA9DD">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销售费用率</w:t>
            </w:r>
          </w:p>
        </w:tc>
        <w:tc>
          <w:tcPr>
            <w:tcW w:w="1894" w:type="dxa"/>
            <w:tcBorders>
              <w:top w:val="single" w:color="auto" w:sz="12" w:space="0"/>
              <w:left w:val="nil"/>
              <w:bottom w:val="single" w:color="auto" w:sz="4" w:space="0"/>
              <w:right w:val="nil"/>
            </w:tcBorders>
            <w:shd w:val="clear" w:color="auto" w:fill="auto"/>
            <w:vAlign w:val="center"/>
          </w:tcPr>
          <w:p w14:paraId="6911E448">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管理费用率</w:t>
            </w:r>
          </w:p>
        </w:tc>
        <w:tc>
          <w:tcPr>
            <w:tcW w:w="1894" w:type="dxa"/>
            <w:tcBorders>
              <w:top w:val="single" w:color="auto" w:sz="12" w:space="0"/>
              <w:left w:val="nil"/>
              <w:bottom w:val="single" w:color="auto" w:sz="4" w:space="0"/>
              <w:right w:val="nil"/>
            </w:tcBorders>
            <w:shd w:val="clear" w:color="auto" w:fill="auto"/>
            <w:vAlign w:val="center"/>
          </w:tcPr>
          <w:p w14:paraId="268BAD4D">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财务费用率</w:t>
            </w:r>
          </w:p>
        </w:tc>
        <w:tc>
          <w:tcPr>
            <w:tcW w:w="1894" w:type="dxa"/>
            <w:tcBorders>
              <w:top w:val="single" w:color="auto" w:sz="12" w:space="0"/>
              <w:left w:val="nil"/>
              <w:bottom w:val="single" w:color="auto" w:sz="4" w:space="0"/>
              <w:right w:val="nil"/>
            </w:tcBorders>
            <w:shd w:val="clear" w:color="auto" w:fill="auto"/>
            <w:vAlign w:val="center"/>
          </w:tcPr>
          <w:p w14:paraId="02753B9A">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研发费用率</w:t>
            </w:r>
          </w:p>
        </w:tc>
      </w:tr>
      <w:tr w14:paraId="6223F537">
        <w:trPr>
          <w:trHeight w:val="0" w:hRule="atLeast"/>
          <w:jc w:val="center"/>
        </w:trPr>
        <w:tc>
          <w:tcPr>
            <w:tcW w:w="943" w:type="dxa"/>
            <w:tcBorders>
              <w:top w:val="single" w:color="auto" w:sz="4" w:space="0"/>
              <w:left w:val="nil"/>
              <w:bottom w:val="nil"/>
              <w:right w:val="nil"/>
            </w:tcBorders>
            <w:shd w:val="clear" w:color="auto" w:fill="auto"/>
            <w:vAlign w:val="center"/>
          </w:tcPr>
          <w:p w14:paraId="4E5CC291">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2020</w:t>
            </w:r>
          </w:p>
        </w:tc>
        <w:tc>
          <w:tcPr>
            <w:tcW w:w="1894" w:type="dxa"/>
            <w:tcBorders>
              <w:top w:val="single" w:color="auto" w:sz="4" w:space="0"/>
              <w:left w:val="nil"/>
              <w:bottom w:val="nil"/>
              <w:right w:val="nil"/>
            </w:tcBorders>
            <w:shd w:val="clear" w:color="auto" w:fill="auto"/>
            <w:vAlign w:val="center"/>
          </w:tcPr>
          <w:p w14:paraId="585B57F8">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14.03%</w:t>
            </w:r>
          </w:p>
        </w:tc>
        <w:tc>
          <w:tcPr>
            <w:tcW w:w="1894" w:type="dxa"/>
            <w:tcBorders>
              <w:top w:val="single" w:color="auto" w:sz="4" w:space="0"/>
              <w:left w:val="nil"/>
              <w:bottom w:val="nil"/>
              <w:right w:val="nil"/>
            </w:tcBorders>
            <w:shd w:val="clear" w:color="auto" w:fill="auto"/>
            <w:vAlign w:val="center"/>
          </w:tcPr>
          <w:p w14:paraId="6A859A69">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12.96%</w:t>
            </w:r>
          </w:p>
        </w:tc>
        <w:tc>
          <w:tcPr>
            <w:tcW w:w="1894" w:type="dxa"/>
            <w:tcBorders>
              <w:top w:val="single" w:color="auto" w:sz="4" w:space="0"/>
              <w:left w:val="nil"/>
              <w:bottom w:val="nil"/>
              <w:right w:val="nil"/>
            </w:tcBorders>
            <w:shd w:val="clear" w:color="auto" w:fill="auto"/>
            <w:vAlign w:val="center"/>
          </w:tcPr>
          <w:p w14:paraId="3171DCF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-5.25%</w:t>
            </w:r>
          </w:p>
        </w:tc>
        <w:tc>
          <w:tcPr>
            <w:tcW w:w="1894" w:type="dxa"/>
            <w:tcBorders>
              <w:top w:val="single" w:color="auto" w:sz="4" w:space="0"/>
              <w:left w:val="nil"/>
              <w:bottom w:val="nil"/>
              <w:right w:val="nil"/>
            </w:tcBorders>
            <w:shd w:val="clear" w:color="auto" w:fill="auto"/>
            <w:vAlign w:val="center"/>
          </w:tcPr>
          <w:p w14:paraId="2BF7AA62">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22.00%</w:t>
            </w:r>
          </w:p>
        </w:tc>
      </w:tr>
      <w:tr w14:paraId="3D5D92E5">
        <w:trPr>
          <w:trHeight w:val="0" w:hRule="atLeast"/>
          <w:jc w:val="center"/>
        </w:trPr>
        <w:tc>
          <w:tcPr>
            <w:tcW w:w="943" w:type="dxa"/>
            <w:tcBorders>
              <w:top w:val="nil"/>
              <w:left w:val="nil"/>
              <w:bottom w:val="nil"/>
              <w:right w:val="nil"/>
            </w:tcBorders>
            <w:shd w:val="clear" w:color="auto" w:fill="auto"/>
            <w:vAlign w:val="center"/>
          </w:tcPr>
          <w:p w14:paraId="1A656A5B">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2021</w:t>
            </w:r>
          </w:p>
        </w:tc>
        <w:tc>
          <w:tcPr>
            <w:tcW w:w="1894" w:type="dxa"/>
            <w:tcBorders>
              <w:top w:val="nil"/>
              <w:left w:val="nil"/>
              <w:bottom w:val="nil"/>
              <w:right w:val="nil"/>
            </w:tcBorders>
            <w:shd w:val="clear" w:color="auto" w:fill="auto"/>
            <w:vAlign w:val="center"/>
          </w:tcPr>
          <w:p w14:paraId="39416AD5">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15.79%</w:t>
            </w:r>
          </w:p>
        </w:tc>
        <w:tc>
          <w:tcPr>
            <w:tcW w:w="1894" w:type="dxa"/>
            <w:tcBorders>
              <w:top w:val="nil"/>
              <w:left w:val="nil"/>
              <w:bottom w:val="nil"/>
              <w:right w:val="nil"/>
            </w:tcBorders>
            <w:shd w:val="clear" w:color="auto" w:fill="auto"/>
            <w:vAlign w:val="center"/>
          </w:tcPr>
          <w:p w14:paraId="4E7528A6">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13.34%</w:t>
            </w:r>
          </w:p>
        </w:tc>
        <w:tc>
          <w:tcPr>
            <w:tcW w:w="1894" w:type="dxa"/>
            <w:tcBorders>
              <w:top w:val="nil"/>
              <w:left w:val="nil"/>
              <w:bottom w:val="nil"/>
              <w:right w:val="nil"/>
            </w:tcBorders>
            <w:shd w:val="clear" w:color="auto" w:fill="auto"/>
            <w:vAlign w:val="center"/>
          </w:tcPr>
          <w:p w14:paraId="3123CBB2">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-6.11%</w:t>
            </w:r>
          </w:p>
        </w:tc>
        <w:tc>
          <w:tcPr>
            <w:tcW w:w="1894" w:type="dxa"/>
            <w:tcBorders>
              <w:top w:val="nil"/>
              <w:left w:val="nil"/>
              <w:bottom w:val="nil"/>
              <w:right w:val="nil"/>
            </w:tcBorders>
            <w:shd w:val="clear" w:color="auto" w:fill="auto"/>
            <w:vAlign w:val="center"/>
          </w:tcPr>
          <w:p w14:paraId="4E2A05FB">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30.23%</w:t>
            </w:r>
          </w:p>
        </w:tc>
      </w:tr>
      <w:tr w14:paraId="0D7A4576">
        <w:trPr>
          <w:trHeight w:val="0" w:hRule="atLeast"/>
          <w:jc w:val="center"/>
        </w:trPr>
        <w:tc>
          <w:tcPr>
            <w:tcW w:w="943" w:type="dxa"/>
            <w:tcBorders>
              <w:top w:val="nil"/>
              <w:left w:val="nil"/>
              <w:bottom w:val="nil"/>
              <w:right w:val="nil"/>
            </w:tcBorders>
            <w:shd w:val="clear" w:color="auto" w:fill="auto"/>
            <w:vAlign w:val="center"/>
          </w:tcPr>
          <w:p w14:paraId="1E03E3DC">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2022</w:t>
            </w:r>
          </w:p>
        </w:tc>
        <w:tc>
          <w:tcPr>
            <w:tcW w:w="1894" w:type="dxa"/>
            <w:tcBorders>
              <w:top w:val="nil"/>
              <w:left w:val="nil"/>
              <w:bottom w:val="nil"/>
              <w:right w:val="nil"/>
            </w:tcBorders>
            <w:shd w:val="clear" w:color="auto" w:fill="auto"/>
            <w:vAlign w:val="center"/>
          </w:tcPr>
          <w:p w14:paraId="14A44D80">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23.42%</w:t>
            </w:r>
          </w:p>
        </w:tc>
        <w:tc>
          <w:tcPr>
            <w:tcW w:w="1894" w:type="dxa"/>
            <w:tcBorders>
              <w:top w:val="nil"/>
              <w:left w:val="nil"/>
              <w:bottom w:val="nil"/>
              <w:right w:val="nil"/>
            </w:tcBorders>
            <w:shd w:val="clear" w:color="auto" w:fill="auto"/>
            <w:vAlign w:val="center"/>
          </w:tcPr>
          <w:p w14:paraId="2B404C67">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15.00%</w:t>
            </w:r>
          </w:p>
        </w:tc>
        <w:tc>
          <w:tcPr>
            <w:tcW w:w="1894" w:type="dxa"/>
            <w:tcBorders>
              <w:top w:val="nil"/>
              <w:left w:val="nil"/>
              <w:bottom w:val="nil"/>
              <w:right w:val="nil"/>
            </w:tcBorders>
            <w:shd w:val="clear" w:color="auto" w:fill="auto"/>
            <w:vAlign w:val="center"/>
          </w:tcPr>
          <w:p w14:paraId="1B06B82E">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-3.23%</w:t>
            </w:r>
          </w:p>
        </w:tc>
        <w:tc>
          <w:tcPr>
            <w:tcW w:w="1894" w:type="dxa"/>
            <w:tcBorders>
              <w:top w:val="nil"/>
              <w:left w:val="nil"/>
              <w:bottom w:val="nil"/>
              <w:right w:val="nil"/>
            </w:tcBorders>
            <w:shd w:val="clear" w:color="auto" w:fill="auto"/>
            <w:vAlign w:val="center"/>
          </w:tcPr>
          <w:p w14:paraId="008C338A">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18.52%</w:t>
            </w:r>
          </w:p>
        </w:tc>
      </w:tr>
      <w:tr w14:paraId="54EE8EB6">
        <w:trPr>
          <w:trHeight w:val="0" w:hRule="atLeast"/>
          <w:jc w:val="center"/>
        </w:trPr>
        <w:tc>
          <w:tcPr>
            <w:tcW w:w="943" w:type="dxa"/>
            <w:tcBorders>
              <w:top w:val="nil"/>
              <w:left w:val="nil"/>
              <w:bottom w:val="nil"/>
              <w:right w:val="nil"/>
            </w:tcBorders>
            <w:shd w:val="clear" w:color="auto" w:fill="auto"/>
            <w:vAlign w:val="center"/>
          </w:tcPr>
          <w:p w14:paraId="4B728DA2">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2023</w:t>
            </w:r>
          </w:p>
        </w:tc>
        <w:tc>
          <w:tcPr>
            <w:tcW w:w="1894" w:type="dxa"/>
            <w:tcBorders>
              <w:top w:val="nil"/>
              <w:left w:val="nil"/>
              <w:bottom w:val="nil"/>
              <w:right w:val="nil"/>
            </w:tcBorders>
            <w:shd w:val="clear" w:color="auto" w:fill="auto"/>
            <w:vAlign w:val="center"/>
          </w:tcPr>
          <w:p w14:paraId="54F484C2">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25.85%</w:t>
            </w:r>
          </w:p>
        </w:tc>
        <w:tc>
          <w:tcPr>
            <w:tcW w:w="1894" w:type="dxa"/>
            <w:tcBorders>
              <w:top w:val="nil"/>
              <w:left w:val="nil"/>
              <w:bottom w:val="nil"/>
              <w:right w:val="nil"/>
            </w:tcBorders>
            <w:shd w:val="clear" w:color="auto" w:fill="auto"/>
            <w:vAlign w:val="center"/>
          </w:tcPr>
          <w:p w14:paraId="2AB98F79">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11.11%</w:t>
            </w:r>
          </w:p>
        </w:tc>
        <w:tc>
          <w:tcPr>
            <w:tcW w:w="1894" w:type="dxa"/>
            <w:tcBorders>
              <w:top w:val="nil"/>
              <w:left w:val="nil"/>
              <w:bottom w:val="nil"/>
              <w:right w:val="nil"/>
            </w:tcBorders>
            <w:shd w:val="clear" w:color="auto" w:fill="auto"/>
            <w:vAlign w:val="center"/>
          </w:tcPr>
          <w:p w14:paraId="2E06D3FF">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-2.69%</w:t>
            </w:r>
          </w:p>
        </w:tc>
        <w:tc>
          <w:tcPr>
            <w:tcW w:w="1894" w:type="dxa"/>
            <w:tcBorders>
              <w:top w:val="nil"/>
              <w:left w:val="nil"/>
              <w:bottom w:val="nil"/>
              <w:right w:val="nil"/>
            </w:tcBorders>
            <w:shd w:val="clear" w:color="auto" w:fill="auto"/>
            <w:vAlign w:val="center"/>
          </w:tcPr>
          <w:p w14:paraId="0A386475">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18.60%</w:t>
            </w:r>
          </w:p>
        </w:tc>
      </w:tr>
      <w:tr w14:paraId="11A81BA7">
        <w:trPr>
          <w:trHeight w:val="0" w:hRule="atLeast"/>
          <w:jc w:val="center"/>
        </w:trPr>
        <w:tc>
          <w:tcPr>
            <w:tcW w:w="943" w:type="dxa"/>
            <w:tcBorders>
              <w:top w:val="nil"/>
              <w:left w:val="nil"/>
              <w:bottom w:val="single" w:color="auto" w:sz="12" w:space="0"/>
              <w:right w:val="nil"/>
            </w:tcBorders>
            <w:shd w:val="clear" w:color="auto" w:fill="auto"/>
            <w:vAlign w:val="center"/>
          </w:tcPr>
          <w:p w14:paraId="001F71AF">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2024</w:t>
            </w:r>
          </w:p>
        </w:tc>
        <w:tc>
          <w:tcPr>
            <w:tcW w:w="1894" w:type="dxa"/>
            <w:tcBorders>
              <w:top w:val="nil"/>
              <w:left w:val="nil"/>
              <w:bottom w:val="single" w:color="auto" w:sz="12" w:space="0"/>
              <w:right w:val="nil"/>
            </w:tcBorders>
            <w:shd w:val="clear" w:color="auto" w:fill="auto"/>
            <w:vAlign w:val="center"/>
          </w:tcPr>
          <w:p w14:paraId="264EEAA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36.05%</w:t>
            </w:r>
          </w:p>
        </w:tc>
        <w:tc>
          <w:tcPr>
            <w:tcW w:w="1894" w:type="dxa"/>
            <w:tcBorders>
              <w:top w:val="nil"/>
              <w:left w:val="nil"/>
              <w:bottom w:val="single" w:color="auto" w:sz="12" w:space="0"/>
              <w:right w:val="nil"/>
            </w:tcBorders>
            <w:shd w:val="clear" w:color="auto" w:fill="auto"/>
            <w:vAlign w:val="center"/>
          </w:tcPr>
          <w:p w14:paraId="7B924FC3">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13.83%</w:t>
            </w:r>
          </w:p>
        </w:tc>
        <w:tc>
          <w:tcPr>
            <w:tcW w:w="1894" w:type="dxa"/>
            <w:tcBorders>
              <w:top w:val="nil"/>
              <w:left w:val="nil"/>
              <w:bottom w:val="single" w:color="auto" w:sz="12" w:space="0"/>
              <w:right w:val="nil"/>
            </w:tcBorders>
            <w:shd w:val="clear" w:color="auto" w:fill="auto"/>
            <w:vAlign w:val="center"/>
          </w:tcPr>
          <w:p w14:paraId="5E283CDB">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-4.26%</w:t>
            </w:r>
          </w:p>
        </w:tc>
        <w:tc>
          <w:tcPr>
            <w:tcW w:w="1894" w:type="dxa"/>
            <w:tcBorders>
              <w:top w:val="nil"/>
              <w:left w:val="nil"/>
              <w:bottom w:val="single" w:color="auto" w:sz="12" w:space="0"/>
              <w:right w:val="nil"/>
            </w:tcBorders>
            <w:shd w:val="clear" w:color="auto" w:fill="auto"/>
            <w:vAlign w:val="center"/>
          </w:tcPr>
          <w:p w14:paraId="312A7565">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22.99%</w:t>
            </w:r>
          </w:p>
        </w:tc>
      </w:tr>
    </w:tbl>
    <w:p w14:paraId="131F2551">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数据来源：</w:t>
      </w:r>
      <w:r>
        <w:rPr>
          <w:rFonts w:hint="eastAsia" w:ascii="Times New Roman" w:hAnsi="Times New Roman" w:eastAsia="宋体" w:cs="Times New Roman"/>
          <w:sz w:val="24"/>
          <w:szCs w:val="24"/>
          <w:lang w:val="en-US" w:eastAsia="zh-CN"/>
        </w:rPr>
        <w:t>i</w:t>
      </w:r>
      <w:r>
        <w:rPr>
          <w:rFonts w:hint="default" w:ascii="Times New Roman" w:hAnsi="Times New Roman" w:eastAsia="宋体" w:cs="Times New Roman"/>
          <w:sz w:val="24"/>
          <w:szCs w:val="24"/>
          <w:lang w:val="en-US" w:eastAsia="zh-CN"/>
        </w:rPr>
        <w:t>finD</w:t>
      </w:r>
      <w:r>
        <w:rPr>
          <w:rFonts w:hint="default" w:ascii="Times New Roman" w:hAnsi="Times New Roman" w:eastAsia="宋体" w:cs="Times New Roman"/>
          <w:sz w:val="24"/>
          <w:szCs w:val="24"/>
        </w:rPr>
        <w:t>数据库整理</w:t>
      </w:r>
    </w:p>
    <w:p w14:paraId="621C3C18">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2</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佳讯飞鸿</w:t>
      </w:r>
    </w:p>
    <w:p w14:paraId="0F93C6E1">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eastAsia" w:ascii="Times New Roman" w:hAnsi="Times New Roman" w:eastAsia="宋体" w:cs="Times New Roman"/>
          <w:sz w:val="24"/>
          <w:szCs w:val="24"/>
          <w:lang w:eastAsia="zh-CN"/>
        </w:rPr>
      </w:pPr>
      <w:r>
        <w:rPr>
          <w:rFonts w:hint="default" w:ascii="Times New Roman" w:hAnsi="Times New Roman" w:eastAsia="宋体" w:cs="Times New Roman"/>
          <w:sz w:val="24"/>
          <w:szCs w:val="24"/>
        </w:rPr>
        <w:t>2020—2024年，佳讯飞鸿的销售净利率分别为0.1215、0.1145、0.0533、0.0565和0.0597，整体呈现出明显下降后趋于稳定的趋势。其中，2020年和2021年销售净利率均在11%以上，而2022年下降至5.33%，随后两年基本维持在6%左右，说明其主营业务盈利转化能力偏弱，但尚未失去稳定性。从成本结构看，公司毛利率在38.10%—44.68%之间波动，营业成本率在55.32%—61.90%之间，整体并未发生断崖式恶化，说明其利润率</w:t>
      </w:r>
      <w:r>
        <w:rPr>
          <w:rFonts w:hint="eastAsia" w:ascii="Times New Roman" w:hAnsi="Times New Roman" w:eastAsia="宋体" w:cs="Times New Roman"/>
          <w:sz w:val="24"/>
          <w:szCs w:val="24"/>
          <w:lang w:val="en-US" w:eastAsia="zh-CN"/>
        </w:rPr>
        <w:t>降低</w:t>
      </w:r>
      <w:r>
        <w:rPr>
          <w:rFonts w:hint="default" w:ascii="Times New Roman" w:hAnsi="Times New Roman" w:eastAsia="宋体" w:cs="Times New Roman"/>
          <w:sz w:val="24"/>
          <w:szCs w:val="24"/>
        </w:rPr>
        <w:t>并非主要来自产品附加值突然下降。真正值得关注的是费用结构</w:t>
      </w:r>
      <w:r>
        <w:rPr>
          <w:rFonts w:hint="eastAsia" w:ascii="Times New Roman" w:hAnsi="Times New Roman" w:eastAsia="宋体" w:cs="Times New Roman"/>
          <w:sz w:val="24"/>
          <w:szCs w:val="24"/>
          <w:lang w:eastAsia="zh-CN"/>
        </w:rPr>
        <w:t>。</w:t>
      </w:r>
    </w:p>
    <w:p w14:paraId="3EF10303">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表4-8</w:t>
      </w:r>
      <w:r>
        <w:rPr>
          <w:rFonts w:hint="default" w:ascii="Times New Roman" w:hAnsi="Times New Roman" w:eastAsia="宋体" w:cs="Times New Roman"/>
          <w:sz w:val="24"/>
          <w:szCs w:val="24"/>
          <w:lang w:val="en-US" w:eastAsia="zh-CN"/>
        </w:rPr>
        <w:t>为</w:t>
      </w:r>
      <w:r>
        <w:rPr>
          <w:rFonts w:hint="default" w:ascii="Times New Roman" w:hAnsi="Times New Roman" w:eastAsia="宋体" w:cs="Times New Roman"/>
          <w:sz w:val="24"/>
          <w:szCs w:val="24"/>
          <w:lang w:eastAsia="zh-CN"/>
        </w:rPr>
        <w:t>佳讯飞鸿2020—2024年的主要期间费用率变化情况，公司销售费用率整体较为稳定，基本维持在10%—11%之间；管理费用率在8%—10%区间波动；财务费用率整体水平较低，对企业利润影响相对有限。相比之下，研发费用率呈现出持续上升趋势，由2020年的9.20%上升至2024年的12.46%，五年累计提高超过3个百分点。</w:t>
      </w:r>
    </w:p>
    <w:p w14:paraId="41F238FF">
      <w:pPr>
        <w:widowControl/>
        <w:tabs>
          <w:tab w:val="left" w:pos="377"/>
        </w:tabs>
        <w:autoSpaceDE/>
        <w:autoSpaceDN/>
        <w:snapToGrid/>
        <w:spacing w:before="156" w:beforeLines="50"/>
        <w:jc w:val="center"/>
        <w:rPr>
          <w:rFonts w:hint="default" w:ascii="Times New Roman" w:hAnsi="Times New Roman" w:eastAsia="宋体" w:cs="Times New Roman"/>
          <w:spacing w:val="10"/>
          <w:kern w:val="0"/>
          <w:szCs w:val="20"/>
          <w:lang w:val="en-US" w:eastAsia="zh-CN"/>
        </w:rPr>
      </w:pPr>
      <w:r>
        <w:rPr>
          <w:rFonts w:hint="default" w:ascii="Times New Roman" w:hAnsi="Times New Roman" w:eastAsia="宋体" w:cs="Times New Roman"/>
          <w:spacing w:val="10"/>
          <w:kern w:val="0"/>
          <w:szCs w:val="20"/>
          <w:lang w:val="en-US" w:eastAsia="zh-CN"/>
        </w:rPr>
        <w:t>表4-8 佳讯飞鸿期间费用率变化表</w:t>
      </w:r>
    </w:p>
    <w:tbl>
      <w:tblPr>
        <w:tblStyle w:val="7"/>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943"/>
        <w:gridCol w:w="1894"/>
        <w:gridCol w:w="1894"/>
        <w:gridCol w:w="1894"/>
        <w:gridCol w:w="1894"/>
      </w:tblGrid>
      <w:tr w14:paraId="05D73D16">
        <w:trPr>
          <w:trHeight w:val="0" w:hRule="atLeast"/>
          <w:tblHeader/>
          <w:jc w:val="center"/>
        </w:trPr>
        <w:tc>
          <w:tcPr>
            <w:tcW w:w="943" w:type="dxa"/>
            <w:tcBorders>
              <w:top w:val="single" w:color="auto" w:sz="12" w:space="0"/>
              <w:left w:val="nil"/>
              <w:bottom w:val="single" w:color="auto" w:sz="4" w:space="0"/>
              <w:right w:val="nil"/>
            </w:tcBorders>
            <w:shd w:val="clear" w:color="auto" w:fill="auto"/>
            <w:vAlign w:val="center"/>
          </w:tcPr>
          <w:p w14:paraId="46883C49">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年份</w:t>
            </w:r>
          </w:p>
        </w:tc>
        <w:tc>
          <w:tcPr>
            <w:tcW w:w="1894" w:type="dxa"/>
            <w:tcBorders>
              <w:top w:val="single" w:color="auto" w:sz="12" w:space="0"/>
              <w:left w:val="nil"/>
              <w:bottom w:val="single" w:color="auto" w:sz="4" w:space="0"/>
              <w:right w:val="nil"/>
            </w:tcBorders>
            <w:shd w:val="clear" w:color="auto" w:fill="auto"/>
            <w:vAlign w:val="center"/>
          </w:tcPr>
          <w:p w14:paraId="18DFE14D">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销售费用率</w:t>
            </w:r>
          </w:p>
        </w:tc>
        <w:tc>
          <w:tcPr>
            <w:tcW w:w="1894" w:type="dxa"/>
            <w:tcBorders>
              <w:top w:val="single" w:color="auto" w:sz="12" w:space="0"/>
              <w:left w:val="nil"/>
              <w:bottom w:val="single" w:color="auto" w:sz="4" w:space="0"/>
              <w:right w:val="nil"/>
            </w:tcBorders>
            <w:shd w:val="clear" w:color="auto" w:fill="auto"/>
            <w:vAlign w:val="center"/>
          </w:tcPr>
          <w:p w14:paraId="1347BA92">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管理费用率</w:t>
            </w:r>
          </w:p>
        </w:tc>
        <w:tc>
          <w:tcPr>
            <w:tcW w:w="1894" w:type="dxa"/>
            <w:tcBorders>
              <w:top w:val="single" w:color="auto" w:sz="12" w:space="0"/>
              <w:left w:val="nil"/>
              <w:bottom w:val="single" w:color="auto" w:sz="4" w:space="0"/>
              <w:right w:val="nil"/>
            </w:tcBorders>
            <w:shd w:val="clear" w:color="auto" w:fill="auto"/>
            <w:vAlign w:val="center"/>
          </w:tcPr>
          <w:p w14:paraId="289CD5D2">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财务费用率</w:t>
            </w:r>
          </w:p>
        </w:tc>
        <w:tc>
          <w:tcPr>
            <w:tcW w:w="1894" w:type="dxa"/>
            <w:tcBorders>
              <w:top w:val="single" w:color="auto" w:sz="12" w:space="0"/>
              <w:left w:val="nil"/>
              <w:bottom w:val="single" w:color="auto" w:sz="4" w:space="0"/>
              <w:right w:val="nil"/>
            </w:tcBorders>
            <w:shd w:val="clear" w:color="auto" w:fill="auto"/>
            <w:vAlign w:val="center"/>
          </w:tcPr>
          <w:p w14:paraId="42750F66">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研发费用率</w:t>
            </w:r>
          </w:p>
        </w:tc>
      </w:tr>
      <w:tr w14:paraId="41F71372">
        <w:trPr>
          <w:trHeight w:val="0" w:hRule="atLeast"/>
          <w:jc w:val="center"/>
        </w:trPr>
        <w:tc>
          <w:tcPr>
            <w:tcW w:w="943" w:type="dxa"/>
            <w:tcBorders>
              <w:top w:val="single" w:color="auto" w:sz="4" w:space="0"/>
              <w:left w:val="nil"/>
              <w:bottom w:val="nil"/>
              <w:right w:val="nil"/>
            </w:tcBorders>
            <w:shd w:val="clear" w:color="auto" w:fill="auto"/>
            <w:vAlign w:val="center"/>
          </w:tcPr>
          <w:p w14:paraId="56F0B9EB">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2020</w:t>
            </w:r>
          </w:p>
        </w:tc>
        <w:tc>
          <w:tcPr>
            <w:tcW w:w="1894" w:type="dxa"/>
            <w:tcBorders>
              <w:top w:val="single" w:color="auto" w:sz="4" w:space="0"/>
              <w:left w:val="nil"/>
              <w:bottom w:val="nil"/>
              <w:right w:val="nil"/>
            </w:tcBorders>
            <w:shd w:val="clear" w:color="auto" w:fill="auto"/>
            <w:vAlign w:val="center"/>
          </w:tcPr>
          <w:p w14:paraId="53B4DF8B">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11.19%</w:t>
            </w:r>
          </w:p>
        </w:tc>
        <w:tc>
          <w:tcPr>
            <w:tcW w:w="1894" w:type="dxa"/>
            <w:tcBorders>
              <w:top w:val="single" w:color="auto" w:sz="4" w:space="0"/>
              <w:left w:val="nil"/>
              <w:bottom w:val="nil"/>
              <w:right w:val="nil"/>
            </w:tcBorders>
            <w:shd w:val="clear" w:color="auto" w:fill="auto"/>
            <w:vAlign w:val="center"/>
          </w:tcPr>
          <w:p w14:paraId="3B9A9521">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9.20%</w:t>
            </w:r>
          </w:p>
        </w:tc>
        <w:tc>
          <w:tcPr>
            <w:tcW w:w="1894" w:type="dxa"/>
            <w:tcBorders>
              <w:top w:val="single" w:color="auto" w:sz="4" w:space="0"/>
              <w:left w:val="nil"/>
              <w:bottom w:val="nil"/>
              <w:right w:val="nil"/>
            </w:tcBorders>
            <w:shd w:val="clear" w:color="auto" w:fill="auto"/>
            <w:vAlign w:val="center"/>
          </w:tcPr>
          <w:p w14:paraId="41448FD9">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1.95%</w:t>
            </w:r>
          </w:p>
        </w:tc>
        <w:tc>
          <w:tcPr>
            <w:tcW w:w="1894" w:type="dxa"/>
            <w:tcBorders>
              <w:top w:val="single" w:color="auto" w:sz="4" w:space="0"/>
              <w:left w:val="nil"/>
              <w:bottom w:val="nil"/>
              <w:right w:val="nil"/>
            </w:tcBorders>
            <w:shd w:val="clear" w:color="auto" w:fill="auto"/>
            <w:vAlign w:val="center"/>
          </w:tcPr>
          <w:p w14:paraId="7005AA27">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9.20%</w:t>
            </w:r>
          </w:p>
        </w:tc>
      </w:tr>
      <w:tr w14:paraId="39A9B4CA">
        <w:trPr>
          <w:trHeight w:val="0" w:hRule="atLeast"/>
          <w:jc w:val="center"/>
        </w:trPr>
        <w:tc>
          <w:tcPr>
            <w:tcW w:w="943" w:type="dxa"/>
            <w:tcBorders>
              <w:top w:val="nil"/>
              <w:left w:val="nil"/>
              <w:bottom w:val="nil"/>
              <w:right w:val="nil"/>
            </w:tcBorders>
            <w:shd w:val="clear" w:color="auto" w:fill="auto"/>
            <w:vAlign w:val="center"/>
          </w:tcPr>
          <w:p w14:paraId="37FAA5D7">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2021</w:t>
            </w:r>
          </w:p>
        </w:tc>
        <w:tc>
          <w:tcPr>
            <w:tcW w:w="1894" w:type="dxa"/>
            <w:tcBorders>
              <w:top w:val="nil"/>
              <w:left w:val="nil"/>
              <w:bottom w:val="nil"/>
              <w:right w:val="nil"/>
            </w:tcBorders>
            <w:shd w:val="clear" w:color="auto" w:fill="auto"/>
            <w:vAlign w:val="center"/>
          </w:tcPr>
          <w:p w14:paraId="374362DA">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11.63%</w:t>
            </w:r>
          </w:p>
        </w:tc>
        <w:tc>
          <w:tcPr>
            <w:tcW w:w="1894" w:type="dxa"/>
            <w:tcBorders>
              <w:top w:val="nil"/>
              <w:left w:val="nil"/>
              <w:bottom w:val="nil"/>
              <w:right w:val="nil"/>
            </w:tcBorders>
            <w:shd w:val="clear" w:color="auto" w:fill="auto"/>
            <w:vAlign w:val="center"/>
          </w:tcPr>
          <w:p w14:paraId="2866B9F8">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8.69%</w:t>
            </w:r>
          </w:p>
        </w:tc>
        <w:tc>
          <w:tcPr>
            <w:tcW w:w="1894" w:type="dxa"/>
            <w:tcBorders>
              <w:top w:val="nil"/>
              <w:left w:val="nil"/>
              <w:bottom w:val="nil"/>
              <w:right w:val="nil"/>
            </w:tcBorders>
            <w:shd w:val="clear" w:color="auto" w:fill="auto"/>
            <w:vAlign w:val="center"/>
          </w:tcPr>
          <w:p w14:paraId="1BE5A5A2">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-0.21%</w:t>
            </w:r>
          </w:p>
        </w:tc>
        <w:tc>
          <w:tcPr>
            <w:tcW w:w="1894" w:type="dxa"/>
            <w:tcBorders>
              <w:top w:val="nil"/>
              <w:left w:val="nil"/>
              <w:bottom w:val="nil"/>
              <w:right w:val="nil"/>
            </w:tcBorders>
            <w:shd w:val="clear" w:color="auto" w:fill="auto"/>
            <w:vAlign w:val="center"/>
          </w:tcPr>
          <w:p w14:paraId="7B698C9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10.69%</w:t>
            </w:r>
          </w:p>
        </w:tc>
      </w:tr>
      <w:tr w14:paraId="27C54F26">
        <w:trPr>
          <w:trHeight w:val="0" w:hRule="atLeast"/>
          <w:jc w:val="center"/>
        </w:trPr>
        <w:tc>
          <w:tcPr>
            <w:tcW w:w="943" w:type="dxa"/>
            <w:tcBorders>
              <w:top w:val="nil"/>
              <w:left w:val="nil"/>
              <w:bottom w:val="nil"/>
              <w:right w:val="nil"/>
            </w:tcBorders>
            <w:shd w:val="clear" w:color="auto" w:fill="auto"/>
            <w:vAlign w:val="center"/>
          </w:tcPr>
          <w:p w14:paraId="5ABAE4C9">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2022</w:t>
            </w:r>
          </w:p>
        </w:tc>
        <w:tc>
          <w:tcPr>
            <w:tcW w:w="1894" w:type="dxa"/>
            <w:tcBorders>
              <w:top w:val="nil"/>
              <w:left w:val="nil"/>
              <w:bottom w:val="nil"/>
              <w:right w:val="nil"/>
            </w:tcBorders>
            <w:shd w:val="clear" w:color="auto" w:fill="auto"/>
            <w:vAlign w:val="center"/>
          </w:tcPr>
          <w:p w14:paraId="3462E3E7">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10.55%</w:t>
            </w:r>
          </w:p>
        </w:tc>
        <w:tc>
          <w:tcPr>
            <w:tcW w:w="1894" w:type="dxa"/>
            <w:tcBorders>
              <w:top w:val="nil"/>
              <w:left w:val="nil"/>
              <w:bottom w:val="nil"/>
              <w:right w:val="nil"/>
            </w:tcBorders>
            <w:shd w:val="clear" w:color="auto" w:fill="auto"/>
            <w:vAlign w:val="center"/>
          </w:tcPr>
          <w:p w14:paraId="6F52815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8.86%</w:t>
            </w:r>
          </w:p>
        </w:tc>
        <w:tc>
          <w:tcPr>
            <w:tcW w:w="1894" w:type="dxa"/>
            <w:tcBorders>
              <w:top w:val="nil"/>
              <w:left w:val="nil"/>
              <w:bottom w:val="nil"/>
              <w:right w:val="nil"/>
            </w:tcBorders>
            <w:shd w:val="clear" w:color="auto" w:fill="auto"/>
            <w:vAlign w:val="center"/>
          </w:tcPr>
          <w:p w14:paraId="3E15808B">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0.60%</w:t>
            </w:r>
          </w:p>
        </w:tc>
        <w:tc>
          <w:tcPr>
            <w:tcW w:w="1894" w:type="dxa"/>
            <w:tcBorders>
              <w:top w:val="nil"/>
              <w:left w:val="nil"/>
              <w:bottom w:val="nil"/>
              <w:right w:val="nil"/>
            </w:tcBorders>
            <w:shd w:val="clear" w:color="auto" w:fill="auto"/>
            <w:vAlign w:val="center"/>
          </w:tcPr>
          <w:p w14:paraId="7801750D">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10.84%</w:t>
            </w:r>
          </w:p>
        </w:tc>
      </w:tr>
      <w:tr w14:paraId="480DC63C">
        <w:trPr>
          <w:trHeight w:val="0" w:hRule="atLeast"/>
          <w:jc w:val="center"/>
        </w:trPr>
        <w:tc>
          <w:tcPr>
            <w:tcW w:w="943" w:type="dxa"/>
            <w:tcBorders>
              <w:top w:val="nil"/>
              <w:left w:val="nil"/>
              <w:bottom w:val="nil"/>
              <w:right w:val="nil"/>
            </w:tcBorders>
            <w:shd w:val="clear" w:color="auto" w:fill="auto"/>
            <w:vAlign w:val="center"/>
          </w:tcPr>
          <w:p w14:paraId="4903876A">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2023</w:t>
            </w:r>
          </w:p>
        </w:tc>
        <w:tc>
          <w:tcPr>
            <w:tcW w:w="1894" w:type="dxa"/>
            <w:tcBorders>
              <w:top w:val="nil"/>
              <w:left w:val="nil"/>
              <w:bottom w:val="nil"/>
              <w:right w:val="nil"/>
            </w:tcBorders>
            <w:shd w:val="clear" w:color="auto" w:fill="auto"/>
            <w:vAlign w:val="center"/>
          </w:tcPr>
          <w:p w14:paraId="7BBAC27D">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11.08%</w:t>
            </w:r>
          </w:p>
        </w:tc>
        <w:tc>
          <w:tcPr>
            <w:tcW w:w="1894" w:type="dxa"/>
            <w:tcBorders>
              <w:top w:val="nil"/>
              <w:left w:val="nil"/>
              <w:bottom w:val="nil"/>
              <w:right w:val="nil"/>
            </w:tcBorders>
            <w:shd w:val="clear" w:color="auto" w:fill="auto"/>
            <w:vAlign w:val="center"/>
          </w:tcPr>
          <w:p w14:paraId="6B285447">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10.36%</w:t>
            </w:r>
          </w:p>
        </w:tc>
        <w:tc>
          <w:tcPr>
            <w:tcW w:w="1894" w:type="dxa"/>
            <w:tcBorders>
              <w:top w:val="nil"/>
              <w:left w:val="nil"/>
              <w:bottom w:val="nil"/>
              <w:right w:val="nil"/>
            </w:tcBorders>
            <w:shd w:val="clear" w:color="auto" w:fill="auto"/>
            <w:vAlign w:val="center"/>
          </w:tcPr>
          <w:p w14:paraId="0945762D">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0.43%</w:t>
            </w:r>
          </w:p>
        </w:tc>
        <w:tc>
          <w:tcPr>
            <w:tcW w:w="1894" w:type="dxa"/>
            <w:tcBorders>
              <w:top w:val="nil"/>
              <w:left w:val="nil"/>
              <w:bottom w:val="nil"/>
              <w:right w:val="nil"/>
            </w:tcBorders>
            <w:shd w:val="clear" w:color="auto" w:fill="auto"/>
            <w:vAlign w:val="center"/>
          </w:tcPr>
          <w:p w14:paraId="22D44DD5">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12.10%</w:t>
            </w:r>
          </w:p>
        </w:tc>
      </w:tr>
      <w:tr w14:paraId="6493D445">
        <w:trPr>
          <w:trHeight w:val="0" w:hRule="atLeast"/>
          <w:jc w:val="center"/>
        </w:trPr>
        <w:tc>
          <w:tcPr>
            <w:tcW w:w="943" w:type="dxa"/>
            <w:tcBorders>
              <w:top w:val="nil"/>
              <w:left w:val="nil"/>
              <w:bottom w:val="single" w:color="auto" w:sz="12" w:space="0"/>
              <w:right w:val="nil"/>
            </w:tcBorders>
            <w:shd w:val="clear" w:color="auto" w:fill="auto"/>
            <w:vAlign w:val="center"/>
          </w:tcPr>
          <w:p w14:paraId="242EB64E">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2024</w:t>
            </w:r>
          </w:p>
        </w:tc>
        <w:tc>
          <w:tcPr>
            <w:tcW w:w="1894" w:type="dxa"/>
            <w:tcBorders>
              <w:top w:val="nil"/>
              <w:left w:val="nil"/>
              <w:bottom w:val="single" w:color="auto" w:sz="12" w:space="0"/>
              <w:right w:val="nil"/>
            </w:tcBorders>
            <w:shd w:val="clear" w:color="auto" w:fill="auto"/>
            <w:vAlign w:val="center"/>
          </w:tcPr>
          <w:p w14:paraId="1C797349">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10.51%</w:t>
            </w:r>
          </w:p>
        </w:tc>
        <w:tc>
          <w:tcPr>
            <w:tcW w:w="1894" w:type="dxa"/>
            <w:tcBorders>
              <w:top w:val="nil"/>
              <w:left w:val="nil"/>
              <w:bottom w:val="single" w:color="auto" w:sz="12" w:space="0"/>
              <w:right w:val="nil"/>
            </w:tcBorders>
            <w:shd w:val="clear" w:color="auto" w:fill="auto"/>
            <w:vAlign w:val="center"/>
          </w:tcPr>
          <w:p w14:paraId="4161148E">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9.92%</w:t>
            </w:r>
          </w:p>
        </w:tc>
        <w:tc>
          <w:tcPr>
            <w:tcW w:w="1894" w:type="dxa"/>
            <w:tcBorders>
              <w:top w:val="nil"/>
              <w:left w:val="nil"/>
              <w:bottom w:val="single" w:color="auto" w:sz="12" w:space="0"/>
              <w:right w:val="nil"/>
            </w:tcBorders>
            <w:shd w:val="clear" w:color="auto" w:fill="auto"/>
            <w:vAlign w:val="center"/>
          </w:tcPr>
          <w:p w14:paraId="72E2C6CA">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0.63%</w:t>
            </w:r>
          </w:p>
        </w:tc>
        <w:tc>
          <w:tcPr>
            <w:tcW w:w="1894" w:type="dxa"/>
            <w:tcBorders>
              <w:top w:val="nil"/>
              <w:left w:val="nil"/>
              <w:bottom w:val="single" w:color="auto" w:sz="12" w:space="0"/>
              <w:right w:val="nil"/>
            </w:tcBorders>
            <w:shd w:val="clear" w:color="auto" w:fill="auto"/>
            <w:vAlign w:val="center"/>
          </w:tcPr>
          <w:p w14:paraId="2A042BDF">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12.46%</w:t>
            </w:r>
          </w:p>
        </w:tc>
      </w:tr>
    </w:tbl>
    <w:p w14:paraId="05955FFE">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数据来源：</w:t>
      </w:r>
      <w:r>
        <w:rPr>
          <w:rFonts w:hint="default" w:ascii="Times New Roman" w:hAnsi="Times New Roman" w:eastAsia="宋体" w:cs="Times New Roman"/>
          <w:sz w:val="24"/>
          <w:szCs w:val="24"/>
          <w:lang w:val="en-US" w:eastAsia="zh-CN"/>
        </w:rPr>
        <w:t>finD</w:t>
      </w:r>
      <w:r>
        <w:rPr>
          <w:rFonts w:hint="default" w:ascii="Times New Roman" w:hAnsi="Times New Roman" w:eastAsia="宋体" w:cs="Times New Roman"/>
          <w:sz w:val="24"/>
          <w:szCs w:val="24"/>
        </w:rPr>
        <w:t>数据库整理</w:t>
      </w:r>
    </w:p>
    <w:p w14:paraId="4B248589">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从费用结构变化来看，研发费用率的持续提升是影响企业销售净利率的重要因素。与传统软件企业不同，佳讯飞鸿主要面向轨道交通、政府及能源等行业提供智能调度系统和行业智能化解决方案。这类行业应用通常需要持续进行技术研发和系统升级，以适应不同应用场景的需求，因此企业需要长期保持较高的研发投入水平。</w:t>
      </w:r>
      <w:r>
        <w:rPr>
          <w:rFonts w:hint="eastAsia" w:ascii="Times New Roman" w:hAnsi="Times New Roman" w:eastAsia="宋体" w:cs="Times New Roman"/>
          <w:sz w:val="24"/>
          <w:szCs w:val="24"/>
          <w:lang w:val="en-US" w:eastAsia="zh-CN"/>
        </w:rPr>
        <w:t>同时，</w:t>
      </w:r>
      <w:r>
        <w:rPr>
          <w:rFonts w:hint="default" w:ascii="Times New Roman" w:hAnsi="Times New Roman" w:eastAsia="宋体" w:cs="Times New Roman"/>
          <w:sz w:val="24"/>
          <w:szCs w:val="24"/>
        </w:rPr>
        <w:t>轨道交通、民航和政府等场景对系统稳定性、安全性和定制化适配要求较高，企业即使拥有较强技术能力，也需要在实施、调试、联动和后续运维环节持续投入。这种业务模式决定了佳讯飞鸿的利润率更容易被实施成本和研发投入压缩。其销售净利率之所以在2022年后难以恢复到2020—2021年水平，并不是因为公司失去了场景优势，而是因为行业解决方案类业务本身具有收入形成不慢、利润释放偏慢的结构特征。换言之，佳讯飞鸿属于典型的高壁垒、强定制、利润释放受成本端约束的AI独立产品型企业。</w:t>
      </w:r>
    </w:p>
    <w:p w14:paraId="2CEBA804">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3</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天地在线</w:t>
      </w:r>
    </w:p>
    <w:p w14:paraId="24DE76F0">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2020—2024年，天地在线的销售净利率分别为0.0321、0.0137、0.0016、-0.0141和-0.0500，整体呈现出持续下降趋势，并在2023年以后转为负值，是六家样本中恶化最明显的企业之一。从盈利链条看，其问题不仅在于毛利率低，而且在于费用端不断上升。公司毛利率长期维持在3.86%—7.59%的低位，营业成本率则常年高于92%，说明传统业务本身的利润空间极为有限。</w:t>
      </w:r>
      <w:r>
        <w:rPr>
          <w:rFonts w:hint="eastAsia" w:ascii="Times New Roman" w:hAnsi="Times New Roman" w:eastAsia="宋体" w:cs="Times New Roman"/>
          <w:sz w:val="24"/>
          <w:szCs w:val="24"/>
          <w:lang w:val="en-US" w:eastAsia="zh-CN"/>
        </w:rPr>
        <w:t>同时，其费用端也在不断缩小利润空间。</w:t>
      </w:r>
    </w:p>
    <w:p w14:paraId="152082FE">
      <w:pPr>
        <w:widowControl/>
        <w:tabs>
          <w:tab w:val="left" w:pos="377"/>
        </w:tabs>
        <w:autoSpaceDE/>
        <w:autoSpaceDN/>
        <w:snapToGrid/>
        <w:spacing w:before="156" w:beforeLines="50"/>
        <w:jc w:val="center"/>
        <w:rPr>
          <w:rFonts w:hint="default" w:ascii="Times New Roman" w:hAnsi="Times New Roman" w:eastAsia="宋体" w:cs="Times New Roman"/>
          <w:spacing w:val="10"/>
          <w:kern w:val="0"/>
          <w:szCs w:val="20"/>
          <w:lang w:val="en-US" w:eastAsia="zh-CN"/>
        </w:rPr>
      </w:pPr>
      <w:r>
        <w:rPr>
          <w:rFonts w:hint="default" w:ascii="Times New Roman" w:hAnsi="Times New Roman" w:eastAsia="宋体" w:cs="Times New Roman"/>
          <w:spacing w:val="10"/>
          <w:kern w:val="0"/>
          <w:szCs w:val="20"/>
          <w:lang w:val="en-US" w:eastAsia="zh-CN"/>
        </w:rPr>
        <w:t>表4-9 天地在线期间费用率变化</w:t>
      </w:r>
    </w:p>
    <w:tbl>
      <w:tblPr>
        <w:tblStyle w:val="7"/>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943"/>
        <w:gridCol w:w="1894"/>
        <w:gridCol w:w="1894"/>
        <w:gridCol w:w="1894"/>
        <w:gridCol w:w="1894"/>
      </w:tblGrid>
      <w:tr w14:paraId="096069E3">
        <w:trPr>
          <w:trHeight w:val="0" w:hRule="atLeast"/>
          <w:tblHeader/>
          <w:jc w:val="center"/>
        </w:trPr>
        <w:tc>
          <w:tcPr>
            <w:tcW w:w="943" w:type="dxa"/>
            <w:tcBorders>
              <w:top w:val="single" w:color="auto" w:sz="12" w:space="0"/>
              <w:left w:val="nil"/>
              <w:bottom w:val="single" w:color="auto" w:sz="4" w:space="0"/>
              <w:right w:val="nil"/>
            </w:tcBorders>
            <w:shd w:val="clear" w:color="auto" w:fill="auto"/>
            <w:vAlign w:val="center"/>
          </w:tcPr>
          <w:p w14:paraId="6E2A9440">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年份</w:t>
            </w:r>
          </w:p>
        </w:tc>
        <w:tc>
          <w:tcPr>
            <w:tcW w:w="1894" w:type="dxa"/>
            <w:tcBorders>
              <w:top w:val="single" w:color="auto" w:sz="12" w:space="0"/>
              <w:left w:val="nil"/>
              <w:bottom w:val="single" w:color="auto" w:sz="4" w:space="0"/>
              <w:right w:val="nil"/>
            </w:tcBorders>
            <w:shd w:val="clear" w:color="auto" w:fill="auto"/>
            <w:vAlign w:val="center"/>
          </w:tcPr>
          <w:p w14:paraId="13833F14">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销售费用率</w:t>
            </w:r>
          </w:p>
        </w:tc>
        <w:tc>
          <w:tcPr>
            <w:tcW w:w="1894" w:type="dxa"/>
            <w:tcBorders>
              <w:top w:val="single" w:color="auto" w:sz="12" w:space="0"/>
              <w:left w:val="nil"/>
              <w:bottom w:val="single" w:color="auto" w:sz="4" w:space="0"/>
              <w:right w:val="nil"/>
            </w:tcBorders>
            <w:shd w:val="clear" w:color="auto" w:fill="auto"/>
            <w:vAlign w:val="center"/>
          </w:tcPr>
          <w:p w14:paraId="0CC53161">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管理费用率</w:t>
            </w:r>
          </w:p>
        </w:tc>
        <w:tc>
          <w:tcPr>
            <w:tcW w:w="1894" w:type="dxa"/>
            <w:tcBorders>
              <w:top w:val="single" w:color="auto" w:sz="12" w:space="0"/>
              <w:left w:val="nil"/>
              <w:bottom w:val="single" w:color="auto" w:sz="4" w:space="0"/>
              <w:right w:val="nil"/>
            </w:tcBorders>
            <w:shd w:val="clear" w:color="auto" w:fill="auto"/>
            <w:vAlign w:val="center"/>
          </w:tcPr>
          <w:p w14:paraId="39ED2F90">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财务费用率</w:t>
            </w:r>
          </w:p>
        </w:tc>
        <w:tc>
          <w:tcPr>
            <w:tcW w:w="1894" w:type="dxa"/>
            <w:tcBorders>
              <w:top w:val="single" w:color="auto" w:sz="12" w:space="0"/>
              <w:left w:val="nil"/>
              <w:bottom w:val="single" w:color="auto" w:sz="4" w:space="0"/>
              <w:right w:val="nil"/>
            </w:tcBorders>
            <w:shd w:val="clear" w:color="auto" w:fill="auto"/>
            <w:vAlign w:val="center"/>
          </w:tcPr>
          <w:p w14:paraId="3583032B">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研发费用率</w:t>
            </w:r>
          </w:p>
        </w:tc>
      </w:tr>
      <w:tr w14:paraId="754443ED">
        <w:trPr>
          <w:trHeight w:val="0" w:hRule="atLeast"/>
          <w:jc w:val="center"/>
        </w:trPr>
        <w:tc>
          <w:tcPr>
            <w:tcW w:w="943" w:type="dxa"/>
            <w:tcBorders>
              <w:top w:val="single" w:color="auto" w:sz="4" w:space="0"/>
              <w:left w:val="nil"/>
              <w:bottom w:val="nil"/>
              <w:right w:val="nil"/>
            </w:tcBorders>
            <w:shd w:val="clear" w:color="auto" w:fill="auto"/>
            <w:vAlign w:val="center"/>
          </w:tcPr>
          <w:p w14:paraId="249DEFC9">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2020</w:t>
            </w:r>
          </w:p>
        </w:tc>
        <w:tc>
          <w:tcPr>
            <w:tcW w:w="1894" w:type="dxa"/>
            <w:tcBorders>
              <w:top w:val="single" w:color="auto" w:sz="4" w:space="0"/>
              <w:left w:val="nil"/>
              <w:bottom w:val="nil"/>
              <w:right w:val="nil"/>
            </w:tcBorders>
            <w:shd w:val="clear" w:color="auto" w:fill="auto"/>
            <w:vAlign w:val="center"/>
          </w:tcPr>
          <w:p w14:paraId="1FBEF28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1.48%</w:t>
            </w:r>
          </w:p>
        </w:tc>
        <w:tc>
          <w:tcPr>
            <w:tcW w:w="1894" w:type="dxa"/>
            <w:tcBorders>
              <w:top w:val="single" w:color="auto" w:sz="4" w:space="0"/>
              <w:left w:val="nil"/>
              <w:bottom w:val="nil"/>
              <w:right w:val="nil"/>
            </w:tcBorders>
            <w:shd w:val="clear" w:color="auto" w:fill="auto"/>
            <w:vAlign w:val="center"/>
          </w:tcPr>
          <w:p w14:paraId="5FC6426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0.89%</w:t>
            </w:r>
          </w:p>
        </w:tc>
        <w:tc>
          <w:tcPr>
            <w:tcW w:w="1894" w:type="dxa"/>
            <w:tcBorders>
              <w:top w:val="single" w:color="auto" w:sz="4" w:space="0"/>
              <w:left w:val="nil"/>
              <w:bottom w:val="nil"/>
              <w:right w:val="nil"/>
            </w:tcBorders>
            <w:shd w:val="clear" w:color="auto" w:fill="auto"/>
            <w:vAlign w:val="center"/>
          </w:tcPr>
          <w:p w14:paraId="6FA4A7C1">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-0.14%</w:t>
            </w:r>
          </w:p>
        </w:tc>
        <w:tc>
          <w:tcPr>
            <w:tcW w:w="1894" w:type="dxa"/>
            <w:tcBorders>
              <w:top w:val="single" w:color="auto" w:sz="4" w:space="0"/>
              <w:left w:val="nil"/>
              <w:bottom w:val="nil"/>
              <w:right w:val="nil"/>
            </w:tcBorders>
            <w:shd w:val="clear" w:color="auto" w:fill="auto"/>
            <w:vAlign w:val="center"/>
          </w:tcPr>
          <w:p w14:paraId="1FEB740A">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2.03%</w:t>
            </w:r>
          </w:p>
        </w:tc>
      </w:tr>
      <w:tr w14:paraId="51A52A8A">
        <w:trPr>
          <w:trHeight w:val="0" w:hRule="atLeast"/>
          <w:jc w:val="center"/>
        </w:trPr>
        <w:tc>
          <w:tcPr>
            <w:tcW w:w="943" w:type="dxa"/>
            <w:tcBorders>
              <w:top w:val="nil"/>
              <w:left w:val="nil"/>
              <w:bottom w:val="nil"/>
              <w:right w:val="nil"/>
            </w:tcBorders>
            <w:shd w:val="clear" w:color="auto" w:fill="auto"/>
            <w:vAlign w:val="center"/>
          </w:tcPr>
          <w:p w14:paraId="60BBDE2C">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2021</w:t>
            </w:r>
          </w:p>
        </w:tc>
        <w:tc>
          <w:tcPr>
            <w:tcW w:w="1894" w:type="dxa"/>
            <w:tcBorders>
              <w:top w:val="nil"/>
              <w:left w:val="nil"/>
              <w:bottom w:val="nil"/>
              <w:right w:val="nil"/>
            </w:tcBorders>
            <w:shd w:val="clear" w:color="auto" w:fill="auto"/>
            <w:vAlign w:val="center"/>
          </w:tcPr>
          <w:p w14:paraId="22C83622">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1.68%</w:t>
            </w:r>
          </w:p>
        </w:tc>
        <w:tc>
          <w:tcPr>
            <w:tcW w:w="1894" w:type="dxa"/>
            <w:tcBorders>
              <w:top w:val="nil"/>
              <w:left w:val="nil"/>
              <w:bottom w:val="nil"/>
              <w:right w:val="nil"/>
            </w:tcBorders>
            <w:shd w:val="clear" w:color="auto" w:fill="auto"/>
            <w:vAlign w:val="center"/>
          </w:tcPr>
          <w:p w14:paraId="3F42B4E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0.82%</w:t>
            </w:r>
          </w:p>
        </w:tc>
        <w:tc>
          <w:tcPr>
            <w:tcW w:w="1894" w:type="dxa"/>
            <w:tcBorders>
              <w:top w:val="nil"/>
              <w:left w:val="nil"/>
              <w:bottom w:val="nil"/>
              <w:right w:val="nil"/>
            </w:tcBorders>
            <w:shd w:val="clear" w:color="auto" w:fill="auto"/>
            <w:vAlign w:val="center"/>
          </w:tcPr>
          <w:p w14:paraId="569A0BB6">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-0.10%</w:t>
            </w:r>
          </w:p>
        </w:tc>
        <w:tc>
          <w:tcPr>
            <w:tcW w:w="1894" w:type="dxa"/>
            <w:tcBorders>
              <w:top w:val="nil"/>
              <w:left w:val="nil"/>
              <w:bottom w:val="nil"/>
              <w:right w:val="nil"/>
            </w:tcBorders>
            <w:shd w:val="clear" w:color="auto" w:fill="auto"/>
            <w:vAlign w:val="center"/>
          </w:tcPr>
          <w:p w14:paraId="0DA75DA1">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1.36%</w:t>
            </w:r>
          </w:p>
        </w:tc>
      </w:tr>
      <w:tr w14:paraId="03A87FE1">
        <w:trPr>
          <w:trHeight w:val="0" w:hRule="atLeast"/>
          <w:jc w:val="center"/>
        </w:trPr>
        <w:tc>
          <w:tcPr>
            <w:tcW w:w="943" w:type="dxa"/>
            <w:tcBorders>
              <w:top w:val="nil"/>
              <w:left w:val="nil"/>
              <w:bottom w:val="nil"/>
              <w:right w:val="nil"/>
            </w:tcBorders>
            <w:shd w:val="clear" w:color="auto" w:fill="auto"/>
            <w:vAlign w:val="center"/>
          </w:tcPr>
          <w:p w14:paraId="1DB63701">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2022</w:t>
            </w:r>
          </w:p>
        </w:tc>
        <w:tc>
          <w:tcPr>
            <w:tcW w:w="1894" w:type="dxa"/>
            <w:tcBorders>
              <w:top w:val="nil"/>
              <w:left w:val="nil"/>
              <w:bottom w:val="nil"/>
              <w:right w:val="nil"/>
            </w:tcBorders>
            <w:shd w:val="clear" w:color="auto" w:fill="auto"/>
            <w:vAlign w:val="center"/>
          </w:tcPr>
          <w:p w14:paraId="55FDF5F3">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1.84%</w:t>
            </w:r>
          </w:p>
        </w:tc>
        <w:tc>
          <w:tcPr>
            <w:tcW w:w="1894" w:type="dxa"/>
            <w:tcBorders>
              <w:top w:val="nil"/>
              <w:left w:val="nil"/>
              <w:bottom w:val="nil"/>
              <w:right w:val="nil"/>
            </w:tcBorders>
            <w:shd w:val="clear" w:color="auto" w:fill="auto"/>
            <w:vAlign w:val="center"/>
          </w:tcPr>
          <w:p w14:paraId="171A8649">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1.10%</w:t>
            </w:r>
          </w:p>
        </w:tc>
        <w:tc>
          <w:tcPr>
            <w:tcW w:w="1894" w:type="dxa"/>
            <w:tcBorders>
              <w:top w:val="nil"/>
              <w:left w:val="nil"/>
              <w:bottom w:val="nil"/>
              <w:right w:val="nil"/>
            </w:tcBorders>
            <w:shd w:val="clear" w:color="auto" w:fill="auto"/>
            <w:vAlign w:val="center"/>
          </w:tcPr>
          <w:p w14:paraId="1A09CE17">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-0.19%</w:t>
            </w:r>
          </w:p>
        </w:tc>
        <w:tc>
          <w:tcPr>
            <w:tcW w:w="1894" w:type="dxa"/>
            <w:tcBorders>
              <w:top w:val="nil"/>
              <w:left w:val="nil"/>
              <w:bottom w:val="nil"/>
              <w:right w:val="nil"/>
            </w:tcBorders>
            <w:shd w:val="clear" w:color="auto" w:fill="auto"/>
            <w:vAlign w:val="center"/>
          </w:tcPr>
          <w:p w14:paraId="6A369099">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1.50%</w:t>
            </w:r>
          </w:p>
        </w:tc>
      </w:tr>
      <w:tr w14:paraId="06720722">
        <w:trPr>
          <w:trHeight w:val="0" w:hRule="atLeast"/>
          <w:jc w:val="center"/>
        </w:trPr>
        <w:tc>
          <w:tcPr>
            <w:tcW w:w="943" w:type="dxa"/>
            <w:tcBorders>
              <w:top w:val="nil"/>
              <w:left w:val="nil"/>
              <w:bottom w:val="nil"/>
              <w:right w:val="nil"/>
            </w:tcBorders>
            <w:shd w:val="clear" w:color="auto" w:fill="auto"/>
            <w:vAlign w:val="center"/>
          </w:tcPr>
          <w:p w14:paraId="746BDF53">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2023</w:t>
            </w:r>
          </w:p>
        </w:tc>
        <w:tc>
          <w:tcPr>
            <w:tcW w:w="1894" w:type="dxa"/>
            <w:tcBorders>
              <w:top w:val="nil"/>
              <w:left w:val="nil"/>
              <w:bottom w:val="nil"/>
              <w:right w:val="nil"/>
            </w:tcBorders>
            <w:shd w:val="clear" w:color="auto" w:fill="auto"/>
            <w:vAlign w:val="center"/>
          </w:tcPr>
          <w:p w14:paraId="72E27CAE">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3.19%</w:t>
            </w:r>
          </w:p>
        </w:tc>
        <w:tc>
          <w:tcPr>
            <w:tcW w:w="1894" w:type="dxa"/>
            <w:tcBorders>
              <w:top w:val="nil"/>
              <w:left w:val="nil"/>
              <w:bottom w:val="nil"/>
              <w:right w:val="nil"/>
            </w:tcBorders>
            <w:shd w:val="clear" w:color="auto" w:fill="auto"/>
            <w:vAlign w:val="center"/>
          </w:tcPr>
          <w:p w14:paraId="22DF379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2.10%</w:t>
            </w:r>
          </w:p>
        </w:tc>
        <w:tc>
          <w:tcPr>
            <w:tcW w:w="1894" w:type="dxa"/>
            <w:tcBorders>
              <w:top w:val="nil"/>
              <w:left w:val="nil"/>
              <w:bottom w:val="nil"/>
              <w:right w:val="nil"/>
            </w:tcBorders>
            <w:shd w:val="clear" w:color="auto" w:fill="auto"/>
            <w:vAlign w:val="center"/>
          </w:tcPr>
          <w:p w14:paraId="0B39DFF7">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-0.28%</w:t>
            </w:r>
          </w:p>
        </w:tc>
        <w:tc>
          <w:tcPr>
            <w:tcW w:w="1894" w:type="dxa"/>
            <w:tcBorders>
              <w:top w:val="nil"/>
              <w:left w:val="nil"/>
              <w:bottom w:val="nil"/>
              <w:right w:val="nil"/>
            </w:tcBorders>
            <w:shd w:val="clear" w:color="auto" w:fill="auto"/>
            <w:vAlign w:val="center"/>
          </w:tcPr>
          <w:p w14:paraId="5023500F">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1.59%</w:t>
            </w:r>
          </w:p>
        </w:tc>
      </w:tr>
      <w:tr w14:paraId="3A0D6627">
        <w:trPr>
          <w:trHeight w:val="0" w:hRule="atLeast"/>
          <w:jc w:val="center"/>
        </w:trPr>
        <w:tc>
          <w:tcPr>
            <w:tcW w:w="943" w:type="dxa"/>
            <w:tcBorders>
              <w:top w:val="nil"/>
              <w:left w:val="nil"/>
              <w:bottom w:val="single" w:color="auto" w:sz="12" w:space="0"/>
              <w:right w:val="nil"/>
            </w:tcBorders>
            <w:shd w:val="clear" w:color="auto" w:fill="auto"/>
            <w:vAlign w:val="center"/>
          </w:tcPr>
          <w:p w14:paraId="61692393">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2024</w:t>
            </w:r>
          </w:p>
        </w:tc>
        <w:tc>
          <w:tcPr>
            <w:tcW w:w="1894" w:type="dxa"/>
            <w:tcBorders>
              <w:top w:val="nil"/>
              <w:left w:val="nil"/>
              <w:bottom w:val="single" w:color="auto" w:sz="12" w:space="0"/>
              <w:right w:val="nil"/>
            </w:tcBorders>
            <w:shd w:val="clear" w:color="auto" w:fill="auto"/>
            <w:vAlign w:val="center"/>
          </w:tcPr>
          <w:p w14:paraId="5AC1F50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4.21%</w:t>
            </w:r>
          </w:p>
        </w:tc>
        <w:tc>
          <w:tcPr>
            <w:tcW w:w="1894" w:type="dxa"/>
            <w:tcBorders>
              <w:top w:val="nil"/>
              <w:left w:val="nil"/>
              <w:bottom w:val="single" w:color="auto" w:sz="12" w:space="0"/>
              <w:right w:val="nil"/>
            </w:tcBorders>
            <w:shd w:val="clear" w:color="auto" w:fill="auto"/>
            <w:vAlign w:val="center"/>
          </w:tcPr>
          <w:p w14:paraId="7B6BE173">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3.00%</w:t>
            </w:r>
          </w:p>
        </w:tc>
        <w:tc>
          <w:tcPr>
            <w:tcW w:w="1894" w:type="dxa"/>
            <w:tcBorders>
              <w:top w:val="nil"/>
              <w:left w:val="nil"/>
              <w:bottom w:val="single" w:color="auto" w:sz="12" w:space="0"/>
              <w:right w:val="nil"/>
            </w:tcBorders>
            <w:shd w:val="clear" w:color="auto" w:fill="auto"/>
            <w:vAlign w:val="center"/>
          </w:tcPr>
          <w:p w14:paraId="136A276A">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-0.23%</w:t>
            </w:r>
          </w:p>
        </w:tc>
        <w:tc>
          <w:tcPr>
            <w:tcW w:w="1894" w:type="dxa"/>
            <w:tcBorders>
              <w:top w:val="nil"/>
              <w:left w:val="nil"/>
              <w:bottom w:val="single" w:color="auto" w:sz="12" w:space="0"/>
              <w:right w:val="nil"/>
            </w:tcBorders>
            <w:shd w:val="clear" w:color="auto" w:fill="auto"/>
            <w:vAlign w:val="center"/>
          </w:tcPr>
          <w:p w14:paraId="769A4E5C">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1.55%</w:t>
            </w:r>
          </w:p>
        </w:tc>
      </w:tr>
    </w:tbl>
    <w:p w14:paraId="74994EB2">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数据来源：</w:t>
      </w:r>
      <w:r>
        <w:rPr>
          <w:rFonts w:hint="default" w:ascii="Times New Roman" w:hAnsi="Times New Roman" w:eastAsia="宋体" w:cs="Times New Roman"/>
          <w:sz w:val="24"/>
          <w:szCs w:val="24"/>
          <w:lang w:val="en-US" w:eastAsia="zh-CN"/>
        </w:rPr>
        <w:t>finD</w:t>
      </w:r>
      <w:r>
        <w:rPr>
          <w:rFonts w:hint="default" w:ascii="Times New Roman" w:hAnsi="Times New Roman" w:eastAsia="宋体" w:cs="Times New Roman"/>
          <w:sz w:val="24"/>
          <w:szCs w:val="24"/>
        </w:rPr>
        <w:t>数据库整理</w:t>
      </w:r>
    </w:p>
    <w:p w14:paraId="3F242AFE">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天地在线2020—2024年的主要期间费用率变化情况如表4-9所示。结合费用结构的变化可以看出，销售费用率和管理费用率的持续上升，是导致企业销售净利率下降的重要因素。具体来看，2020—2024年期间，公司销售费用率累计上升约2.7个百分点，管理费用率累计上升约2.1个百分点，期间费用率整体呈现明显抬升趋势。在主营业务毛利水平本就偏低的情况下，费用端的刚性增长进一步压缩了利润空间，最终导致企业净利率持续恶化。换言之，天地在线净利率下滑并非单一因素所致，而是低毛利基础与期间费用上升共同作用的结果。</w:t>
      </w:r>
    </w:p>
    <w:p w14:paraId="415936C9">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这一点与其业务属性高度一致。天地在线的收入基础仍以数字营销服务和数智化综合服务为主，而AI数字人、XR直播、SaaS和企业智能工具等新业务仍在培育阶段。营销服务行业的一个典型特征是营收规模较大但利润率偏低，业务往往依赖客户投放预算、流量采购和内容执行效率。QuestMobile关于中国营销市场的年度研究指出，当前营销行业持续向精细化投放和内容运营演进，但竞争也同步加剧，企业普遍面临获客成本高、平台依赖强和服务同质化的问题。在这样的行业背景下，天地在线即使布局AI新业务，也难以在短期内显著抬升主业溢价。新业务尚未形成足够收入规模，而销售和管理费用却率先上升，最终导致净利率持续下探并转负。</w:t>
      </w:r>
    </w:p>
    <w:p w14:paraId="63C4F556">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综合来看，AI独立产品型企业内部的销售净利率差异主要体现为三种状态：方直科技代表高毛利、高投入、利润波动的教育AI产品模式；佳讯飞鸿代表中等毛利、强实施、利润受研发和项目成本压缩的行业解决方案模式；天地在线则代表低毛利传统主业</w:t>
      </w:r>
      <w:r>
        <w:rPr>
          <w:rFonts w:hint="eastAsia" w:ascii="Times New Roman" w:hAnsi="Times New Roman" w:eastAsia="宋体" w:cs="Times New Roman"/>
          <w:sz w:val="24"/>
          <w:szCs w:val="24"/>
          <w:lang w:val="en-US" w:eastAsia="zh-CN"/>
        </w:rPr>
        <w:t>结合</w:t>
      </w:r>
      <w:r>
        <w:rPr>
          <w:rFonts w:hint="default" w:ascii="Times New Roman" w:hAnsi="Times New Roman" w:eastAsia="宋体" w:cs="Times New Roman"/>
          <w:sz w:val="24"/>
          <w:szCs w:val="24"/>
        </w:rPr>
        <w:t>AI新业务投入期的过渡型模式。三者共同说明，即使企业能够把AI能力产品化，净利率水平仍然高度依赖行业毛利空间、推广节奏和费用控制能力。</w:t>
      </w:r>
    </w:p>
    <w:p w14:paraId="654421C0">
      <w:pPr>
        <w:autoSpaceDE/>
        <w:autoSpaceDN/>
        <w:snapToGrid/>
        <w:spacing w:before="156" w:beforeLines="50" w:after="156" w:afterLines="50" w:line="420" w:lineRule="exact"/>
        <w:jc w:val="left"/>
        <w:outlineLvl w:val="2"/>
        <w:rPr>
          <w:rFonts w:hint="default" w:ascii="Times New Roman" w:hAnsi="Times New Roman" w:eastAsia="黑体" w:cs="Times New Roman"/>
          <w:color w:val="000000"/>
          <w:kern w:val="0"/>
          <w:sz w:val="28"/>
          <w:szCs w:val="28"/>
          <w:lang w:val="en-US" w:eastAsia="zh-CN"/>
        </w:rPr>
      </w:pPr>
      <w:r>
        <w:rPr>
          <w:rFonts w:hint="default" w:ascii="Times New Roman" w:hAnsi="Times New Roman" w:eastAsia="黑体" w:cs="Times New Roman"/>
          <w:color w:val="000000"/>
          <w:kern w:val="0"/>
          <w:sz w:val="28"/>
          <w:szCs w:val="28"/>
          <w:lang w:val="en-US" w:eastAsia="zh-CN"/>
        </w:rPr>
        <w:t>4.2.1.2 AI业务赋能型企业销售净利率分析</w:t>
      </w:r>
    </w:p>
    <w:p w14:paraId="7706BBF1">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1</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巨人网络</w:t>
      </w:r>
    </w:p>
    <w:p w14:paraId="19E15E3A">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巨人网络2020—2024年的销售净利率分别为0.4694、0.4658、0.4092、0.3734和0.4896，在六家样本企业中处于最高水平，说明其营业收入向净利润的转化效率明显高于其他样本企业</w:t>
      </w:r>
      <w:r>
        <w:rPr>
          <w:rFonts w:hint="default" w:ascii="Times New Roman" w:hAnsi="Times New Roman" w:eastAsia="宋体" w:cs="Times New Roman"/>
          <w:sz w:val="24"/>
          <w:szCs w:val="24"/>
          <w:lang w:eastAsia="zh-CN"/>
        </w:rPr>
        <w:t>。</w:t>
      </w:r>
    </w:p>
    <w:p w14:paraId="4ED09849">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这一表现首先来自其主业性质</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公司</w:t>
      </w:r>
      <w:r>
        <w:rPr>
          <w:rFonts w:hint="default" w:ascii="Times New Roman" w:hAnsi="Times New Roman" w:eastAsia="宋体" w:cs="Times New Roman"/>
          <w:sz w:val="24"/>
          <w:szCs w:val="24"/>
          <w:lang w:val="en-US" w:eastAsia="zh-CN"/>
        </w:rPr>
        <w:t>主营业务为</w:t>
      </w:r>
      <w:r>
        <w:rPr>
          <w:rFonts w:hint="default" w:ascii="Times New Roman" w:hAnsi="Times New Roman" w:eastAsia="宋体" w:cs="Times New Roman"/>
          <w:sz w:val="24"/>
          <w:szCs w:val="24"/>
        </w:rPr>
        <w:t>游戏，2024年移动端网络游戏毛利率为88.10%，电脑端网络游戏毛利率为85.94%，整体游戏相关业务毛利率达到87.58%。在这样的业务结构下，公司本身就拥有非常深的利润护城河。表4-10</w:t>
      </w:r>
      <w:r>
        <w:rPr>
          <w:rFonts w:hint="default" w:ascii="Times New Roman" w:hAnsi="Times New Roman" w:eastAsia="宋体" w:cs="Times New Roman"/>
          <w:sz w:val="24"/>
          <w:szCs w:val="24"/>
          <w:lang w:eastAsia="zh-CN"/>
        </w:rPr>
        <w:t>是</w:t>
      </w:r>
      <w:r>
        <w:rPr>
          <w:rFonts w:hint="default" w:ascii="Times New Roman" w:hAnsi="Times New Roman" w:eastAsia="宋体" w:cs="Times New Roman"/>
          <w:sz w:val="24"/>
          <w:szCs w:val="24"/>
        </w:rPr>
        <w:t>巨人网络2020—2024年的主要期间费用率变化情况，公司研发费用率始终保持较高水平，2020—2022年均在30%以上，反映出企业在游戏研发与技术创新方面保持持续投入。与此同时，公司管理费用率整体呈下降趋势，由2021年的10.42%下降至2023年的6.10%，2024年小幅回升至7.55%，说明企业在经营管理方面的费用控制能力有所增强。相比之下，销售费用率在2023年和2024年出现明显上升，由2022年的17.46%提高至34%左右，表明企业在游戏推广、渠道投放及市场营销方面加大了投入力度。</w:t>
      </w:r>
    </w:p>
    <w:p w14:paraId="1CFA8748">
      <w:pPr>
        <w:widowControl/>
        <w:tabs>
          <w:tab w:val="left" w:pos="377"/>
        </w:tabs>
        <w:autoSpaceDE/>
        <w:autoSpaceDN/>
        <w:snapToGrid/>
        <w:spacing w:before="156" w:beforeLines="50"/>
        <w:jc w:val="center"/>
        <w:rPr>
          <w:rFonts w:hint="default" w:ascii="Times New Roman" w:hAnsi="Times New Roman" w:eastAsia="宋体" w:cs="Times New Roman"/>
          <w:spacing w:val="10"/>
          <w:kern w:val="0"/>
          <w:szCs w:val="20"/>
          <w:lang w:val="en-US" w:eastAsia="zh-CN"/>
        </w:rPr>
      </w:pPr>
      <w:r>
        <w:rPr>
          <w:rFonts w:hint="default" w:ascii="Times New Roman" w:hAnsi="Times New Roman" w:eastAsia="宋体" w:cs="Times New Roman"/>
          <w:spacing w:val="10"/>
          <w:kern w:val="0"/>
          <w:szCs w:val="20"/>
          <w:lang w:val="en-US" w:eastAsia="zh-CN"/>
        </w:rPr>
        <w:t>表4-10 巨人网络期间费用率变化</w:t>
      </w:r>
    </w:p>
    <w:tbl>
      <w:tblPr>
        <w:tblStyle w:val="7"/>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943"/>
        <w:gridCol w:w="1894"/>
        <w:gridCol w:w="1894"/>
        <w:gridCol w:w="1894"/>
        <w:gridCol w:w="1894"/>
      </w:tblGrid>
      <w:tr w14:paraId="237ED28E">
        <w:trPr>
          <w:trHeight w:val="0" w:hRule="atLeast"/>
          <w:tblHeader/>
          <w:jc w:val="center"/>
        </w:trPr>
        <w:tc>
          <w:tcPr>
            <w:tcW w:w="943" w:type="dxa"/>
            <w:tcBorders>
              <w:top w:val="single" w:color="auto" w:sz="12" w:space="0"/>
              <w:left w:val="nil"/>
              <w:bottom w:val="single" w:color="auto" w:sz="4" w:space="0"/>
              <w:right w:val="nil"/>
            </w:tcBorders>
            <w:shd w:val="clear" w:color="auto" w:fill="auto"/>
            <w:vAlign w:val="center"/>
          </w:tcPr>
          <w:p w14:paraId="4F084BC2">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年份</w:t>
            </w:r>
          </w:p>
        </w:tc>
        <w:tc>
          <w:tcPr>
            <w:tcW w:w="1894" w:type="dxa"/>
            <w:tcBorders>
              <w:top w:val="single" w:color="auto" w:sz="12" w:space="0"/>
              <w:left w:val="nil"/>
              <w:bottom w:val="single" w:color="auto" w:sz="4" w:space="0"/>
              <w:right w:val="nil"/>
            </w:tcBorders>
            <w:shd w:val="clear" w:color="auto" w:fill="auto"/>
            <w:vAlign w:val="center"/>
          </w:tcPr>
          <w:p w14:paraId="394A3C83">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销售费用率</w:t>
            </w:r>
          </w:p>
        </w:tc>
        <w:tc>
          <w:tcPr>
            <w:tcW w:w="1894" w:type="dxa"/>
            <w:tcBorders>
              <w:top w:val="single" w:color="auto" w:sz="12" w:space="0"/>
              <w:left w:val="nil"/>
              <w:bottom w:val="single" w:color="auto" w:sz="4" w:space="0"/>
              <w:right w:val="nil"/>
            </w:tcBorders>
            <w:shd w:val="clear" w:color="auto" w:fill="auto"/>
            <w:vAlign w:val="center"/>
          </w:tcPr>
          <w:p w14:paraId="3C85DDE3">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管理费用率</w:t>
            </w:r>
          </w:p>
        </w:tc>
        <w:tc>
          <w:tcPr>
            <w:tcW w:w="1894" w:type="dxa"/>
            <w:tcBorders>
              <w:top w:val="single" w:color="auto" w:sz="12" w:space="0"/>
              <w:left w:val="nil"/>
              <w:bottom w:val="single" w:color="auto" w:sz="4" w:space="0"/>
              <w:right w:val="nil"/>
            </w:tcBorders>
            <w:shd w:val="clear" w:color="auto" w:fill="auto"/>
            <w:vAlign w:val="center"/>
          </w:tcPr>
          <w:p w14:paraId="673F2AC3">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财务费用率</w:t>
            </w:r>
          </w:p>
        </w:tc>
        <w:tc>
          <w:tcPr>
            <w:tcW w:w="1894" w:type="dxa"/>
            <w:tcBorders>
              <w:top w:val="single" w:color="auto" w:sz="12" w:space="0"/>
              <w:left w:val="nil"/>
              <w:bottom w:val="single" w:color="auto" w:sz="4" w:space="0"/>
              <w:right w:val="nil"/>
            </w:tcBorders>
            <w:shd w:val="clear" w:color="auto" w:fill="auto"/>
            <w:vAlign w:val="center"/>
          </w:tcPr>
          <w:p w14:paraId="2866B3EF">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研发费用率</w:t>
            </w:r>
          </w:p>
        </w:tc>
      </w:tr>
      <w:tr w14:paraId="54315B9E">
        <w:trPr>
          <w:trHeight w:val="0" w:hRule="atLeast"/>
          <w:jc w:val="center"/>
        </w:trPr>
        <w:tc>
          <w:tcPr>
            <w:tcW w:w="943" w:type="dxa"/>
            <w:tcBorders>
              <w:top w:val="single" w:color="auto" w:sz="4" w:space="0"/>
              <w:left w:val="nil"/>
              <w:bottom w:val="nil"/>
              <w:right w:val="nil"/>
            </w:tcBorders>
            <w:shd w:val="clear" w:color="auto" w:fill="auto"/>
            <w:vAlign w:val="center"/>
          </w:tcPr>
          <w:p w14:paraId="62F1A72A">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2020</w:t>
            </w:r>
          </w:p>
        </w:tc>
        <w:tc>
          <w:tcPr>
            <w:tcW w:w="1894" w:type="dxa"/>
            <w:tcBorders>
              <w:top w:val="single" w:color="auto" w:sz="4" w:space="0"/>
              <w:left w:val="nil"/>
              <w:bottom w:val="nil"/>
              <w:right w:val="nil"/>
            </w:tcBorders>
            <w:shd w:val="clear" w:color="auto" w:fill="auto"/>
            <w:vAlign w:val="center"/>
          </w:tcPr>
          <w:p w14:paraId="7E4AF50D">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16.12%</w:t>
            </w:r>
          </w:p>
        </w:tc>
        <w:tc>
          <w:tcPr>
            <w:tcW w:w="1894" w:type="dxa"/>
            <w:tcBorders>
              <w:top w:val="single" w:color="auto" w:sz="4" w:space="0"/>
              <w:left w:val="nil"/>
              <w:bottom w:val="nil"/>
              <w:right w:val="nil"/>
            </w:tcBorders>
            <w:shd w:val="clear" w:color="auto" w:fill="auto"/>
            <w:vAlign w:val="center"/>
          </w:tcPr>
          <w:p w14:paraId="69228629">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10.24%</w:t>
            </w:r>
          </w:p>
        </w:tc>
        <w:tc>
          <w:tcPr>
            <w:tcW w:w="1894" w:type="dxa"/>
            <w:tcBorders>
              <w:top w:val="single" w:color="auto" w:sz="4" w:space="0"/>
              <w:left w:val="nil"/>
              <w:bottom w:val="nil"/>
              <w:right w:val="nil"/>
            </w:tcBorders>
            <w:shd w:val="clear" w:color="auto" w:fill="auto"/>
            <w:vAlign w:val="center"/>
          </w:tcPr>
          <w:p w14:paraId="7BFB4BD5">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-1.79%</w:t>
            </w:r>
          </w:p>
        </w:tc>
        <w:tc>
          <w:tcPr>
            <w:tcW w:w="1894" w:type="dxa"/>
            <w:tcBorders>
              <w:top w:val="single" w:color="auto" w:sz="4" w:space="0"/>
              <w:left w:val="nil"/>
              <w:bottom w:val="nil"/>
              <w:right w:val="nil"/>
            </w:tcBorders>
            <w:shd w:val="clear" w:color="auto" w:fill="auto"/>
            <w:vAlign w:val="center"/>
          </w:tcPr>
          <w:p w14:paraId="23C207D8">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32.52%</w:t>
            </w:r>
          </w:p>
        </w:tc>
      </w:tr>
      <w:tr w14:paraId="49EFC03E">
        <w:trPr>
          <w:trHeight w:val="0" w:hRule="atLeast"/>
          <w:jc w:val="center"/>
        </w:trPr>
        <w:tc>
          <w:tcPr>
            <w:tcW w:w="943" w:type="dxa"/>
            <w:tcBorders>
              <w:top w:val="nil"/>
              <w:left w:val="nil"/>
              <w:bottom w:val="nil"/>
              <w:right w:val="nil"/>
            </w:tcBorders>
            <w:shd w:val="clear" w:color="auto" w:fill="auto"/>
            <w:vAlign w:val="center"/>
          </w:tcPr>
          <w:p w14:paraId="5E06CBC5">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2021</w:t>
            </w:r>
          </w:p>
        </w:tc>
        <w:tc>
          <w:tcPr>
            <w:tcW w:w="1894" w:type="dxa"/>
            <w:tcBorders>
              <w:top w:val="nil"/>
              <w:left w:val="nil"/>
              <w:bottom w:val="nil"/>
              <w:right w:val="nil"/>
            </w:tcBorders>
            <w:shd w:val="clear" w:color="auto" w:fill="auto"/>
            <w:vAlign w:val="center"/>
          </w:tcPr>
          <w:p w14:paraId="3BE27C37">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18.92%</w:t>
            </w:r>
          </w:p>
        </w:tc>
        <w:tc>
          <w:tcPr>
            <w:tcW w:w="1894" w:type="dxa"/>
            <w:tcBorders>
              <w:top w:val="nil"/>
              <w:left w:val="nil"/>
              <w:bottom w:val="nil"/>
              <w:right w:val="nil"/>
            </w:tcBorders>
            <w:shd w:val="clear" w:color="auto" w:fill="auto"/>
            <w:vAlign w:val="center"/>
          </w:tcPr>
          <w:p w14:paraId="167AA703">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10.42%</w:t>
            </w:r>
          </w:p>
        </w:tc>
        <w:tc>
          <w:tcPr>
            <w:tcW w:w="1894" w:type="dxa"/>
            <w:tcBorders>
              <w:top w:val="nil"/>
              <w:left w:val="nil"/>
              <w:bottom w:val="nil"/>
              <w:right w:val="nil"/>
            </w:tcBorders>
            <w:shd w:val="clear" w:color="auto" w:fill="auto"/>
            <w:vAlign w:val="center"/>
          </w:tcPr>
          <w:p w14:paraId="0CB672CF">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-1.48%</w:t>
            </w:r>
          </w:p>
        </w:tc>
        <w:tc>
          <w:tcPr>
            <w:tcW w:w="1894" w:type="dxa"/>
            <w:tcBorders>
              <w:top w:val="nil"/>
              <w:left w:val="nil"/>
              <w:bottom w:val="nil"/>
              <w:right w:val="nil"/>
            </w:tcBorders>
            <w:shd w:val="clear" w:color="auto" w:fill="auto"/>
            <w:vAlign w:val="center"/>
          </w:tcPr>
          <w:p w14:paraId="610617B2">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33.58%</w:t>
            </w:r>
          </w:p>
        </w:tc>
      </w:tr>
      <w:tr w14:paraId="3B8A8226">
        <w:trPr>
          <w:trHeight w:val="0" w:hRule="atLeast"/>
          <w:jc w:val="center"/>
        </w:trPr>
        <w:tc>
          <w:tcPr>
            <w:tcW w:w="943" w:type="dxa"/>
            <w:tcBorders>
              <w:top w:val="nil"/>
              <w:left w:val="nil"/>
              <w:bottom w:val="nil"/>
              <w:right w:val="nil"/>
            </w:tcBorders>
            <w:shd w:val="clear" w:color="auto" w:fill="auto"/>
            <w:vAlign w:val="center"/>
          </w:tcPr>
          <w:p w14:paraId="2A1DC3EA">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2022</w:t>
            </w:r>
          </w:p>
        </w:tc>
        <w:tc>
          <w:tcPr>
            <w:tcW w:w="1894" w:type="dxa"/>
            <w:tcBorders>
              <w:top w:val="nil"/>
              <w:left w:val="nil"/>
              <w:bottom w:val="nil"/>
              <w:right w:val="nil"/>
            </w:tcBorders>
            <w:shd w:val="clear" w:color="auto" w:fill="auto"/>
            <w:vAlign w:val="center"/>
          </w:tcPr>
          <w:p w14:paraId="40A863CA">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17.46%</w:t>
            </w:r>
          </w:p>
        </w:tc>
        <w:tc>
          <w:tcPr>
            <w:tcW w:w="1894" w:type="dxa"/>
            <w:tcBorders>
              <w:top w:val="nil"/>
              <w:left w:val="nil"/>
              <w:bottom w:val="nil"/>
              <w:right w:val="nil"/>
            </w:tcBorders>
            <w:shd w:val="clear" w:color="auto" w:fill="auto"/>
            <w:vAlign w:val="center"/>
          </w:tcPr>
          <w:p w14:paraId="15817589">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9.26%</w:t>
            </w:r>
          </w:p>
        </w:tc>
        <w:tc>
          <w:tcPr>
            <w:tcW w:w="1894" w:type="dxa"/>
            <w:tcBorders>
              <w:top w:val="nil"/>
              <w:left w:val="nil"/>
              <w:bottom w:val="nil"/>
              <w:right w:val="nil"/>
            </w:tcBorders>
            <w:shd w:val="clear" w:color="auto" w:fill="auto"/>
            <w:vAlign w:val="center"/>
          </w:tcPr>
          <w:p w14:paraId="4F1F1E96">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-0.75%</w:t>
            </w:r>
          </w:p>
        </w:tc>
        <w:tc>
          <w:tcPr>
            <w:tcW w:w="1894" w:type="dxa"/>
            <w:tcBorders>
              <w:top w:val="nil"/>
              <w:left w:val="nil"/>
              <w:bottom w:val="nil"/>
              <w:right w:val="nil"/>
            </w:tcBorders>
            <w:shd w:val="clear" w:color="auto" w:fill="auto"/>
            <w:vAlign w:val="center"/>
          </w:tcPr>
          <w:p w14:paraId="55C89453">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31.53%</w:t>
            </w:r>
          </w:p>
        </w:tc>
      </w:tr>
      <w:tr w14:paraId="1F47A84E">
        <w:trPr>
          <w:trHeight w:val="0" w:hRule="atLeast"/>
          <w:jc w:val="center"/>
        </w:trPr>
        <w:tc>
          <w:tcPr>
            <w:tcW w:w="943" w:type="dxa"/>
            <w:tcBorders>
              <w:top w:val="nil"/>
              <w:left w:val="nil"/>
              <w:bottom w:val="nil"/>
              <w:right w:val="nil"/>
            </w:tcBorders>
            <w:shd w:val="clear" w:color="auto" w:fill="auto"/>
            <w:vAlign w:val="center"/>
          </w:tcPr>
          <w:p w14:paraId="50664FA8">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2023</w:t>
            </w:r>
          </w:p>
        </w:tc>
        <w:tc>
          <w:tcPr>
            <w:tcW w:w="1894" w:type="dxa"/>
            <w:tcBorders>
              <w:top w:val="nil"/>
              <w:left w:val="nil"/>
              <w:bottom w:val="nil"/>
              <w:right w:val="nil"/>
            </w:tcBorders>
            <w:shd w:val="clear" w:color="auto" w:fill="auto"/>
            <w:vAlign w:val="center"/>
          </w:tcPr>
          <w:p w14:paraId="74C84FFF">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34.86%</w:t>
            </w:r>
          </w:p>
        </w:tc>
        <w:tc>
          <w:tcPr>
            <w:tcW w:w="1894" w:type="dxa"/>
            <w:tcBorders>
              <w:top w:val="nil"/>
              <w:left w:val="nil"/>
              <w:bottom w:val="nil"/>
              <w:right w:val="nil"/>
            </w:tcBorders>
            <w:shd w:val="clear" w:color="auto" w:fill="auto"/>
            <w:vAlign w:val="center"/>
          </w:tcPr>
          <w:p w14:paraId="3ABEEC67">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6.10%</w:t>
            </w:r>
          </w:p>
        </w:tc>
        <w:tc>
          <w:tcPr>
            <w:tcW w:w="1894" w:type="dxa"/>
            <w:tcBorders>
              <w:top w:val="nil"/>
              <w:left w:val="nil"/>
              <w:bottom w:val="nil"/>
              <w:right w:val="nil"/>
            </w:tcBorders>
            <w:shd w:val="clear" w:color="auto" w:fill="auto"/>
            <w:vAlign w:val="center"/>
          </w:tcPr>
          <w:p w14:paraId="495EB00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-0.20%</w:t>
            </w:r>
          </w:p>
        </w:tc>
        <w:tc>
          <w:tcPr>
            <w:tcW w:w="1894" w:type="dxa"/>
            <w:tcBorders>
              <w:top w:val="nil"/>
              <w:left w:val="nil"/>
              <w:bottom w:val="nil"/>
              <w:right w:val="nil"/>
            </w:tcBorders>
            <w:shd w:val="clear" w:color="auto" w:fill="auto"/>
            <w:vAlign w:val="center"/>
          </w:tcPr>
          <w:p w14:paraId="4F5303BB">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23.66%</w:t>
            </w:r>
          </w:p>
        </w:tc>
      </w:tr>
      <w:tr w14:paraId="281826BB">
        <w:trPr>
          <w:trHeight w:val="0" w:hRule="atLeast"/>
          <w:jc w:val="center"/>
        </w:trPr>
        <w:tc>
          <w:tcPr>
            <w:tcW w:w="943" w:type="dxa"/>
            <w:tcBorders>
              <w:top w:val="nil"/>
              <w:left w:val="nil"/>
              <w:bottom w:val="single" w:color="auto" w:sz="12" w:space="0"/>
              <w:right w:val="nil"/>
            </w:tcBorders>
            <w:shd w:val="clear" w:color="auto" w:fill="auto"/>
            <w:vAlign w:val="center"/>
          </w:tcPr>
          <w:p w14:paraId="5AFA0001">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2024</w:t>
            </w:r>
          </w:p>
        </w:tc>
        <w:tc>
          <w:tcPr>
            <w:tcW w:w="1894" w:type="dxa"/>
            <w:tcBorders>
              <w:top w:val="nil"/>
              <w:left w:val="nil"/>
              <w:bottom w:val="single" w:color="auto" w:sz="12" w:space="0"/>
              <w:right w:val="nil"/>
            </w:tcBorders>
            <w:shd w:val="clear" w:color="auto" w:fill="auto"/>
            <w:vAlign w:val="center"/>
          </w:tcPr>
          <w:p w14:paraId="438E1033">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34.39%</w:t>
            </w:r>
          </w:p>
        </w:tc>
        <w:tc>
          <w:tcPr>
            <w:tcW w:w="1894" w:type="dxa"/>
            <w:tcBorders>
              <w:top w:val="nil"/>
              <w:left w:val="nil"/>
              <w:bottom w:val="single" w:color="auto" w:sz="12" w:space="0"/>
              <w:right w:val="nil"/>
            </w:tcBorders>
            <w:shd w:val="clear" w:color="auto" w:fill="auto"/>
            <w:vAlign w:val="center"/>
          </w:tcPr>
          <w:p w14:paraId="36C5C931">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7.55%</w:t>
            </w:r>
          </w:p>
        </w:tc>
        <w:tc>
          <w:tcPr>
            <w:tcW w:w="1894" w:type="dxa"/>
            <w:tcBorders>
              <w:top w:val="nil"/>
              <w:left w:val="nil"/>
              <w:bottom w:val="single" w:color="auto" w:sz="12" w:space="0"/>
              <w:right w:val="nil"/>
            </w:tcBorders>
            <w:shd w:val="clear" w:color="auto" w:fill="auto"/>
            <w:vAlign w:val="center"/>
          </w:tcPr>
          <w:p w14:paraId="48B33CC8">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0.14%</w:t>
            </w:r>
          </w:p>
        </w:tc>
        <w:tc>
          <w:tcPr>
            <w:tcW w:w="1894" w:type="dxa"/>
            <w:tcBorders>
              <w:top w:val="nil"/>
              <w:left w:val="nil"/>
              <w:bottom w:val="single" w:color="auto" w:sz="12" w:space="0"/>
              <w:right w:val="nil"/>
            </w:tcBorders>
            <w:shd w:val="clear" w:color="auto" w:fill="auto"/>
            <w:vAlign w:val="center"/>
          </w:tcPr>
          <w:p w14:paraId="746178A5">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23.66%</w:t>
            </w:r>
          </w:p>
        </w:tc>
      </w:tr>
    </w:tbl>
    <w:p w14:paraId="3F068C88">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数据来源：</w:t>
      </w:r>
      <w:r>
        <w:rPr>
          <w:rFonts w:hint="default" w:ascii="Times New Roman" w:hAnsi="Times New Roman" w:eastAsia="宋体" w:cs="Times New Roman"/>
          <w:sz w:val="24"/>
          <w:szCs w:val="24"/>
          <w:lang w:val="en-US" w:eastAsia="zh-CN"/>
        </w:rPr>
        <w:t>finD</w:t>
      </w:r>
      <w:r>
        <w:rPr>
          <w:rFonts w:hint="default" w:ascii="Times New Roman" w:hAnsi="Times New Roman" w:eastAsia="宋体" w:cs="Times New Roman"/>
          <w:sz w:val="24"/>
          <w:szCs w:val="24"/>
        </w:rPr>
        <w:t>数据库整理</w:t>
      </w:r>
    </w:p>
    <w:p w14:paraId="42005156">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公司研发投入一直保持在较高水平，但销售费用率和管理费用率总体呈下降趋势。这表明企业在保持技术研发投入的同时，通过优化运营和营销结构，在一定程度上降低了期间费用对利润的侵蚀，从而维持了较高的销售净利率。AI对巨人网络销售净利率的影响，更多体现在“利润放大”而不是“收入创造”。公司在年报中</w:t>
      </w:r>
      <w:r>
        <w:rPr>
          <w:rFonts w:hint="default" w:ascii="Times New Roman" w:hAnsi="Times New Roman" w:eastAsia="宋体" w:cs="Times New Roman"/>
          <w:sz w:val="24"/>
          <w:szCs w:val="24"/>
          <w:lang w:val="en-US" w:eastAsia="zh-CN"/>
        </w:rPr>
        <w:t>也</w:t>
      </w:r>
      <w:r>
        <w:rPr>
          <w:rFonts w:hint="default" w:ascii="Times New Roman" w:hAnsi="Times New Roman" w:eastAsia="宋体" w:cs="Times New Roman"/>
          <w:sz w:val="24"/>
          <w:szCs w:val="24"/>
        </w:rPr>
        <w:t>提到，AI已被用于美术生成、语音合成、代码开发、翻译、客服、智能NPC以及AI玩法设计等环节</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公司一边持续投入研发，一边在成熟游戏业务的支撑下，把更多AI能力转化为研发提效、内容生产提效和运营提效。</w:t>
      </w:r>
    </w:p>
    <w:p w14:paraId="0297ACC4">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t>巨人网络2024年年报亦披露，其AI能力主要用于辅助内容生产和运营提效，而非独立形成AI产品收入。因此，巨人网络的销售净利率之所以持续高位，关键不在于AI单独创造利润，而在于AI在一个原本就具有高利润率的业务体系内进一步降低边际成本、提升产出效率。对AI业务赋能型企业而言，这是一种理想的利润实现路径。</w:t>
      </w:r>
    </w:p>
    <w:p w14:paraId="64891D25">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2</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世纪天鸿</w:t>
      </w:r>
    </w:p>
    <w:p w14:paraId="7601D8CD">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eastAsia" w:ascii="Times New Roman" w:hAnsi="Times New Roman" w:eastAsia="宋体" w:cs="Times New Roman"/>
          <w:sz w:val="24"/>
          <w:szCs w:val="24"/>
          <w:lang w:eastAsia="zh-CN"/>
        </w:rPr>
      </w:pPr>
      <w:r>
        <w:rPr>
          <w:rFonts w:hint="default" w:ascii="Times New Roman" w:hAnsi="Times New Roman" w:eastAsia="宋体" w:cs="Times New Roman"/>
          <w:sz w:val="24"/>
          <w:szCs w:val="24"/>
        </w:rPr>
        <w:t>2020—2024年，世纪天鸿的销售净利率分别为0.0932、0.0866、0.0847、0.0855和0.0838，整体维持在8%—9%之间，波动幅度较小</w:t>
      </w:r>
      <w:r>
        <w:rPr>
          <w:rFonts w:hint="eastAsia" w:ascii="Times New Roman" w:hAnsi="Times New Roman" w:eastAsia="宋体" w:cs="Times New Roman"/>
          <w:sz w:val="24"/>
          <w:szCs w:val="24"/>
          <w:lang w:val="en-US" w:eastAsia="zh-CN"/>
        </w:rPr>
        <w:t>但没有提升</w:t>
      </w:r>
      <w:r>
        <w:rPr>
          <w:rFonts w:hint="default" w:ascii="Times New Roman" w:hAnsi="Times New Roman" w:eastAsia="宋体" w:cs="Times New Roman"/>
          <w:sz w:val="24"/>
          <w:szCs w:val="24"/>
        </w:rPr>
        <w:t>。从成本结构看，公司毛利率由30.33%提升至37.70%，营业成本率由69.67%下降至62.30%，说明主营业务毛利空间实际上有所改善</w:t>
      </w:r>
      <w:r>
        <w:rPr>
          <w:rFonts w:hint="eastAsia" w:ascii="Times New Roman" w:hAnsi="Times New Roman" w:eastAsia="宋体" w:cs="Times New Roman"/>
          <w:sz w:val="24"/>
          <w:szCs w:val="24"/>
          <w:lang w:eastAsia="zh-CN"/>
        </w:rPr>
        <w:t>。真正值得关注的是费用结构。</w:t>
      </w:r>
    </w:p>
    <w:p w14:paraId="2A602659">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世纪天鸿2020—2024年的主要期间费用率变化情况</w:t>
      </w:r>
      <w:r>
        <w:rPr>
          <w:rFonts w:hint="default" w:ascii="Times New Roman" w:hAnsi="Times New Roman" w:eastAsia="宋体" w:cs="Times New Roman"/>
          <w:sz w:val="24"/>
          <w:szCs w:val="24"/>
          <w:lang w:val="en-US" w:eastAsia="zh-CN"/>
        </w:rPr>
        <w:t>如</w:t>
      </w:r>
      <w:r>
        <w:rPr>
          <w:rFonts w:hint="default" w:ascii="Times New Roman" w:hAnsi="Times New Roman" w:eastAsia="宋体" w:cs="Times New Roman"/>
          <w:sz w:val="24"/>
          <w:szCs w:val="24"/>
        </w:rPr>
        <w:t>表4-11，</w:t>
      </w:r>
      <w:r>
        <w:rPr>
          <w:rFonts w:hint="eastAsia" w:ascii="Times New Roman" w:hAnsi="Times New Roman" w:eastAsia="宋体" w:cs="Times New Roman"/>
          <w:sz w:val="24"/>
          <w:szCs w:val="24"/>
          <w:lang w:val="en-US" w:eastAsia="zh-CN"/>
        </w:rPr>
        <w:t>从</w:t>
      </w:r>
      <w:r>
        <w:rPr>
          <w:rFonts w:hint="default" w:ascii="Times New Roman" w:hAnsi="Times New Roman" w:eastAsia="宋体" w:cs="Times New Roman"/>
          <w:sz w:val="24"/>
          <w:szCs w:val="24"/>
        </w:rPr>
        <w:t>费用结构看，销售费用率由8.85%上升至16.32%，管理费用率维持在8.88%—11.20%之间，研发费用率虽然不高，但从2020年的0.38%提高到2024年的1.08%。这意味着，世纪天鸿近年来的净利率之所以没有随着毛利率改善而明显提升，主要原因在于费用端同步抬升，对利润释放形成了抵消。</w:t>
      </w:r>
    </w:p>
    <w:p w14:paraId="3E27CA7E">
      <w:pPr>
        <w:widowControl/>
        <w:tabs>
          <w:tab w:val="left" w:pos="377"/>
        </w:tabs>
        <w:autoSpaceDE/>
        <w:autoSpaceDN/>
        <w:snapToGrid/>
        <w:spacing w:before="156" w:beforeLines="50"/>
        <w:jc w:val="center"/>
        <w:rPr>
          <w:rFonts w:hint="default" w:ascii="Times New Roman" w:hAnsi="Times New Roman" w:eastAsia="宋体" w:cs="Times New Roman"/>
          <w:spacing w:val="10"/>
          <w:kern w:val="0"/>
          <w:szCs w:val="20"/>
          <w:lang w:val="en-US" w:eastAsia="zh-CN"/>
        </w:rPr>
      </w:pPr>
      <w:r>
        <w:rPr>
          <w:rFonts w:hint="default" w:ascii="Times New Roman" w:hAnsi="Times New Roman" w:eastAsia="宋体" w:cs="Times New Roman"/>
          <w:spacing w:val="10"/>
          <w:kern w:val="0"/>
          <w:szCs w:val="20"/>
          <w:lang w:val="en-US" w:eastAsia="zh-CN"/>
        </w:rPr>
        <w:t>表4-11 世纪天鸿期间费用率变化</w:t>
      </w:r>
    </w:p>
    <w:tbl>
      <w:tblPr>
        <w:tblStyle w:val="7"/>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943"/>
        <w:gridCol w:w="1894"/>
        <w:gridCol w:w="1894"/>
        <w:gridCol w:w="1894"/>
        <w:gridCol w:w="1894"/>
      </w:tblGrid>
      <w:tr w14:paraId="279A2CE7">
        <w:trPr>
          <w:trHeight w:val="0" w:hRule="atLeast"/>
          <w:tblHeader/>
          <w:jc w:val="center"/>
        </w:trPr>
        <w:tc>
          <w:tcPr>
            <w:tcW w:w="943" w:type="dxa"/>
            <w:tcBorders>
              <w:top w:val="single" w:color="auto" w:sz="12" w:space="0"/>
              <w:left w:val="nil"/>
              <w:bottom w:val="single" w:color="auto" w:sz="4" w:space="0"/>
              <w:right w:val="nil"/>
            </w:tcBorders>
            <w:shd w:val="clear" w:color="auto" w:fill="auto"/>
            <w:vAlign w:val="center"/>
          </w:tcPr>
          <w:p w14:paraId="704B7AA8">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年份</w:t>
            </w:r>
          </w:p>
        </w:tc>
        <w:tc>
          <w:tcPr>
            <w:tcW w:w="1894" w:type="dxa"/>
            <w:tcBorders>
              <w:top w:val="single" w:color="auto" w:sz="12" w:space="0"/>
              <w:left w:val="nil"/>
              <w:bottom w:val="single" w:color="auto" w:sz="4" w:space="0"/>
              <w:right w:val="nil"/>
            </w:tcBorders>
            <w:shd w:val="clear" w:color="auto" w:fill="auto"/>
            <w:vAlign w:val="center"/>
          </w:tcPr>
          <w:p w14:paraId="62F0B165">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销售费用率</w:t>
            </w:r>
          </w:p>
        </w:tc>
        <w:tc>
          <w:tcPr>
            <w:tcW w:w="1894" w:type="dxa"/>
            <w:tcBorders>
              <w:top w:val="single" w:color="auto" w:sz="12" w:space="0"/>
              <w:left w:val="nil"/>
              <w:bottom w:val="single" w:color="auto" w:sz="4" w:space="0"/>
              <w:right w:val="nil"/>
            </w:tcBorders>
            <w:shd w:val="clear" w:color="auto" w:fill="auto"/>
            <w:vAlign w:val="center"/>
          </w:tcPr>
          <w:p w14:paraId="53F96C33">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管理费用率</w:t>
            </w:r>
          </w:p>
        </w:tc>
        <w:tc>
          <w:tcPr>
            <w:tcW w:w="1894" w:type="dxa"/>
            <w:tcBorders>
              <w:top w:val="single" w:color="auto" w:sz="12" w:space="0"/>
              <w:left w:val="nil"/>
              <w:bottom w:val="single" w:color="auto" w:sz="4" w:space="0"/>
              <w:right w:val="nil"/>
            </w:tcBorders>
            <w:shd w:val="clear" w:color="auto" w:fill="auto"/>
            <w:vAlign w:val="center"/>
          </w:tcPr>
          <w:p w14:paraId="2C84D9D0">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财务费用率</w:t>
            </w:r>
          </w:p>
        </w:tc>
        <w:tc>
          <w:tcPr>
            <w:tcW w:w="1894" w:type="dxa"/>
            <w:tcBorders>
              <w:top w:val="single" w:color="auto" w:sz="12" w:space="0"/>
              <w:left w:val="nil"/>
              <w:bottom w:val="single" w:color="auto" w:sz="4" w:space="0"/>
              <w:right w:val="nil"/>
            </w:tcBorders>
            <w:shd w:val="clear" w:color="auto" w:fill="auto"/>
            <w:vAlign w:val="center"/>
          </w:tcPr>
          <w:p w14:paraId="2F817524">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研发费用率</w:t>
            </w:r>
          </w:p>
        </w:tc>
      </w:tr>
      <w:tr w14:paraId="2AD03886">
        <w:trPr>
          <w:trHeight w:val="0" w:hRule="atLeast"/>
          <w:jc w:val="center"/>
        </w:trPr>
        <w:tc>
          <w:tcPr>
            <w:tcW w:w="943" w:type="dxa"/>
            <w:tcBorders>
              <w:top w:val="single" w:color="auto" w:sz="4" w:space="0"/>
              <w:left w:val="nil"/>
              <w:bottom w:val="nil"/>
              <w:right w:val="nil"/>
            </w:tcBorders>
            <w:shd w:val="clear" w:color="auto" w:fill="auto"/>
            <w:vAlign w:val="center"/>
          </w:tcPr>
          <w:p w14:paraId="313AA523">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2020</w:t>
            </w:r>
          </w:p>
        </w:tc>
        <w:tc>
          <w:tcPr>
            <w:tcW w:w="1894" w:type="dxa"/>
            <w:tcBorders>
              <w:top w:val="single" w:color="auto" w:sz="4" w:space="0"/>
              <w:left w:val="nil"/>
              <w:bottom w:val="nil"/>
              <w:right w:val="nil"/>
            </w:tcBorders>
            <w:shd w:val="clear" w:color="auto" w:fill="auto"/>
            <w:vAlign w:val="center"/>
          </w:tcPr>
          <w:p w14:paraId="4EFA5025">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8.85%</w:t>
            </w:r>
          </w:p>
        </w:tc>
        <w:tc>
          <w:tcPr>
            <w:tcW w:w="1894" w:type="dxa"/>
            <w:tcBorders>
              <w:top w:val="single" w:color="auto" w:sz="4" w:space="0"/>
              <w:left w:val="nil"/>
              <w:bottom w:val="nil"/>
              <w:right w:val="nil"/>
            </w:tcBorders>
            <w:shd w:val="clear" w:color="auto" w:fill="auto"/>
            <w:vAlign w:val="center"/>
          </w:tcPr>
          <w:p w14:paraId="0F8F8E90">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11.20%</w:t>
            </w:r>
          </w:p>
        </w:tc>
        <w:tc>
          <w:tcPr>
            <w:tcW w:w="1894" w:type="dxa"/>
            <w:tcBorders>
              <w:top w:val="single" w:color="auto" w:sz="4" w:space="0"/>
              <w:left w:val="nil"/>
              <w:bottom w:val="nil"/>
              <w:right w:val="nil"/>
            </w:tcBorders>
            <w:shd w:val="clear" w:color="auto" w:fill="auto"/>
            <w:vAlign w:val="center"/>
          </w:tcPr>
          <w:p w14:paraId="12F3A396">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-0.07%</w:t>
            </w:r>
          </w:p>
        </w:tc>
        <w:tc>
          <w:tcPr>
            <w:tcW w:w="1894" w:type="dxa"/>
            <w:tcBorders>
              <w:top w:val="single" w:color="auto" w:sz="4" w:space="0"/>
              <w:left w:val="nil"/>
              <w:bottom w:val="nil"/>
              <w:right w:val="nil"/>
            </w:tcBorders>
            <w:shd w:val="clear" w:color="auto" w:fill="auto"/>
            <w:vAlign w:val="center"/>
          </w:tcPr>
          <w:p w14:paraId="275F1CE9">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0.38%</w:t>
            </w:r>
          </w:p>
        </w:tc>
      </w:tr>
      <w:tr w14:paraId="5ED1AFD9">
        <w:trPr>
          <w:trHeight w:val="0" w:hRule="atLeast"/>
          <w:jc w:val="center"/>
        </w:trPr>
        <w:tc>
          <w:tcPr>
            <w:tcW w:w="943" w:type="dxa"/>
            <w:tcBorders>
              <w:top w:val="nil"/>
              <w:left w:val="nil"/>
              <w:bottom w:val="nil"/>
              <w:right w:val="nil"/>
            </w:tcBorders>
            <w:shd w:val="clear" w:color="auto" w:fill="auto"/>
            <w:vAlign w:val="center"/>
          </w:tcPr>
          <w:p w14:paraId="3A59EF97">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2021</w:t>
            </w:r>
          </w:p>
        </w:tc>
        <w:tc>
          <w:tcPr>
            <w:tcW w:w="1894" w:type="dxa"/>
            <w:tcBorders>
              <w:top w:val="nil"/>
              <w:left w:val="nil"/>
              <w:bottom w:val="nil"/>
              <w:right w:val="nil"/>
            </w:tcBorders>
            <w:shd w:val="clear" w:color="auto" w:fill="auto"/>
            <w:vAlign w:val="center"/>
          </w:tcPr>
          <w:p w14:paraId="421609E1">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10.34%</w:t>
            </w:r>
          </w:p>
        </w:tc>
        <w:tc>
          <w:tcPr>
            <w:tcW w:w="1894" w:type="dxa"/>
            <w:tcBorders>
              <w:top w:val="nil"/>
              <w:left w:val="nil"/>
              <w:bottom w:val="nil"/>
              <w:right w:val="nil"/>
            </w:tcBorders>
            <w:shd w:val="clear" w:color="auto" w:fill="auto"/>
            <w:vAlign w:val="center"/>
          </w:tcPr>
          <w:p w14:paraId="3C4247FC">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9.55%</w:t>
            </w:r>
          </w:p>
        </w:tc>
        <w:tc>
          <w:tcPr>
            <w:tcW w:w="1894" w:type="dxa"/>
            <w:tcBorders>
              <w:top w:val="nil"/>
              <w:left w:val="nil"/>
              <w:bottom w:val="nil"/>
              <w:right w:val="nil"/>
            </w:tcBorders>
            <w:shd w:val="clear" w:color="auto" w:fill="auto"/>
            <w:vAlign w:val="center"/>
          </w:tcPr>
          <w:p w14:paraId="62E1D92F">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-0.20%</w:t>
            </w:r>
          </w:p>
        </w:tc>
        <w:tc>
          <w:tcPr>
            <w:tcW w:w="1894" w:type="dxa"/>
            <w:tcBorders>
              <w:top w:val="nil"/>
              <w:left w:val="nil"/>
              <w:bottom w:val="nil"/>
              <w:right w:val="nil"/>
            </w:tcBorders>
            <w:shd w:val="clear" w:color="auto" w:fill="auto"/>
            <w:vAlign w:val="center"/>
          </w:tcPr>
          <w:p w14:paraId="6ABF10AD">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1.03%</w:t>
            </w:r>
          </w:p>
        </w:tc>
      </w:tr>
      <w:tr w14:paraId="2CA3C132">
        <w:trPr>
          <w:trHeight w:val="0" w:hRule="atLeast"/>
          <w:jc w:val="center"/>
        </w:trPr>
        <w:tc>
          <w:tcPr>
            <w:tcW w:w="943" w:type="dxa"/>
            <w:tcBorders>
              <w:top w:val="nil"/>
              <w:left w:val="nil"/>
              <w:bottom w:val="nil"/>
              <w:right w:val="nil"/>
            </w:tcBorders>
            <w:shd w:val="clear" w:color="auto" w:fill="auto"/>
            <w:vAlign w:val="center"/>
          </w:tcPr>
          <w:p w14:paraId="672E85D0">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2022</w:t>
            </w:r>
          </w:p>
        </w:tc>
        <w:tc>
          <w:tcPr>
            <w:tcW w:w="1894" w:type="dxa"/>
            <w:tcBorders>
              <w:top w:val="nil"/>
              <w:left w:val="nil"/>
              <w:bottom w:val="nil"/>
              <w:right w:val="nil"/>
            </w:tcBorders>
            <w:shd w:val="clear" w:color="auto" w:fill="auto"/>
            <w:vAlign w:val="center"/>
          </w:tcPr>
          <w:p w14:paraId="6B80BD20">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11.15%</w:t>
            </w:r>
          </w:p>
        </w:tc>
        <w:tc>
          <w:tcPr>
            <w:tcW w:w="1894" w:type="dxa"/>
            <w:tcBorders>
              <w:top w:val="nil"/>
              <w:left w:val="nil"/>
              <w:bottom w:val="nil"/>
              <w:right w:val="nil"/>
            </w:tcBorders>
            <w:shd w:val="clear" w:color="auto" w:fill="auto"/>
            <w:vAlign w:val="center"/>
          </w:tcPr>
          <w:p w14:paraId="125CCB7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9.90%</w:t>
            </w:r>
          </w:p>
        </w:tc>
        <w:tc>
          <w:tcPr>
            <w:tcW w:w="1894" w:type="dxa"/>
            <w:tcBorders>
              <w:top w:val="nil"/>
              <w:left w:val="nil"/>
              <w:bottom w:val="nil"/>
              <w:right w:val="nil"/>
            </w:tcBorders>
            <w:shd w:val="clear" w:color="auto" w:fill="auto"/>
            <w:vAlign w:val="center"/>
          </w:tcPr>
          <w:p w14:paraId="30AB7363">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-0.82%</w:t>
            </w:r>
          </w:p>
        </w:tc>
        <w:tc>
          <w:tcPr>
            <w:tcW w:w="1894" w:type="dxa"/>
            <w:tcBorders>
              <w:top w:val="nil"/>
              <w:left w:val="nil"/>
              <w:bottom w:val="nil"/>
              <w:right w:val="nil"/>
            </w:tcBorders>
            <w:shd w:val="clear" w:color="auto" w:fill="auto"/>
            <w:vAlign w:val="center"/>
          </w:tcPr>
          <w:p w14:paraId="30FEA6F5">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1.08%</w:t>
            </w:r>
          </w:p>
        </w:tc>
      </w:tr>
      <w:tr w14:paraId="390A4FFE">
        <w:trPr>
          <w:trHeight w:val="0" w:hRule="atLeast"/>
          <w:jc w:val="center"/>
        </w:trPr>
        <w:tc>
          <w:tcPr>
            <w:tcW w:w="943" w:type="dxa"/>
            <w:tcBorders>
              <w:top w:val="nil"/>
              <w:left w:val="nil"/>
              <w:bottom w:val="nil"/>
              <w:right w:val="nil"/>
            </w:tcBorders>
            <w:shd w:val="clear" w:color="auto" w:fill="auto"/>
            <w:vAlign w:val="center"/>
          </w:tcPr>
          <w:p w14:paraId="55284704">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2023</w:t>
            </w:r>
          </w:p>
        </w:tc>
        <w:tc>
          <w:tcPr>
            <w:tcW w:w="1894" w:type="dxa"/>
            <w:tcBorders>
              <w:top w:val="nil"/>
              <w:left w:val="nil"/>
              <w:bottom w:val="nil"/>
              <w:right w:val="nil"/>
            </w:tcBorders>
            <w:shd w:val="clear" w:color="auto" w:fill="auto"/>
            <w:vAlign w:val="center"/>
          </w:tcPr>
          <w:p w14:paraId="6C40DF81">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14.62%</w:t>
            </w:r>
          </w:p>
        </w:tc>
        <w:tc>
          <w:tcPr>
            <w:tcW w:w="1894" w:type="dxa"/>
            <w:tcBorders>
              <w:top w:val="nil"/>
              <w:left w:val="nil"/>
              <w:bottom w:val="nil"/>
              <w:right w:val="nil"/>
            </w:tcBorders>
            <w:shd w:val="clear" w:color="auto" w:fill="auto"/>
            <w:vAlign w:val="center"/>
          </w:tcPr>
          <w:p w14:paraId="2BF9E670">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10.59%</w:t>
            </w:r>
          </w:p>
        </w:tc>
        <w:tc>
          <w:tcPr>
            <w:tcW w:w="1894" w:type="dxa"/>
            <w:tcBorders>
              <w:top w:val="nil"/>
              <w:left w:val="nil"/>
              <w:bottom w:val="nil"/>
              <w:right w:val="nil"/>
            </w:tcBorders>
            <w:shd w:val="clear" w:color="auto" w:fill="auto"/>
            <w:vAlign w:val="center"/>
          </w:tcPr>
          <w:p w14:paraId="528AC84E">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-1.25%</w:t>
            </w:r>
          </w:p>
        </w:tc>
        <w:tc>
          <w:tcPr>
            <w:tcW w:w="1894" w:type="dxa"/>
            <w:tcBorders>
              <w:top w:val="nil"/>
              <w:left w:val="nil"/>
              <w:bottom w:val="nil"/>
              <w:right w:val="nil"/>
            </w:tcBorders>
            <w:shd w:val="clear" w:color="auto" w:fill="auto"/>
            <w:vAlign w:val="center"/>
          </w:tcPr>
          <w:p w14:paraId="2484D551">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1.03%</w:t>
            </w:r>
          </w:p>
        </w:tc>
      </w:tr>
      <w:tr w14:paraId="7953D2B6">
        <w:trPr>
          <w:trHeight w:val="0" w:hRule="atLeast"/>
          <w:jc w:val="center"/>
        </w:trPr>
        <w:tc>
          <w:tcPr>
            <w:tcW w:w="943" w:type="dxa"/>
            <w:tcBorders>
              <w:top w:val="nil"/>
              <w:left w:val="nil"/>
              <w:bottom w:val="single" w:color="auto" w:sz="12" w:space="0"/>
              <w:right w:val="nil"/>
            </w:tcBorders>
            <w:shd w:val="clear" w:color="auto" w:fill="auto"/>
            <w:vAlign w:val="center"/>
          </w:tcPr>
          <w:p w14:paraId="5CFB5683">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2024</w:t>
            </w:r>
          </w:p>
        </w:tc>
        <w:tc>
          <w:tcPr>
            <w:tcW w:w="1894" w:type="dxa"/>
            <w:tcBorders>
              <w:top w:val="nil"/>
              <w:left w:val="nil"/>
              <w:bottom w:val="single" w:color="auto" w:sz="12" w:space="0"/>
              <w:right w:val="nil"/>
            </w:tcBorders>
            <w:shd w:val="clear" w:color="auto" w:fill="auto"/>
            <w:vAlign w:val="center"/>
          </w:tcPr>
          <w:p w14:paraId="34A7F07C">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16.32%</w:t>
            </w:r>
          </w:p>
        </w:tc>
        <w:tc>
          <w:tcPr>
            <w:tcW w:w="1894" w:type="dxa"/>
            <w:tcBorders>
              <w:top w:val="nil"/>
              <w:left w:val="nil"/>
              <w:bottom w:val="single" w:color="auto" w:sz="12" w:space="0"/>
              <w:right w:val="nil"/>
            </w:tcBorders>
            <w:shd w:val="clear" w:color="auto" w:fill="auto"/>
            <w:vAlign w:val="center"/>
          </w:tcPr>
          <w:p w14:paraId="6E0C550B">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8.88%</w:t>
            </w:r>
          </w:p>
        </w:tc>
        <w:tc>
          <w:tcPr>
            <w:tcW w:w="1894" w:type="dxa"/>
            <w:tcBorders>
              <w:top w:val="nil"/>
              <w:left w:val="nil"/>
              <w:bottom w:val="single" w:color="auto" w:sz="12" w:space="0"/>
              <w:right w:val="nil"/>
            </w:tcBorders>
            <w:shd w:val="clear" w:color="auto" w:fill="auto"/>
            <w:vAlign w:val="center"/>
          </w:tcPr>
          <w:p w14:paraId="535C9D83">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-0.79%</w:t>
            </w:r>
          </w:p>
        </w:tc>
        <w:tc>
          <w:tcPr>
            <w:tcW w:w="1894" w:type="dxa"/>
            <w:tcBorders>
              <w:top w:val="nil"/>
              <w:left w:val="nil"/>
              <w:bottom w:val="single" w:color="auto" w:sz="12" w:space="0"/>
              <w:right w:val="nil"/>
            </w:tcBorders>
            <w:shd w:val="clear" w:color="auto" w:fill="auto"/>
            <w:vAlign w:val="center"/>
          </w:tcPr>
          <w:p w14:paraId="26759B3D">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1.08%</w:t>
            </w:r>
          </w:p>
        </w:tc>
      </w:tr>
    </w:tbl>
    <w:p w14:paraId="42240ADB">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数据来源：</w:t>
      </w:r>
      <w:r>
        <w:rPr>
          <w:rFonts w:hint="default" w:ascii="Times New Roman" w:hAnsi="Times New Roman" w:eastAsia="宋体" w:cs="Times New Roman"/>
          <w:sz w:val="24"/>
          <w:szCs w:val="24"/>
          <w:lang w:val="en-US" w:eastAsia="zh-CN"/>
        </w:rPr>
        <w:t>finD</w:t>
      </w:r>
      <w:r>
        <w:rPr>
          <w:rFonts w:hint="default" w:ascii="Times New Roman" w:hAnsi="Times New Roman" w:eastAsia="宋体" w:cs="Times New Roman"/>
          <w:sz w:val="24"/>
          <w:szCs w:val="24"/>
        </w:rPr>
        <w:t>数据库整理</w:t>
      </w:r>
    </w:p>
    <w:p w14:paraId="7446202A">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从业务逻辑看，世纪天鸿属于传统教辅业务稳定</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AI教育工具逐步推进的企业。教辅图书业务本身具有一定的稳定需求，因此能够维持相对平稳的利润来源；但AI教育产品从推出到形成规模采购通常需要较长周期，企业在推广过程中需要持续投入销售和渠道资源。世纪天鸿2024年年报中亦披露，公司持续推进“小鸿助教”</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“笔神作文”等AI教育产品应用场景落地，这类产品更接近第二增长曲线而非当期利润主来源。因此，世纪天鸿的净利率稳定但没有显著抬升，反映的不是盈利崩塌，而是毛利改善被推广费用吸收的典型状态。</w:t>
      </w:r>
    </w:p>
    <w:p w14:paraId="7CDBB542">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3</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思美传媒</w:t>
      </w:r>
    </w:p>
    <w:p w14:paraId="77600ABE">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思美传媒2020—2024年的销售净利率分别为-0.2895、0.0145、-0.0972、-0.0237和-0.0058，整体表现为波动较大且多数年份为负值。从销售净利率角度看，思美传媒和天地在线都属于低利润样本，但两者略有不同。天地在线是持续下滑后转负，思美传媒则是在低位反复波动，始终没有建立起稳定盈利基础</w:t>
      </w:r>
      <w:r>
        <w:rPr>
          <w:rFonts w:hint="default" w:ascii="Times New Roman" w:hAnsi="Times New Roman" w:eastAsia="宋体" w:cs="Times New Roman"/>
          <w:sz w:val="24"/>
          <w:szCs w:val="24"/>
          <w:lang w:eastAsia="zh-CN"/>
        </w:rPr>
        <w:t>。从成本结构看，公司毛利率仅在3.86%—7.34%之间，营业成本率长期高于92%，说明其主营业务天然处于极低毛利空间。</w:t>
      </w:r>
    </w:p>
    <w:p w14:paraId="63A80D7F">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eastAsia="zh-CN"/>
        </w:rPr>
      </w:pPr>
      <w:r>
        <w:rPr>
          <w:rFonts w:hint="eastAsia" w:ascii="Times New Roman" w:hAnsi="Times New Roman" w:eastAsia="宋体" w:cs="Times New Roman"/>
          <w:sz w:val="24"/>
          <w:szCs w:val="24"/>
          <w:lang w:val="en-US" w:eastAsia="zh-CN"/>
        </w:rPr>
        <w:t>进一步看费用端，</w:t>
      </w:r>
      <w:r>
        <w:rPr>
          <w:rFonts w:hint="default" w:ascii="Times New Roman" w:hAnsi="Times New Roman" w:eastAsia="宋体" w:cs="Times New Roman"/>
          <w:sz w:val="24"/>
          <w:szCs w:val="24"/>
        </w:rPr>
        <w:t>表4-12列示了思美传媒2020—2024年的主要期间费用率变化情况，思美传媒销售费用率、管理费用率和研发费用率的绝对值并不高，2024年分别为2.08%、1.14%和0.28%，远低于巨人网络、方直科技等企业，但公司净利率依然为负。这恰恰说明，思美传媒的问题并不是费用太高，而是毛利空间本身太薄，即使费用控制不算差，也难以形成足够利润。</w:t>
      </w:r>
    </w:p>
    <w:p w14:paraId="11DA3490">
      <w:pPr>
        <w:widowControl/>
        <w:tabs>
          <w:tab w:val="left" w:pos="377"/>
        </w:tabs>
        <w:autoSpaceDE/>
        <w:autoSpaceDN/>
        <w:snapToGrid/>
        <w:spacing w:before="156" w:beforeLines="50"/>
        <w:jc w:val="center"/>
        <w:rPr>
          <w:rFonts w:hint="default" w:ascii="Times New Roman" w:hAnsi="Times New Roman" w:eastAsia="宋体" w:cs="Times New Roman"/>
          <w:spacing w:val="10"/>
          <w:kern w:val="0"/>
          <w:szCs w:val="20"/>
          <w:lang w:val="en-US" w:eastAsia="zh-CN"/>
        </w:rPr>
      </w:pPr>
      <w:r>
        <w:rPr>
          <w:rFonts w:hint="default" w:ascii="Times New Roman" w:hAnsi="Times New Roman" w:eastAsia="宋体" w:cs="Times New Roman"/>
          <w:spacing w:val="10"/>
          <w:kern w:val="0"/>
          <w:szCs w:val="20"/>
          <w:lang w:val="en-US" w:eastAsia="zh-CN"/>
        </w:rPr>
        <w:t>表4-12 思美传媒期间费用率变化</w:t>
      </w:r>
    </w:p>
    <w:tbl>
      <w:tblPr>
        <w:tblStyle w:val="7"/>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943"/>
        <w:gridCol w:w="1894"/>
        <w:gridCol w:w="1894"/>
        <w:gridCol w:w="1894"/>
        <w:gridCol w:w="1894"/>
      </w:tblGrid>
      <w:tr w14:paraId="46BC521F">
        <w:trPr>
          <w:trHeight w:val="0" w:hRule="atLeast"/>
          <w:tblHeader/>
          <w:jc w:val="center"/>
        </w:trPr>
        <w:tc>
          <w:tcPr>
            <w:tcW w:w="943" w:type="dxa"/>
            <w:tcBorders>
              <w:top w:val="single" w:color="auto" w:sz="12" w:space="0"/>
              <w:left w:val="nil"/>
              <w:bottom w:val="single" w:color="auto" w:sz="4" w:space="0"/>
              <w:right w:val="nil"/>
            </w:tcBorders>
            <w:shd w:val="clear" w:color="auto" w:fill="auto"/>
            <w:vAlign w:val="center"/>
          </w:tcPr>
          <w:p w14:paraId="66DB55C6">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年份</w:t>
            </w:r>
          </w:p>
        </w:tc>
        <w:tc>
          <w:tcPr>
            <w:tcW w:w="1894" w:type="dxa"/>
            <w:tcBorders>
              <w:top w:val="single" w:color="auto" w:sz="12" w:space="0"/>
              <w:left w:val="nil"/>
              <w:bottom w:val="single" w:color="auto" w:sz="4" w:space="0"/>
              <w:right w:val="nil"/>
            </w:tcBorders>
            <w:shd w:val="clear" w:color="auto" w:fill="auto"/>
            <w:vAlign w:val="center"/>
          </w:tcPr>
          <w:p w14:paraId="4CEFE873">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销售费用率</w:t>
            </w:r>
          </w:p>
        </w:tc>
        <w:tc>
          <w:tcPr>
            <w:tcW w:w="1894" w:type="dxa"/>
            <w:tcBorders>
              <w:top w:val="single" w:color="auto" w:sz="12" w:space="0"/>
              <w:left w:val="nil"/>
              <w:bottom w:val="single" w:color="auto" w:sz="4" w:space="0"/>
              <w:right w:val="nil"/>
            </w:tcBorders>
            <w:shd w:val="clear" w:color="auto" w:fill="auto"/>
            <w:vAlign w:val="center"/>
          </w:tcPr>
          <w:p w14:paraId="0D68FD0B">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管理费用率</w:t>
            </w:r>
          </w:p>
        </w:tc>
        <w:tc>
          <w:tcPr>
            <w:tcW w:w="1894" w:type="dxa"/>
            <w:tcBorders>
              <w:top w:val="single" w:color="auto" w:sz="12" w:space="0"/>
              <w:left w:val="nil"/>
              <w:bottom w:val="single" w:color="auto" w:sz="4" w:space="0"/>
              <w:right w:val="nil"/>
            </w:tcBorders>
            <w:shd w:val="clear" w:color="auto" w:fill="auto"/>
            <w:vAlign w:val="center"/>
          </w:tcPr>
          <w:p w14:paraId="45CADA6D">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财务费用率</w:t>
            </w:r>
          </w:p>
        </w:tc>
        <w:tc>
          <w:tcPr>
            <w:tcW w:w="1894" w:type="dxa"/>
            <w:tcBorders>
              <w:top w:val="single" w:color="auto" w:sz="12" w:space="0"/>
              <w:left w:val="nil"/>
              <w:bottom w:val="single" w:color="auto" w:sz="4" w:space="0"/>
              <w:right w:val="nil"/>
            </w:tcBorders>
            <w:shd w:val="clear" w:color="auto" w:fill="auto"/>
            <w:vAlign w:val="center"/>
          </w:tcPr>
          <w:p w14:paraId="2407F66F">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研发费用率</w:t>
            </w:r>
          </w:p>
        </w:tc>
      </w:tr>
      <w:tr w14:paraId="3E8AEBE8">
        <w:trPr>
          <w:trHeight w:val="0" w:hRule="atLeast"/>
          <w:jc w:val="center"/>
        </w:trPr>
        <w:tc>
          <w:tcPr>
            <w:tcW w:w="943" w:type="dxa"/>
            <w:tcBorders>
              <w:top w:val="single" w:color="auto" w:sz="4" w:space="0"/>
              <w:left w:val="nil"/>
              <w:bottom w:val="nil"/>
              <w:right w:val="nil"/>
            </w:tcBorders>
            <w:shd w:val="clear" w:color="auto" w:fill="auto"/>
            <w:vAlign w:val="center"/>
          </w:tcPr>
          <w:p w14:paraId="5D375007">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2020</w:t>
            </w:r>
          </w:p>
        </w:tc>
        <w:tc>
          <w:tcPr>
            <w:tcW w:w="1894" w:type="dxa"/>
            <w:tcBorders>
              <w:top w:val="single" w:color="auto" w:sz="4" w:space="0"/>
              <w:left w:val="nil"/>
              <w:bottom w:val="nil"/>
              <w:right w:val="nil"/>
            </w:tcBorders>
            <w:shd w:val="clear" w:color="auto" w:fill="auto"/>
            <w:vAlign w:val="center"/>
          </w:tcPr>
          <w:p w14:paraId="2C316F2C">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3.05%</w:t>
            </w:r>
          </w:p>
        </w:tc>
        <w:tc>
          <w:tcPr>
            <w:tcW w:w="1894" w:type="dxa"/>
            <w:tcBorders>
              <w:top w:val="single" w:color="auto" w:sz="4" w:space="0"/>
              <w:left w:val="nil"/>
              <w:bottom w:val="nil"/>
              <w:right w:val="nil"/>
            </w:tcBorders>
            <w:shd w:val="clear" w:color="auto" w:fill="auto"/>
            <w:vAlign w:val="center"/>
          </w:tcPr>
          <w:p w14:paraId="1160F7BA">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2.22%</w:t>
            </w:r>
          </w:p>
        </w:tc>
        <w:tc>
          <w:tcPr>
            <w:tcW w:w="1894" w:type="dxa"/>
            <w:tcBorders>
              <w:top w:val="single" w:color="auto" w:sz="4" w:space="0"/>
              <w:left w:val="nil"/>
              <w:bottom w:val="nil"/>
              <w:right w:val="nil"/>
            </w:tcBorders>
            <w:shd w:val="clear" w:color="auto" w:fill="auto"/>
            <w:vAlign w:val="center"/>
          </w:tcPr>
          <w:p w14:paraId="05798FC3">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0.01%</w:t>
            </w:r>
          </w:p>
        </w:tc>
        <w:tc>
          <w:tcPr>
            <w:tcW w:w="1894" w:type="dxa"/>
            <w:tcBorders>
              <w:top w:val="single" w:color="auto" w:sz="4" w:space="0"/>
              <w:left w:val="nil"/>
              <w:bottom w:val="nil"/>
              <w:right w:val="nil"/>
            </w:tcBorders>
            <w:shd w:val="clear" w:color="auto" w:fill="auto"/>
            <w:vAlign w:val="center"/>
          </w:tcPr>
          <w:p w14:paraId="26A2A238">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0.55%</w:t>
            </w:r>
          </w:p>
        </w:tc>
      </w:tr>
      <w:tr w14:paraId="7E36D505">
        <w:trPr>
          <w:trHeight w:val="0" w:hRule="atLeast"/>
          <w:jc w:val="center"/>
        </w:trPr>
        <w:tc>
          <w:tcPr>
            <w:tcW w:w="943" w:type="dxa"/>
            <w:tcBorders>
              <w:top w:val="nil"/>
              <w:left w:val="nil"/>
              <w:bottom w:val="nil"/>
              <w:right w:val="nil"/>
            </w:tcBorders>
            <w:shd w:val="clear" w:color="auto" w:fill="auto"/>
            <w:vAlign w:val="center"/>
          </w:tcPr>
          <w:p w14:paraId="19D8AFC2">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2021</w:t>
            </w:r>
          </w:p>
        </w:tc>
        <w:tc>
          <w:tcPr>
            <w:tcW w:w="1894" w:type="dxa"/>
            <w:tcBorders>
              <w:top w:val="nil"/>
              <w:left w:val="nil"/>
              <w:bottom w:val="nil"/>
              <w:right w:val="nil"/>
            </w:tcBorders>
            <w:shd w:val="clear" w:color="auto" w:fill="auto"/>
            <w:vAlign w:val="center"/>
          </w:tcPr>
          <w:p w14:paraId="347CB95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3.07%</w:t>
            </w:r>
          </w:p>
        </w:tc>
        <w:tc>
          <w:tcPr>
            <w:tcW w:w="1894" w:type="dxa"/>
            <w:tcBorders>
              <w:top w:val="nil"/>
              <w:left w:val="nil"/>
              <w:bottom w:val="nil"/>
              <w:right w:val="nil"/>
            </w:tcBorders>
            <w:shd w:val="clear" w:color="auto" w:fill="auto"/>
            <w:vAlign w:val="center"/>
          </w:tcPr>
          <w:p w14:paraId="13E5FF6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2.08%</w:t>
            </w:r>
          </w:p>
        </w:tc>
        <w:tc>
          <w:tcPr>
            <w:tcW w:w="1894" w:type="dxa"/>
            <w:tcBorders>
              <w:top w:val="nil"/>
              <w:left w:val="nil"/>
              <w:bottom w:val="nil"/>
              <w:right w:val="nil"/>
            </w:tcBorders>
            <w:shd w:val="clear" w:color="auto" w:fill="auto"/>
            <w:vAlign w:val="center"/>
          </w:tcPr>
          <w:p w14:paraId="0FED421A">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0.32%</w:t>
            </w:r>
          </w:p>
        </w:tc>
        <w:tc>
          <w:tcPr>
            <w:tcW w:w="1894" w:type="dxa"/>
            <w:tcBorders>
              <w:top w:val="nil"/>
              <w:left w:val="nil"/>
              <w:bottom w:val="nil"/>
              <w:right w:val="nil"/>
            </w:tcBorders>
            <w:shd w:val="clear" w:color="auto" w:fill="auto"/>
            <w:vAlign w:val="center"/>
          </w:tcPr>
          <w:p w14:paraId="5139E3F7">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0.47%</w:t>
            </w:r>
          </w:p>
        </w:tc>
      </w:tr>
      <w:tr w14:paraId="67A62E13">
        <w:trPr>
          <w:trHeight w:val="0" w:hRule="atLeast"/>
          <w:jc w:val="center"/>
        </w:trPr>
        <w:tc>
          <w:tcPr>
            <w:tcW w:w="943" w:type="dxa"/>
            <w:tcBorders>
              <w:top w:val="nil"/>
              <w:left w:val="nil"/>
              <w:bottom w:val="nil"/>
              <w:right w:val="nil"/>
            </w:tcBorders>
            <w:shd w:val="clear" w:color="auto" w:fill="auto"/>
            <w:vAlign w:val="center"/>
          </w:tcPr>
          <w:p w14:paraId="21BAF78E">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2022</w:t>
            </w:r>
          </w:p>
        </w:tc>
        <w:tc>
          <w:tcPr>
            <w:tcW w:w="1894" w:type="dxa"/>
            <w:tcBorders>
              <w:top w:val="nil"/>
              <w:left w:val="nil"/>
              <w:bottom w:val="nil"/>
              <w:right w:val="nil"/>
            </w:tcBorders>
            <w:shd w:val="clear" w:color="auto" w:fill="auto"/>
            <w:vAlign w:val="center"/>
          </w:tcPr>
          <w:p w14:paraId="6D80E0A9">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3.27%</w:t>
            </w:r>
          </w:p>
        </w:tc>
        <w:tc>
          <w:tcPr>
            <w:tcW w:w="1894" w:type="dxa"/>
            <w:tcBorders>
              <w:top w:val="nil"/>
              <w:left w:val="nil"/>
              <w:bottom w:val="nil"/>
              <w:right w:val="nil"/>
            </w:tcBorders>
            <w:shd w:val="clear" w:color="auto" w:fill="auto"/>
            <w:vAlign w:val="center"/>
          </w:tcPr>
          <w:p w14:paraId="062FD00E">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2.41%</w:t>
            </w:r>
          </w:p>
        </w:tc>
        <w:tc>
          <w:tcPr>
            <w:tcW w:w="1894" w:type="dxa"/>
            <w:tcBorders>
              <w:top w:val="nil"/>
              <w:left w:val="nil"/>
              <w:bottom w:val="nil"/>
              <w:right w:val="nil"/>
            </w:tcBorders>
            <w:shd w:val="clear" w:color="auto" w:fill="auto"/>
            <w:vAlign w:val="center"/>
          </w:tcPr>
          <w:p w14:paraId="77A1E49C">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0.17%</w:t>
            </w:r>
          </w:p>
        </w:tc>
        <w:tc>
          <w:tcPr>
            <w:tcW w:w="1894" w:type="dxa"/>
            <w:tcBorders>
              <w:top w:val="nil"/>
              <w:left w:val="nil"/>
              <w:bottom w:val="nil"/>
              <w:right w:val="nil"/>
            </w:tcBorders>
            <w:shd w:val="clear" w:color="auto" w:fill="auto"/>
            <w:vAlign w:val="center"/>
          </w:tcPr>
          <w:p w14:paraId="6E5BE62E">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0.24%</w:t>
            </w:r>
          </w:p>
        </w:tc>
      </w:tr>
      <w:tr w14:paraId="19B6893C">
        <w:trPr>
          <w:trHeight w:val="0" w:hRule="atLeast"/>
          <w:jc w:val="center"/>
        </w:trPr>
        <w:tc>
          <w:tcPr>
            <w:tcW w:w="943" w:type="dxa"/>
            <w:tcBorders>
              <w:top w:val="nil"/>
              <w:left w:val="nil"/>
              <w:bottom w:val="nil"/>
              <w:right w:val="nil"/>
            </w:tcBorders>
            <w:shd w:val="clear" w:color="auto" w:fill="auto"/>
            <w:vAlign w:val="center"/>
          </w:tcPr>
          <w:p w14:paraId="765E9D3C">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2023</w:t>
            </w:r>
          </w:p>
        </w:tc>
        <w:tc>
          <w:tcPr>
            <w:tcW w:w="1894" w:type="dxa"/>
            <w:tcBorders>
              <w:top w:val="nil"/>
              <w:left w:val="nil"/>
              <w:bottom w:val="nil"/>
              <w:right w:val="nil"/>
            </w:tcBorders>
            <w:shd w:val="clear" w:color="auto" w:fill="auto"/>
            <w:vAlign w:val="center"/>
          </w:tcPr>
          <w:p w14:paraId="4BECC09A">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1.92%</w:t>
            </w:r>
          </w:p>
        </w:tc>
        <w:tc>
          <w:tcPr>
            <w:tcW w:w="1894" w:type="dxa"/>
            <w:tcBorders>
              <w:top w:val="nil"/>
              <w:left w:val="nil"/>
              <w:bottom w:val="nil"/>
              <w:right w:val="nil"/>
            </w:tcBorders>
            <w:shd w:val="clear" w:color="auto" w:fill="auto"/>
            <w:vAlign w:val="center"/>
          </w:tcPr>
          <w:p w14:paraId="096DF335">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1.69%</w:t>
            </w:r>
          </w:p>
        </w:tc>
        <w:tc>
          <w:tcPr>
            <w:tcW w:w="1894" w:type="dxa"/>
            <w:tcBorders>
              <w:top w:val="nil"/>
              <w:left w:val="nil"/>
              <w:bottom w:val="nil"/>
              <w:right w:val="nil"/>
            </w:tcBorders>
            <w:shd w:val="clear" w:color="auto" w:fill="auto"/>
            <w:vAlign w:val="center"/>
          </w:tcPr>
          <w:p w14:paraId="43985AEE">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0.37%</w:t>
            </w:r>
          </w:p>
        </w:tc>
        <w:tc>
          <w:tcPr>
            <w:tcW w:w="1894" w:type="dxa"/>
            <w:tcBorders>
              <w:top w:val="nil"/>
              <w:left w:val="nil"/>
              <w:bottom w:val="nil"/>
              <w:right w:val="nil"/>
            </w:tcBorders>
            <w:shd w:val="clear" w:color="auto" w:fill="auto"/>
            <w:vAlign w:val="center"/>
          </w:tcPr>
          <w:p w14:paraId="72FF0E0E">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0.55%</w:t>
            </w:r>
          </w:p>
        </w:tc>
      </w:tr>
      <w:tr w14:paraId="6FC1C6E8">
        <w:trPr>
          <w:trHeight w:val="0" w:hRule="atLeast"/>
          <w:jc w:val="center"/>
        </w:trPr>
        <w:tc>
          <w:tcPr>
            <w:tcW w:w="943" w:type="dxa"/>
            <w:tcBorders>
              <w:top w:val="nil"/>
              <w:left w:val="nil"/>
              <w:bottom w:val="single" w:color="auto" w:sz="12" w:space="0"/>
              <w:right w:val="nil"/>
            </w:tcBorders>
            <w:shd w:val="clear" w:color="auto" w:fill="auto"/>
            <w:vAlign w:val="center"/>
          </w:tcPr>
          <w:p w14:paraId="706117FD">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2024</w:t>
            </w:r>
          </w:p>
        </w:tc>
        <w:tc>
          <w:tcPr>
            <w:tcW w:w="1894" w:type="dxa"/>
            <w:tcBorders>
              <w:top w:val="nil"/>
              <w:left w:val="nil"/>
              <w:bottom w:val="single" w:color="auto" w:sz="12" w:space="0"/>
              <w:right w:val="nil"/>
            </w:tcBorders>
            <w:shd w:val="clear" w:color="auto" w:fill="auto"/>
            <w:vAlign w:val="center"/>
          </w:tcPr>
          <w:p w14:paraId="3DA7E1D8">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2.08%</w:t>
            </w:r>
          </w:p>
        </w:tc>
        <w:tc>
          <w:tcPr>
            <w:tcW w:w="1894" w:type="dxa"/>
            <w:tcBorders>
              <w:top w:val="nil"/>
              <w:left w:val="nil"/>
              <w:bottom w:val="single" w:color="auto" w:sz="12" w:space="0"/>
              <w:right w:val="nil"/>
            </w:tcBorders>
            <w:shd w:val="clear" w:color="auto" w:fill="auto"/>
            <w:vAlign w:val="center"/>
          </w:tcPr>
          <w:p w14:paraId="206C96CF">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1.14%</w:t>
            </w:r>
          </w:p>
        </w:tc>
        <w:tc>
          <w:tcPr>
            <w:tcW w:w="1894" w:type="dxa"/>
            <w:tcBorders>
              <w:top w:val="nil"/>
              <w:left w:val="nil"/>
              <w:bottom w:val="single" w:color="auto" w:sz="12" w:space="0"/>
              <w:right w:val="nil"/>
            </w:tcBorders>
            <w:shd w:val="clear" w:color="auto" w:fill="auto"/>
            <w:vAlign w:val="center"/>
          </w:tcPr>
          <w:p w14:paraId="37FA222D">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0.39%</w:t>
            </w:r>
          </w:p>
        </w:tc>
        <w:tc>
          <w:tcPr>
            <w:tcW w:w="1894" w:type="dxa"/>
            <w:tcBorders>
              <w:top w:val="nil"/>
              <w:left w:val="nil"/>
              <w:bottom w:val="single" w:color="auto" w:sz="12" w:space="0"/>
              <w:right w:val="nil"/>
            </w:tcBorders>
            <w:shd w:val="clear" w:color="auto" w:fill="auto"/>
            <w:vAlign w:val="center"/>
          </w:tcPr>
          <w:p w14:paraId="02A4950F">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0.28%</w:t>
            </w:r>
          </w:p>
        </w:tc>
      </w:tr>
    </w:tbl>
    <w:p w14:paraId="11F7C18D">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数据来源：</w:t>
      </w:r>
      <w:r>
        <w:rPr>
          <w:rFonts w:hint="default" w:ascii="Times New Roman" w:hAnsi="Times New Roman" w:eastAsia="宋体" w:cs="Times New Roman"/>
          <w:sz w:val="24"/>
          <w:szCs w:val="24"/>
          <w:lang w:val="en-US" w:eastAsia="zh-CN"/>
        </w:rPr>
        <w:t>finD</w:t>
      </w:r>
      <w:r>
        <w:rPr>
          <w:rFonts w:hint="default" w:ascii="Times New Roman" w:hAnsi="Times New Roman" w:eastAsia="宋体" w:cs="Times New Roman"/>
          <w:sz w:val="24"/>
          <w:szCs w:val="24"/>
        </w:rPr>
        <w:t>数据库整理</w:t>
      </w:r>
    </w:p>
    <w:p w14:paraId="53CBBEE7">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思美传媒销售净利率长期处于低位，并非单纯源于企业个体经营波动，更大程度上受到营销传播行业整体盈利结构的制约。相关行业研究显示，近年来营销行业毛利率整体处于较低水平，并在需求偏弱背景下呈现下行趋势；与此同时，行业还普遍面临较强的成本刚性，当收入增长放缓时，利润端往往更容易受到挤压。在AI应用方面，现有研究普遍认为，AI在营销行业的核心作用首先体现在效率提升，其主要嵌入内容生成、投放优化、数据分析和用户交互等环节，而对服务定价机制和利润分配结构的直接改变相对有限。</w:t>
      </w:r>
    </w:p>
    <w:p w14:paraId="7B20EB36">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从思美传媒的业务实践看，公司AI应用主要集中于广告创意生成、智能投放和AIGC内容生产等方面，本质上仍服务于原有整合营销传播业务。随着内容营销、智能投放和全域经营能力不断强化，行业整体效率水平虽有所提升，但价格竞争加剧、平台依赖增强等问题也同步存在，企业较难仅凭技术提效显著提高服务溢价。换言之，AI在营销传播行业中更容易表现为一种通用型效率工具，而非决定性利润放大机制。</w:t>
      </w:r>
    </w:p>
    <w:p w14:paraId="2E37E356">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因此，思美传媒销售净利率长期偏低的根本原因在于：其主营业务本身毛利率水平有限，而AI应用更多只能改善业务执行效率，难以从根本上改变服务价格形成机制和行业利润结构。由此可见，从销售净利率角度看，思美传媒盈利能力偏弱的主要原因并不在于期间费用率异常偏高，而在于主营业务利润空间相对有限，导致营业收入难以有效转化为净利润，并最终使公司销售净利率在样本期内持续处于低位。</w:t>
      </w:r>
    </w:p>
    <w:p w14:paraId="7AC1C610">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综合来看，AI业务赋能型企业的销售净利率差异主要取决于被赋能主业本身的毛利空间。巨人网络的高净利率来自高毛利游戏主业与AI提效的叠加，世纪天鸿净利率</w:t>
      </w:r>
      <w:r>
        <w:rPr>
          <w:rFonts w:hint="eastAsia" w:ascii="Times New Roman" w:hAnsi="Times New Roman" w:eastAsia="宋体" w:cs="Times New Roman"/>
          <w:sz w:val="24"/>
          <w:szCs w:val="24"/>
          <w:lang w:val="en-US" w:eastAsia="zh-CN"/>
        </w:rPr>
        <w:t>的稳定</w:t>
      </w:r>
      <w:r>
        <w:rPr>
          <w:rFonts w:hint="default" w:ascii="Times New Roman" w:hAnsi="Times New Roman" w:eastAsia="宋体" w:cs="Times New Roman"/>
          <w:sz w:val="24"/>
          <w:szCs w:val="24"/>
        </w:rPr>
        <w:t>来自传统教辅业务的利润底盘，思美传媒的低净利率则反映出低毛利营销服务行业的结构性约束。三者共同说明，AI赋能并不自动创造高利润，只有当原有业务具备足够的产品溢价和变现能力时，AI带来的效率提升才更可能转化为净利率改善。</w:t>
      </w:r>
    </w:p>
    <w:p w14:paraId="79210C04">
      <w:pPr>
        <w:autoSpaceDE/>
        <w:autoSpaceDN/>
        <w:snapToGrid/>
        <w:spacing w:before="156" w:beforeLines="50" w:after="156" w:afterLines="50" w:line="420" w:lineRule="exact"/>
        <w:jc w:val="left"/>
        <w:outlineLvl w:val="2"/>
        <w:rPr>
          <w:rFonts w:hint="default" w:ascii="Times New Roman" w:hAnsi="Times New Roman" w:eastAsia="黑体" w:cs="Times New Roman"/>
          <w:color w:val="000000"/>
          <w:kern w:val="0"/>
          <w:sz w:val="28"/>
          <w:szCs w:val="28"/>
          <w:lang w:val="en-US" w:eastAsia="zh-CN"/>
        </w:rPr>
      </w:pPr>
      <w:r>
        <w:rPr>
          <w:rFonts w:hint="default" w:ascii="Times New Roman" w:hAnsi="Times New Roman" w:eastAsia="黑体" w:cs="Times New Roman"/>
          <w:color w:val="000000"/>
          <w:kern w:val="0"/>
          <w:sz w:val="28"/>
          <w:szCs w:val="28"/>
          <w:lang w:val="en-US" w:eastAsia="zh-CN"/>
        </w:rPr>
        <w:t>4.2.1.3 本节小结</w:t>
      </w:r>
    </w:p>
    <w:p w14:paraId="415E721B">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总体来看，六家典型样本企业销售净利率的差异，主要来自三个方面。第一，主营业务毛利空间不同。教育数字化、行业解决方案和游戏业务的附加值显著高于营销传播和流量服务，毛利率高低决定了净利率的上限。第二，费用投入结构不同。即便具备较高毛利率，若企业仍处于产品推广、研发迭代和市场培育阶段，销售费用率和研发费用率的上升仍会压缩净利率。第三，AI与主业结合后的商业化成熟度不同。若AI已有效嵌入高毛利主业，往往表现为提效增利；若AI仍处于投入期或所依附行业利润率偏低，则更多表现为效率改善但利润释放有限。</w:t>
      </w:r>
    </w:p>
    <w:p w14:paraId="43AC03B6">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黑体" w:cs="Times New Roman"/>
          <w:color w:val="000000"/>
          <w:kern w:val="0"/>
          <w:sz w:val="28"/>
          <w:szCs w:val="28"/>
          <w:lang w:val="en-US" w:eastAsia="zh-CN"/>
        </w:rPr>
      </w:pPr>
      <w:r>
        <w:rPr>
          <w:rFonts w:hint="default" w:ascii="Times New Roman" w:hAnsi="Times New Roman" w:eastAsia="宋体" w:cs="Times New Roman"/>
          <w:sz w:val="24"/>
          <w:szCs w:val="24"/>
        </w:rPr>
        <w:t>因此，从销售净利率角度看，人工智能应用层企业利润空间的形成并不取决于是否引入AI，而取决于AI嵌入的业务本身是否具备足够高的附加值，以及企业能否在投入期结束后实现由技术能力向稳定利润的转化。基于这一判断，下一节将进一步从总资产周转率维度展开分析，以识别不同企业收入规模扩张与资产运用效率的差异。</w:t>
      </w:r>
    </w:p>
    <w:p w14:paraId="309D3867">
      <w:pPr>
        <w:autoSpaceDE/>
        <w:autoSpaceDN/>
        <w:snapToGrid/>
        <w:spacing w:before="156" w:beforeLines="50" w:after="156" w:afterLines="50" w:line="420" w:lineRule="exact"/>
        <w:jc w:val="left"/>
        <w:outlineLvl w:val="2"/>
        <w:rPr>
          <w:rFonts w:hint="default" w:ascii="Times New Roman" w:hAnsi="Times New Roman" w:eastAsia="黑体" w:cs="Times New Roman"/>
          <w:color w:val="000000"/>
          <w:kern w:val="0"/>
          <w:sz w:val="28"/>
          <w:szCs w:val="28"/>
          <w:lang w:val="en-US" w:eastAsia="zh-CN"/>
        </w:rPr>
      </w:pPr>
      <w:r>
        <w:rPr>
          <w:rFonts w:hint="default" w:ascii="Times New Roman" w:hAnsi="Times New Roman" w:eastAsia="黑体" w:cs="Times New Roman"/>
          <w:color w:val="000000"/>
          <w:kern w:val="0"/>
          <w:sz w:val="28"/>
          <w:szCs w:val="28"/>
          <w:lang w:val="en-US" w:eastAsia="zh-CN"/>
        </w:rPr>
        <w:t>4.2.2总资产周转率分析</w:t>
      </w:r>
    </w:p>
    <w:p w14:paraId="1649EEB1">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总资产周转率反映企业利用全部资产创造营业收入的能力，主要衡量企业资产运营效率。在杜邦分析体系中，总资产周转率体现的是企业经营效率，即企业投入的资产能否有效转化为收入规模。公式为：</w:t>
      </w:r>
    </w:p>
    <w:p w14:paraId="78366770">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p>
    <w:p w14:paraId="155D905A">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m:oMathPara>
        <m:oMath>
          <m:r>
            <m:rPr>
              <m:nor/>
              <m:sty m:val="p"/>
            </m:rPr>
            <w:rPr>
              <w:rFonts w:hint="default" w:ascii="Times New Roman" w:hAnsi="Times New Roman" w:eastAsia="宋体" w:cs="Times New Roman"/>
              <w:b w:val="0"/>
              <w:i w:val="0"/>
              <w:sz w:val="24"/>
            </w:rPr>
            <m:t>总资产周转率=</m:t>
          </m:r>
          <m:f>
            <m:fPr>
              <m:ctrlPr>
                <w:rPr>
                  <w:rFonts w:hint="default" w:ascii="Cambria Math" w:hAnsi="Cambria Math" w:eastAsia="宋体" w:cs="Times New Roman"/>
                  <w:i/>
                  <w:sz w:val="24"/>
                </w:rPr>
              </m:ctrlPr>
            </m:fPr>
            <m:num>
              <m:r>
                <m:rPr>
                  <m:nor/>
                  <m:sty m:val="p"/>
                </m:rPr>
                <w:rPr>
                  <w:rFonts w:hint="default" w:ascii="Times New Roman" w:hAnsi="Times New Roman" w:eastAsia="宋体" w:cs="Times New Roman"/>
                  <w:b w:val="0"/>
                  <w:i w:val="0"/>
                  <w:sz w:val="24"/>
                </w:rPr>
                <m:t>营业收入</m:t>
              </m:r>
              <m:ctrlPr>
                <w:rPr>
                  <w:rFonts w:hint="default" w:ascii="Cambria Math" w:hAnsi="Cambria Math" w:eastAsia="宋体" w:cs="Times New Roman"/>
                  <w:sz w:val="24"/>
                </w:rPr>
              </m:ctrlPr>
            </m:num>
            <m:den>
              <m:r>
                <m:rPr>
                  <m:nor/>
                  <m:sty m:val="p"/>
                </m:rPr>
                <w:rPr>
                  <w:rFonts w:hint="default" w:ascii="Times New Roman" w:hAnsi="Times New Roman" w:eastAsia="宋体" w:cs="Times New Roman"/>
                  <w:b w:val="0"/>
                  <w:i w:val="0"/>
                  <w:sz w:val="24"/>
                </w:rPr>
                <m:t>平均总资产</m:t>
              </m:r>
              <m:ctrlPr>
                <w:rPr>
                  <w:rFonts w:hint="default" w:ascii="Cambria Math" w:hAnsi="Cambria Math" w:eastAsia="宋体" w:cs="Times New Roman"/>
                  <w:sz w:val="24"/>
                </w:rPr>
              </m:ctrlPr>
            </m:den>
          </m:f>
        </m:oMath>
      </m:oMathPara>
    </w:p>
    <w:p w14:paraId="530AC4B8">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p>
    <w:p w14:paraId="355BE451">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sz w:val="24"/>
          <w:szCs w:val="24"/>
        </w:rPr>
        <w:t>总资产周转率的变化主要取决于营业收入和资产规模之间的关系。当企业营业收入增长速度快于资产规模扩张时，总资产周转率通常会上升；反之，当资产规模扩张快于营业收入增长时，总资产周转率则可能下降。因此，在分析企业总资产周转率变化时，需要同时考察企业营业收入变化和资产规模变化。基于上述分析思路，对典型样本企业总资产周转率进行比较，可以进一步识别不同企业在收入增长能力和资产利用效率方面的差异。典型样本企业2020—2024年的总资产周转率如表</w:t>
      </w:r>
      <w:r>
        <w:rPr>
          <w:rFonts w:hint="default" w:ascii="Times New Roman" w:hAnsi="Times New Roman" w:eastAsia="宋体" w:cs="Times New Roman"/>
          <w:spacing w:val="10"/>
          <w:kern w:val="0"/>
          <w:szCs w:val="20"/>
          <w:lang w:val="en-US" w:eastAsia="zh-CN"/>
        </w:rPr>
        <w:t>4-13所示</w:t>
      </w:r>
      <w:r>
        <w:rPr>
          <w:rFonts w:hint="default" w:ascii="Times New Roman" w:hAnsi="Times New Roman" w:eastAsia="宋体" w:cs="Times New Roman"/>
          <w:kern w:val="2"/>
          <w:sz w:val="24"/>
          <w:szCs w:val="24"/>
          <w:lang w:val="en-US" w:eastAsia="zh-CN" w:bidi="ar-SA"/>
        </w:rPr>
        <w:t>。</w:t>
      </w:r>
    </w:p>
    <w:p w14:paraId="64F94D8B">
      <w:pPr>
        <w:widowControl/>
        <w:tabs>
          <w:tab w:val="left" w:pos="377"/>
        </w:tabs>
        <w:autoSpaceDE/>
        <w:autoSpaceDN/>
        <w:snapToGrid/>
        <w:spacing w:before="156" w:beforeLines="50"/>
        <w:jc w:val="center"/>
        <w:rPr>
          <w:rFonts w:hint="default" w:ascii="Times New Roman" w:hAnsi="Times New Roman" w:eastAsia="宋体" w:cs="Times New Roman"/>
          <w:spacing w:val="10"/>
          <w:kern w:val="0"/>
          <w:szCs w:val="20"/>
          <w:lang w:val="en-US" w:eastAsia="zh-CN"/>
        </w:rPr>
      </w:pPr>
      <w:r>
        <w:rPr>
          <w:rFonts w:hint="default" w:ascii="Times New Roman" w:hAnsi="Times New Roman" w:eastAsia="宋体" w:cs="Times New Roman"/>
          <w:spacing w:val="10"/>
          <w:kern w:val="0"/>
          <w:szCs w:val="20"/>
          <w:lang w:val="en-US" w:eastAsia="zh-CN"/>
        </w:rPr>
        <w:t>表4-13 典型样本企业总资产周转率（2020-2024）</w:t>
      </w:r>
    </w:p>
    <w:tbl>
      <w:tblPr>
        <w:tblStyle w:val="7"/>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613"/>
        <w:gridCol w:w="1536"/>
        <w:gridCol w:w="1074"/>
        <w:gridCol w:w="1074"/>
        <w:gridCol w:w="1074"/>
        <w:gridCol w:w="1074"/>
        <w:gridCol w:w="1074"/>
      </w:tblGrid>
      <w:tr w14:paraId="31ADAC99">
        <w:trPr>
          <w:trHeight w:val="0" w:hRule="atLeast"/>
          <w:tblHeader/>
          <w:jc w:val="center"/>
        </w:trPr>
        <w:tc>
          <w:tcPr>
            <w:tcW w:w="1613" w:type="dxa"/>
            <w:tcBorders>
              <w:top w:val="single" w:color="auto" w:sz="12" w:space="0"/>
              <w:left w:val="nil"/>
              <w:bottom w:val="single" w:color="auto" w:sz="4" w:space="0"/>
              <w:right w:val="nil"/>
            </w:tcBorders>
            <w:shd w:val="clear" w:color="auto" w:fill="auto"/>
            <w:vAlign w:val="center"/>
          </w:tcPr>
          <w:p w14:paraId="08C767AB">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Times New Roman" w:hAnsi="Times New Roman" w:eastAsia="宋体" w:cs="Times New Roman"/>
                <w:b/>
                <w:bCs/>
                <w:i w:val="0"/>
                <w:iCs w:val="0"/>
                <w:color w:val="000000"/>
                <w:kern w:val="0"/>
                <w:sz w:val="21"/>
                <w:szCs w:val="21"/>
                <w:u w:val="none"/>
                <w:lang w:val="en-US" w:eastAsia="zh-CN" w:bidi="ar"/>
              </w:rPr>
              <w:t>企业类型</w:t>
            </w:r>
          </w:p>
        </w:tc>
        <w:tc>
          <w:tcPr>
            <w:tcW w:w="1536" w:type="dxa"/>
            <w:tcBorders>
              <w:top w:val="single" w:color="auto" w:sz="12" w:space="0"/>
              <w:left w:val="nil"/>
              <w:bottom w:val="single" w:color="auto" w:sz="4" w:space="0"/>
              <w:right w:val="nil"/>
            </w:tcBorders>
            <w:shd w:val="clear" w:color="auto" w:fill="auto"/>
            <w:vAlign w:val="center"/>
          </w:tcPr>
          <w:p w14:paraId="123E37C7">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Times New Roman" w:hAnsi="Times New Roman" w:eastAsia="宋体" w:cs="Times New Roman"/>
                <w:b/>
                <w:bCs/>
                <w:i w:val="0"/>
                <w:iCs w:val="0"/>
                <w:color w:val="000000"/>
                <w:kern w:val="0"/>
                <w:sz w:val="21"/>
                <w:szCs w:val="21"/>
                <w:u w:val="none"/>
                <w:lang w:val="en-US" w:eastAsia="zh-CN" w:bidi="ar"/>
              </w:rPr>
              <w:t>企业</w:t>
            </w:r>
          </w:p>
        </w:tc>
        <w:tc>
          <w:tcPr>
            <w:tcW w:w="1074" w:type="dxa"/>
            <w:tcBorders>
              <w:top w:val="single" w:color="auto" w:sz="12" w:space="0"/>
              <w:left w:val="nil"/>
              <w:bottom w:val="single" w:color="auto" w:sz="4" w:space="0"/>
              <w:right w:val="nil"/>
            </w:tcBorders>
            <w:shd w:val="clear" w:color="auto" w:fill="auto"/>
            <w:vAlign w:val="center"/>
          </w:tcPr>
          <w:p w14:paraId="5852ACC0">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Times New Roman" w:hAnsi="Times New Roman" w:eastAsia="宋体" w:cs="Times New Roman"/>
                <w:b/>
                <w:bCs/>
                <w:i w:val="0"/>
                <w:iCs w:val="0"/>
                <w:color w:val="000000"/>
                <w:kern w:val="0"/>
                <w:sz w:val="21"/>
                <w:szCs w:val="21"/>
                <w:u w:val="none"/>
                <w:lang w:val="en-US" w:eastAsia="zh-CN" w:bidi="ar"/>
              </w:rPr>
              <w:t>2020</w:t>
            </w:r>
          </w:p>
        </w:tc>
        <w:tc>
          <w:tcPr>
            <w:tcW w:w="1074" w:type="dxa"/>
            <w:tcBorders>
              <w:top w:val="single" w:color="auto" w:sz="12" w:space="0"/>
              <w:left w:val="nil"/>
              <w:bottom w:val="single" w:color="auto" w:sz="4" w:space="0"/>
              <w:right w:val="nil"/>
            </w:tcBorders>
            <w:shd w:val="clear" w:color="auto" w:fill="auto"/>
            <w:vAlign w:val="center"/>
          </w:tcPr>
          <w:p w14:paraId="35C804B3">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Times New Roman" w:hAnsi="Times New Roman" w:eastAsia="宋体" w:cs="Times New Roman"/>
                <w:b/>
                <w:bCs/>
                <w:i w:val="0"/>
                <w:iCs w:val="0"/>
                <w:color w:val="000000"/>
                <w:kern w:val="0"/>
                <w:sz w:val="21"/>
                <w:szCs w:val="21"/>
                <w:u w:val="none"/>
                <w:lang w:val="en-US" w:eastAsia="zh-CN" w:bidi="ar"/>
              </w:rPr>
              <w:t>2021</w:t>
            </w:r>
          </w:p>
        </w:tc>
        <w:tc>
          <w:tcPr>
            <w:tcW w:w="1074" w:type="dxa"/>
            <w:tcBorders>
              <w:top w:val="single" w:color="auto" w:sz="12" w:space="0"/>
              <w:left w:val="nil"/>
              <w:bottom w:val="single" w:color="auto" w:sz="4" w:space="0"/>
              <w:right w:val="nil"/>
            </w:tcBorders>
            <w:shd w:val="clear" w:color="auto" w:fill="auto"/>
            <w:vAlign w:val="center"/>
          </w:tcPr>
          <w:p w14:paraId="087AA6D5">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Times New Roman" w:hAnsi="Times New Roman" w:eastAsia="宋体" w:cs="Times New Roman"/>
                <w:b/>
                <w:bCs/>
                <w:i w:val="0"/>
                <w:iCs w:val="0"/>
                <w:color w:val="000000"/>
                <w:kern w:val="0"/>
                <w:sz w:val="21"/>
                <w:szCs w:val="21"/>
                <w:u w:val="none"/>
                <w:lang w:val="en-US" w:eastAsia="zh-CN" w:bidi="ar"/>
              </w:rPr>
              <w:t>2022</w:t>
            </w:r>
          </w:p>
        </w:tc>
        <w:tc>
          <w:tcPr>
            <w:tcW w:w="1074" w:type="dxa"/>
            <w:tcBorders>
              <w:top w:val="single" w:color="auto" w:sz="12" w:space="0"/>
              <w:left w:val="nil"/>
              <w:bottom w:val="single" w:color="auto" w:sz="4" w:space="0"/>
              <w:right w:val="nil"/>
            </w:tcBorders>
            <w:shd w:val="clear" w:color="auto" w:fill="auto"/>
            <w:vAlign w:val="center"/>
          </w:tcPr>
          <w:p w14:paraId="2EDC3BA7">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Times New Roman" w:hAnsi="Times New Roman" w:eastAsia="宋体" w:cs="Times New Roman"/>
                <w:b/>
                <w:bCs/>
                <w:i w:val="0"/>
                <w:iCs w:val="0"/>
                <w:color w:val="000000"/>
                <w:kern w:val="0"/>
                <w:sz w:val="21"/>
                <w:szCs w:val="21"/>
                <w:u w:val="none"/>
                <w:lang w:val="en-US" w:eastAsia="zh-CN" w:bidi="ar"/>
              </w:rPr>
              <w:t>2023</w:t>
            </w:r>
          </w:p>
        </w:tc>
        <w:tc>
          <w:tcPr>
            <w:tcW w:w="1074" w:type="dxa"/>
            <w:tcBorders>
              <w:top w:val="single" w:color="auto" w:sz="12" w:space="0"/>
              <w:left w:val="nil"/>
              <w:bottom w:val="single" w:color="auto" w:sz="4" w:space="0"/>
              <w:right w:val="nil"/>
            </w:tcBorders>
            <w:shd w:val="clear" w:color="auto" w:fill="auto"/>
            <w:vAlign w:val="center"/>
          </w:tcPr>
          <w:p w14:paraId="5501DDBF">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Times New Roman" w:hAnsi="Times New Roman" w:eastAsia="宋体" w:cs="Times New Roman"/>
                <w:b/>
                <w:bCs/>
                <w:i w:val="0"/>
                <w:iCs w:val="0"/>
                <w:color w:val="000000"/>
                <w:kern w:val="0"/>
                <w:sz w:val="21"/>
                <w:szCs w:val="21"/>
                <w:u w:val="none"/>
                <w:lang w:val="en-US" w:eastAsia="zh-CN" w:bidi="ar"/>
              </w:rPr>
              <w:t>2024</w:t>
            </w:r>
          </w:p>
        </w:tc>
      </w:tr>
      <w:tr w14:paraId="5005F75B">
        <w:trPr>
          <w:trHeight w:val="90" w:hRule="atLeast"/>
          <w:jc w:val="center"/>
        </w:trPr>
        <w:tc>
          <w:tcPr>
            <w:tcW w:w="1613" w:type="dxa"/>
            <w:tcBorders>
              <w:top w:val="single" w:color="auto" w:sz="4" w:space="0"/>
              <w:left w:val="nil"/>
              <w:bottom w:val="nil"/>
              <w:right w:val="nil"/>
            </w:tcBorders>
            <w:shd w:val="clear" w:color="auto" w:fill="auto"/>
            <w:vAlign w:val="center"/>
          </w:tcPr>
          <w:p w14:paraId="7B1B6808">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AI独立产品型</w:t>
            </w:r>
          </w:p>
        </w:tc>
        <w:tc>
          <w:tcPr>
            <w:tcW w:w="1536" w:type="dxa"/>
            <w:tcBorders>
              <w:top w:val="single" w:color="auto" w:sz="4" w:space="0"/>
              <w:left w:val="nil"/>
              <w:bottom w:val="nil"/>
              <w:right w:val="nil"/>
            </w:tcBorders>
            <w:shd w:val="clear" w:color="auto" w:fill="auto"/>
            <w:vAlign w:val="center"/>
          </w:tcPr>
          <w:p w14:paraId="1FC0E048">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方直科技</w:t>
            </w:r>
          </w:p>
        </w:tc>
        <w:tc>
          <w:tcPr>
            <w:tcW w:w="1074" w:type="dxa"/>
            <w:tcBorders>
              <w:top w:val="single" w:color="auto" w:sz="4" w:space="0"/>
              <w:left w:val="nil"/>
              <w:bottom w:val="nil"/>
              <w:right w:val="nil"/>
            </w:tcBorders>
            <w:shd w:val="clear" w:color="auto" w:fill="auto"/>
            <w:vAlign w:val="center"/>
          </w:tcPr>
          <w:p w14:paraId="622B27A8">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18.30%</w:t>
            </w:r>
          </w:p>
        </w:tc>
        <w:tc>
          <w:tcPr>
            <w:tcW w:w="1074" w:type="dxa"/>
            <w:tcBorders>
              <w:top w:val="single" w:color="auto" w:sz="4" w:space="0"/>
              <w:left w:val="nil"/>
              <w:bottom w:val="nil"/>
              <w:right w:val="nil"/>
            </w:tcBorders>
            <w:shd w:val="clear" w:color="auto" w:fill="auto"/>
            <w:vAlign w:val="center"/>
          </w:tcPr>
          <w:p w14:paraId="7A1594E5">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16.30%</w:t>
            </w:r>
          </w:p>
        </w:tc>
        <w:tc>
          <w:tcPr>
            <w:tcW w:w="1074" w:type="dxa"/>
            <w:tcBorders>
              <w:top w:val="single" w:color="auto" w:sz="4" w:space="0"/>
              <w:left w:val="nil"/>
              <w:bottom w:val="nil"/>
              <w:right w:val="nil"/>
            </w:tcBorders>
            <w:shd w:val="clear" w:color="auto" w:fill="auto"/>
            <w:vAlign w:val="center"/>
          </w:tcPr>
          <w:p w14:paraId="48EFBA50">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15.50%</w:t>
            </w:r>
          </w:p>
        </w:tc>
        <w:tc>
          <w:tcPr>
            <w:tcW w:w="1074" w:type="dxa"/>
            <w:tcBorders>
              <w:top w:val="single" w:color="auto" w:sz="4" w:space="0"/>
              <w:left w:val="nil"/>
              <w:bottom w:val="nil"/>
              <w:right w:val="nil"/>
            </w:tcBorders>
            <w:shd w:val="clear" w:color="auto" w:fill="auto"/>
            <w:vAlign w:val="center"/>
          </w:tcPr>
          <w:p w14:paraId="29533DC1">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14.20%</w:t>
            </w:r>
          </w:p>
        </w:tc>
        <w:tc>
          <w:tcPr>
            <w:tcW w:w="1074" w:type="dxa"/>
            <w:tcBorders>
              <w:top w:val="single" w:color="auto" w:sz="4" w:space="0"/>
              <w:left w:val="nil"/>
              <w:bottom w:val="nil"/>
              <w:right w:val="nil"/>
            </w:tcBorders>
            <w:shd w:val="clear" w:color="auto" w:fill="auto"/>
            <w:vAlign w:val="center"/>
          </w:tcPr>
          <w:p w14:paraId="49D6FD32">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12.70%</w:t>
            </w:r>
          </w:p>
        </w:tc>
      </w:tr>
      <w:tr w14:paraId="0C2B20D0">
        <w:trPr>
          <w:trHeight w:val="0" w:hRule="atLeast"/>
          <w:jc w:val="center"/>
        </w:trPr>
        <w:tc>
          <w:tcPr>
            <w:tcW w:w="1613" w:type="dxa"/>
            <w:tcBorders>
              <w:top w:val="nil"/>
              <w:left w:val="nil"/>
              <w:bottom w:val="nil"/>
              <w:right w:val="nil"/>
            </w:tcBorders>
            <w:shd w:val="clear" w:color="auto" w:fill="auto"/>
            <w:vAlign w:val="center"/>
          </w:tcPr>
          <w:p w14:paraId="7FBB6245">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AI独立产品型</w:t>
            </w:r>
          </w:p>
        </w:tc>
        <w:tc>
          <w:tcPr>
            <w:tcW w:w="1536" w:type="dxa"/>
            <w:tcBorders>
              <w:top w:val="nil"/>
              <w:left w:val="nil"/>
              <w:bottom w:val="nil"/>
              <w:right w:val="nil"/>
            </w:tcBorders>
            <w:shd w:val="clear" w:color="auto" w:fill="auto"/>
            <w:vAlign w:val="center"/>
          </w:tcPr>
          <w:p w14:paraId="2409CBA2">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佳讯飞鸿</w:t>
            </w:r>
          </w:p>
        </w:tc>
        <w:tc>
          <w:tcPr>
            <w:tcW w:w="1074" w:type="dxa"/>
            <w:tcBorders>
              <w:top w:val="nil"/>
              <w:left w:val="nil"/>
              <w:bottom w:val="nil"/>
              <w:right w:val="nil"/>
            </w:tcBorders>
            <w:shd w:val="clear" w:color="auto" w:fill="auto"/>
            <w:vAlign w:val="center"/>
          </w:tcPr>
          <w:p w14:paraId="00A0032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31.10%</w:t>
            </w:r>
          </w:p>
        </w:tc>
        <w:tc>
          <w:tcPr>
            <w:tcW w:w="1074" w:type="dxa"/>
            <w:tcBorders>
              <w:top w:val="nil"/>
              <w:left w:val="nil"/>
              <w:bottom w:val="nil"/>
              <w:right w:val="nil"/>
            </w:tcBorders>
            <w:shd w:val="clear" w:color="auto" w:fill="auto"/>
            <w:vAlign w:val="center"/>
          </w:tcPr>
          <w:p w14:paraId="757CB765">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34.00%</w:t>
            </w:r>
          </w:p>
        </w:tc>
        <w:tc>
          <w:tcPr>
            <w:tcW w:w="1074" w:type="dxa"/>
            <w:tcBorders>
              <w:top w:val="nil"/>
              <w:left w:val="nil"/>
              <w:bottom w:val="nil"/>
              <w:right w:val="nil"/>
            </w:tcBorders>
            <w:shd w:val="clear" w:color="auto" w:fill="auto"/>
            <w:vAlign w:val="center"/>
          </w:tcPr>
          <w:p w14:paraId="6A3D15E3">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37.70%</w:t>
            </w:r>
          </w:p>
        </w:tc>
        <w:tc>
          <w:tcPr>
            <w:tcW w:w="1074" w:type="dxa"/>
            <w:tcBorders>
              <w:top w:val="nil"/>
              <w:left w:val="nil"/>
              <w:bottom w:val="nil"/>
              <w:right w:val="nil"/>
            </w:tcBorders>
            <w:shd w:val="clear" w:color="auto" w:fill="auto"/>
            <w:vAlign w:val="center"/>
          </w:tcPr>
          <w:p w14:paraId="5D8A819F">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36.20%</w:t>
            </w:r>
          </w:p>
        </w:tc>
        <w:tc>
          <w:tcPr>
            <w:tcW w:w="1074" w:type="dxa"/>
            <w:tcBorders>
              <w:top w:val="nil"/>
              <w:left w:val="nil"/>
              <w:bottom w:val="nil"/>
              <w:right w:val="nil"/>
            </w:tcBorders>
            <w:shd w:val="clear" w:color="auto" w:fill="auto"/>
            <w:vAlign w:val="center"/>
          </w:tcPr>
          <w:p w14:paraId="7E145E4E">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36.60%</w:t>
            </w:r>
          </w:p>
        </w:tc>
      </w:tr>
      <w:tr w14:paraId="263550C3">
        <w:trPr>
          <w:trHeight w:val="0" w:hRule="atLeast"/>
          <w:jc w:val="center"/>
        </w:trPr>
        <w:tc>
          <w:tcPr>
            <w:tcW w:w="1613" w:type="dxa"/>
            <w:tcBorders>
              <w:top w:val="nil"/>
              <w:left w:val="nil"/>
              <w:bottom w:val="nil"/>
              <w:right w:val="nil"/>
            </w:tcBorders>
            <w:shd w:val="clear" w:color="auto" w:fill="auto"/>
            <w:vAlign w:val="center"/>
          </w:tcPr>
          <w:p w14:paraId="523AB22B">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AI独立产品型</w:t>
            </w:r>
          </w:p>
        </w:tc>
        <w:tc>
          <w:tcPr>
            <w:tcW w:w="1536" w:type="dxa"/>
            <w:tcBorders>
              <w:top w:val="nil"/>
              <w:left w:val="nil"/>
              <w:bottom w:val="nil"/>
              <w:right w:val="nil"/>
            </w:tcBorders>
            <w:shd w:val="clear" w:color="auto" w:fill="auto"/>
            <w:vAlign w:val="center"/>
          </w:tcPr>
          <w:p w14:paraId="7269412F">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天地在线</w:t>
            </w:r>
          </w:p>
        </w:tc>
        <w:tc>
          <w:tcPr>
            <w:tcW w:w="1074" w:type="dxa"/>
            <w:tcBorders>
              <w:top w:val="nil"/>
              <w:left w:val="nil"/>
              <w:bottom w:val="nil"/>
              <w:right w:val="nil"/>
            </w:tcBorders>
            <w:shd w:val="clear" w:color="auto" w:fill="auto"/>
            <w:vAlign w:val="center"/>
          </w:tcPr>
          <w:p w14:paraId="33BB005A">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268.10%</w:t>
            </w:r>
          </w:p>
        </w:tc>
        <w:tc>
          <w:tcPr>
            <w:tcW w:w="1074" w:type="dxa"/>
            <w:tcBorders>
              <w:top w:val="nil"/>
              <w:left w:val="nil"/>
              <w:bottom w:val="nil"/>
              <w:right w:val="nil"/>
            </w:tcBorders>
            <w:shd w:val="clear" w:color="auto" w:fill="auto"/>
            <w:vAlign w:val="center"/>
          </w:tcPr>
          <w:p w14:paraId="052CA34B">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246.40%</w:t>
            </w:r>
          </w:p>
        </w:tc>
        <w:tc>
          <w:tcPr>
            <w:tcW w:w="1074" w:type="dxa"/>
            <w:tcBorders>
              <w:top w:val="nil"/>
              <w:left w:val="nil"/>
              <w:bottom w:val="nil"/>
              <w:right w:val="nil"/>
            </w:tcBorders>
            <w:shd w:val="clear" w:color="auto" w:fill="auto"/>
            <w:vAlign w:val="center"/>
          </w:tcPr>
          <w:p w14:paraId="20112F49">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196.90%</w:t>
            </w:r>
          </w:p>
        </w:tc>
        <w:tc>
          <w:tcPr>
            <w:tcW w:w="1074" w:type="dxa"/>
            <w:tcBorders>
              <w:top w:val="nil"/>
              <w:left w:val="nil"/>
              <w:bottom w:val="nil"/>
              <w:right w:val="nil"/>
            </w:tcBorders>
            <w:shd w:val="clear" w:color="auto" w:fill="auto"/>
            <w:vAlign w:val="center"/>
          </w:tcPr>
          <w:p w14:paraId="56B6624E">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135.40%</w:t>
            </w:r>
          </w:p>
        </w:tc>
        <w:tc>
          <w:tcPr>
            <w:tcW w:w="1074" w:type="dxa"/>
            <w:tcBorders>
              <w:top w:val="nil"/>
              <w:left w:val="nil"/>
              <w:bottom w:val="nil"/>
              <w:right w:val="nil"/>
            </w:tcBorders>
            <w:shd w:val="clear" w:color="auto" w:fill="auto"/>
            <w:vAlign w:val="center"/>
          </w:tcPr>
          <w:p w14:paraId="54CA336C">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106.20%</w:t>
            </w:r>
          </w:p>
        </w:tc>
      </w:tr>
      <w:tr w14:paraId="33BB0A63">
        <w:trPr>
          <w:trHeight w:val="0" w:hRule="atLeast"/>
          <w:jc w:val="center"/>
        </w:trPr>
        <w:tc>
          <w:tcPr>
            <w:tcW w:w="1613" w:type="dxa"/>
            <w:tcBorders>
              <w:top w:val="nil"/>
              <w:left w:val="nil"/>
              <w:bottom w:val="nil"/>
              <w:right w:val="nil"/>
            </w:tcBorders>
            <w:shd w:val="clear" w:color="auto" w:fill="auto"/>
            <w:vAlign w:val="center"/>
          </w:tcPr>
          <w:p w14:paraId="72D8D0E1">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AI业务赋能型</w:t>
            </w:r>
          </w:p>
        </w:tc>
        <w:tc>
          <w:tcPr>
            <w:tcW w:w="1536" w:type="dxa"/>
            <w:tcBorders>
              <w:top w:val="nil"/>
              <w:left w:val="nil"/>
              <w:bottom w:val="nil"/>
              <w:right w:val="nil"/>
            </w:tcBorders>
            <w:shd w:val="clear" w:color="auto" w:fill="auto"/>
            <w:vAlign w:val="center"/>
          </w:tcPr>
          <w:p w14:paraId="3C775FCC">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巨人网络</w:t>
            </w:r>
          </w:p>
        </w:tc>
        <w:tc>
          <w:tcPr>
            <w:tcW w:w="1074" w:type="dxa"/>
            <w:tcBorders>
              <w:top w:val="nil"/>
              <w:left w:val="nil"/>
              <w:bottom w:val="nil"/>
              <w:right w:val="nil"/>
            </w:tcBorders>
            <w:shd w:val="clear" w:color="auto" w:fill="auto"/>
            <w:vAlign w:val="center"/>
          </w:tcPr>
          <w:p w14:paraId="054C2F53">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21.30%</w:t>
            </w:r>
          </w:p>
        </w:tc>
        <w:tc>
          <w:tcPr>
            <w:tcW w:w="1074" w:type="dxa"/>
            <w:tcBorders>
              <w:top w:val="nil"/>
              <w:left w:val="nil"/>
              <w:bottom w:val="nil"/>
              <w:right w:val="nil"/>
            </w:tcBorders>
            <w:shd w:val="clear" w:color="auto" w:fill="auto"/>
            <w:vAlign w:val="center"/>
          </w:tcPr>
          <w:p w14:paraId="16458F19">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18.70%</w:t>
            </w:r>
          </w:p>
        </w:tc>
        <w:tc>
          <w:tcPr>
            <w:tcW w:w="1074" w:type="dxa"/>
            <w:tcBorders>
              <w:top w:val="nil"/>
              <w:left w:val="nil"/>
              <w:bottom w:val="nil"/>
              <w:right w:val="nil"/>
            </w:tcBorders>
            <w:shd w:val="clear" w:color="auto" w:fill="auto"/>
            <w:vAlign w:val="center"/>
          </w:tcPr>
          <w:p w14:paraId="121E4C7A">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16.20%</w:t>
            </w:r>
          </w:p>
        </w:tc>
        <w:tc>
          <w:tcPr>
            <w:tcW w:w="1074" w:type="dxa"/>
            <w:tcBorders>
              <w:top w:val="nil"/>
              <w:left w:val="nil"/>
              <w:bottom w:val="nil"/>
              <w:right w:val="nil"/>
            </w:tcBorders>
            <w:shd w:val="clear" w:color="auto" w:fill="auto"/>
            <w:vAlign w:val="center"/>
          </w:tcPr>
          <w:p w14:paraId="0561E0D8">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22.00%</w:t>
            </w:r>
          </w:p>
        </w:tc>
        <w:tc>
          <w:tcPr>
            <w:tcW w:w="1074" w:type="dxa"/>
            <w:tcBorders>
              <w:top w:val="nil"/>
              <w:left w:val="nil"/>
              <w:bottom w:val="nil"/>
              <w:right w:val="nil"/>
            </w:tcBorders>
            <w:shd w:val="clear" w:color="auto" w:fill="auto"/>
            <w:vAlign w:val="center"/>
          </w:tcPr>
          <w:p w14:paraId="0D97CB32">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20.80%</w:t>
            </w:r>
          </w:p>
        </w:tc>
      </w:tr>
      <w:tr w14:paraId="211A2F98">
        <w:trPr>
          <w:trHeight w:val="0" w:hRule="atLeast"/>
          <w:jc w:val="center"/>
        </w:trPr>
        <w:tc>
          <w:tcPr>
            <w:tcW w:w="1613" w:type="dxa"/>
            <w:tcBorders>
              <w:top w:val="nil"/>
              <w:left w:val="nil"/>
              <w:bottom w:val="nil"/>
              <w:right w:val="nil"/>
            </w:tcBorders>
            <w:shd w:val="clear" w:color="auto" w:fill="auto"/>
            <w:vAlign w:val="center"/>
          </w:tcPr>
          <w:p w14:paraId="078D43C6">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AI业务赋能型</w:t>
            </w:r>
          </w:p>
        </w:tc>
        <w:tc>
          <w:tcPr>
            <w:tcW w:w="1536" w:type="dxa"/>
            <w:tcBorders>
              <w:top w:val="nil"/>
              <w:left w:val="nil"/>
              <w:bottom w:val="nil"/>
              <w:right w:val="nil"/>
            </w:tcBorders>
            <w:shd w:val="clear" w:color="auto" w:fill="auto"/>
            <w:vAlign w:val="center"/>
          </w:tcPr>
          <w:p w14:paraId="4DE7762A">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世纪天鸿</w:t>
            </w:r>
          </w:p>
        </w:tc>
        <w:tc>
          <w:tcPr>
            <w:tcW w:w="1074" w:type="dxa"/>
            <w:tcBorders>
              <w:top w:val="nil"/>
              <w:left w:val="nil"/>
              <w:bottom w:val="nil"/>
              <w:right w:val="nil"/>
            </w:tcBorders>
            <w:shd w:val="clear" w:color="auto" w:fill="auto"/>
            <w:vAlign w:val="center"/>
          </w:tcPr>
          <w:p w14:paraId="0C0DA477">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48.90%</w:t>
            </w:r>
          </w:p>
        </w:tc>
        <w:tc>
          <w:tcPr>
            <w:tcW w:w="1074" w:type="dxa"/>
            <w:tcBorders>
              <w:top w:val="nil"/>
              <w:left w:val="nil"/>
              <w:bottom w:val="nil"/>
              <w:right w:val="nil"/>
            </w:tcBorders>
            <w:shd w:val="clear" w:color="auto" w:fill="auto"/>
            <w:vAlign w:val="center"/>
          </w:tcPr>
          <w:p w14:paraId="762583DD">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54.30%</w:t>
            </w:r>
          </w:p>
        </w:tc>
        <w:tc>
          <w:tcPr>
            <w:tcW w:w="1074" w:type="dxa"/>
            <w:tcBorders>
              <w:top w:val="nil"/>
              <w:left w:val="nil"/>
              <w:bottom w:val="nil"/>
              <w:right w:val="nil"/>
            </w:tcBorders>
            <w:shd w:val="clear" w:color="auto" w:fill="auto"/>
            <w:vAlign w:val="center"/>
          </w:tcPr>
          <w:p w14:paraId="0AC55AA9">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47.60%</w:t>
            </w:r>
          </w:p>
        </w:tc>
        <w:tc>
          <w:tcPr>
            <w:tcW w:w="1074" w:type="dxa"/>
            <w:tcBorders>
              <w:top w:val="nil"/>
              <w:left w:val="nil"/>
              <w:bottom w:val="nil"/>
              <w:right w:val="nil"/>
            </w:tcBorders>
            <w:shd w:val="clear" w:color="auto" w:fill="auto"/>
            <w:vAlign w:val="center"/>
          </w:tcPr>
          <w:p w14:paraId="6E52174C">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46.90%</w:t>
            </w:r>
          </w:p>
        </w:tc>
        <w:tc>
          <w:tcPr>
            <w:tcW w:w="1074" w:type="dxa"/>
            <w:tcBorders>
              <w:top w:val="nil"/>
              <w:left w:val="nil"/>
              <w:bottom w:val="nil"/>
              <w:right w:val="nil"/>
            </w:tcBorders>
            <w:shd w:val="clear" w:color="auto" w:fill="auto"/>
            <w:vAlign w:val="center"/>
          </w:tcPr>
          <w:p w14:paraId="42413AE0">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47.20%</w:t>
            </w:r>
          </w:p>
        </w:tc>
      </w:tr>
      <w:tr w14:paraId="12D520DC">
        <w:trPr>
          <w:trHeight w:val="0" w:hRule="atLeast"/>
          <w:jc w:val="center"/>
        </w:trPr>
        <w:tc>
          <w:tcPr>
            <w:tcW w:w="1613" w:type="dxa"/>
            <w:tcBorders>
              <w:top w:val="nil"/>
              <w:left w:val="nil"/>
              <w:bottom w:val="single" w:color="auto" w:sz="12" w:space="0"/>
              <w:right w:val="nil"/>
            </w:tcBorders>
            <w:shd w:val="clear" w:color="auto" w:fill="auto"/>
            <w:vAlign w:val="center"/>
          </w:tcPr>
          <w:p w14:paraId="4B68E8FD">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AI业务赋能型</w:t>
            </w:r>
          </w:p>
        </w:tc>
        <w:tc>
          <w:tcPr>
            <w:tcW w:w="1536" w:type="dxa"/>
            <w:tcBorders>
              <w:top w:val="nil"/>
              <w:left w:val="nil"/>
              <w:bottom w:val="single" w:color="auto" w:sz="12" w:space="0"/>
              <w:right w:val="nil"/>
            </w:tcBorders>
            <w:shd w:val="clear" w:color="auto" w:fill="auto"/>
            <w:vAlign w:val="center"/>
          </w:tcPr>
          <w:p w14:paraId="44D71A4C">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思美传媒</w:t>
            </w:r>
          </w:p>
        </w:tc>
        <w:tc>
          <w:tcPr>
            <w:tcW w:w="1074" w:type="dxa"/>
            <w:tcBorders>
              <w:top w:val="nil"/>
              <w:left w:val="nil"/>
              <w:bottom w:val="single" w:color="auto" w:sz="12" w:space="0"/>
              <w:right w:val="nil"/>
            </w:tcBorders>
            <w:shd w:val="clear" w:color="auto" w:fill="auto"/>
            <w:vAlign w:val="center"/>
          </w:tcPr>
          <w:p w14:paraId="0F566843">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108.30%</w:t>
            </w:r>
          </w:p>
        </w:tc>
        <w:tc>
          <w:tcPr>
            <w:tcW w:w="1074" w:type="dxa"/>
            <w:tcBorders>
              <w:top w:val="nil"/>
              <w:left w:val="nil"/>
              <w:bottom w:val="single" w:color="auto" w:sz="12" w:space="0"/>
              <w:right w:val="nil"/>
            </w:tcBorders>
            <w:shd w:val="clear" w:color="auto" w:fill="auto"/>
            <w:vAlign w:val="center"/>
          </w:tcPr>
          <w:p w14:paraId="122AAF63">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156.20%</w:t>
            </w:r>
          </w:p>
        </w:tc>
        <w:tc>
          <w:tcPr>
            <w:tcW w:w="1074" w:type="dxa"/>
            <w:tcBorders>
              <w:top w:val="nil"/>
              <w:left w:val="nil"/>
              <w:bottom w:val="single" w:color="auto" w:sz="12" w:space="0"/>
              <w:right w:val="nil"/>
            </w:tcBorders>
            <w:shd w:val="clear" w:color="auto" w:fill="auto"/>
            <w:vAlign w:val="center"/>
          </w:tcPr>
          <w:p w14:paraId="59F6CD82">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155.80%</w:t>
            </w:r>
          </w:p>
        </w:tc>
        <w:tc>
          <w:tcPr>
            <w:tcW w:w="1074" w:type="dxa"/>
            <w:tcBorders>
              <w:top w:val="nil"/>
              <w:left w:val="nil"/>
              <w:bottom w:val="single" w:color="auto" w:sz="12" w:space="0"/>
              <w:right w:val="nil"/>
            </w:tcBorders>
            <w:shd w:val="clear" w:color="auto" w:fill="auto"/>
            <w:vAlign w:val="center"/>
          </w:tcPr>
          <w:p w14:paraId="076E0205">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225.90%</w:t>
            </w:r>
          </w:p>
        </w:tc>
        <w:tc>
          <w:tcPr>
            <w:tcW w:w="1074" w:type="dxa"/>
            <w:tcBorders>
              <w:top w:val="nil"/>
              <w:left w:val="nil"/>
              <w:bottom w:val="single" w:color="auto" w:sz="12" w:space="0"/>
              <w:right w:val="nil"/>
            </w:tcBorders>
            <w:shd w:val="clear" w:color="auto" w:fill="auto"/>
            <w:vAlign w:val="center"/>
          </w:tcPr>
          <w:p w14:paraId="733904E1">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230.10%</w:t>
            </w:r>
          </w:p>
        </w:tc>
      </w:tr>
    </w:tbl>
    <w:p w14:paraId="16DE47FA">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数据来源：</w:t>
      </w:r>
      <w:r>
        <w:rPr>
          <w:rFonts w:hint="default" w:ascii="Times New Roman" w:hAnsi="Times New Roman" w:eastAsia="宋体" w:cs="Times New Roman"/>
          <w:sz w:val="24"/>
          <w:szCs w:val="24"/>
          <w:lang w:val="en-US" w:eastAsia="zh-CN"/>
        </w:rPr>
        <w:t>finD</w:t>
      </w:r>
      <w:r>
        <w:rPr>
          <w:rFonts w:hint="default" w:ascii="Times New Roman" w:hAnsi="Times New Roman" w:eastAsia="宋体" w:cs="Times New Roman"/>
          <w:sz w:val="24"/>
          <w:szCs w:val="24"/>
        </w:rPr>
        <w:t>数据库整理</w:t>
      </w:r>
    </w:p>
    <w:p w14:paraId="07A0EC8E">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52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spacing w:val="10"/>
          <w:kern w:val="0"/>
          <w:szCs w:val="20"/>
          <w:lang w:val="en-US" w:eastAsia="zh-CN"/>
        </w:rPr>
        <w:t>典型样本企业总资产周转率变化趋势如图4-4所示</w:t>
      </w:r>
      <w:r>
        <w:rPr>
          <w:rFonts w:hint="default" w:ascii="Times New Roman" w:hAnsi="Times New Roman" w:eastAsia="宋体" w:cs="Times New Roman"/>
          <w:kern w:val="2"/>
          <w:sz w:val="24"/>
          <w:szCs w:val="24"/>
          <w:lang w:val="en-US" w:eastAsia="zh-CN" w:bidi="ar-SA"/>
        </w:rPr>
        <w:t>，不同企业在资产周转率方面差异较大，</w:t>
      </w:r>
      <w:r>
        <w:rPr>
          <w:rFonts w:hint="default" w:ascii="Times New Roman" w:hAnsi="Times New Roman" w:eastAsia="宋体" w:cs="Times New Roman"/>
          <w:sz w:val="24"/>
          <w:szCs w:val="24"/>
        </w:rPr>
        <w:t>营销服务类企业通常具有较高周转率，而技术产品型企业普遍处于较低水平。样本期内天地在线和方直科技的周转率明显下滑，说明资产扩张未能同步转化为收入增长；思美传媒则相反，周转率持续提升，体现出收入规模放大快于资产增长；巨人网络、世纪天鸿、佳讯飞鸿大体处于稳定区间，说明现有业务基础对资产效率形成了一定支撑。为进一步分析不同企业资产运营效率差异的形成原因，下面将结合各企业营业收入与资产规模变化情况，并结合企业主营业务结构，对典型样本企业总资产周转率变化进行具体分析</w:t>
      </w:r>
      <w:r>
        <w:rPr>
          <w:rFonts w:hint="default" w:ascii="Times New Roman" w:hAnsi="Times New Roman" w:eastAsia="宋体" w:cs="Times New Roman"/>
          <w:kern w:val="2"/>
          <w:sz w:val="24"/>
          <w:szCs w:val="24"/>
          <w:lang w:val="en-US" w:eastAsia="zh-CN" w:bidi="ar-SA"/>
        </w:rPr>
        <w:t>。</w:t>
      </w:r>
    </w:p>
    <w:p w14:paraId="381A2847">
      <w:pPr>
        <w:widowControl/>
        <w:tabs>
          <w:tab w:val="left" w:pos="377"/>
        </w:tabs>
        <w:autoSpaceDE/>
        <w:autoSpaceDN/>
        <w:snapToGrid/>
        <w:spacing w:before="156" w:beforeLines="5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272405" cy="2714625"/>
            <wp:effectExtent l="4445" t="4445" r="9525" b="5080"/>
            <wp:docPr id="5" name="图表 4"/>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2BB5B66A">
      <w:pPr>
        <w:widowControl/>
        <w:tabs>
          <w:tab w:val="left" w:pos="377"/>
        </w:tabs>
        <w:autoSpaceDE/>
        <w:autoSpaceDN/>
        <w:snapToGrid/>
        <w:spacing w:before="156" w:beforeLines="50"/>
        <w:jc w:val="center"/>
        <w:rPr>
          <w:rFonts w:hint="default" w:ascii="Times New Roman" w:hAnsi="Times New Roman" w:eastAsia="宋体" w:cs="Times New Roman"/>
          <w:spacing w:val="10"/>
          <w:kern w:val="0"/>
          <w:szCs w:val="20"/>
          <w:lang w:val="en-US" w:eastAsia="zh-CN"/>
        </w:rPr>
      </w:pPr>
      <w:r>
        <w:rPr>
          <w:rFonts w:hint="default" w:ascii="Times New Roman" w:hAnsi="Times New Roman" w:eastAsia="宋体" w:cs="Times New Roman"/>
          <w:spacing w:val="10"/>
          <w:kern w:val="0"/>
          <w:szCs w:val="20"/>
          <w:lang w:val="en-US" w:eastAsia="zh-CN"/>
        </w:rPr>
        <w:t>图4-4 典型样本企业总资产周转率变化趋势图</w:t>
      </w:r>
    </w:p>
    <w:p w14:paraId="429F06B0">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p>
    <w:p w14:paraId="07E95321">
      <w:pPr>
        <w:autoSpaceDE/>
        <w:autoSpaceDN/>
        <w:snapToGrid/>
        <w:spacing w:before="156" w:beforeLines="50" w:after="156" w:afterLines="50" w:line="420" w:lineRule="exact"/>
        <w:jc w:val="left"/>
        <w:outlineLvl w:val="2"/>
        <w:rPr>
          <w:rFonts w:hint="default" w:ascii="Times New Roman" w:hAnsi="Times New Roman" w:eastAsia="黑体" w:cs="Times New Roman"/>
          <w:color w:val="000000"/>
          <w:kern w:val="0"/>
          <w:sz w:val="28"/>
          <w:szCs w:val="28"/>
          <w:lang w:val="en-US" w:eastAsia="zh-CN"/>
        </w:rPr>
      </w:pPr>
      <w:r>
        <w:rPr>
          <w:rFonts w:hint="default" w:ascii="Times New Roman" w:hAnsi="Times New Roman" w:eastAsia="黑体" w:cs="Times New Roman"/>
          <w:color w:val="000000"/>
          <w:kern w:val="0"/>
          <w:sz w:val="28"/>
          <w:szCs w:val="28"/>
          <w:lang w:val="en-US" w:eastAsia="zh-CN"/>
        </w:rPr>
        <w:t>4.2.2.1 AI独立产品型企业总资产周转率分析</w:t>
      </w:r>
    </w:p>
    <w:p w14:paraId="436688B2">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1.方直科技</w:t>
      </w:r>
    </w:p>
    <w:p w14:paraId="67C46E21">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方直科技2020—2024年的总资产周转率由0.183下降至0.127，整体呈持续下降趋势，说明企业资产转化为营业收入的效率逐渐降低，资产运营效率持续减弱。企业周转率下降通常意味着营业收入增长速度低于资产规模扩张，或营业收入出现下降。为进一步分析其变化原因，本文整理了公司资产规模与营业收入变化情况，如表4-</w:t>
      </w:r>
      <w:r>
        <w:rPr>
          <w:rFonts w:hint="default" w:ascii="Times New Roman" w:hAnsi="Times New Roman" w:eastAsia="宋体" w:cs="Times New Roman"/>
          <w:sz w:val="24"/>
          <w:szCs w:val="24"/>
          <w:lang w:val="en-US" w:eastAsia="zh-CN"/>
        </w:rPr>
        <w:t>14</w:t>
      </w:r>
      <w:r>
        <w:rPr>
          <w:rFonts w:hint="default" w:ascii="Times New Roman" w:hAnsi="Times New Roman" w:eastAsia="宋体" w:cs="Times New Roman"/>
          <w:sz w:val="24"/>
          <w:szCs w:val="24"/>
        </w:rPr>
        <w:t>所示。</w:t>
      </w:r>
    </w:p>
    <w:p w14:paraId="08EF793E">
      <w:pPr>
        <w:widowControl/>
        <w:tabs>
          <w:tab w:val="left" w:pos="377"/>
        </w:tabs>
        <w:autoSpaceDE/>
        <w:autoSpaceDN/>
        <w:snapToGrid/>
        <w:spacing w:before="156" w:beforeLines="50"/>
        <w:jc w:val="center"/>
        <w:rPr>
          <w:rFonts w:hint="default" w:ascii="Times New Roman" w:hAnsi="Times New Roman" w:eastAsia="宋体" w:cs="Times New Roman"/>
          <w:spacing w:val="10"/>
          <w:kern w:val="0"/>
          <w:szCs w:val="20"/>
          <w:lang w:val="en-US" w:eastAsia="zh-CN"/>
        </w:rPr>
      </w:pPr>
      <w:r>
        <w:rPr>
          <w:rFonts w:hint="default" w:ascii="Times New Roman" w:hAnsi="Times New Roman" w:eastAsia="宋体" w:cs="Times New Roman"/>
          <w:spacing w:val="10"/>
          <w:kern w:val="0"/>
          <w:szCs w:val="20"/>
          <w:lang w:val="en-US" w:eastAsia="zh-CN"/>
        </w:rPr>
        <w:t>表4-14 方直科技资产规模与营业收入情况</w:t>
      </w:r>
    </w:p>
    <w:tbl>
      <w:tblPr>
        <w:tblStyle w:val="7"/>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251"/>
        <w:gridCol w:w="3417"/>
        <w:gridCol w:w="3851"/>
      </w:tblGrid>
      <w:tr w14:paraId="07722851">
        <w:trPr>
          <w:trHeight w:val="0" w:hRule="atLeast"/>
          <w:tblHeader/>
          <w:jc w:val="center"/>
        </w:trPr>
        <w:tc>
          <w:tcPr>
            <w:tcW w:w="1251" w:type="dxa"/>
            <w:tcBorders>
              <w:top w:val="single" w:color="000000" w:sz="12" w:space="0"/>
              <w:left w:val="nil"/>
              <w:bottom w:val="single" w:color="000000" w:sz="8" w:space="0"/>
              <w:right w:val="nil"/>
            </w:tcBorders>
            <w:shd w:val="clear" w:color="auto" w:fill="auto"/>
            <w:vAlign w:val="center"/>
          </w:tcPr>
          <w:p w14:paraId="2E015FAF">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4"/>
                <w:szCs w:val="24"/>
                <w:u w:val="none"/>
              </w:rPr>
            </w:pPr>
            <w:r>
              <w:rPr>
                <w:rFonts w:hint="default" w:ascii="Times New Roman" w:hAnsi="Times New Roman" w:eastAsia="宋体" w:cs="Times New Roman"/>
                <w:b/>
                <w:bCs/>
                <w:i w:val="0"/>
                <w:iCs w:val="0"/>
                <w:color w:val="000000"/>
                <w:kern w:val="0"/>
                <w:sz w:val="24"/>
                <w:szCs w:val="24"/>
                <w:u w:val="none"/>
                <w:lang w:val="en-US" w:eastAsia="zh-CN" w:bidi="ar"/>
              </w:rPr>
              <w:t>年份</w:t>
            </w:r>
          </w:p>
        </w:tc>
        <w:tc>
          <w:tcPr>
            <w:tcW w:w="3417" w:type="dxa"/>
            <w:tcBorders>
              <w:top w:val="single" w:color="000000" w:sz="12" w:space="0"/>
              <w:left w:val="nil"/>
              <w:bottom w:val="single" w:color="000000" w:sz="8" w:space="0"/>
              <w:right w:val="nil"/>
            </w:tcBorders>
            <w:shd w:val="clear" w:color="auto" w:fill="auto"/>
            <w:vAlign w:val="center"/>
          </w:tcPr>
          <w:p w14:paraId="4A9B7C70">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4"/>
                <w:szCs w:val="24"/>
                <w:u w:val="none"/>
              </w:rPr>
            </w:pPr>
            <w:r>
              <w:rPr>
                <w:rFonts w:hint="default" w:ascii="Times New Roman" w:hAnsi="Times New Roman" w:eastAsia="宋体" w:cs="Times New Roman"/>
                <w:b/>
                <w:bCs/>
                <w:i w:val="0"/>
                <w:iCs w:val="0"/>
                <w:color w:val="000000"/>
                <w:kern w:val="0"/>
                <w:sz w:val="24"/>
                <w:szCs w:val="24"/>
                <w:u w:val="none"/>
                <w:lang w:val="en-US" w:eastAsia="zh-CN" w:bidi="ar"/>
              </w:rPr>
              <w:t>资产总计（元）</w:t>
            </w:r>
          </w:p>
        </w:tc>
        <w:tc>
          <w:tcPr>
            <w:tcW w:w="3851" w:type="dxa"/>
            <w:tcBorders>
              <w:top w:val="single" w:color="000000" w:sz="12" w:space="0"/>
              <w:left w:val="nil"/>
              <w:bottom w:val="single" w:color="000000" w:sz="8" w:space="0"/>
              <w:right w:val="nil"/>
            </w:tcBorders>
            <w:shd w:val="clear" w:color="auto" w:fill="auto"/>
            <w:vAlign w:val="center"/>
          </w:tcPr>
          <w:p w14:paraId="49E68D93">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4"/>
                <w:szCs w:val="24"/>
                <w:u w:val="none"/>
              </w:rPr>
            </w:pPr>
            <w:r>
              <w:rPr>
                <w:rFonts w:hint="default" w:ascii="Times New Roman" w:hAnsi="Times New Roman" w:eastAsia="宋体" w:cs="Times New Roman"/>
                <w:b/>
                <w:bCs/>
                <w:i w:val="0"/>
                <w:iCs w:val="0"/>
                <w:color w:val="000000"/>
                <w:kern w:val="0"/>
                <w:sz w:val="24"/>
                <w:szCs w:val="24"/>
                <w:u w:val="none"/>
                <w:lang w:val="en-US" w:eastAsia="zh-CN" w:bidi="ar"/>
              </w:rPr>
              <w:t>营业总收入（元）</w:t>
            </w:r>
          </w:p>
        </w:tc>
      </w:tr>
      <w:tr w14:paraId="7A1B7AB8">
        <w:trPr>
          <w:trHeight w:val="0" w:hRule="atLeast"/>
          <w:jc w:val="center"/>
        </w:trPr>
        <w:tc>
          <w:tcPr>
            <w:tcW w:w="1251" w:type="dxa"/>
            <w:tcBorders>
              <w:top w:val="nil"/>
              <w:left w:val="nil"/>
              <w:bottom w:val="nil"/>
              <w:right w:val="nil"/>
            </w:tcBorders>
            <w:shd w:val="clear" w:color="auto" w:fill="auto"/>
            <w:vAlign w:val="center"/>
          </w:tcPr>
          <w:p w14:paraId="635C1AFB">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2020</w:t>
            </w:r>
          </w:p>
        </w:tc>
        <w:tc>
          <w:tcPr>
            <w:tcW w:w="3417" w:type="dxa"/>
            <w:tcBorders>
              <w:top w:val="nil"/>
              <w:left w:val="nil"/>
              <w:bottom w:val="nil"/>
              <w:right w:val="nil"/>
            </w:tcBorders>
            <w:shd w:val="clear" w:color="auto" w:fill="auto"/>
            <w:vAlign w:val="center"/>
          </w:tcPr>
          <w:p w14:paraId="7B493BA2">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678,658,437</w:t>
            </w:r>
          </w:p>
        </w:tc>
        <w:tc>
          <w:tcPr>
            <w:tcW w:w="3851" w:type="dxa"/>
            <w:tcBorders>
              <w:top w:val="nil"/>
              <w:left w:val="nil"/>
              <w:bottom w:val="nil"/>
              <w:right w:val="nil"/>
            </w:tcBorders>
            <w:shd w:val="clear" w:color="auto" w:fill="auto"/>
            <w:vAlign w:val="center"/>
          </w:tcPr>
          <w:p w14:paraId="6902F722">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122,322,181</w:t>
            </w:r>
          </w:p>
        </w:tc>
      </w:tr>
      <w:tr w14:paraId="7E6AD3F6">
        <w:trPr>
          <w:trHeight w:val="0" w:hRule="atLeast"/>
          <w:jc w:val="center"/>
        </w:trPr>
        <w:tc>
          <w:tcPr>
            <w:tcW w:w="1251" w:type="dxa"/>
            <w:tcBorders>
              <w:top w:val="nil"/>
              <w:left w:val="nil"/>
              <w:bottom w:val="nil"/>
              <w:right w:val="nil"/>
            </w:tcBorders>
            <w:shd w:val="clear" w:color="auto" w:fill="auto"/>
            <w:vAlign w:val="center"/>
          </w:tcPr>
          <w:p w14:paraId="63756C8E">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2021</w:t>
            </w:r>
          </w:p>
        </w:tc>
        <w:tc>
          <w:tcPr>
            <w:tcW w:w="3417" w:type="dxa"/>
            <w:tcBorders>
              <w:top w:val="nil"/>
              <w:left w:val="nil"/>
              <w:bottom w:val="nil"/>
              <w:right w:val="nil"/>
            </w:tcBorders>
            <w:shd w:val="clear" w:color="auto" w:fill="auto"/>
            <w:vAlign w:val="center"/>
          </w:tcPr>
          <w:p w14:paraId="59EDF783">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685,266,193</w:t>
            </w:r>
          </w:p>
        </w:tc>
        <w:tc>
          <w:tcPr>
            <w:tcW w:w="3851" w:type="dxa"/>
            <w:tcBorders>
              <w:top w:val="nil"/>
              <w:left w:val="nil"/>
              <w:bottom w:val="nil"/>
              <w:right w:val="nil"/>
            </w:tcBorders>
            <w:shd w:val="clear" w:color="auto" w:fill="auto"/>
            <w:vAlign w:val="center"/>
          </w:tcPr>
          <w:p w14:paraId="1A0D4D0A">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111,488,967</w:t>
            </w:r>
          </w:p>
        </w:tc>
      </w:tr>
      <w:tr w14:paraId="240F86FC">
        <w:trPr>
          <w:trHeight w:val="0" w:hRule="atLeast"/>
          <w:jc w:val="center"/>
        </w:trPr>
        <w:tc>
          <w:tcPr>
            <w:tcW w:w="1251" w:type="dxa"/>
            <w:tcBorders>
              <w:top w:val="nil"/>
              <w:left w:val="nil"/>
              <w:bottom w:val="nil"/>
              <w:right w:val="nil"/>
            </w:tcBorders>
            <w:shd w:val="clear" w:color="auto" w:fill="auto"/>
            <w:vAlign w:val="center"/>
          </w:tcPr>
          <w:p w14:paraId="49A13C58">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2022</w:t>
            </w:r>
          </w:p>
        </w:tc>
        <w:tc>
          <w:tcPr>
            <w:tcW w:w="3417" w:type="dxa"/>
            <w:tcBorders>
              <w:top w:val="nil"/>
              <w:left w:val="nil"/>
              <w:bottom w:val="nil"/>
              <w:right w:val="nil"/>
            </w:tcBorders>
            <w:shd w:val="clear" w:color="auto" w:fill="auto"/>
            <w:vAlign w:val="center"/>
          </w:tcPr>
          <w:p w14:paraId="094805AA">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704,654,098</w:t>
            </w:r>
          </w:p>
        </w:tc>
        <w:tc>
          <w:tcPr>
            <w:tcW w:w="3851" w:type="dxa"/>
            <w:tcBorders>
              <w:top w:val="nil"/>
              <w:left w:val="nil"/>
              <w:bottom w:val="nil"/>
              <w:right w:val="nil"/>
            </w:tcBorders>
            <w:shd w:val="clear" w:color="auto" w:fill="auto"/>
            <w:vAlign w:val="center"/>
          </w:tcPr>
          <w:p w14:paraId="19231500">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107,789,572</w:t>
            </w:r>
          </w:p>
        </w:tc>
      </w:tr>
      <w:tr w14:paraId="291BEA1A">
        <w:trPr>
          <w:trHeight w:val="0" w:hRule="atLeast"/>
          <w:jc w:val="center"/>
        </w:trPr>
        <w:tc>
          <w:tcPr>
            <w:tcW w:w="1251" w:type="dxa"/>
            <w:tcBorders>
              <w:top w:val="nil"/>
              <w:left w:val="nil"/>
              <w:bottom w:val="nil"/>
              <w:right w:val="nil"/>
            </w:tcBorders>
            <w:shd w:val="clear" w:color="auto" w:fill="auto"/>
            <w:vAlign w:val="center"/>
          </w:tcPr>
          <w:p w14:paraId="221DC931">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2023</w:t>
            </w:r>
          </w:p>
        </w:tc>
        <w:tc>
          <w:tcPr>
            <w:tcW w:w="3417" w:type="dxa"/>
            <w:tcBorders>
              <w:top w:val="nil"/>
              <w:left w:val="nil"/>
              <w:bottom w:val="nil"/>
              <w:right w:val="nil"/>
            </w:tcBorders>
            <w:shd w:val="clear" w:color="auto" w:fill="auto"/>
            <w:vAlign w:val="center"/>
          </w:tcPr>
          <w:p w14:paraId="399E90CA">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723,448,126</w:t>
            </w:r>
          </w:p>
        </w:tc>
        <w:tc>
          <w:tcPr>
            <w:tcW w:w="3851" w:type="dxa"/>
            <w:tcBorders>
              <w:top w:val="nil"/>
              <w:left w:val="nil"/>
              <w:bottom w:val="nil"/>
              <w:right w:val="nil"/>
            </w:tcBorders>
            <w:shd w:val="clear" w:color="auto" w:fill="auto"/>
            <w:vAlign w:val="center"/>
          </w:tcPr>
          <w:p w14:paraId="570B3878">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101,740,261</w:t>
            </w:r>
          </w:p>
        </w:tc>
      </w:tr>
      <w:tr w14:paraId="3444C640">
        <w:trPr>
          <w:trHeight w:val="0" w:hRule="atLeast"/>
          <w:jc w:val="center"/>
        </w:trPr>
        <w:tc>
          <w:tcPr>
            <w:tcW w:w="1251" w:type="dxa"/>
            <w:tcBorders>
              <w:top w:val="nil"/>
              <w:left w:val="nil"/>
              <w:bottom w:val="single" w:color="000000" w:sz="12" w:space="0"/>
              <w:right w:val="nil"/>
            </w:tcBorders>
            <w:shd w:val="clear" w:color="auto" w:fill="auto"/>
            <w:vAlign w:val="center"/>
          </w:tcPr>
          <w:p w14:paraId="6C6EC65B">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2024</w:t>
            </w:r>
          </w:p>
        </w:tc>
        <w:tc>
          <w:tcPr>
            <w:tcW w:w="3417" w:type="dxa"/>
            <w:tcBorders>
              <w:top w:val="nil"/>
              <w:left w:val="nil"/>
              <w:bottom w:val="single" w:color="000000" w:sz="12" w:space="0"/>
              <w:right w:val="nil"/>
            </w:tcBorders>
            <w:shd w:val="clear" w:color="auto" w:fill="auto"/>
            <w:vAlign w:val="center"/>
          </w:tcPr>
          <w:p w14:paraId="426EEB0B">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723,296,827</w:t>
            </w:r>
          </w:p>
        </w:tc>
        <w:tc>
          <w:tcPr>
            <w:tcW w:w="3851" w:type="dxa"/>
            <w:tcBorders>
              <w:top w:val="nil"/>
              <w:left w:val="nil"/>
              <w:bottom w:val="single" w:color="000000" w:sz="12" w:space="0"/>
              <w:right w:val="nil"/>
            </w:tcBorders>
            <w:shd w:val="clear" w:color="auto" w:fill="auto"/>
            <w:vAlign w:val="center"/>
          </w:tcPr>
          <w:p w14:paraId="6CE096C6">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92,147,310</w:t>
            </w:r>
          </w:p>
        </w:tc>
      </w:tr>
    </w:tbl>
    <w:p w14:paraId="0074F69D">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数据来源：</w:t>
      </w:r>
      <w:r>
        <w:rPr>
          <w:rFonts w:hint="default" w:ascii="Times New Roman" w:hAnsi="Times New Roman" w:eastAsia="宋体" w:cs="Times New Roman"/>
          <w:sz w:val="24"/>
          <w:szCs w:val="24"/>
          <w:lang w:val="en-US" w:eastAsia="zh-CN"/>
        </w:rPr>
        <w:t>finD</w:t>
      </w:r>
      <w:r>
        <w:rPr>
          <w:rFonts w:hint="default" w:ascii="Times New Roman" w:hAnsi="Times New Roman" w:eastAsia="宋体" w:cs="Times New Roman"/>
          <w:sz w:val="24"/>
          <w:szCs w:val="24"/>
        </w:rPr>
        <w:t>数据库整理</w:t>
      </w:r>
    </w:p>
    <w:p w14:paraId="69E0A4FA">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从表4-</w:t>
      </w:r>
      <w:r>
        <w:rPr>
          <w:rFonts w:hint="default" w:ascii="Times New Roman" w:hAnsi="Times New Roman" w:eastAsia="宋体" w:cs="Times New Roman"/>
          <w:sz w:val="24"/>
          <w:szCs w:val="24"/>
          <w:lang w:val="en-US" w:eastAsia="zh-CN"/>
        </w:rPr>
        <w:t>14</w:t>
      </w:r>
      <w:r>
        <w:rPr>
          <w:rFonts w:hint="default" w:ascii="Times New Roman" w:hAnsi="Times New Roman" w:eastAsia="宋体" w:cs="Times New Roman"/>
          <w:sz w:val="24"/>
          <w:szCs w:val="24"/>
        </w:rPr>
        <w:t>可</w:t>
      </w:r>
      <w:r>
        <w:rPr>
          <w:rFonts w:hint="default" w:ascii="Times New Roman" w:hAnsi="Times New Roman" w:eastAsia="宋体" w:cs="Times New Roman"/>
          <w:sz w:val="24"/>
          <w:szCs w:val="24"/>
          <w:lang w:val="en-US" w:eastAsia="zh-CN"/>
        </w:rPr>
        <w:t>得</w:t>
      </w:r>
      <w:r>
        <w:rPr>
          <w:rFonts w:hint="default" w:ascii="Times New Roman" w:hAnsi="Times New Roman" w:eastAsia="宋体" w:cs="Times New Roman"/>
          <w:sz w:val="24"/>
          <w:szCs w:val="24"/>
        </w:rPr>
        <w:t>，公司资产规模在样本期内整体保持小幅增长，由2020年的6.79亿元增加至2024年的7.23亿元，而营业收入则呈持续下降趋势，由1.22亿元下降至0.92亿元。收入下降而资产规模保持稳定，使得企业资产周转率逐年下降。进一步从主营业务结构来看，公司收入主要集中在教育数字化产品领域。根据公司年报披露，教育行业收入长期占公司主营收入的80%以上，其中核心产品为“方直金太阳教育软件”和AI数字化教育产品。2024年公司主营业务结构如表4-</w:t>
      </w:r>
      <w:r>
        <w:rPr>
          <w:rFonts w:hint="default" w:ascii="Times New Roman" w:hAnsi="Times New Roman" w:eastAsia="宋体" w:cs="Times New Roman"/>
          <w:sz w:val="24"/>
          <w:szCs w:val="24"/>
          <w:lang w:val="en-US" w:eastAsia="zh-CN"/>
        </w:rPr>
        <w:t>15</w:t>
      </w:r>
      <w:r>
        <w:rPr>
          <w:rFonts w:hint="default" w:ascii="Times New Roman" w:hAnsi="Times New Roman" w:eastAsia="宋体" w:cs="Times New Roman"/>
          <w:sz w:val="24"/>
          <w:szCs w:val="24"/>
        </w:rPr>
        <w:t>所示。</w:t>
      </w:r>
    </w:p>
    <w:p w14:paraId="1FEB7667">
      <w:pPr>
        <w:widowControl/>
        <w:tabs>
          <w:tab w:val="left" w:pos="377"/>
        </w:tabs>
        <w:autoSpaceDE/>
        <w:autoSpaceDN/>
        <w:snapToGrid/>
        <w:spacing w:before="156" w:beforeLines="50"/>
        <w:jc w:val="center"/>
        <w:rPr>
          <w:rFonts w:hint="default" w:ascii="Times New Roman" w:hAnsi="Times New Roman" w:eastAsia="宋体" w:cs="Times New Roman"/>
          <w:spacing w:val="10"/>
          <w:kern w:val="0"/>
          <w:szCs w:val="20"/>
          <w:lang w:val="en-US" w:eastAsia="zh-CN"/>
        </w:rPr>
      </w:pPr>
      <w:r>
        <w:rPr>
          <w:rFonts w:hint="default" w:ascii="Times New Roman" w:hAnsi="Times New Roman" w:eastAsia="宋体" w:cs="Times New Roman"/>
          <w:spacing w:val="10"/>
          <w:kern w:val="0"/>
          <w:szCs w:val="20"/>
          <w:lang w:val="en-US" w:eastAsia="zh-CN"/>
        </w:rPr>
        <w:t>表4-15 方直科技主营业务结构</w:t>
      </w:r>
    </w:p>
    <w:tbl>
      <w:tblPr>
        <w:tblStyle w:val="7"/>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3513"/>
        <w:gridCol w:w="1841"/>
        <w:gridCol w:w="1759"/>
        <w:gridCol w:w="1406"/>
      </w:tblGrid>
      <w:tr w14:paraId="00D16383">
        <w:trPr>
          <w:trHeight w:val="0" w:hRule="atLeast"/>
          <w:tblHeader/>
          <w:jc w:val="center"/>
        </w:trPr>
        <w:tc>
          <w:tcPr>
            <w:tcW w:w="3513" w:type="dxa"/>
            <w:tcBorders>
              <w:top w:val="single" w:color="auto" w:sz="12" w:space="0"/>
              <w:left w:val="nil"/>
              <w:bottom w:val="single" w:color="auto" w:sz="4" w:space="0"/>
              <w:right w:val="nil"/>
            </w:tcBorders>
            <w:shd w:val="clear" w:color="auto" w:fill="auto"/>
            <w:vAlign w:val="center"/>
          </w:tcPr>
          <w:p w14:paraId="1F7A4DD4">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产品类型</w:t>
            </w:r>
          </w:p>
        </w:tc>
        <w:tc>
          <w:tcPr>
            <w:tcW w:w="1841" w:type="dxa"/>
            <w:tcBorders>
              <w:top w:val="single" w:color="auto" w:sz="12" w:space="0"/>
              <w:left w:val="nil"/>
              <w:bottom w:val="single" w:color="auto" w:sz="4" w:space="0"/>
              <w:right w:val="nil"/>
            </w:tcBorders>
            <w:shd w:val="clear" w:color="auto" w:fill="auto"/>
            <w:vAlign w:val="center"/>
          </w:tcPr>
          <w:p w14:paraId="1851C2B1">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主营收入</w:t>
            </w:r>
          </w:p>
        </w:tc>
        <w:tc>
          <w:tcPr>
            <w:tcW w:w="1759" w:type="dxa"/>
            <w:tcBorders>
              <w:top w:val="single" w:color="auto" w:sz="12" w:space="0"/>
              <w:left w:val="nil"/>
              <w:bottom w:val="single" w:color="auto" w:sz="4" w:space="0"/>
              <w:right w:val="nil"/>
            </w:tcBorders>
            <w:shd w:val="clear" w:color="auto" w:fill="auto"/>
            <w:vAlign w:val="center"/>
          </w:tcPr>
          <w:p w14:paraId="02C913A5">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收入占比</w:t>
            </w:r>
          </w:p>
        </w:tc>
        <w:tc>
          <w:tcPr>
            <w:tcW w:w="1406" w:type="dxa"/>
            <w:tcBorders>
              <w:top w:val="single" w:color="auto" w:sz="12" w:space="0"/>
              <w:left w:val="nil"/>
              <w:bottom w:val="single" w:color="auto" w:sz="4" w:space="0"/>
              <w:right w:val="nil"/>
            </w:tcBorders>
            <w:shd w:val="clear" w:color="auto" w:fill="auto"/>
            <w:vAlign w:val="center"/>
          </w:tcPr>
          <w:p w14:paraId="4A34B541">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毛利率</w:t>
            </w:r>
          </w:p>
        </w:tc>
      </w:tr>
      <w:tr w14:paraId="3F6431E0">
        <w:trPr>
          <w:trHeight w:val="0" w:hRule="atLeast"/>
          <w:jc w:val="center"/>
        </w:trPr>
        <w:tc>
          <w:tcPr>
            <w:tcW w:w="3513" w:type="dxa"/>
            <w:tcBorders>
              <w:top w:val="single" w:color="auto" w:sz="4" w:space="0"/>
              <w:left w:val="nil"/>
              <w:bottom w:val="nil"/>
              <w:right w:val="nil"/>
            </w:tcBorders>
            <w:shd w:val="clear" w:color="auto" w:fill="auto"/>
            <w:vAlign w:val="center"/>
          </w:tcPr>
          <w:p w14:paraId="57994B3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方直金太阳教育软件</w:t>
            </w:r>
          </w:p>
        </w:tc>
        <w:tc>
          <w:tcPr>
            <w:tcW w:w="1841" w:type="dxa"/>
            <w:tcBorders>
              <w:top w:val="single" w:color="auto" w:sz="4" w:space="0"/>
              <w:left w:val="nil"/>
              <w:bottom w:val="nil"/>
              <w:right w:val="nil"/>
            </w:tcBorders>
            <w:shd w:val="clear" w:color="auto" w:fill="auto"/>
            <w:vAlign w:val="center"/>
          </w:tcPr>
          <w:p w14:paraId="2A2FA8B8">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6935万元</w:t>
            </w:r>
          </w:p>
        </w:tc>
        <w:tc>
          <w:tcPr>
            <w:tcW w:w="1759" w:type="dxa"/>
            <w:tcBorders>
              <w:top w:val="single" w:color="auto" w:sz="4" w:space="0"/>
              <w:left w:val="nil"/>
              <w:bottom w:val="nil"/>
              <w:right w:val="nil"/>
            </w:tcBorders>
            <w:shd w:val="clear" w:color="auto" w:fill="auto"/>
            <w:vAlign w:val="center"/>
          </w:tcPr>
          <w:p w14:paraId="4B8D74D9">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75.26%</w:t>
            </w:r>
          </w:p>
        </w:tc>
        <w:tc>
          <w:tcPr>
            <w:tcW w:w="1406" w:type="dxa"/>
            <w:tcBorders>
              <w:top w:val="single" w:color="auto" w:sz="4" w:space="0"/>
              <w:left w:val="nil"/>
              <w:bottom w:val="nil"/>
              <w:right w:val="nil"/>
            </w:tcBorders>
            <w:shd w:val="clear" w:color="auto" w:fill="auto"/>
            <w:vAlign w:val="center"/>
          </w:tcPr>
          <w:p w14:paraId="7DA8E81C">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82.98%</w:t>
            </w:r>
          </w:p>
        </w:tc>
      </w:tr>
      <w:tr w14:paraId="63F34FA6">
        <w:trPr>
          <w:trHeight w:val="0" w:hRule="atLeast"/>
          <w:jc w:val="center"/>
        </w:trPr>
        <w:tc>
          <w:tcPr>
            <w:tcW w:w="3513" w:type="dxa"/>
            <w:tcBorders>
              <w:top w:val="nil"/>
              <w:left w:val="nil"/>
              <w:bottom w:val="nil"/>
              <w:right w:val="nil"/>
            </w:tcBorders>
            <w:shd w:val="clear" w:color="auto" w:fill="auto"/>
            <w:vAlign w:val="center"/>
          </w:tcPr>
          <w:p w14:paraId="38602059">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AI数字化产品</w:t>
            </w:r>
          </w:p>
        </w:tc>
        <w:tc>
          <w:tcPr>
            <w:tcW w:w="1841" w:type="dxa"/>
            <w:tcBorders>
              <w:top w:val="nil"/>
              <w:left w:val="nil"/>
              <w:bottom w:val="nil"/>
              <w:right w:val="nil"/>
            </w:tcBorders>
            <w:shd w:val="clear" w:color="auto" w:fill="auto"/>
            <w:vAlign w:val="center"/>
          </w:tcPr>
          <w:p w14:paraId="5F1D5B8C">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1039万元</w:t>
            </w:r>
          </w:p>
        </w:tc>
        <w:tc>
          <w:tcPr>
            <w:tcW w:w="1759" w:type="dxa"/>
            <w:tcBorders>
              <w:top w:val="nil"/>
              <w:left w:val="nil"/>
              <w:bottom w:val="nil"/>
              <w:right w:val="nil"/>
            </w:tcBorders>
            <w:shd w:val="clear" w:color="auto" w:fill="auto"/>
            <w:vAlign w:val="center"/>
          </w:tcPr>
          <w:p w14:paraId="05C6F2DD">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11.27%</w:t>
            </w:r>
          </w:p>
        </w:tc>
        <w:tc>
          <w:tcPr>
            <w:tcW w:w="1406" w:type="dxa"/>
            <w:tcBorders>
              <w:top w:val="nil"/>
              <w:left w:val="nil"/>
              <w:bottom w:val="nil"/>
              <w:right w:val="nil"/>
            </w:tcBorders>
            <w:shd w:val="clear" w:color="auto" w:fill="auto"/>
            <w:vAlign w:val="center"/>
          </w:tcPr>
          <w:p w14:paraId="37446AC8">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79.89%</w:t>
            </w:r>
          </w:p>
        </w:tc>
      </w:tr>
      <w:tr w14:paraId="08648C8A">
        <w:trPr>
          <w:trHeight w:val="0" w:hRule="atLeast"/>
          <w:jc w:val="center"/>
        </w:trPr>
        <w:tc>
          <w:tcPr>
            <w:tcW w:w="3513" w:type="dxa"/>
            <w:tcBorders>
              <w:top w:val="nil"/>
              <w:left w:val="nil"/>
              <w:bottom w:val="nil"/>
              <w:right w:val="nil"/>
            </w:tcBorders>
            <w:shd w:val="clear" w:color="auto" w:fill="auto"/>
            <w:vAlign w:val="center"/>
          </w:tcPr>
          <w:p w14:paraId="614150C9">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技术开发与服务</w:t>
            </w:r>
          </w:p>
        </w:tc>
        <w:tc>
          <w:tcPr>
            <w:tcW w:w="1841" w:type="dxa"/>
            <w:tcBorders>
              <w:top w:val="nil"/>
              <w:left w:val="nil"/>
              <w:bottom w:val="nil"/>
              <w:right w:val="nil"/>
            </w:tcBorders>
            <w:shd w:val="clear" w:color="auto" w:fill="auto"/>
            <w:vAlign w:val="center"/>
          </w:tcPr>
          <w:p w14:paraId="31813107">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906万元</w:t>
            </w:r>
          </w:p>
        </w:tc>
        <w:tc>
          <w:tcPr>
            <w:tcW w:w="1759" w:type="dxa"/>
            <w:tcBorders>
              <w:top w:val="nil"/>
              <w:left w:val="nil"/>
              <w:bottom w:val="nil"/>
              <w:right w:val="nil"/>
            </w:tcBorders>
            <w:shd w:val="clear" w:color="auto" w:fill="auto"/>
            <w:vAlign w:val="center"/>
          </w:tcPr>
          <w:p w14:paraId="6E1A4B1A">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9.84%</w:t>
            </w:r>
          </w:p>
        </w:tc>
        <w:tc>
          <w:tcPr>
            <w:tcW w:w="1406" w:type="dxa"/>
            <w:tcBorders>
              <w:top w:val="nil"/>
              <w:left w:val="nil"/>
              <w:bottom w:val="nil"/>
              <w:right w:val="nil"/>
            </w:tcBorders>
            <w:shd w:val="clear" w:color="auto" w:fill="auto"/>
            <w:vAlign w:val="center"/>
          </w:tcPr>
          <w:p w14:paraId="6A4C061E">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87.84%</w:t>
            </w:r>
          </w:p>
        </w:tc>
      </w:tr>
      <w:tr w14:paraId="7751BBDB">
        <w:trPr>
          <w:trHeight w:val="0" w:hRule="atLeast"/>
          <w:jc w:val="center"/>
        </w:trPr>
        <w:tc>
          <w:tcPr>
            <w:tcW w:w="3513" w:type="dxa"/>
            <w:tcBorders>
              <w:top w:val="nil"/>
              <w:left w:val="nil"/>
              <w:bottom w:val="single" w:color="auto" w:sz="12" w:space="0"/>
              <w:right w:val="nil"/>
            </w:tcBorders>
            <w:shd w:val="clear" w:color="auto" w:fill="auto"/>
            <w:vAlign w:val="center"/>
          </w:tcPr>
          <w:p w14:paraId="0B11AA1B">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其他产品</w:t>
            </w:r>
          </w:p>
        </w:tc>
        <w:tc>
          <w:tcPr>
            <w:tcW w:w="1841" w:type="dxa"/>
            <w:tcBorders>
              <w:top w:val="nil"/>
              <w:left w:val="nil"/>
              <w:bottom w:val="single" w:color="auto" w:sz="12" w:space="0"/>
              <w:right w:val="nil"/>
            </w:tcBorders>
            <w:shd w:val="clear" w:color="auto" w:fill="auto"/>
            <w:vAlign w:val="center"/>
          </w:tcPr>
          <w:p w14:paraId="7A632F11">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335万元</w:t>
            </w:r>
          </w:p>
        </w:tc>
        <w:tc>
          <w:tcPr>
            <w:tcW w:w="1759" w:type="dxa"/>
            <w:tcBorders>
              <w:top w:val="nil"/>
              <w:left w:val="nil"/>
              <w:bottom w:val="single" w:color="auto" w:sz="12" w:space="0"/>
              <w:right w:val="nil"/>
            </w:tcBorders>
            <w:shd w:val="clear" w:color="auto" w:fill="auto"/>
            <w:vAlign w:val="center"/>
          </w:tcPr>
          <w:p w14:paraId="1A611EB3">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3.64%</w:t>
            </w:r>
          </w:p>
        </w:tc>
        <w:tc>
          <w:tcPr>
            <w:tcW w:w="1406" w:type="dxa"/>
            <w:tcBorders>
              <w:top w:val="nil"/>
              <w:left w:val="nil"/>
              <w:bottom w:val="single" w:color="auto" w:sz="12" w:space="0"/>
              <w:right w:val="nil"/>
            </w:tcBorders>
            <w:shd w:val="clear" w:color="auto" w:fill="auto"/>
            <w:vAlign w:val="center"/>
          </w:tcPr>
          <w:p w14:paraId="7C44F445">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75.50%</w:t>
            </w:r>
          </w:p>
        </w:tc>
      </w:tr>
    </w:tbl>
    <w:p w14:paraId="5E1D1CA0">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数据来源：</w:t>
      </w:r>
      <w:r>
        <w:rPr>
          <w:rFonts w:hint="eastAsia" w:ascii="Times New Roman" w:hAnsi="Times New Roman" w:eastAsia="宋体" w:cs="Times New Roman"/>
          <w:sz w:val="24"/>
          <w:szCs w:val="24"/>
          <w:lang w:val="en-US" w:eastAsia="zh-CN"/>
        </w:rPr>
        <w:t>东方财富网</w:t>
      </w:r>
      <w:r>
        <w:rPr>
          <w:rFonts w:hint="default" w:ascii="Times New Roman" w:hAnsi="Times New Roman" w:eastAsia="宋体" w:cs="Times New Roman"/>
          <w:sz w:val="24"/>
          <w:szCs w:val="24"/>
        </w:rPr>
        <w:t>整理</w:t>
      </w:r>
    </w:p>
    <w:p w14:paraId="4F19C750">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从收入结构来看，传统教育软件仍是公司最主要的收入来源，而AI数字化产品收入占比仍然较低，仅为11%左右。这说明公司虽然已开始布局AI教育产品，但相关业务尚未形成规模收入，对整体收入增长的贡献仍然有限。</w:t>
      </w:r>
    </w:p>
    <w:p w14:paraId="7323E78F">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从时间序列来看，公司主营收入结构也呈现出一定变化。2020—2024年间，“方直金太阳教育软件”始终保持约70%—75%的收入占比，而AI数字化产品收入占比逐步提升，但总体规模仍然较小。这表明公司在推进AI教育产品研发与应用的过程中，收入结构正在逐步向数字化教育产品转型，但新产品仍处于市场培育阶段。</w:t>
      </w:r>
    </w:p>
    <w:p w14:paraId="0C5E4A41">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教育信息化行业的发展特点也在一定程度上解释了这一现象。教育部在《教育信息化2.0行动计划》和</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国家教育数字化战略行动</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中提出推动人工智能与教育深度融合，鼓励数字教育资源和智能教学系统的建设。但相关产品从研发到进入学校采购体系通常需要较长周期，包括产品试点、区域推广以及教育主管部门审批等多个环节。因此，教育数字化产品的商业化进程往往相对缓慢。在这一背景下，方直科技近年来持续增加AI教育产品研发和平台建设投入，企业资产规模保持稳定甚至略有扩张，但相关产品的商业化收入释放速度相对较慢。收入增长未能同步跟上资产规模变化，最终表现为总资产周转率逐年下降。</w:t>
      </w:r>
    </w:p>
    <w:p w14:paraId="547CF0DD">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从资产运营效率角度看，方直科技总资产周转率下降并不完全意味着企业经营效率显著恶化，更可能反映出教育数字化产品研发投入增加而商业化周期较长的行业特征。随着AI教育产品逐步进入规模化应用阶段，企业营业收入增长速度有望提高，从而改善资产周转效率。</w:t>
      </w:r>
    </w:p>
    <w:p w14:paraId="2A9BAE7F">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 佳讯飞鸿</w:t>
      </w:r>
    </w:p>
    <w:p w14:paraId="0B7AB6E1">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佳讯飞鸿2020—2024年的总资产周转率由0.311上升至0.366，整体保持在0.3—0.4之间，波动幅度较小，说明企业资产转化为营业收入的效率整体较为稳定。</w:t>
      </w:r>
    </w:p>
    <w:p w14:paraId="728F9AD4">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从</w:t>
      </w:r>
      <w:r>
        <w:rPr>
          <w:rFonts w:hint="default" w:ascii="Times New Roman" w:hAnsi="Times New Roman" w:eastAsia="宋体" w:cs="Times New Roman"/>
          <w:spacing w:val="10"/>
          <w:kern w:val="0"/>
          <w:szCs w:val="20"/>
          <w:lang w:val="en-US" w:eastAsia="zh-CN"/>
        </w:rPr>
        <w:t>佳讯飞鸿资产规模与营业收入变化表（</w:t>
      </w:r>
      <w:r>
        <w:rPr>
          <w:rFonts w:hint="default" w:ascii="Times New Roman" w:hAnsi="Times New Roman" w:eastAsia="宋体" w:cs="Times New Roman"/>
          <w:sz w:val="24"/>
          <w:szCs w:val="24"/>
        </w:rPr>
        <w:t>表4-1</w:t>
      </w:r>
      <w:r>
        <w:rPr>
          <w:rFonts w:hint="default" w:ascii="Times New Roman" w:hAnsi="Times New Roman" w:eastAsia="宋体" w:cs="Times New Roman"/>
          <w:sz w:val="24"/>
          <w:szCs w:val="24"/>
          <w:lang w:val="en-US" w:eastAsia="zh-CN"/>
        </w:rPr>
        <w:t>6</w:t>
      </w:r>
      <w:r>
        <w:rPr>
          <w:rFonts w:hint="default" w:ascii="Times New Roman" w:hAnsi="Times New Roman" w:eastAsia="宋体" w:cs="Times New Roman"/>
          <w:spacing w:val="10"/>
          <w:kern w:val="0"/>
          <w:szCs w:val="20"/>
          <w:lang w:val="en-US" w:eastAsia="zh-CN"/>
        </w:rPr>
        <w:t>）可见</w:t>
      </w:r>
      <w:r>
        <w:rPr>
          <w:rFonts w:hint="default" w:ascii="Times New Roman" w:hAnsi="Times New Roman" w:eastAsia="宋体" w:cs="Times New Roman"/>
          <w:sz w:val="24"/>
          <w:szCs w:val="24"/>
        </w:rPr>
        <w:t>，公司资产规模在样本期内整体保持稳定，由2020年的30.35亿元小幅增加至2024年的31.44亿元，增长幅度较小；而营业收入则由9.61亿元增长至11.54亿元，整体呈现小幅增长趋势。由于营业收入增长速度略快于资产规模变化，总资产周转率整体保持在较为稳定的区间。</w:t>
      </w:r>
    </w:p>
    <w:p w14:paraId="77A86752">
      <w:pPr>
        <w:widowControl/>
        <w:tabs>
          <w:tab w:val="left" w:pos="377"/>
        </w:tabs>
        <w:autoSpaceDE/>
        <w:autoSpaceDN/>
        <w:snapToGrid/>
        <w:spacing w:before="156" w:beforeLines="50"/>
        <w:jc w:val="center"/>
        <w:rPr>
          <w:rFonts w:hint="default" w:ascii="Times New Roman" w:hAnsi="Times New Roman" w:eastAsia="宋体" w:cs="Times New Roman"/>
          <w:spacing w:val="10"/>
          <w:kern w:val="0"/>
          <w:szCs w:val="20"/>
          <w:lang w:val="en-US" w:eastAsia="zh-CN"/>
        </w:rPr>
      </w:pPr>
      <w:r>
        <w:rPr>
          <w:rFonts w:hint="default" w:ascii="Times New Roman" w:hAnsi="Times New Roman" w:eastAsia="宋体" w:cs="Times New Roman"/>
          <w:spacing w:val="10"/>
          <w:kern w:val="0"/>
          <w:szCs w:val="20"/>
          <w:lang w:val="en-US" w:eastAsia="zh-CN"/>
        </w:rPr>
        <w:t>表4-16 佳讯飞鸿资产规模与营业收入变化表</w:t>
      </w:r>
    </w:p>
    <w:tbl>
      <w:tblPr>
        <w:tblStyle w:val="7"/>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271"/>
        <w:gridCol w:w="3411"/>
        <w:gridCol w:w="3837"/>
      </w:tblGrid>
      <w:tr w14:paraId="429B5C2B">
        <w:trPr>
          <w:trHeight w:val="0" w:hRule="atLeast"/>
          <w:tblHeader/>
          <w:jc w:val="center"/>
        </w:trPr>
        <w:tc>
          <w:tcPr>
            <w:tcW w:w="1271" w:type="dxa"/>
            <w:tcBorders>
              <w:top w:val="single" w:color="auto" w:sz="12" w:space="0"/>
              <w:left w:val="nil"/>
              <w:bottom w:val="single" w:color="auto" w:sz="4" w:space="0"/>
              <w:right w:val="nil"/>
            </w:tcBorders>
            <w:shd w:val="clear" w:color="auto" w:fill="auto"/>
            <w:vAlign w:val="center"/>
          </w:tcPr>
          <w:p w14:paraId="47D4EF82">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年份</w:t>
            </w:r>
          </w:p>
        </w:tc>
        <w:tc>
          <w:tcPr>
            <w:tcW w:w="3411" w:type="dxa"/>
            <w:tcBorders>
              <w:top w:val="single" w:color="auto" w:sz="12" w:space="0"/>
              <w:left w:val="nil"/>
              <w:bottom w:val="single" w:color="auto" w:sz="4" w:space="0"/>
              <w:right w:val="nil"/>
            </w:tcBorders>
            <w:shd w:val="clear" w:color="auto" w:fill="auto"/>
            <w:vAlign w:val="center"/>
          </w:tcPr>
          <w:p w14:paraId="0DFCB403">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资产总计（元）</w:t>
            </w:r>
          </w:p>
        </w:tc>
        <w:tc>
          <w:tcPr>
            <w:tcW w:w="3837" w:type="dxa"/>
            <w:tcBorders>
              <w:top w:val="single" w:color="auto" w:sz="12" w:space="0"/>
              <w:left w:val="nil"/>
              <w:bottom w:val="single" w:color="auto" w:sz="4" w:space="0"/>
              <w:right w:val="nil"/>
            </w:tcBorders>
            <w:shd w:val="clear" w:color="auto" w:fill="auto"/>
            <w:vAlign w:val="center"/>
          </w:tcPr>
          <w:p w14:paraId="6340BA6F">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营业总收入（元）</w:t>
            </w:r>
          </w:p>
        </w:tc>
      </w:tr>
      <w:tr w14:paraId="323A4D9A">
        <w:trPr>
          <w:trHeight w:val="0" w:hRule="atLeast"/>
          <w:jc w:val="center"/>
        </w:trPr>
        <w:tc>
          <w:tcPr>
            <w:tcW w:w="1271" w:type="dxa"/>
            <w:tcBorders>
              <w:top w:val="single" w:color="auto" w:sz="4" w:space="0"/>
              <w:left w:val="nil"/>
              <w:bottom w:val="nil"/>
              <w:right w:val="nil"/>
            </w:tcBorders>
            <w:shd w:val="clear" w:color="auto" w:fill="auto"/>
            <w:vAlign w:val="center"/>
          </w:tcPr>
          <w:p w14:paraId="1AC66260">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2020</w:t>
            </w:r>
          </w:p>
        </w:tc>
        <w:tc>
          <w:tcPr>
            <w:tcW w:w="3411" w:type="dxa"/>
            <w:tcBorders>
              <w:top w:val="single" w:color="auto" w:sz="4" w:space="0"/>
              <w:left w:val="nil"/>
              <w:bottom w:val="nil"/>
              <w:right w:val="nil"/>
            </w:tcBorders>
            <w:shd w:val="clear" w:color="auto" w:fill="auto"/>
            <w:vAlign w:val="center"/>
          </w:tcPr>
          <w:p w14:paraId="29985117">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3,034,679,403</w:t>
            </w:r>
          </w:p>
        </w:tc>
        <w:tc>
          <w:tcPr>
            <w:tcW w:w="3837" w:type="dxa"/>
            <w:tcBorders>
              <w:top w:val="single" w:color="auto" w:sz="4" w:space="0"/>
              <w:left w:val="nil"/>
              <w:bottom w:val="nil"/>
              <w:right w:val="nil"/>
            </w:tcBorders>
            <w:shd w:val="clear" w:color="auto" w:fill="auto"/>
            <w:vAlign w:val="center"/>
          </w:tcPr>
          <w:p w14:paraId="1DDA59E8">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961,493,585</w:t>
            </w:r>
          </w:p>
        </w:tc>
      </w:tr>
      <w:tr w14:paraId="6912D196">
        <w:trPr>
          <w:trHeight w:val="0" w:hRule="atLeast"/>
          <w:jc w:val="center"/>
        </w:trPr>
        <w:tc>
          <w:tcPr>
            <w:tcW w:w="1271" w:type="dxa"/>
            <w:tcBorders>
              <w:top w:val="nil"/>
              <w:left w:val="nil"/>
              <w:bottom w:val="nil"/>
              <w:right w:val="nil"/>
            </w:tcBorders>
            <w:shd w:val="clear" w:color="auto" w:fill="auto"/>
            <w:vAlign w:val="center"/>
          </w:tcPr>
          <w:p w14:paraId="396F0B99">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2021</w:t>
            </w:r>
          </w:p>
        </w:tc>
        <w:tc>
          <w:tcPr>
            <w:tcW w:w="3411" w:type="dxa"/>
            <w:tcBorders>
              <w:top w:val="nil"/>
              <w:left w:val="nil"/>
              <w:bottom w:val="nil"/>
              <w:right w:val="nil"/>
            </w:tcBorders>
            <w:shd w:val="clear" w:color="auto" w:fill="auto"/>
            <w:vAlign w:val="center"/>
          </w:tcPr>
          <w:p w14:paraId="220B2098">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3,031,943,430</w:t>
            </w:r>
          </w:p>
        </w:tc>
        <w:tc>
          <w:tcPr>
            <w:tcW w:w="3837" w:type="dxa"/>
            <w:tcBorders>
              <w:top w:val="nil"/>
              <w:left w:val="nil"/>
              <w:bottom w:val="nil"/>
              <w:right w:val="nil"/>
            </w:tcBorders>
            <w:shd w:val="clear" w:color="auto" w:fill="auto"/>
            <w:vAlign w:val="center"/>
          </w:tcPr>
          <w:p w14:paraId="041927E0">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1,032,630,367</w:t>
            </w:r>
          </w:p>
        </w:tc>
      </w:tr>
      <w:tr w14:paraId="40CB095A">
        <w:trPr>
          <w:trHeight w:val="0" w:hRule="atLeast"/>
          <w:jc w:val="center"/>
        </w:trPr>
        <w:tc>
          <w:tcPr>
            <w:tcW w:w="1271" w:type="dxa"/>
            <w:tcBorders>
              <w:top w:val="nil"/>
              <w:left w:val="nil"/>
              <w:bottom w:val="nil"/>
              <w:right w:val="nil"/>
            </w:tcBorders>
            <w:shd w:val="clear" w:color="auto" w:fill="auto"/>
            <w:vAlign w:val="center"/>
          </w:tcPr>
          <w:p w14:paraId="25DFEDC2">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2022</w:t>
            </w:r>
          </w:p>
        </w:tc>
        <w:tc>
          <w:tcPr>
            <w:tcW w:w="3411" w:type="dxa"/>
            <w:tcBorders>
              <w:top w:val="nil"/>
              <w:left w:val="nil"/>
              <w:bottom w:val="nil"/>
              <w:right w:val="nil"/>
            </w:tcBorders>
            <w:shd w:val="clear" w:color="auto" w:fill="auto"/>
            <w:vAlign w:val="center"/>
          </w:tcPr>
          <w:p w14:paraId="05F94B38">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3,034,792,648</w:t>
            </w:r>
          </w:p>
        </w:tc>
        <w:tc>
          <w:tcPr>
            <w:tcW w:w="3837" w:type="dxa"/>
            <w:tcBorders>
              <w:top w:val="nil"/>
              <w:left w:val="nil"/>
              <w:bottom w:val="nil"/>
              <w:right w:val="nil"/>
            </w:tcBorders>
            <w:shd w:val="clear" w:color="auto" w:fill="auto"/>
            <w:vAlign w:val="center"/>
          </w:tcPr>
          <w:p w14:paraId="1F55FE6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1,144,950,323</w:t>
            </w:r>
          </w:p>
        </w:tc>
      </w:tr>
      <w:tr w14:paraId="002F8971">
        <w:trPr>
          <w:trHeight w:val="0" w:hRule="atLeast"/>
          <w:jc w:val="center"/>
        </w:trPr>
        <w:tc>
          <w:tcPr>
            <w:tcW w:w="1271" w:type="dxa"/>
            <w:tcBorders>
              <w:top w:val="nil"/>
              <w:left w:val="nil"/>
              <w:bottom w:val="nil"/>
              <w:right w:val="nil"/>
            </w:tcBorders>
            <w:shd w:val="clear" w:color="auto" w:fill="auto"/>
            <w:vAlign w:val="center"/>
          </w:tcPr>
          <w:p w14:paraId="1EAA8D53">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2023</w:t>
            </w:r>
          </w:p>
        </w:tc>
        <w:tc>
          <w:tcPr>
            <w:tcW w:w="3411" w:type="dxa"/>
            <w:tcBorders>
              <w:top w:val="nil"/>
              <w:left w:val="nil"/>
              <w:bottom w:val="nil"/>
              <w:right w:val="nil"/>
            </w:tcBorders>
            <w:shd w:val="clear" w:color="auto" w:fill="auto"/>
            <w:vAlign w:val="center"/>
          </w:tcPr>
          <w:p w14:paraId="75EBA4E1">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3,166,828,604</w:t>
            </w:r>
          </w:p>
        </w:tc>
        <w:tc>
          <w:tcPr>
            <w:tcW w:w="3837" w:type="dxa"/>
            <w:tcBorders>
              <w:top w:val="nil"/>
              <w:left w:val="nil"/>
              <w:bottom w:val="nil"/>
              <w:right w:val="nil"/>
            </w:tcBorders>
            <w:shd w:val="clear" w:color="auto" w:fill="auto"/>
            <w:vAlign w:val="center"/>
          </w:tcPr>
          <w:p w14:paraId="41656FB6">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1,123,392,344</w:t>
            </w:r>
          </w:p>
        </w:tc>
      </w:tr>
      <w:tr w14:paraId="40BC2F92">
        <w:trPr>
          <w:trHeight w:val="0" w:hRule="atLeast"/>
          <w:jc w:val="center"/>
        </w:trPr>
        <w:tc>
          <w:tcPr>
            <w:tcW w:w="1271" w:type="dxa"/>
            <w:tcBorders>
              <w:top w:val="nil"/>
              <w:left w:val="nil"/>
              <w:bottom w:val="single" w:color="auto" w:sz="12" w:space="0"/>
              <w:right w:val="nil"/>
            </w:tcBorders>
            <w:shd w:val="clear" w:color="auto" w:fill="auto"/>
            <w:vAlign w:val="center"/>
          </w:tcPr>
          <w:p w14:paraId="46906FAC">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2024</w:t>
            </w:r>
          </w:p>
        </w:tc>
        <w:tc>
          <w:tcPr>
            <w:tcW w:w="3411" w:type="dxa"/>
            <w:tcBorders>
              <w:top w:val="nil"/>
              <w:left w:val="nil"/>
              <w:bottom w:val="single" w:color="auto" w:sz="12" w:space="0"/>
              <w:right w:val="nil"/>
            </w:tcBorders>
            <w:shd w:val="clear" w:color="auto" w:fill="auto"/>
            <w:vAlign w:val="center"/>
          </w:tcPr>
          <w:p w14:paraId="2FDCEE19">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3,143,722,135</w:t>
            </w:r>
          </w:p>
        </w:tc>
        <w:tc>
          <w:tcPr>
            <w:tcW w:w="3837" w:type="dxa"/>
            <w:tcBorders>
              <w:top w:val="nil"/>
              <w:left w:val="nil"/>
              <w:bottom w:val="single" w:color="auto" w:sz="12" w:space="0"/>
              <w:right w:val="nil"/>
            </w:tcBorders>
            <w:shd w:val="clear" w:color="auto" w:fill="auto"/>
            <w:vAlign w:val="center"/>
          </w:tcPr>
          <w:p w14:paraId="2AAA0B32">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1,153,724,402</w:t>
            </w:r>
          </w:p>
        </w:tc>
      </w:tr>
    </w:tbl>
    <w:p w14:paraId="29830DD6">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数据来源：</w:t>
      </w:r>
      <w:r>
        <w:rPr>
          <w:rFonts w:hint="eastAsia" w:ascii="Times New Roman" w:hAnsi="Times New Roman" w:eastAsia="宋体" w:cs="Times New Roman"/>
          <w:sz w:val="24"/>
          <w:szCs w:val="24"/>
          <w:lang w:val="en-US" w:eastAsia="zh-CN"/>
        </w:rPr>
        <w:t>i</w:t>
      </w:r>
      <w:r>
        <w:rPr>
          <w:rFonts w:hint="default" w:ascii="Times New Roman" w:hAnsi="Times New Roman" w:eastAsia="宋体" w:cs="Times New Roman"/>
          <w:sz w:val="24"/>
          <w:szCs w:val="24"/>
          <w:lang w:val="en-US" w:eastAsia="zh-CN"/>
        </w:rPr>
        <w:t>finD</w:t>
      </w:r>
      <w:r>
        <w:rPr>
          <w:rFonts w:hint="default" w:ascii="Times New Roman" w:hAnsi="Times New Roman" w:eastAsia="宋体" w:cs="Times New Roman"/>
          <w:sz w:val="24"/>
          <w:szCs w:val="24"/>
        </w:rPr>
        <w:t>数据库整理</w:t>
      </w:r>
    </w:p>
    <w:p w14:paraId="50A68E56">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进一步从主营业务结构来看，公司收入主要集中在交通行业及相关智能化应用领域。根据公司年报披露，交通行业收入长期占公司主营收入的约60%，是企业最主要的业务来源。2024年公司主营业务结构如表4-1</w:t>
      </w:r>
      <w:r>
        <w:rPr>
          <w:rFonts w:hint="default" w:ascii="Times New Roman" w:hAnsi="Times New Roman" w:eastAsia="宋体" w:cs="Times New Roman"/>
          <w:sz w:val="24"/>
          <w:szCs w:val="24"/>
          <w:lang w:val="en-US" w:eastAsia="zh-CN"/>
        </w:rPr>
        <w:t>7</w:t>
      </w:r>
      <w:r>
        <w:rPr>
          <w:rFonts w:hint="default" w:ascii="Times New Roman" w:hAnsi="Times New Roman" w:eastAsia="宋体" w:cs="Times New Roman"/>
          <w:sz w:val="24"/>
          <w:szCs w:val="24"/>
        </w:rPr>
        <w:t>所示。</w:t>
      </w:r>
    </w:p>
    <w:p w14:paraId="55F48E11">
      <w:pPr>
        <w:widowControl/>
        <w:tabs>
          <w:tab w:val="left" w:pos="377"/>
        </w:tabs>
        <w:autoSpaceDE/>
        <w:autoSpaceDN/>
        <w:snapToGrid/>
        <w:spacing w:before="156" w:beforeLines="50"/>
        <w:jc w:val="center"/>
        <w:rPr>
          <w:rFonts w:hint="default" w:ascii="Times New Roman" w:hAnsi="Times New Roman" w:eastAsia="宋体" w:cs="Times New Roman"/>
          <w:spacing w:val="10"/>
          <w:kern w:val="0"/>
          <w:szCs w:val="20"/>
          <w:lang w:val="en-US" w:eastAsia="zh-CN"/>
        </w:rPr>
      </w:pPr>
      <w:r>
        <w:rPr>
          <w:rFonts w:hint="default" w:ascii="Times New Roman" w:hAnsi="Times New Roman" w:eastAsia="宋体" w:cs="Times New Roman"/>
          <w:spacing w:val="10"/>
          <w:kern w:val="0"/>
          <w:szCs w:val="20"/>
          <w:lang w:val="en-US" w:eastAsia="zh-CN"/>
        </w:rPr>
        <w:t>表4-17 佳讯飞鸿主营业务结构表</w:t>
      </w:r>
    </w:p>
    <w:tbl>
      <w:tblPr>
        <w:tblStyle w:val="7"/>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3243"/>
        <w:gridCol w:w="2059"/>
        <w:gridCol w:w="1791"/>
        <w:gridCol w:w="1426"/>
      </w:tblGrid>
      <w:tr w14:paraId="6A5EBD53">
        <w:trPr>
          <w:trHeight w:val="0" w:hRule="atLeast"/>
          <w:tblHeader/>
          <w:jc w:val="center"/>
        </w:trPr>
        <w:tc>
          <w:tcPr>
            <w:tcW w:w="3243" w:type="dxa"/>
            <w:tcBorders>
              <w:top w:val="single" w:color="000000" w:sz="12" w:space="0"/>
              <w:left w:val="nil"/>
              <w:bottom w:val="single" w:color="000000" w:sz="8" w:space="0"/>
              <w:right w:val="nil"/>
            </w:tcBorders>
            <w:shd w:val="clear" w:color="auto" w:fill="auto"/>
            <w:vAlign w:val="center"/>
          </w:tcPr>
          <w:p w14:paraId="359262EE">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4"/>
                <w:szCs w:val="24"/>
                <w:u w:val="none"/>
              </w:rPr>
            </w:pPr>
            <w:r>
              <w:rPr>
                <w:rFonts w:hint="default" w:ascii="Times New Roman" w:hAnsi="Times New Roman" w:eastAsia="宋体" w:cs="Times New Roman"/>
                <w:b/>
                <w:bCs/>
                <w:i w:val="0"/>
                <w:iCs w:val="0"/>
                <w:color w:val="000000"/>
                <w:kern w:val="0"/>
                <w:sz w:val="24"/>
                <w:szCs w:val="24"/>
                <w:u w:val="none"/>
                <w:lang w:val="en-US" w:eastAsia="zh-CN" w:bidi="ar"/>
              </w:rPr>
              <w:t>产品类型</w:t>
            </w:r>
          </w:p>
        </w:tc>
        <w:tc>
          <w:tcPr>
            <w:tcW w:w="2059" w:type="dxa"/>
            <w:tcBorders>
              <w:top w:val="single" w:color="000000" w:sz="12" w:space="0"/>
              <w:left w:val="nil"/>
              <w:bottom w:val="single" w:color="000000" w:sz="8" w:space="0"/>
              <w:right w:val="nil"/>
            </w:tcBorders>
            <w:shd w:val="clear" w:color="auto" w:fill="auto"/>
            <w:vAlign w:val="center"/>
          </w:tcPr>
          <w:p w14:paraId="034B8306">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4"/>
                <w:szCs w:val="24"/>
                <w:u w:val="none"/>
              </w:rPr>
            </w:pPr>
            <w:r>
              <w:rPr>
                <w:rFonts w:hint="default" w:ascii="Times New Roman" w:hAnsi="Times New Roman" w:eastAsia="宋体" w:cs="Times New Roman"/>
                <w:b/>
                <w:bCs/>
                <w:i w:val="0"/>
                <w:iCs w:val="0"/>
                <w:color w:val="000000"/>
                <w:kern w:val="0"/>
                <w:sz w:val="24"/>
                <w:szCs w:val="24"/>
                <w:u w:val="none"/>
                <w:lang w:val="en-US" w:eastAsia="zh-CN" w:bidi="ar"/>
              </w:rPr>
              <w:t>主营收入</w:t>
            </w:r>
          </w:p>
        </w:tc>
        <w:tc>
          <w:tcPr>
            <w:tcW w:w="1791" w:type="dxa"/>
            <w:tcBorders>
              <w:top w:val="single" w:color="000000" w:sz="12" w:space="0"/>
              <w:left w:val="nil"/>
              <w:bottom w:val="single" w:color="000000" w:sz="8" w:space="0"/>
              <w:right w:val="nil"/>
            </w:tcBorders>
            <w:shd w:val="clear" w:color="auto" w:fill="auto"/>
            <w:vAlign w:val="center"/>
          </w:tcPr>
          <w:p w14:paraId="33453446">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4"/>
                <w:szCs w:val="24"/>
                <w:u w:val="none"/>
              </w:rPr>
            </w:pPr>
            <w:r>
              <w:rPr>
                <w:rFonts w:hint="default" w:ascii="Times New Roman" w:hAnsi="Times New Roman" w:eastAsia="宋体" w:cs="Times New Roman"/>
                <w:b/>
                <w:bCs/>
                <w:i w:val="0"/>
                <w:iCs w:val="0"/>
                <w:color w:val="000000"/>
                <w:kern w:val="0"/>
                <w:sz w:val="24"/>
                <w:szCs w:val="24"/>
                <w:u w:val="none"/>
                <w:lang w:val="en-US" w:eastAsia="zh-CN" w:bidi="ar"/>
              </w:rPr>
              <w:t>收入占比</w:t>
            </w:r>
          </w:p>
        </w:tc>
        <w:tc>
          <w:tcPr>
            <w:tcW w:w="1426" w:type="dxa"/>
            <w:tcBorders>
              <w:top w:val="single" w:color="000000" w:sz="12" w:space="0"/>
              <w:left w:val="nil"/>
              <w:bottom w:val="single" w:color="000000" w:sz="8" w:space="0"/>
              <w:right w:val="nil"/>
            </w:tcBorders>
            <w:shd w:val="clear" w:color="auto" w:fill="auto"/>
            <w:vAlign w:val="center"/>
          </w:tcPr>
          <w:p w14:paraId="252BA554">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4"/>
                <w:szCs w:val="24"/>
                <w:u w:val="none"/>
              </w:rPr>
            </w:pPr>
            <w:r>
              <w:rPr>
                <w:rFonts w:hint="default" w:ascii="Times New Roman" w:hAnsi="Times New Roman" w:eastAsia="宋体" w:cs="Times New Roman"/>
                <w:b/>
                <w:bCs/>
                <w:i w:val="0"/>
                <w:iCs w:val="0"/>
                <w:color w:val="000000"/>
                <w:kern w:val="0"/>
                <w:sz w:val="24"/>
                <w:szCs w:val="24"/>
                <w:u w:val="none"/>
                <w:lang w:val="en-US" w:eastAsia="zh-CN" w:bidi="ar"/>
              </w:rPr>
              <w:t>毛利率</w:t>
            </w:r>
          </w:p>
        </w:tc>
      </w:tr>
      <w:tr w14:paraId="52D5C5A5">
        <w:trPr>
          <w:trHeight w:val="0" w:hRule="atLeast"/>
          <w:jc w:val="center"/>
        </w:trPr>
        <w:tc>
          <w:tcPr>
            <w:tcW w:w="3243" w:type="dxa"/>
            <w:tcBorders>
              <w:top w:val="nil"/>
              <w:left w:val="nil"/>
              <w:bottom w:val="nil"/>
              <w:right w:val="nil"/>
            </w:tcBorders>
            <w:shd w:val="clear" w:color="auto" w:fill="auto"/>
            <w:vAlign w:val="center"/>
          </w:tcPr>
          <w:p w14:paraId="0FDACCF8">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指挥调度类</w:t>
            </w:r>
          </w:p>
        </w:tc>
        <w:tc>
          <w:tcPr>
            <w:tcW w:w="2059" w:type="dxa"/>
            <w:tcBorders>
              <w:top w:val="nil"/>
              <w:left w:val="nil"/>
              <w:bottom w:val="nil"/>
              <w:right w:val="nil"/>
            </w:tcBorders>
            <w:shd w:val="clear" w:color="auto" w:fill="auto"/>
            <w:vAlign w:val="center"/>
          </w:tcPr>
          <w:p w14:paraId="4E6DB9C0">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5.413亿元</w:t>
            </w:r>
          </w:p>
        </w:tc>
        <w:tc>
          <w:tcPr>
            <w:tcW w:w="1791" w:type="dxa"/>
            <w:tcBorders>
              <w:top w:val="nil"/>
              <w:left w:val="nil"/>
              <w:bottom w:val="nil"/>
              <w:right w:val="nil"/>
            </w:tcBorders>
            <w:shd w:val="clear" w:color="auto" w:fill="auto"/>
            <w:vAlign w:val="center"/>
          </w:tcPr>
          <w:p w14:paraId="62F3267D">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46.92%</w:t>
            </w:r>
          </w:p>
        </w:tc>
        <w:tc>
          <w:tcPr>
            <w:tcW w:w="1426" w:type="dxa"/>
            <w:tcBorders>
              <w:top w:val="nil"/>
              <w:left w:val="nil"/>
              <w:bottom w:val="nil"/>
              <w:right w:val="nil"/>
            </w:tcBorders>
            <w:shd w:val="clear" w:color="auto" w:fill="auto"/>
            <w:vAlign w:val="center"/>
          </w:tcPr>
          <w:p w14:paraId="20BF0D9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50.51%</w:t>
            </w:r>
          </w:p>
        </w:tc>
      </w:tr>
      <w:tr w14:paraId="4415D57E">
        <w:trPr>
          <w:trHeight w:val="0" w:hRule="atLeast"/>
          <w:jc w:val="center"/>
        </w:trPr>
        <w:tc>
          <w:tcPr>
            <w:tcW w:w="3243" w:type="dxa"/>
            <w:tcBorders>
              <w:top w:val="nil"/>
              <w:left w:val="nil"/>
              <w:bottom w:val="nil"/>
              <w:right w:val="nil"/>
            </w:tcBorders>
            <w:shd w:val="clear" w:color="auto" w:fill="auto"/>
            <w:vAlign w:val="center"/>
          </w:tcPr>
          <w:p w14:paraId="7627907A">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智能应用类</w:t>
            </w:r>
          </w:p>
        </w:tc>
        <w:tc>
          <w:tcPr>
            <w:tcW w:w="2059" w:type="dxa"/>
            <w:tcBorders>
              <w:top w:val="nil"/>
              <w:left w:val="nil"/>
              <w:bottom w:val="nil"/>
              <w:right w:val="nil"/>
            </w:tcBorders>
            <w:shd w:val="clear" w:color="auto" w:fill="auto"/>
            <w:vAlign w:val="center"/>
          </w:tcPr>
          <w:p w14:paraId="09910E9E">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3.743亿元</w:t>
            </w:r>
          </w:p>
        </w:tc>
        <w:tc>
          <w:tcPr>
            <w:tcW w:w="1791" w:type="dxa"/>
            <w:tcBorders>
              <w:top w:val="nil"/>
              <w:left w:val="nil"/>
              <w:bottom w:val="nil"/>
              <w:right w:val="nil"/>
            </w:tcBorders>
            <w:shd w:val="clear" w:color="auto" w:fill="auto"/>
            <w:vAlign w:val="center"/>
          </w:tcPr>
          <w:p w14:paraId="526A6DF8">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32.44%</w:t>
            </w:r>
          </w:p>
        </w:tc>
        <w:tc>
          <w:tcPr>
            <w:tcW w:w="1426" w:type="dxa"/>
            <w:tcBorders>
              <w:top w:val="nil"/>
              <w:left w:val="nil"/>
              <w:bottom w:val="nil"/>
              <w:right w:val="nil"/>
            </w:tcBorders>
            <w:shd w:val="clear" w:color="auto" w:fill="auto"/>
            <w:vAlign w:val="center"/>
          </w:tcPr>
          <w:p w14:paraId="4D7F296D">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21.87%</w:t>
            </w:r>
          </w:p>
        </w:tc>
      </w:tr>
      <w:tr w14:paraId="6EA3351E">
        <w:trPr>
          <w:trHeight w:val="0" w:hRule="atLeast"/>
          <w:jc w:val="center"/>
        </w:trPr>
        <w:tc>
          <w:tcPr>
            <w:tcW w:w="3243" w:type="dxa"/>
            <w:tcBorders>
              <w:top w:val="nil"/>
              <w:left w:val="nil"/>
              <w:bottom w:val="nil"/>
              <w:right w:val="nil"/>
            </w:tcBorders>
            <w:shd w:val="clear" w:color="auto" w:fill="auto"/>
            <w:vAlign w:val="center"/>
          </w:tcPr>
          <w:p w14:paraId="070A5DC7">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行业物联网应用类</w:t>
            </w:r>
          </w:p>
        </w:tc>
        <w:tc>
          <w:tcPr>
            <w:tcW w:w="2059" w:type="dxa"/>
            <w:tcBorders>
              <w:top w:val="nil"/>
              <w:left w:val="nil"/>
              <w:bottom w:val="nil"/>
              <w:right w:val="nil"/>
            </w:tcBorders>
            <w:shd w:val="clear" w:color="auto" w:fill="auto"/>
            <w:vAlign w:val="center"/>
          </w:tcPr>
          <w:p w14:paraId="54E2C3C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1.675亿元</w:t>
            </w:r>
          </w:p>
        </w:tc>
        <w:tc>
          <w:tcPr>
            <w:tcW w:w="1791" w:type="dxa"/>
            <w:tcBorders>
              <w:top w:val="nil"/>
              <w:left w:val="nil"/>
              <w:bottom w:val="nil"/>
              <w:right w:val="nil"/>
            </w:tcBorders>
            <w:shd w:val="clear" w:color="auto" w:fill="auto"/>
            <w:vAlign w:val="center"/>
          </w:tcPr>
          <w:p w14:paraId="04F06EC9">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14.52%</w:t>
            </w:r>
          </w:p>
        </w:tc>
        <w:tc>
          <w:tcPr>
            <w:tcW w:w="1426" w:type="dxa"/>
            <w:tcBorders>
              <w:top w:val="nil"/>
              <w:left w:val="nil"/>
              <w:bottom w:val="nil"/>
              <w:right w:val="nil"/>
            </w:tcBorders>
            <w:shd w:val="clear" w:color="auto" w:fill="auto"/>
            <w:vAlign w:val="center"/>
          </w:tcPr>
          <w:p w14:paraId="03138812">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53.25%</w:t>
            </w:r>
          </w:p>
        </w:tc>
      </w:tr>
      <w:tr w14:paraId="3ADDFE34">
        <w:trPr>
          <w:trHeight w:val="0" w:hRule="atLeast"/>
          <w:jc w:val="center"/>
        </w:trPr>
        <w:tc>
          <w:tcPr>
            <w:tcW w:w="3243" w:type="dxa"/>
            <w:tcBorders>
              <w:top w:val="nil"/>
              <w:left w:val="nil"/>
              <w:bottom w:val="single" w:color="000000" w:sz="12" w:space="0"/>
              <w:right w:val="nil"/>
            </w:tcBorders>
            <w:shd w:val="clear" w:color="auto" w:fill="auto"/>
            <w:vAlign w:val="center"/>
          </w:tcPr>
          <w:p w14:paraId="3248D4A0">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维保服务类</w:t>
            </w:r>
          </w:p>
        </w:tc>
        <w:tc>
          <w:tcPr>
            <w:tcW w:w="2059" w:type="dxa"/>
            <w:tcBorders>
              <w:top w:val="nil"/>
              <w:left w:val="nil"/>
              <w:bottom w:val="single" w:color="000000" w:sz="12" w:space="0"/>
              <w:right w:val="nil"/>
            </w:tcBorders>
            <w:shd w:val="clear" w:color="auto" w:fill="auto"/>
            <w:vAlign w:val="center"/>
          </w:tcPr>
          <w:p w14:paraId="1E14B0FB">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7060万元</w:t>
            </w:r>
          </w:p>
        </w:tc>
        <w:tc>
          <w:tcPr>
            <w:tcW w:w="1791" w:type="dxa"/>
            <w:tcBorders>
              <w:top w:val="nil"/>
              <w:left w:val="nil"/>
              <w:bottom w:val="single" w:color="000000" w:sz="12" w:space="0"/>
              <w:right w:val="nil"/>
            </w:tcBorders>
            <w:shd w:val="clear" w:color="auto" w:fill="auto"/>
            <w:vAlign w:val="center"/>
          </w:tcPr>
          <w:p w14:paraId="28577F0B">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6.12%</w:t>
            </w:r>
          </w:p>
        </w:tc>
        <w:tc>
          <w:tcPr>
            <w:tcW w:w="1426" w:type="dxa"/>
            <w:tcBorders>
              <w:top w:val="nil"/>
              <w:left w:val="nil"/>
              <w:bottom w:val="single" w:color="000000" w:sz="12" w:space="0"/>
              <w:right w:val="nil"/>
            </w:tcBorders>
            <w:shd w:val="clear" w:color="auto" w:fill="auto"/>
            <w:vAlign w:val="center"/>
          </w:tcPr>
          <w:p w14:paraId="13E6DF5B">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71.69%</w:t>
            </w:r>
          </w:p>
        </w:tc>
      </w:tr>
    </w:tbl>
    <w:p w14:paraId="176BDB4E">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数据来源：</w:t>
      </w:r>
      <w:r>
        <w:rPr>
          <w:rFonts w:hint="eastAsia" w:ascii="Times New Roman" w:hAnsi="Times New Roman" w:eastAsia="宋体" w:cs="Times New Roman"/>
          <w:sz w:val="24"/>
          <w:szCs w:val="24"/>
          <w:lang w:val="en-US" w:eastAsia="zh-CN"/>
        </w:rPr>
        <w:t>东方财富网</w:t>
      </w:r>
      <w:r>
        <w:rPr>
          <w:rFonts w:hint="default" w:ascii="Times New Roman" w:hAnsi="Times New Roman" w:eastAsia="宋体" w:cs="Times New Roman"/>
          <w:sz w:val="24"/>
          <w:szCs w:val="24"/>
        </w:rPr>
        <w:t>整理</w:t>
      </w:r>
    </w:p>
    <w:p w14:paraId="7C4DD398">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从收入结构来看，公司核心收入主要来自指挥调度类和智能应用类产品，两类业务合计占主营收入约79%。其中，指挥调度类产品毛利率约为50%，是公司最主要的盈利来源；智能应用类产品收入占比较高，但毛利率相对较低，对企业整体利润贡献相对有限。与此同时，维保服务类业务虽然收入规模较小，但毛利率较高，为企业提供了一定的稳定利润来源。</w:t>
      </w:r>
      <w:r>
        <w:rPr>
          <w:rFonts w:hint="default" w:ascii="Times New Roman" w:hAnsi="Times New Roman" w:eastAsia="宋体" w:cs="Times New Roman"/>
          <w:sz w:val="24"/>
          <w:szCs w:val="24"/>
          <w:lang w:val="en-US" w:eastAsia="zh-CN"/>
        </w:rPr>
        <w:t>同时，</w:t>
      </w:r>
      <w:r>
        <w:rPr>
          <w:rFonts w:hint="default" w:ascii="Times New Roman" w:hAnsi="Times New Roman" w:eastAsia="宋体" w:cs="Times New Roman"/>
          <w:sz w:val="24"/>
          <w:szCs w:val="24"/>
        </w:rPr>
        <w:t>公司业务结构整体保持稳定。2020—2024年期间，交通行业收入占比长期维持在约60%左右，指挥调度类产品收入占比约为45%—55%。这说明公司在轨道交通和行业通信领域形成了较为稳定的市场需求基础，业务规模和收入结构变化不大。</w:t>
      </w:r>
    </w:p>
    <w:p w14:paraId="3CBF120D">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近年来，随着人工智能技术在交通行业数字化建设中的应用不断增加，智能调度系统、智能通信系统以及行业物联网应用逐渐成为交通信息化建设的重要组成部分。《交通强国建设纲要》提出推动交通领域数字化和智能化发展，推动智能调度和智慧交通系统建设。在这一政策背景下，轨道交通和交通信息化领域对智能调度系统和行业通信系统的需求持续存在，也为相关企业提供了较为稳定的市场空间。</w:t>
      </w:r>
    </w:p>
    <w:p w14:paraId="0674B2F5">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因此，从资产运营效率角度看，佳讯飞鸿总资产周转率整体保持稳定，一方面源于公司资产规模变化较小，另一方面也与交通行业信息化需求较为稳定有关。企业收入增长与资产规模变化基本同步，使得总资产周转率在样本期内维持在相对稳定的区间。</w:t>
      </w:r>
    </w:p>
    <w:p w14:paraId="7CCC032E">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3. 天地在线</w:t>
      </w:r>
    </w:p>
    <w:p w14:paraId="103CDBA6">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天地在线2020—2024年的总资产周转率由2.681下降至1.062，整体呈明显下降趋势，说明企业资产转化为营业收入的效率在样本期内持续降低。</w:t>
      </w:r>
    </w:p>
    <w:p w14:paraId="6CFBF114">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lang w:val="en-US" w:eastAsia="zh-CN"/>
        </w:rPr>
        <w:t>如</w:t>
      </w:r>
      <w:r>
        <w:rPr>
          <w:rFonts w:hint="default" w:ascii="Times New Roman" w:hAnsi="Times New Roman" w:eastAsia="宋体" w:cs="Times New Roman"/>
          <w:sz w:val="24"/>
          <w:szCs w:val="24"/>
        </w:rPr>
        <w:t>表4-1</w:t>
      </w:r>
      <w:r>
        <w:rPr>
          <w:rFonts w:hint="default" w:ascii="Times New Roman" w:hAnsi="Times New Roman" w:eastAsia="宋体" w:cs="Times New Roman"/>
          <w:sz w:val="24"/>
          <w:szCs w:val="24"/>
          <w:lang w:val="en-US" w:eastAsia="zh-CN"/>
        </w:rPr>
        <w:t>8所示</w:t>
      </w:r>
      <w:r>
        <w:rPr>
          <w:rFonts w:hint="default" w:ascii="Times New Roman" w:hAnsi="Times New Roman" w:eastAsia="宋体" w:cs="Times New Roman"/>
          <w:sz w:val="24"/>
          <w:szCs w:val="24"/>
        </w:rPr>
        <w:t>，公司资产规模在样本期内整体呈下降趋势，由2020年的16.33亿元下降至2024年的12.25亿元，而营业收入下降幅度更为明显，由2021年的40.61亿元下降至2024年的13.38亿元。由于营业收入下降速度远快于资产规模变化，企业资产利用效率明显降低，从而导致总资产周转率快速下降。</w:t>
      </w:r>
    </w:p>
    <w:p w14:paraId="26AE565A">
      <w:pPr>
        <w:widowControl/>
        <w:tabs>
          <w:tab w:val="left" w:pos="377"/>
        </w:tabs>
        <w:autoSpaceDE/>
        <w:autoSpaceDN/>
        <w:snapToGrid/>
        <w:spacing w:before="156" w:beforeLines="50"/>
        <w:jc w:val="center"/>
        <w:rPr>
          <w:rFonts w:hint="default" w:ascii="Times New Roman" w:hAnsi="Times New Roman" w:eastAsia="宋体" w:cs="Times New Roman"/>
          <w:spacing w:val="10"/>
          <w:kern w:val="0"/>
          <w:szCs w:val="20"/>
          <w:lang w:val="en-US" w:eastAsia="zh-CN"/>
        </w:rPr>
      </w:pPr>
      <w:r>
        <w:rPr>
          <w:rFonts w:hint="default" w:ascii="Times New Roman" w:hAnsi="Times New Roman" w:eastAsia="宋体" w:cs="Times New Roman"/>
          <w:spacing w:val="10"/>
          <w:kern w:val="0"/>
          <w:szCs w:val="20"/>
          <w:lang w:val="en-US" w:eastAsia="zh-CN"/>
        </w:rPr>
        <w:t>表4-18 天地在线资产规模与营业收入变化表</w:t>
      </w:r>
    </w:p>
    <w:tbl>
      <w:tblPr>
        <w:tblStyle w:val="7"/>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271"/>
        <w:gridCol w:w="3411"/>
        <w:gridCol w:w="3837"/>
      </w:tblGrid>
      <w:tr w14:paraId="6B4B514D">
        <w:trPr>
          <w:trHeight w:val="0" w:hRule="atLeast"/>
          <w:tblHeader/>
          <w:jc w:val="center"/>
        </w:trPr>
        <w:tc>
          <w:tcPr>
            <w:tcW w:w="1271" w:type="dxa"/>
            <w:tcBorders>
              <w:top w:val="single" w:color="auto" w:sz="12" w:space="0"/>
              <w:left w:val="nil"/>
              <w:bottom w:val="single" w:color="auto" w:sz="4" w:space="0"/>
              <w:right w:val="nil"/>
            </w:tcBorders>
            <w:shd w:val="clear" w:color="auto" w:fill="auto"/>
            <w:vAlign w:val="center"/>
          </w:tcPr>
          <w:p w14:paraId="177CF4B4">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年份</w:t>
            </w:r>
          </w:p>
        </w:tc>
        <w:tc>
          <w:tcPr>
            <w:tcW w:w="3411" w:type="dxa"/>
            <w:tcBorders>
              <w:top w:val="single" w:color="auto" w:sz="12" w:space="0"/>
              <w:left w:val="nil"/>
              <w:bottom w:val="single" w:color="auto" w:sz="4" w:space="0"/>
              <w:right w:val="nil"/>
            </w:tcBorders>
            <w:shd w:val="clear" w:color="auto" w:fill="auto"/>
            <w:vAlign w:val="center"/>
          </w:tcPr>
          <w:p w14:paraId="617103D6">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资产总计（元）</w:t>
            </w:r>
          </w:p>
        </w:tc>
        <w:tc>
          <w:tcPr>
            <w:tcW w:w="3837" w:type="dxa"/>
            <w:tcBorders>
              <w:top w:val="single" w:color="auto" w:sz="12" w:space="0"/>
              <w:left w:val="nil"/>
              <w:bottom w:val="single" w:color="auto" w:sz="4" w:space="0"/>
              <w:right w:val="nil"/>
            </w:tcBorders>
            <w:shd w:val="clear" w:color="auto" w:fill="auto"/>
            <w:vAlign w:val="center"/>
          </w:tcPr>
          <w:p w14:paraId="64F4BBD7">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营业总收入（元）</w:t>
            </w:r>
          </w:p>
        </w:tc>
      </w:tr>
      <w:tr w14:paraId="32A64D96">
        <w:trPr>
          <w:trHeight w:val="0" w:hRule="atLeast"/>
          <w:jc w:val="center"/>
        </w:trPr>
        <w:tc>
          <w:tcPr>
            <w:tcW w:w="1271" w:type="dxa"/>
            <w:tcBorders>
              <w:top w:val="single" w:color="auto" w:sz="4" w:space="0"/>
              <w:left w:val="nil"/>
              <w:bottom w:val="nil"/>
              <w:right w:val="nil"/>
            </w:tcBorders>
            <w:shd w:val="clear" w:color="auto" w:fill="auto"/>
            <w:vAlign w:val="center"/>
          </w:tcPr>
          <w:p w14:paraId="12BA1266">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2020</w:t>
            </w:r>
          </w:p>
        </w:tc>
        <w:tc>
          <w:tcPr>
            <w:tcW w:w="3411" w:type="dxa"/>
            <w:tcBorders>
              <w:top w:val="single" w:color="auto" w:sz="4" w:space="0"/>
              <w:left w:val="nil"/>
              <w:bottom w:val="nil"/>
              <w:right w:val="nil"/>
            </w:tcBorders>
            <w:shd w:val="clear" w:color="auto" w:fill="auto"/>
            <w:vAlign w:val="center"/>
          </w:tcPr>
          <w:p w14:paraId="40288EE1">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1,633,328,105</w:t>
            </w:r>
          </w:p>
        </w:tc>
        <w:tc>
          <w:tcPr>
            <w:tcW w:w="3837" w:type="dxa"/>
            <w:tcBorders>
              <w:top w:val="single" w:color="auto" w:sz="4" w:space="0"/>
              <w:left w:val="nil"/>
              <w:bottom w:val="nil"/>
              <w:right w:val="nil"/>
            </w:tcBorders>
            <w:shd w:val="clear" w:color="auto" w:fill="auto"/>
            <w:vAlign w:val="center"/>
          </w:tcPr>
          <w:p w14:paraId="396A1A26">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3,270,120,932</w:t>
            </w:r>
          </w:p>
        </w:tc>
      </w:tr>
      <w:tr w14:paraId="499BA9E0">
        <w:trPr>
          <w:trHeight w:val="0" w:hRule="atLeast"/>
          <w:jc w:val="center"/>
        </w:trPr>
        <w:tc>
          <w:tcPr>
            <w:tcW w:w="1271" w:type="dxa"/>
            <w:tcBorders>
              <w:top w:val="nil"/>
              <w:left w:val="nil"/>
              <w:bottom w:val="nil"/>
              <w:right w:val="nil"/>
            </w:tcBorders>
            <w:shd w:val="clear" w:color="auto" w:fill="auto"/>
            <w:vAlign w:val="center"/>
          </w:tcPr>
          <w:p w14:paraId="1388EDAC">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2021</w:t>
            </w:r>
          </w:p>
        </w:tc>
        <w:tc>
          <w:tcPr>
            <w:tcW w:w="3411" w:type="dxa"/>
            <w:tcBorders>
              <w:top w:val="nil"/>
              <w:left w:val="nil"/>
              <w:bottom w:val="nil"/>
              <w:right w:val="nil"/>
            </w:tcBorders>
            <w:shd w:val="clear" w:color="auto" w:fill="auto"/>
            <w:vAlign w:val="center"/>
          </w:tcPr>
          <w:p w14:paraId="7BFA5B5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1,662,828,820</w:t>
            </w:r>
          </w:p>
        </w:tc>
        <w:tc>
          <w:tcPr>
            <w:tcW w:w="3837" w:type="dxa"/>
            <w:tcBorders>
              <w:top w:val="nil"/>
              <w:left w:val="nil"/>
              <w:bottom w:val="nil"/>
              <w:right w:val="nil"/>
            </w:tcBorders>
            <w:shd w:val="clear" w:color="auto" w:fill="auto"/>
            <w:vAlign w:val="center"/>
          </w:tcPr>
          <w:p w14:paraId="081E4A22">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4,060,841,650</w:t>
            </w:r>
          </w:p>
        </w:tc>
      </w:tr>
      <w:tr w14:paraId="55F8860C">
        <w:trPr>
          <w:trHeight w:val="0" w:hRule="atLeast"/>
          <w:jc w:val="center"/>
        </w:trPr>
        <w:tc>
          <w:tcPr>
            <w:tcW w:w="1271" w:type="dxa"/>
            <w:tcBorders>
              <w:top w:val="nil"/>
              <w:left w:val="nil"/>
              <w:bottom w:val="nil"/>
              <w:right w:val="nil"/>
            </w:tcBorders>
            <w:shd w:val="clear" w:color="auto" w:fill="auto"/>
            <w:vAlign w:val="center"/>
          </w:tcPr>
          <w:p w14:paraId="1AB83E77">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2022</w:t>
            </w:r>
          </w:p>
        </w:tc>
        <w:tc>
          <w:tcPr>
            <w:tcW w:w="3411" w:type="dxa"/>
            <w:tcBorders>
              <w:top w:val="nil"/>
              <w:left w:val="nil"/>
              <w:bottom w:val="nil"/>
              <w:right w:val="nil"/>
            </w:tcBorders>
            <w:shd w:val="clear" w:color="auto" w:fill="auto"/>
            <w:vAlign w:val="center"/>
          </w:tcPr>
          <w:p w14:paraId="507CDB8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1,429,550,289</w:t>
            </w:r>
          </w:p>
        </w:tc>
        <w:tc>
          <w:tcPr>
            <w:tcW w:w="3837" w:type="dxa"/>
            <w:tcBorders>
              <w:top w:val="nil"/>
              <w:left w:val="nil"/>
              <w:bottom w:val="nil"/>
              <w:right w:val="nil"/>
            </w:tcBorders>
            <w:shd w:val="clear" w:color="auto" w:fill="auto"/>
            <w:vAlign w:val="center"/>
          </w:tcPr>
          <w:p w14:paraId="2225007F">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3,044,650,273</w:t>
            </w:r>
          </w:p>
        </w:tc>
      </w:tr>
      <w:tr w14:paraId="50CB9982">
        <w:trPr>
          <w:trHeight w:val="0" w:hRule="atLeast"/>
          <w:jc w:val="center"/>
        </w:trPr>
        <w:tc>
          <w:tcPr>
            <w:tcW w:w="1271" w:type="dxa"/>
            <w:tcBorders>
              <w:top w:val="nil"/>
              <w:left w:val="nil"/>
              <w:bottom w:val="nil"/>
              <w:right w:val="nil"/>
            </w:tcBorders>
            <w:shd w:val="clear" w:color="auto" w:fill="auto"/>
            <w:vAlign w:val="center"/>
          </w:tcPr>
          <w:p w14:paraId="19126DB3">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2023</w:t>
            </w:r>
          </w:p>
        </w:tc>
        <w:tc>
          <w:tcPr>
            <w:tcW w:w="3411" w:type="dxa"/>
            <w:tcBorders>
              <w:top w:val="nil"/>
              <w:left w:val="nil"/>
              <w:bottom w:val="nil"/>
              <w:right w:val="nil"/>
            </w:tcBorders>
            <w:shd w:val="clear" w:color="auto" w:fill="auto"/>
            <w:vAlign w:val="center"/>
          </w:tcPr>
          <w:p w14:paraId="32D21B76">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1,295,480,700</w:t>
            </w:r>
          </w:p>
        </w:tc>
        <w:tc>
          <w:tcPr>
            <w:tcW w:w="3837" w:type="dxa"/>
            <w:tcBorders>
              <w:top w:val="nil"/>
              <w:left w:val="nil"/>
              <w:bottom w:val="nil"/>
              <w:right w:val="nil"/>
            </w:tcBorders>
            <w:shd w:val="clear" w:color="auto" w:fill="auto"/>
            <w:vAlign w:val="center"/>
          </w:tcPr>
          <w:p w14:paraId="234FA02F">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1,844,767,136</w:t>
            </w:r>
          </w:p>
        </w:tc>
      </w:tr>
      <w:tr w14:paraId="1477392B">
        <w:trPr>
          <w:trHeight w:val="0" w:hRule="atLeast"/>
          <w:jc w:val="center"/>
        </w:trPr>
        <w:tc>
          <w:tcPr>
            <w:tcW w:w="1271" w:type="dxa"/>
            <w:tcBorders>
              <w:top w:val="nil"/>
              <w:left w:val="nil"/>
              <w:bottom w:val="single" w:color="auto" w:sz="12" w:space="0"/>
              <w:right w:val="nil"/>
            </w:tcBorders>
            <w:shd w:val="clear" w:color="auto" w:fill="auto"/>
            <w:vAlign w:val="center"/>
          </w:tcPr>
          <w:p w14:paraId="30CE4ADC">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2024</w:t>
            </w:r>
          </w:p>
        </w:tc>
        <w:tc>
          <w:tcPr>
            <w:tcW w:w="3411" w:type="dxa"/>
            <w:tcBorders>
              <w:top w:val="nil"/>
              <w:left w:val="nil"/>
              <w:bottom w:val="single" w:color="auto" w:sz="12" w:space="0"/>
              <w:right w:val="nil"/>
            </w:tcBorders>
            <w:shd w:val="clear" w:color="auto" w:fill="auto"/>
            <w:vAlign w:val="center"/>
          </w:tcPr>
          <w:p w14:paraId="196E36BD">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1,224,640,744</w:t>
            </w:r>
          </w:p>
        </w:tc>
        <w:tc>
          <w:tcPr>
            <w:tcW w:w="3837" w:type="dxa"/>
            <w:tcBorders>
              <w:top w:val="nil"/>
              <w:left w:val="nil"/>
              <w:bottom w:val="single" w:color="auto" w:sz="12" w:space="0"/>
              <w:right w:val="nil"/>
            </w:tcBorders>
            <w:shd w:val="clear" w:color="auto" w:fill="auto"/>
            <w:vAlign w:val="center"/>
          </w:tcPr>
          <w:p w14:paraId="1EEA222F">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1,337,598,463</w:t>
            </w:r>
          </w:p>
        </w:tc>
      </w:tr>
    </w:tbl>
    <w:p w14:paraId="4610F121">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数据来源：</w:t>
      </w:r>
      <w:r>
        <w:rPr>
          <w:rFonts w:hint="default" w:ascii="Times New Roman" w:hAnsi="Times New Roman" w:eastAsia="宋体" w:cs="Times New Roman"/>
          <w:sz w:val="24"/>
          <w:szCs w:val="24"/>
          <w:lang w:val="en-US" w:eastAsia="zh-CN"/>
        </w:rPr>
        <w:t>finD</w:t>
      </w:r>
      <w:r>
        <w:rPr>
          <w:rFonts w:hint="default" w:ascii="Times New Roman" w:hAnsi="Times New Roman" w:eastAsia="宋体" w:cs="Times New Roman"/>
          <w:sz w:val="24"/>
          <w:szCs w:val="24"/>
        </w:rPr>
        <w:t>数据库整理</w:t>
      </w:r>
    </w:p>
    <w:p w14:paraId="27FED692">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进一步从主营业务结构来看，公司收入高度集中于互联网营销服务业务。根据公司年报披露，2024年互联网和相关服务业收入占主营收入的99.79%，其中数字化营销服务是企业最主要的收入来源，如表4-1</w:t>
      </w:r>
      <w:r>
        <w:rPr>
          <w:rFonts w:hint="default" w:ascii="Times New Roman" w:hAnsi="Times New Roman" w:eastAsia="宋体" w:cs="Times New Roman"/>
          <w:sz w:val="24"/>
          <w:szCs w:val="24"/>
          <w:lang w:val="en-US" w:eastAsia="zh-CN"/>
        </w:rPr>
        <w:t>9</w:t>
      </w:r>
      <w:r>
        <w:rPr>
          <w:rFonts w:hint="default" w:ascii="Times New Roman" w:hAnsi="Times New Roman" w:eastAsia="宋体" w:cs="Times New Roman"/>
          <w:sz w:val="24"/>
          <w:szCs w:val="24"/>
        </w:rPr>
        <w:t>所示。</w:t>
      </w:r>
    </w:p>
    <w:p w14:paraId="633C0791">
      <w:pPr>
        <w:widowControl/>
        <w:tabs>
          <w:tab w:val="left" w:pos="377"/>
        </w:tabs>
        <w:autoSpaceDE/>
        <w:autoSpaceDN/>
        <w:snapToGrid/>
        <w:spacing w:before="156" w:beforeLines="50"/>
        <w:jc w:val="center"/>
        <w:rPr>
          <w:rFonts w:hint="default" w:ascii="Times New Roman" w:hAnsi="Times New Roman" w:eastAsia="宋体" w:cs="Times New Roman"/>
          <w:spacing w:val="10"/>
          <w:kern w:val="0"/>
          <w:szCs w:val="20"/>
          <w:lang w:val="en-US" w:eastAsia="zh-CN"/>
        </w:rPr>
      </w:pPr>
      <w:r>
        <w:rPr>
          <w:rFonts w:hint="default" w:ascii="Times New Roman" w:hAnsi="Times New Roman" w:eastAsia="宋体" w:cs="Times New Roman"/>
          <w:spacing w:val="10"/>
          <w:kern w:val="0"/>
          <w:szCs w:val="20"/>
          <w:lang w:val="en-US" w:eastAsia="zh-CN"/>
        </w:rPr>
        <w:t>表4-19 天地在线主营业务结构表</w:t>
      </w:r>
    </w:p>
    <w:tbl>
      <w:tblPr>
        <w:tblStyle w:val="7"/>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995"/>
        <w:gridCol w:w="2150"/>
        <w:gridCol w:w="1875"/>
        <w:gridCol w:w="1499"/>
      </w:tblGrid>
      <w:tr w14:paraId="7C3CBB68">
        <w:trPr>
          <w:trHeight w:val="0" w:hRule="atLeast"/>
          <w:tblHeader/>
          <w:jc w:val="center"/>
        </w:trPr>
        <w:tc>
          <w:tcPr>
            <w:tcW w:w="2995" w:type="dxa"/>
            <w:tcBorders>
              <w:top w:val="single" w:color="auto" w:sz="12" w:space="0"/>
              <w:left w:val="nil"/>
              <w:bottom w:val="single" w:color="auto" w:sz="4" w:space="0"/>
              <w:right w:val="nil"/>
            </w:tcBorders>
            <w:shd w:val="clear" w:color="auto" w:fill="auto"/>
            <w:vAlign w:val="center"/>
          </w:tcPr>
          <w:p w14:paraId="254BE189">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产品类型</w:t>
            </w:r>
          </w:p>
        </w:tc>
        <w:tc>
          <w:tcPr>
            <w:tcW w:w="2150" w:type="dxa"/>
            <w:tcBorders>
              <w:top w:val="single" w:color="auto" w:sz="12" w:space="0"/>
              <w:left w:val="nil"/>
              <w:bottom w:val="single" w:color="auto" w:sz="4" w:space="0"/>
              <w:right w:val="nil"/>
            </w:tcBorders>
            <w:shd w:val="clear" w:color="auto" w:fill="auto"/>
            <w:vAlign w:val="center"/>
          </w:tcPr>
          <w:p w14:paraId="23DE3344">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主营收入</w:t>
            </w:r>
          </w:p>
        </w:tc>
        <w:tc>
          <w:tcPr>
            <w:tcW w:w="1875" w:type="dxa"/>
            <w:tcBorders>
              <w:top w:val="single" w:color="auto" w:sz="12" w:space="0"/>
              <w:left w:val="nil"/>
              <w:bottom w:val="single" w:color="auto" w:sz="4" w:space="0"/>
              <w:right w:val="nil"/>
            </w:tcBorders>
            <w:shd w:val="clear" w:color="auto" w:fill="auto"/>
            <w:vAlign w:val="center"/>
          </w:tcPr>
          <w:p w14:paraId="5AAA26FC">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收入占比</w:t>
            </w:r>
          </w:p>
        </w:tc>
        <w:tc>
          <w:tcPr>
            <w:tcW w:w="1499" w:type="dxa"/>
            <w:tcBorders>
              <w:top w:val="single" w:color="auto" w:sz="12" w:space="0"/>
              <w:left w:val="nil"/>
              <w:bottom w:val="single" w:color="auto" w:sz="4" w:space="0"/>
              <w:right w:val="nil"/>
            </w:tcBorders>
            <w:shd w:val="clear" w:color="auto" w:fill="auto"/>
            <w:vAlign w:val="center"/>
          </w:tcPr>
          <w:p w14:paraId="30641992">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毛利率</w:t>
            </w:r>
          </w:p>
        </w:tc>
      </w:tr>
      <w:tr w14:paraId="6D414EC2">
        <w:trPr>
          <w:trHeight w:val="0" w:hRule="atLeast"/>
          <w:jc w:val="center"/>
        </w:trPr>
        <w:tc>
          <w:tcPr>
            <w:tcW w:w="2995" w:type="dxa"/>
            <w:tcBorders>
              <w:top w:val="single" w:color="auto" w:sz="4" w:space="0"/>
              <w:left w:val="nil"/>
              <w:bottom w:val="nil"/>
              <w:right w:val="nil"/>
            </w:tcBorders>
            <w:shd w:val="clear" w:color="auto" w:fill="auto"/>
            <w:vAlign w:val="center"/>
          </w:tcPr>
          <w:p w14:paraId="218864BB">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数字化营销服务</w:t>
            </w:r>
          </w:p>
        </w:tc>
        <w:tc>
          <w:tcPr>
            <w:tcW w:w="2150" w:type="dxa"/>
            <w:tcBorders>
              <w:top w:val="single" w:color="auto" w:sz="4" w:space="0"/>
              <w:left w:val="nil"/>
              <w:bottom w:val="nil"/>
              <w:right w:val="nil"/>
            </w:tcBorders>
            <w:shd w:val="clear" w:color="auto" w:fill="auto"/>
            <w:vAlign w:val="center"/>
          </w:tcPr>
          <w:p w14:paraId="42BE4B79">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12.14亿元</w:t>
            </w:r>
          </w:p>
        </w:tc>
        <w:tc>
          <w:tcPr>
            <w:tcW w:w="1875" w:type="dxa"/>
            <w:tcBorders>
              <w:top w:val="single" w:color="auto" w:sz="4" w:space="0"/>
              <w:left w:val="nil"/>
              <w:bottom w:val="nil"/>
              <w:right w:val="nil"/>
            </w:tcBorders>
            <w:shd w:val="clear" w:color="auto" w:fill="auto"/>
            <w:vAlign w:val="center"/>
          </w:tcPr>
          <w:p w14:paraId="45B70140">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90.73%</w:t>
            </w:r>
          </w:p>
        </w:tc>
        <w:tc>
          <w:tcPr>
            <w:tcW w:w="1499" w:type="dxa"/>
            <w:tcBorders>
              <w:top w:val="single" w:color="auto" w:sz="4" w:space="0"/>
              <w:left w:val="nil"/>
              <w:bottom w:val="nil"/>
              <w:right w:val="nil"/>
            </w:tcBorders>
            <w:shd w:val="clear" w:color="auto" w:fill="auto"/>
            <w:vAlign w:val="center"/>
          </w:tcPr>
          <w:p w14:paraId="0E464CFA">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7.37%</w:t>
            </w:r>
          </w:p>
        </w:tc>
      </w:tr>
      <w:tr w14:paraId="19F02347">
        <w:trPr>
          <w:trHeight w:val="0" w:hRule="atLeast"/>
          <w:jc w:val="center"/>
        </w:trPr>
        <w:tc>
          <w:tcPr>
            <w:tcW w:w="2995" w:type="dxa"/>
            <w:tcBorders>
              <w:top w:val="nil"/>
              <w:left w:val="nil"/>
              <w:bottom w:val="nil"/>
              <w:right w:val="nil"/>
            </w:tcBorders>
            <w:shd w:val="clear" w:color="auto" w:fill="auto"/>
            <w:vAlign w:val="center"/>
          </w:tcPr>
          <w:p w14:paraId="564DE1EA">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数智化综合服务</w:t>
            </w:r>
          </w:p>
        </w:tc>
        <w:tc>
          <w:tcPr>
            <w:tcW w:w="2150" w:type="dxa"/>
            <w:tcBorders>
              <w:top w:val="nil"/>
              <w:left w:val="nil"/>
              <w:bottom w:val="nil"/>
              <w:right w:val="nil"/>
            </w:tcBorders>
            <w:shd w:val="clear" w:color="auto" w:fill="auto"/>
            <w:vAlign w:val="center"/>
          </w:tcPr>
          <w:p w14:paraId="741F252B">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1.212亿元</w:t>
            </w:r>
          </w:p>
        </w:tc>
        <w:tc>
          <w:tcPr>
            <w:tcW w:w="1875" w:type="dxa"/>
            <w:tcBorders>
              <w:top w:val="nil"/>
              <w:left w:val="nil"/>
              <w:bottom w:val="nil"/>
              <w:right w:val="nil"/>
            </w:tcBorders>
            <w:shd w:val="clear" w:color="auto" w:fill="auto"/>
            <w:vAlign w:val="center"/>
          </w:tcPr>
          <w:p w14:paraId="502F4E27">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9.06%</w:t>
            </w:r>
          </w:p>
        </w:tc>
        <w:tc>
          <w:tcPr>
            <w:tcW w:w="1499" w:type="dxa"/>
            <w:tcBorders>
              <w:top w:val="nil"/>
              <w:left w:val="nil"/>
              <w:bottom w:val="nil"/>
              <w:right w:val="nil"/>
            </w:tcBorders>
            <w:shd w:val="clear" w:color="auto" w:fill="auto"/>
            <w:vAlign w:val="center"/>
          </w:tcPr>
          <w:p w14:paraId="1FFE4682">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9.44%</w:t>
            </w:r>
          </w:p>
        </w:tc>
      </w:tr>
      <w:tr w14:paraId="7335E36D">
        <w:trPr>
          <w:trHeight w:val="0" w:hRule="atLeast"/>
          <w:jc w:val="center"/>
        </w:trPr>
        <w:tc>
          <w:tcPr>
            <w:tcW w:w="2995" w:type="dxa"/>
            <w:tcBorders>
              <w:top w:val="nil"/>
              <w:left w:val="nil"/>
              <w:bottom w:val="single" w:color="auto" w:sz="12" w:space="0"/>
              <w:right w:val="nil"/>
            </w:tcBorders>
            <w:shd w:val="clear" w:color="auto" w:fill="auto"/>
            <w:vAlign w:val="center"/>
          </w:tcPr>
          <w:p w14:paraId="10C6B7F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其他</w:t>
            </w:r>
          </w:p>
        </w:tc>
        <w:tc>
          <w:tcPr>
            <w:tcW w:w="2150" w:type="dxa"/>
            <w:tcBorders>
              <w:top w:val="nil"/>
              <w:left w:val="nil"/>
              <w:bottom w:val="single" w:color="auto" w:sz="12" w:space="0"/>
              <w:right w:val="nil"/>
            </w:tcBorders>
            <w:shd w:val="clear" w:color="auto" w:fill="auto"/>
            <w:vAlign w:val="center"/>
          </w:tcPr>
          <w:p w14:paraId="66C8A59F">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280万元</w:t>
            </w:r>
          </w:p>
        </w:tc>
        <w:tc>
          <w:tcPr>
            <w:tcW w:w="1875" w:type="dxa"/>
            <w:tcBorders>
              <w:top w:val="nil"/>
              <w:left w:val="nil"/>
              <w:bottom w:val="single" w:color="auto" w:sz="12" w:space="0"/>
              <w:right w:val="nil"/>
            </w:tcBorders>
            <w:shd w:val="clear" w:color="auto" w:fill="auto"/>
            <w:vAlign w:val="center"/>
          </w:tcPr>
          <w:p w14:paraId="5EB45A82">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0.21%</w:t>
            </w:r>
          </w:p>
        </w:tc>
        <w:tc>
          <w:tcPr>
            <w:tcW w:w="1499" w:type="dxa"/>
            <w:tcBorders>
              <w:top w:val="nil"/>
              <w:left w:val="nil"/>
              <w:bottom w:val="single" w:color="auto" w:sz="12" w:space="0"/>
              <w:right w:val="nil"/>
            </w:tcBorders>
            <w:shd w:val="clear" w:color="auto" w:fill="auto"/>
            <w:vAlign w:val="center"/>
          </w:tcPr>
          <w:p w14:paraId="6236365B">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24.59%</w:t>
            </w:r>
          </w:p>
        </w:tc>
      </w:tr>
    </w:tbl>
    <w:p w14:paraId="15D2C851">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数据来源：</w:t>
      </w:r>
      <w:r>
        <w:rPr>
          <w:rFonts w:hint="eastAsia" w:ascii="Times New Roman" w:hAnsi="Times New Roman" w:eastAsia="宋体" w:cs="Times New Roman"/>
          <w:sz w:val="24"/>
          <w:szCs w:val="24"/>
          <w:lang w:val="en-US" w:eastAsia="zh-CN"/>
        </w:rPr>
        <w:t>东方财富网</w:t>
      </w:r>
      <w:r>
        <w:rPr>
          <w:rFonts w:hint="default" w:ascii="Times New Roman" w:hAnsi="Times New Roman" w:eastAsia="宋体" w:cs="Times New Roman"/>
          <w:sz w:val="24"/>
          <w:szCs w:val="24"/>
        </w:rPr>
        <w:t>整理</w:t>
      </w:r>
    </w:p>
    <w:p w14:paraId="738E75D9">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从收入结构来看，公司主营业务高度依赖数字化营销服务，该业务长期占公司收入的90%以上。与此同时，数字化营销服务毛利率相对较低，例如2024年仅为7.37%，说明该业务属于典型的规模驱动型业务，即企业需要依靠较大的收入规模维持经营。</w:t>
      </w:r>
      <w:r>
        <w:rPr>
          <w:rFonts w:hint="default" w:ascii="Times New Roman" w:hAnsi="Times New Roman" w:eastAsia="宋体" w:cs="Times New Roman"/>
          <w:sz w:val="24"/>
          <w:szCs w:val="24"/>
          <w:lang w:val="en-US" w:eastAsia="zh-CN"/>
        </w:rPr>
        <w:t>整体来说，</w:t>
      </w:r>
      <w:r>
        <w:rPr>
          <w:rFonts w:hint="default" w:ascii="Times New Roman" w:hAnsi="Times New Roman" w:eastAsia="宋体" w:cs="Times New Roman"/>
          <w:sz w:val="24"/>
          <w:szCs w:val="24"/>
        </w:rPr>
        <w:t>公司主营业务结构在样本期内变化不大</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2020—2024年期间，互联网营销服务收入始终占公司主营收入的绝大部分，而数智化综合服务业务收入占比相对较小。例如2022年数智化综合服务收入占比仅为1.43%，2024年也仅提升至9%左右。这表明公司虽然开始布局数智化服务和人工智能相关应用，但相关业务规模仍然较小，对企业整体收入结构的影响有限。</w:t>
      </w:r>
    </w:p>
    <w:p w14:paraId="04495294">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近年来，随着人工智能技术在营销行业中的应用不断增加，部分企业开始探索AI营销工具、智能广告投放系统以及数字内容生成技术，以提升营销效率。但从公司主营业务结构来看，天地在线当前收入仍主要依赖传统数字营销业务，而新型数字化服务和AI相关业务尚未形成稳定收入来源。</w:t>
      </w:r>
    </w:p>
    <w:p w14:paraId="494088E0">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因此，从资产运营效率角度看，天地在线总资产周转率下降的主要原因在于企业营业收入规模明显下降，而资产规模变化相对有限。主营业务高度集中于数字化营销服务，同时AI相关业务规模仍处于发展阶段，使得企业收入增长未能形成新的动力，从而在样本期内表现为资产周转效率持续下降。</w:t>
      </w:r>
    </w:p>
    <w:p w14:paraId="4251FEC2">
      <w:pPr>
        <w:autoSpaceDE/>
        <w:autoSpaceDN/>
        <w:snapToGrid/>
        <w:spacing w:before="156" w:beforeLines="50" w:after="156" w:afterLines="50" w:line="420" w:lineRule="exact"/>
        <w:jc w:val="left"/>
        <w:outlineLvl w:val="2"/>
        <w:rPr>
          <w:rFonts w:hint="default" w:ascii="Times New Roman" w:hAnsi="Times New Roman" w:eastAsia="黑体" w:cs="Times New Roman"/>
          <w:color w:val="000000"/>
          <w:kern w:val="0"/>
          <w:sz w:val="28"/>
          <w:szCs w:val="28"/>
          <w:lang w:val="en-US" w:eastAsia="zh-CN"/>
        </w:rPr>
      </w:pPr>
      <w:r>
        <w:rPr>
          <w:rFonts w:hint="default" w:ascii="Times New Roman" w:hAnsi="Times New Roman" w:eastAsia="黑体" w:cs="Times New Roman"/>
          <w:color w:val="000000"/>
          <w:kern w:val="0"/>
          <w:sz w:val="28"/>
          <w:szCs w:val="28"/>
          <w:lang w:val="en-US" w:eastAsia="zh-CN"/>
        </w:rPr>
        <w:t>4.2.2.2 AI业务赋能型企业总资产周转率分析</w:t>
      </w:r>
    </w:p>
    <w:p w14:paraId="3A608EF5">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 巨人网络</w:t>
      </w:r>
    </w:p>
    <w:p w14:paraId="1A31E525">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巨人网络2020—2024年的总资产周转率整体处于较为稳定的区间，在0.16—0.22之间波动，没有出现明显上升或下降趋势。</w:t>
      </w:r>
    </w:p>
    <w:p w14:paraId="652404DB">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从表4-</w:t>
      </w:r>
      <w:r>
        <w:rPr>
          <w:rFonts w:hint="default" w:ascii="Times New Roman" w:hAnsi="Times New Roman" w:eastAsia="宋体" w:cs="Times New Roman"/>
          <w:sz w:val="24"/>
          <w:szCs w:val="24"/>
          <w:lang w:val="en-US" w:eastAsia="zh-CN"/>
        </w:rPr>
        <w:t>20所示</w:t>
      </w:r>
      <w:r>
        <w:rPr>
          <w:rFonts w:hint="default" w:ascii="Times New Roman" w:hAnsi="Times New Roman" w:eastAsia="宋体" w:cs="Times New Roman"/>
          <w:sz w:val="24"/>
          <w:szCs w:val="24"/>
        </w:rPr>
        <w:t>，公司资产规模在样本期内整体呈上升趋势，由2020年的108.35亿元增长至2024年的147.43亿元；营业收入则在2020—2022年阶段略有下降，2023年开始明显回升并维持在较高水平。由于资产规模和营业收入在整体上保持同步变化，企业资产利用效率没有出现明显波动，因此总资产周转率整体保持稳定。</w:t>
      </w:r>
    </w:p>
    <w:p w14:paraId="253B1971">
      <w:pPr>
        <w:widowControl/>
        <w:tabs>
          <w:tab w:val="left" w:pos="377"/>
        </w:tabs>
        <w:autoSpaceDE/>
        <w:autoSpaceDN/>
        <w:snapToGrid/>
        <w:spacing w:before="156" w:beforeLines="50"/>
        <w:jc w:val="center"/>
        <w:rPr>
          <w:rFonts w:hint="default" w:ascii="Times New Roman" w:hAnsi="Times New Roman" w:eastAsia="宋体" w:cs="Times New Roman"/>
          <w:spacing w:val="10"/>
          <w:kern w:val="0"/>
          <w:szCs w:val="20"/>
          <w:lang w:val="en-US" w:eastAsia="zh-CN"/>
        </w:rPr>
      </w:pPr>
      <w:r>
        <w:rPr>
          <w:rFonts w:hint="default" w:ascii="Times New Roman" w:hAnsi="Times New Roman" w:eastAsia="宋体" w:cs="Times New Roman"/>
          <w:spacing w:val="10"/>
          <w:kern w:val="0"/>
          <w:szCs w:val="20"/>
          <w:lang w:val="en-US" w:eastAsia="zh-CN"/>
        </w:rPr>
        <w:t>表4-20 巨人网络资产规模与营业收入变化表</w:t>
      </w:r>
    </w:p>
    <w:tbl>
      <w:tblPr>
        <w:tblStyle w:val="7"/>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271"/>
        <w:gridCol w:w="3411"/>
        <w:gridCol w:w="3837"/>
      </w:tblGrid>
      <w:tr w14:paraId="3365782F">
        <w:trPr>
          <w:trHeight w:val="0" w:hRule="atLeast"/>
          <w:tblHeader/>
          <w:jc w:val="center"/>
        </w:trPr>
        <w:tc>
          <w:tcPr>
            <w:tcW w:w="1271" w:type="dxa"/>
            <w:tcBorders>
              <w:top w:val="single" w:color="auto" w:sz="12" w:space="0"/>
              <w:left w:val="nil"/>
              <w:bottom w:val="single" w:color="auto" w:sz="4" w:space="0"/>
              <w:right w:val="nil"/>
            </w:tcBorders>
            <w:shd w:val="clear" w:color="auto" w:fill="auto"/>
            <w:vAlign w:val="center"/>
          </w:tcPr>
          <w:p w14:paraId="0A3B0DAC">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年份</w:t>
            </w:r>
          </w:p>
        </w:tc>
        <w:tc>
          <w:tcPr>
            <w:tcW w:w="3411" w:type="dxa"/>
            <w:tcBorders>
              <w:top w:val="single" w:color="auto" w:sz="12" w:space="0"/>
              <w:left w:val="nil"/>
              <w:bottom w:val="single" w:color="auto" w:sz="4" w:space="0"/>
              <w:right w:val="nil"/>
            </w:tcBorders>
            <w:shd w:val="clear" w:color="auto" w:fill="auto"/>
            <w:vAlign w:val="center"/>
          </w:tcPr>
          <w:p w14:paraId="08476B41">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资产总计（元）</w:t>
            </w:r>
          </w:p>
        </w:tc>
        <w:tc>
          <w:tcPr>
            <w:tcW w:w="3837" w:type="dxa"/>
            <w:tcBorders>
              <w:top w:val="single" w:color="auto" w:sz="12" w:space="0"/>
              <w:left w:val="nil"/>
              <w:bottom w:val="single" w:color="auto" w:sz="4" w:space="0"/>
              <w:right w:val="nil"/>
            </w:tcBorders>
            <w:shd w:val="clear" w:color="auto" w:fill="auto"/>
            <w:vAlign w:val="center"/>
          </w:tcPr>
          <w:p w14:paraId="7FBE9822">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营业总收入（元）</w:t>
            </w:r>
          </w:p>
        </w:tc>
      </w:tr>
      <w:tr w14:paraId="44F3F696">
        <w:trPr>
          <w:trHeight w:val="0" w:hRule="atLeast"/>
          <w:jc w:val="center"/>
        </w:trPr>
        <w:tc>
          <w:tcPr>
            <w:tcW w:w="1271" w:type="dxa"/>
            <w:tcBorders>
              <w:top w:val="single" w:color="auto" w:sz="4" w:space="0"/>
              <w:left w:val="nil"/>
              <w:bottom w:val="nil"/>
              <w:right w:val="nil"/>
            </w:tcBorders>
            <w:shd w:val="clear" w:color="auto" w:fill="auto"/>
            <w:vAlign w:val="center"/>
          </w:tcPr>
          <w:p w14:paraId="263251D8">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2020</w:t>
            </w:r>
          </w:p>
        </w:tc>
        <w:tc>
          <w:tcPr>
            <w:tcW w:w="3411" w:type="dxa"/>
            <w:tcBorders>
              <w:top w:val="single" w:color="auto" w:sz="4" w:space="0"/>
              <w:left w:val="nil"/>
              <w:bottom w:val="nil"/>
              <w:right w:val="nil"/>
            </w:tcBorders>
            <w:shd w:val="clear" w:color="auto" w:fill="auto"/>
            <w:vAlign w:val="center"/>
          </w:tcPr>
          <w:p w14:paraId="6D6572C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10,834,794,955</w:t>
            </w:r>
          </w:p>
        </w:tc>
        <w:tc>
          <w:tcPr>
            <w:tcW w:w="3837" w:type="dxa"/>
            <w:tcBorders>
              <w:top w:val="single" w:color="auto" w:sz="4" w:space="0"/>
              <w:left w:val="nil"/>
              <w:bottom w:val="nil"/>
              <w:right w:val="nil"/>
            </w:tcBorders>
            <w:shd w:val="clear" w:color="auto" w:fill="auto"/>
            <w:vAlign w:val="center"/>
          </w:tcPr>
          <w:p w14:paraId="1E93B42D">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2,217,294,341</w:t>
            </w:r>
          </w:p>
        </w:tc>
      </w:tr>
      <w:tr w14:paraId="3BA6F521">
        <w:trPr>
          <w:trHeight w:val="0" w:hRule="atLeast"/>
          <w:jc w:val="center"/>
        </w:trPr>
        <w:tc>
          <w:tcPr>
            <w:tcW w:w="1271" w:type="dxa"/>
            <w:tcBorders>
              <w:top w:val="nil"/>
              <w:left w:val="nil"/>
              <w:bottom w:val="nil"/>
              <w:right w:val="nil"/>
            </w:tcBorders>
            <w:shd w:val="clear" w:color="auto" w:fill="auto"/>
            <w:vAlign w:val="center"/>
          </w:tcPr>
          <w:p w14:paraId="6B85C844">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2021</w:t>
            </w:r>
          </w:p>
        </w:tc>
        <w:tc>
          <w:tcPr>
            <w:tcW w:w="3411" w:type="dxa"/>
            <w:tcBorders>
              <w:top w:val="nil"/>
              <w:left w:val="nil"/>
              <w:bottom w:val="nil"/>
              <w:right w:val="nil"/>
            </w:tcBorders>
            <w:shd w:val="clear" w:color="auto" w:fill="auto"/>
            <w:vAlign w:val="center"/>
          </w:tcPr>
          <w:p w14:paraId="59DE1F3A">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11,925,121,573</w:t>
            </w:r>
          </w:p>
        </w:tc>
        <w:tc>
          <w:tcPr>
            <w:tcW w:w="3837" w:type="dxa"/>
            <w:tcBorders>
              <w:top w:val="nil"/>
              <w:left w:val="nil"/>
              <w:bottom w:val="nil"/>
              <w:right w:val="nil"/>
            </w:tcBorders>
            <w:shd w:val="clear" w:color="auto" w:fill="auto"/>
            <w:vAlign w:val="center"/>
          </w:tcPr>
          <w:p w14:paraId="2A1B5F96">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2,124,268,637</w:t>
            </w:r>
          </w:p>
        </w:tc>
      </w:tr>
      <w:tr w14:paraId="5E8E8143">
        <w:trPr>
          <w:trHeight w:val="0" w:hRule="atLeast"/>
          <w:jc w:val="center"/>
        </w:trPr>
        <w:tc>
          <w:tcPr>
            <w:tcW w:w="1271" w:type="dxa"/>
            <w:tcBorders>
              <w:top w:val="nil"/>
              <w:left w:val="nil"/>
              <w:bottom w:val="nil"/>
              <w:right w:val="nil"/>
            </w:tcBorders>
            <w:shd w:val="clear" w:color="auto" w:fill="auto"/>
            <w:vAlign w:val="center"/>
          </w:tcPr>
          <w:p w14:paraId="66192317">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2022</w:t>
            </w:r>
          </w:p>
        </w:tc>
        <w:tc>
          <w:tcPr>
            <w:tcW w:w="3411" w:type="dxa"/>
            <w:tcBorders>
              <w:top w:val="nil"/>
              <w:left w:val="nil"/>
              <w:bottom w:val="nil"/>
              <w:right w:val="nil"/>
            </w:tcBorders>
            <w:shd w:val="clear" w:color="auto" w:fill="auto"/>
            <w:vAlign w:val="center"/>
          </w:tcPr>
          <w:p w14:paraId="50A92097">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13,209,068,645</w:t>
            </w:r>
          </w:p>
        </w:tc>
        <w:tc>
          <w:tcPr>
            <w:tcW w:w="3837" w:type="dxa"/>
            <w:tcBorders>
              <w:top w:val="nil"/>
              <w:left w:val="nil"/>
              <w:bottom w:val="nil"/>
              <w:right w:val="nil"/>
            </w:tcBorders>
            <w:shd w:val="clear" w:color="auto" w:fill="auto"/>
            <w:vAlign w:val="center"/>
          </w:tcPr>
          <w:p w14:paraId="137F3527">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2,037,707,421</w:t>
            </w:r>
          </w:p>
        </w:tc>
      </w:tr>
      <w:tr w14:paraId="5D8CC786">
        <w:trPr>
          <w:trHeight w:val="0" w:hRule="atLeast"/>
          <w:jc w:val="center"/>
        </w:trPr>
        <w:tc>
          <w:tcPr>
            <w:tcW w:w="1271" w:type="dxa"/>
            <w:tcBorders>
              <w:top w:val="nil"/>
              <w:left w:val="nil"/>
              <w:bottom w:val="nil"/>
              <w:right w:val="nil"/>
            </w:tcBorders>
            <w:shd w:val="clear" w:color="auto" w:fill="auto"/>
            <w:vAlign w:val="center"/>
          </w:tcPr>
          <w:p w14:paraId="657B0CD7">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2023</w:t>
            </w:r>
          </w:p>
        </w:tc>
        <w:tc>
          <w:tcPr>
            <w:tcW w:w="3411" w:type="dxa"/>
            <w:tcBorders>
              <w:top w:val="nil"/>
              <w:left w:val="nil"/>
              <w:bottom w:val="nil"/>
              <w:right w:val="nil"/>
            </w:tcBorders>
            <w:shd w:val="clear" w:color="auto" w:fill="auto"/>
            <w:vAlign w:val="center"/>
          </w:tcPr>
          <w:p w14:paraId="0AF62C7A">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13,370,515,052</w:t>
            </w:r>
          </w:p>
        </w:tc>
        <w:tc>
          <w:tcPr>
            <w:tcW w:w="3837" w:type="dxa"/>
            <w:tcBorders>
              <w:top w:val="nil"/>
              <w:left w:val="nil"/>
              <w:bottom w:val="nil"/>
              <w:right w:val="nil"/>
            </w:tcBorders>
            <w:shd w:val="clear" w:color="auto" w:fill="auto"/>
            <w:vAlign w:val="center"/>
          </w:tcPr>
          <w:p w14:paraId="792C0436">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2,924,173,672</w:t>
            </w:r>
          </w:p>
        </w:tc>
      </w:tr>
      <w:tr w14:paraId="28EA8392">
        <w:trPr>
          <w:trHeight w:val="0" w:hRule="atLeast"/>
          <w:jc w:val="center"/>
        </w:trPr>
        <w:tc>
          <w:tcPr>
            <w:tcW w:w="1271" w:type="dxa"/>
            <w:tcBorders>
              <w:top w:val="nil"/>
              <w:left w:val="nil"/>
              <w:bottom w:val="single" w:color="auto" w:sz="12" w:space="0"/>
              <w:right w:val="nil"/>
            </w:tcBorders>
            <w:shd w:val="clear" w:color="auto" w:fill="auto"/>
            <w:vAlign w:val="center"/>
          </w:tcPr>
          <w:p w14:paraId="3DD758A5">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2024</w:t>
            </w:r>
          </w:p>
        </w:tc>
        <w:tc>
          <w:tcPr>
            <w:tcW w:w="3411" w:type="dxa"/>
            <w:tcBorders>
              <w:top w:val="nil"/>
              <w:left w:val="nil"/>
              <w:bottom w:val="single" w:color="auto" w:sz="12" w:space="0"/>
              <w:right w:val="nil"/>
            </w:tcBorders>
            <w:shd w:val="clear" w:color="auto" w:fill="auto"/>
            <w:vAlign w:val="center"/>
          </w:tcPr>
          <w:p w14:paraId="40288246">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14,742,575,985</w:t>
            </w:r>
          </w:p>
        </w:tc>
        <w:tc>
          <w:tcPr>
            <w:tcW w:w="3837" w:type="dxa"/>
            <w:tcBorders>
              <w:top w:val="nil"/>
              <w:left w:val="nil"/>
              <w:bottom w:val="single" w:color="auto" w:sz="12" w:space="0"/>
              <w:right w:val="nil"/>
            </w:tcBorders>
            <w:shd w:val="clear" w:color="auto" w:fill="auto"/>
            <w:vAlign w:val="center"/>
          </w:tcPr>
          <w:p w14:paraId="240F560E">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2,922,846,402</w:t>
            </w:r>
          </w:p>
        </w:tc>
      </w:tr>
    </w:tbl>
    <w:p w14:paraId="53686C46">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数据来源：</w:t>
      </w:r>
      <w:r>
        <w:rPr>
          <w:rFonts w:hint="default" w:ascii="Times New Roman" w:hAnsi="Times New Roman" w:eastAsia="宋体" w:cs="Times New Roman"/>
          <w:sz w:val="24"/>
          <w:szCs w:val="24"/>
          <w:lang w:val="en-US" w:eastAsia="zh-CN"/>
        </w:rPr>
        <w:t>finD</w:t>
      </w:r>
      <w:r>
        <w:rPr>
          <w:rFonts w:hint="default" w:ascii="Times New Roman" w:hAnsi="Times New Roman" w:eastAsia="宋体" w:cs="Times New Roman"/>
          <w:sz w:val="24"/>
          <w:szCs w:val="24"/>
        </w:rPr>
        <w:t>数据库整理</w:t>
      </w:r>
    </w:p>
    <w:p w14:paraId="10771183">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进一步从主营业务结构来看，公司收入高度集中于游戏业务。根据公司年报披露，2024年游戏相关业务收入占主营收入的99.86%，其中移动端网络游戏和电脑端网络游戏构成主要收入来源，如表4-2</w:t>
      </w:r>
      <w:r>
        <w:rPr>
          <w:rFonts w:hint="default" w:ascii="Times New Roman" w:hAnsi="Times New Roman" w:eastAsia="宋体" w:cs="Times New Roman"/>
          <w:sz w:val="24"/>
          <w:szCs w:val="24"/>
          <w:lang w:val="en-US" w:eastAsia="zh-CN"/>
        </w:rPr>
        <w:t>1</w:t>
      </w:r>
      <w:r>
        <w:rPr>
          <w:rFonts w:hint="default" w:ascii="Times New Roman" w:hAnsi="Times New Roman" w:eastAsia="宋体" w:cs="Times New Roman"/>
          <w:sz w:val="24"/>
          <w:szCs w:val="24"/>
        </w:rPr>
        <w:t>所示。</w:t>
      </w:r>
    </w:p>
    <w:p w14:paraId="378A3112">
      <w:pPr>
        <w:widowControl/>
        <w:tabs>
          <w:tab w:val="left" w:pos="377"/>
        </w:tabs>
        <w:autoSpaceDE/>
        <w:autoSpaceDN/>
        <w:snapToGrid/>
        <w:spacing w:before="156" w:beforeLines="50"/>
        <w:jc w:val="center"/>
        <w:rPr>
          <w:rFonts w:hint="default" w:ascii="Times New Roman" w:hAnsi="Times New Roman" w:eastAsia="宋体" w:cs="Times New Roman"/>
          <w:spacing w:val="10"/>
          <w:kern w:val="0"/>
          <w:szCs w:val="20"/>
          <w:lang w:val="en-US" w:eastAsia="zh-CN"/>
        </w:rPr>
      </w:pPr>
      <w:r>
        <w:rPr>
          <w:rFonts w:hint="default" w:ascii="Times New Roman" w:hAnsi="Times New Roman" w:eastAsia="宋体" w:cs="Times New Roman"/>
          <w:spacing w:val="10"/>
          <w:kern w:val="0"/>
          <w:szCs w:val="20"/>
          <w:lang w:val="en-US" w:eastAsia="zh-CN"/>
        </w:rPr>
        <w:t>表4-21 2024年巨人网络主营业务结构表</w:t>
      </w:r>
    </w:p>
    <w:tbl>
      <w:tblPr>
        <w:tblStyle w:val="7"/>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3579"/>
        <w:gridCol w:w="1699"/>
        <w:gridCol w:w="1699"/>
        <w:gridCol w:w="1542"/>
      </w:tblGrid>
      <w:tr w14:paraId="0C9E96F6">
        <w:trPr>
          <w:trHeight w:val="0" w:hRule="atLeast"/>
          <w:tblHeader/>
          <w:jc w:val="center"/>
        </w:trPr>
        <w:tc>
          <w:tcPr>
            <w:tcW w:w="3579" w:type="dxa"/>
            <w:tcBorders>
              <w:top w:val="single" w:color="auto" w:sz="12" w:space="0"/>
              <w:left w:val="nil"/>
              <w:bottom w:val="single" w:color="auto" w:sz="4" w:space="0"/>
              <w:right w:val="nil"/>
            </w:tcBorders>
            <w:shd w:val="clear" w:color="auto" w:fill="auto"/>
            <w:vAlign w:val="center"/>
          </w:tcPr>
          <w:p w14:paraId="475A26FB">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产品类型</w:t>
            </w:r>
          </w:p>
        </w:tc>
        <w:tc>
          <w:tcPr>
            <w:tcW w:w="1699" w:type="dxa"/>
            <w:tcBorders>
              <w:top w:val="single" w:color="auto" w:sz="12" w:space="0"/>
              <w:left w:val="nil"/>
              <w:bottom w:val="single" w:color="auto" w:sz="4" w:space="0"/>
              <w:right w:val="nil"/>
            </w:tcBorders>
            <w:shd w:val="clear" w:color="auto" w:fill="auto"/>
            <w:vAlign w:val="center"/>
          </w:tcPr>
          <w:p w14:paraId="7970D497">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主营收入</w:t>
            </w:r>
          </w:p>
        </w:tc>
        <w:tc>
          <w:tcPr>
            <w:tcW w:w="1699" w:type="dxa"/>
            <w:tcBorders>
              <w:top w:val="single" w:color="auto" w:sz="12" w:space="0"/>
              <w:left w:val="nil"/>
              <w:bottom w:val="single" w:color="auto" w:sz="4" w:space="0"/>
              <w:right w:val="nil"/>
            </w:tcBorders>
            <w:shd w:val="clear" w:color="auto" w:fill="auto"/>
            <w:vAlign w:val="center"/>
          </w:tcPr>
          <w:p w14:paraId="2BD8E14C">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收入占比</w:t>
            </w:r>
          </w:p>
        </w:tc>
        <w:tc>
          <w:tcPr>
            <w:tcW w:w="1542" w:type="dxa"/>
            <w:tcBorders>
              <w:top w:val="single" w:color="auto" w:sz="12" w:space="0"/>
              <w:left w:val="nil"/>
              <w:bottom w:val="single" w:color="auto" w:sz="4" w:space="0"/>
              <w:right w:val="nil"/>
            </w:tcBorders>
            <w:shd w:val="clear" w:color="auto" w:fill="auto"/>
            <w:vAlign w:val="center"/>
          </w:tcPr>
          <w:p w14:paraId="7EA6F769">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毛利率</w:t>
            </w:r>
          </w:p>
        </w:tc>
      </w:tr>
      <w:tr w14:paraId="630EB0A0">
        <w:trPr>
          <w:trHeight w:val="0" w:hRule="atLeast"/>
          <w:jc w:val="center"/>
        </w:trPr>
        <w:tc>
          <w:tcPr>
            <w:tcW w:w="3579" w:type="dxa"/>
            <w:tcBorders>
              <w:top w:val="single" w:color="auto" w:sz="4" w:space="0"/>
              <w:left w:val="nil"/>
              <w:bottom w:val="nil"/>
              <w:right w:val="nil"/>
            </w:tcBorders>
            <w:shd w:val="clear" w:color="auto" w:fill="FFFFFF"/>
            <w:vAlign w:val="center"/>
          </w:tcPr>
          <w:p w14:paraId="7F88AB36">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移动端网络游戏收入</w:t>
            </w:r>
          </w:p>
        </w:tc>
        <w:tc>
          <w:tcPr>
            <w:tcW w:w="1699" w:type="dxa"/>
            <w:tcBorders>
              <w:top w:val="single" w:color="auto" w:sz="4" w:space="0"/>
              <w:left w:val="nil"/>
              <w:bottom w:val="nil"/>
              <w:right w:val="nil"/>
            </w:tcBorders>
            <w:shd w:val="clear" w:color="auto" w:fill="FFFFFF"/>
            <w:vAlign w:val="center"/>
          </w:tcPr>
          <w:p w14:paraId="0C52F870">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21.80亿</w:t>
            </w:r>
          </w:p>
        </w:tc>
        <w:tc>
          <w:tcPr>
            <w:tcW w:w="1699" w:type="dxa"/>
            <w:tcBorders>
              <w:top w:val="single" w:color="auto" w:sz="4" w:space="0"/>
              <w:left w:val="nil"/>
              <w:bottom w:val="nil"/>
              <w:right w:val="nil"/>
            </w:tcBorders>
            <w:shd w:val="clear" w:color="auto" w:fill="FFFFFF"/>
            <w:vAlign w:val="center"/>
          </w:tcPr>
          <w:p w14:paraId="0A259F47">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74.60%</w:t>
            </w:r>
          </w:p>
        </w:tc>
        <w:tc>
          <w:tcPr>
            <w:tcW w:w="1542" w:type="dxa"/>
            <w:tcBorders>
              <w:top w:val="single" w:color="auto" w:sz="4" w:space="0"/>
              <w:left w:val="nil"/>
              <w:bottom w:val="nil"/>
              <w:right w:val="nil"/>
            </w:tcBorders>
            <w:shd w:val="clear" w:color="auto" w:fill="FFFFFF"/>
            <w:vAlign w:val="center"/>
          </w:tcPr>
          <w:p w14:paraId="4DC31D60">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88.10%</w:t>
            </w:r>
          </w:p>
        </w:tc>
      </w:tr>
      <w:tr w14:paraId="0B494F9C">
        <w:trPr>
          <w:trHeight w:val="0" w:hRule="atLeast"/>
          <w:jc w:val="center"/>
        </w:trPr>
        <w:tc>
          <w:tcPr>
            <w:tcW w:w="3579" w:type="dxa"/>
            <w:tcBorders>
              <w:top w:val="nil"/>
              <w:left w:val="nil"/>
              <w:bottom w:val="nil"/>
              <w:right w:val="nil"/>
            </w:tcBorders>
            <w:shd w:val="clear" w:color="auto" w:fill="FFFFFF"/>
            <w:vAlign w:val="center"/>
          </w:tcPr>
          <w:p w14:paraId="7E1C9FC3">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电脑端网络游戏收入</w:t>
            </w:r>
          </w:p>
        </w:tc>
        <w:tc>
          <w:tcPr>
            <w:tcW w:w="1699" w:type="dxa"/>
            <w:tcBorders>
              <w:top w:val="nil"/>
              <w:left w:val="nil"/>
              <w:bottom w:val="nil"/>
              <w:right w:val="nil"/>
            </w:tcBorders>
            <w:shd w:val="clear" w:color="auto" w:fill="FFFFFF"/>
            <w:vAlign w:val="center"/>
          </w:tcPr>
          <w:p w14:paraId="7CFE60D1">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6.810亿</w:t>
            </w:r>
          </w:p>
        </w:tc>
        <w:tc>
          <w:tcPr>
            <w:tcW w:w="1699" w:type="dxa"/>
            <w:tcBorders>
              <w:top w:val="nil"/>
              <w:left w:val="nil"/>
              <w:bottom w:val="nil"/>
              <w:right w:val="nil"/>
            </w:tcBorders>
            <w:shd w:val="clear" w:color="auto" w:fill="FFFFFF"/>
            <w:vAlign w:val="center"/>
          </w:tcPr>
          <w:p w14:paraId="35390A37">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23.30%</w:t>
            </w:r>
          </w:p>
        </w:tc>
        <w:tc>
          <w:tcPr>
            <w:tcW w:w="1542" w:type="dxa"/>
            <w:tcBorders>
              <w:top w:val="nil"/>
              <w:left w:val="nil"/>
              <w:bottom w:val="nil"/>
              <w:right w:val="nil"/>
            </w:tcBorders>
            <w:shd w:val="clear" w:color="auto" w:fill="FFFFFF"/>
            <w:vAlign w:val="center"/>
          </w:tcPr>
          <w:p w14:paraId="0305EFB9">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85.94%</w:t>
            </w:r>
          </w:p>
        </w:tc>
      </w:tr>
      <w:tr w14:paraId="7E313712">
        <w:trPr>
          <w:trHeight w:val="0" w:hRule="atLeast"/>
          <w:jc w:val="center"/>
        </w:trPr>
        <w:tc>
          <w:tcPr>
            <w:tcW w:w="3579" w:type="dxa"/>
            <w:tcBorders>
              <w:top w:val="nil"/>
              <w:left w:val="nil"/>
              <w:bottom w:val="nil"/>
              <w:right w:val="nil"/>
            </w:tcBorders>
            <w:shd w:val="clear" w:color="auto" w:fill="FFFFFF"/>
            <w:vAlign w:val="center"/>
          </w:tcPr>
          <w:p w14:paraId="3691A33E">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其他游戏相关业务收入</w:t>
            </w:r>
          </w:p>
        </w:tc>
        <w:tc>
          <w:tcPr>
            <w:tcW w:w="1699" w:type="dxa"/>
            <w:tcBorders>
              <w:top w:val="nil"/>
              <w:left w:val="nil"/>
              <w:bottom w:val="nil"/>
              <w:right w:val="nil"/>
            </w:tcBorders>
            <w:shd w:val="clear" w:color="auto" w:fill="FFFFFF"/>
            <w:vAlign w:val="center"/>
          </w:tcPr>
          <w:p w14:paraId="6575B931">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5506万</w:t>
            </w:r>
          </w:p>
        </w:tc>
        <w:tc>
          <w:tcPr>
            <w:tcW w:w="1699" w:type="dxa"/>
            <w:tcBorders>
              <w:top w:val="nil"/>
              <w:left w:val="nil"/>
              <w:bottom w:val="nil"/>
              <w:right w:val="nil"/>
            </w:tcBorders>
            <w:shd w:val="clear" w:color="auto" w:fill="FFFFFF"/>
            <w:vAlign w:val="center"/>
          </w:tcPr>
          <w:p w14:paraId="6B6C439C">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1.88%</w:t>
            </w:r>
          </w:p>
        </w:tc>
        <w:tc>
          <w:tcPr>
            <w:tcW w:w="1542" w:type="dxa"/>
            <w:tcBorders>
              <w:top w:val="nil"/>
              <w:left w:val="nil"/>
              <w:bottom w:val="nil"/>
              <w:right w:val="nil"/>
            </w:tcBorders>
            <w:shd w:val="clear" w:color="auto" w:fill="FFFFFF"/>
            <w:vAlign w:val="center"/>
          </w:tcPr>
          <w:p w14:paraId="4778C21A">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0.00%</w:t>
            </w:r>
          </w:p>
        </w:tc>
      </w:tr>
      <w:tr w14:paraId="69BEC25E">
        <w:trPr>
          <w:trHeight w:val="0" w:hRule="atLeast"/>
          <w:jc w:val="center"/>
        </w:trPr>
        <w:tc>
          <w:tcPr>
            <w:tcW w:w="3579" w:type="dxa"/>
            <w:tcBorders>
              <w:top w:val="nil"/>
              <w:left w:val="nil"/>
              <w:bottom w:val="nil"/>
              <w:right w:val="nil"/>
            </w:tcBorders>
            <w:shd w:val="clear" w:color="auto" w:fill="FFFFFF"/>
            <w:vAlign w:val="center"/>
          </w:tcPr>
          <w:p w14:paraId="1C07CD3F">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其他(补充)</w:t>
            </w:r>
          </w:p>
        </w:tc>
        <w:tc>
          <w:tcPr>
            <w:tcW w:w="1699" w:type="dxa"/>
            <w:tcBorders>
              <w:top w:val="nil"/>
              <w:left w:val="nil"/>
              <w:bottom w:val="nil"/>
              <w:right w:val="nil"/>
            </w:tcBorders>
            <w:shd w:val="clear" w:color="auto" w:fill="FFFFFF"/>
            <w:vAlign w:val="center"/>
          </w:tcPr>
          <w:p w14:paraId="7625D0D7">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423.9万</w:t>
            </w:r>
          </w:p>
        </w:tc>
        <w:tc>
          <w:tcPr>
            <w:tcW w:w="1699" w:type="dxa"/>
            <w:tcBorders>
              <w:top w:val="nil"/>
              <w:left w:val="nil"/>
              <w:bottom w:val="nil"/>
              <w:right w:val="nil"/>
            </w:tcBorders>
            <w:shd w:val="clear" w:color="auto" w:fill="FFFFFF"/>
            <w:vAlign w:val="center"/>
          </w:tcPr>
          <w:p w14:paraId="0784163B">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0.14%</w:t>
            </w:r>
          </w:p>
        </w:tc>
        <w:tc>
          <w:tcPr>
            <w:tcW w:w="1542" w:type="dxa"/>
            <w:tcBorders>
              <w:top w:val="nil"/>
              <w:left w:val="nil"/>
              <w:bottom w:val="nil"/>
              <w:right w:val="nil"/>
            </w:tcBorders>
            <w:shd w:val="clear" w:color="auto" w:fill="FFFFFF"/>
            <w:vAlign w:val="center"/>
          </w:tcPr>
          <w:p w14:paraId="34B7471F">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-76.43%</w:t>
            </w:r>
          </w:p>
        </w:tc>
      </w:tr>
      <w:tr w14:paraId="30B8F5E3">
        <w:trPr>
          <w:trHeight w:val="0" w:hRule="atLeast"/>
          <w:jc w:val="center"/>
        </w:trPr>
        <w:tc>
          <w:tcPr>
            <w:tcW w:w="3579" w:type="dxa"/>
            <w:tcBorders>
              <w:top w:val="nil"/>
              <w:left w:val="nil"/>
              <w:bottom w:val="single" w:color="auto" w:sz="12" w:space="0"/>
              <w:right w:val="nil"/>
            </w:tcBorders>
            <w:shd w:val="clear" w:color="auto" w:fill="FFFFFF"/>
            <w:vAlign w:val="center"/>
          </w:tcPr>
          <w:p w14:paraId="0A9D1546">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互联网社区工具收入</w:t>
            </w:r>
          </w:p>
        </w:tc>
        <w:tc>
          <w:tcPr>
            <w:tcW w:w="1699" w:type="dxa"/>
            <w:tcBorders>
              <w:top w:val="nil"/>
              <w:left w:val="nil"/>
              <w:bottom w:val="single" w:color="auto" w:sz="12" w:space="0"/>
              <w:right w:val="nil"/>
            </w:tcBorders>
            <w:shd w:val="clear" w:color="auto" w:fill="FFFFFF"/>
            <w:vAlign w:val="center"/>
          </w:tcPr>
          <w:p w14:paraId="2BAD7155">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213.6万</w:t>
            </w:r>
          </w:p>
        </w:tc>
        <w:tc>
          <w:tcPr>
            <w:tcW w:w="1699" w:type="dxa"/>
            <w:tcBorders>
              <w:top w:val="nil"/>
              <w:left w:val="nil"/>
              <w:bottom w:val="single" w:color="auto" w:sz="12" w:space="0"/>
              <w:right w:val="nil"/>
            </w:tcBorders>
            <w:shd w:val="clear" w:color="auto" w:fill="FFFFFF"/>
            <w:vAlign w:val="center"/>
          </w:tcPr>
          <w:p w14:paraId="06622D2D">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0.07%</w:t>
            </w:r>
          </w:p>
        </w:tc>
        <w:tc>
          <w:tcPr>
            <w:tcW w:w="1542" w:type="dxa"/>
            <w:tcBorders>
              <w:top w:val="nil"/>
              <w:left w:val="nil"/>
              <w:bottom w:val="single" w:color="auto" w:sz="12" w:space="0"/>
              <w:right w:val="nil"/>
            </w:tcBorders>
            <w:shd w:val="clear" w:color="auto" w:fill="FFFFFF"/>
            <w:vAlign w:val="center"/>
          </w:tcPr>
          <w:p w14:paraId="1968CA1A">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0.00%</w:t>
            </w:r>
          </w:p>
        </w:tc>
      </w:tr>
    </w:tbl>
    <w:p w14:paraId="56C25C0E">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数据来源：</w:t>
      </w:r>
      <w:r>
        <w:rPr>
          <w:rFonts w:hint="eastAsia" w:ascii="Times New Roman" w:hAnsi="Times New Roman" w:eastAsia="宋体" w:cs="Times New Roman"/>
          <w:sz w:val="24"/>
          <w:szCs w:val="24"/>
          <w:lang w:val="en-US" w:eastAsia="zh-CN"/>
        </w:rPr>
        <w:t>东方财富网</w:t>
      </w:r>
      <w:r>
        <w:rPr>
          <w:rFonts w:hint="default" w:ascii="Times New Roman" w:hAnsi="Times New Roman" w:eastAsia="宋体" w:cs="Times New Roman"/>
          <w:sz w:val="24"/>
          <w:szCs w:val="24"/>
        </w:rPr>
        <w:t>整理</w:t>
      </w:r>
    </w:p>
    <w:p w14:paraId="2F129ABA">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从业务结构看，公司收入主要来自成熟的游戏产品运营。游戏产品具有明显的数字内容特征，一旦形成稳定用户群体，产品生命周期较长，收入可以持续释放，同时企业并不需要持续扩大固定资产规模。因此，相比制造业企业需要不断扩大产能来获取收入，游戏企业的资产结构相对稳定，这也使得总资产周转率通常保持在较为平稳的区间。</w:t>
      </w:r>
    </w:p>
    <w:p w14:paraId="26125F26">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近年来，人工智能技术逐渐被引入游戏研发与运营环节。根据</w:t>
      </w:r>
      <w:r>
        <w:rPr>
          <w:rFonts w:hint="default" w:ascii="Times New Roman" w:hAnsi="Times New Roman" w:eastAsia="宋体" w:cs="Times New Roman"/>
          <w:sz w:val="24"/>
          <w:szCs w:val="24"/>
          <w:lang w:val="en-US" w:eastAsia="zh-CN"/>
        </w:rPr>
        <w:t>前文可知</w:t>
      </w:r>
      <w:r>
        <w:rPr>
          <w:rFonts w:hint="default" w:ascii="Times New Roman" w:hAnsi="Times New Roman" w:eastAsia="宋体" w:cs="Times New Roman"/>
          <w:sz w:val="24"/>
          <w:szCs w:val="24"/>
        </w:rPr>
        <w:t>，AI技术主要作用于研发效率与内容生产效率的提升，对企业资产规模的直接影响较小，因此并不会显著改变企业资产结构。</w:t>
      </w:r>
    </w:p>
    <w:p w14:paraId="673862C6">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综合来看，巨人网络总资产周转率保持稳定，主要原因在于企业营业收入与资产规模整体保持同步变化，同时主营业务结构较为稳定。AI技术在公司业务中的应用更多体现在研发效率提升和内容生产效率提升，对资产规模扩张影响有限，因此整体资产周转效率并未出现明显变化。</w:t>
      </w:r>
    </w:p>
    <w:p w14:paraId="4A3DAA79">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 世纪天鸿</w:t>
      </w:r>
    </w:p>
    <w:p w14:paraId="6E2E332A">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世纪天鸿2020—2024年的总资产周转率</w:t>
      </w:r>
      <w:r>
        <w:rPr>
          <w:rFonts w:hint="default" w:ascii="Times New Roman" w:hAnsi="Times New Roman" w:eastAsia="宋体" w:cs="Times New Roman"/>
          <w:sz w:val="24"/>
          <w:szCs w:val="24"/>
          <w:lang w:eastAsia="zh-CN"/>
        </w:rPr>
        <w:t>的</w:t>
      </w:r>
      <w:r>
        <w:rPr>
          <w:rFonts w:hint="default" w:ascii="Times New Roman" w:hAnsi="Times New Roman" w:eastAsia="宋体" w:cs="Times New Roman"/>
          <w:sz w:val="24"/>
          <w:szCs w:val="24"/>
        </w:rPr>
        <w:t>整体波动幅度较小</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从五年变化看，2024年较2020年仅下降0.017，降幅约3.48%，说明公司资产规模与收入增长基本保持同步，资产运营效率整体较为稳定。</w:t>
      </w:r>
    </w:p>
    <w:p w14:paraId="3293ACC8">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从表4-22所示的世纪天鸿资产规模与营业收入变化情况可以看出，公司营业收入在样本期内整体呈增长趋势，由2020年的3.57亿元增长至2024年的5.31亿元。同时，资产规模也同步扩大，由2020年的7.41亿元增长至2024年的11.27亿元。由于营业收入和资产规模基本保持同步增长，企业资产利用效率没有出现明显变化，因此总资产周转率整体保持稳定。</w:t>
      </w:r>
    </w:p>
    <w:p w14:paraId="1CA7581D">
      <w:pPr>
        <w:widowControl/>
        <w:tabs>
          <w:tab w:val="left" w:pos="377"/>
        </w:tabs>
        <w:autoSpaceDE/>
        <w:autoSpaceDN/>
        <w:snapToGrid/>
        <w:spacing w:before="156" w:beforeLines="50"/>
        <w:jc w:val="center"/>
        <w:rPr>
          <w:rFonts w:hint="default" w:ascii="Times New Roman" w:hAnsi="Times New Roman" w:eastAsia="宋体" w:cs="Times New Roman"/>
          <w:spacing w:val="10"/>
          <w:kern w:val="0"/>
          <w:szCs w:val="20"/>
          <w:lang w:val="en-US" w:eastAsia="zh-CN"/>
        </w:rPr>
      </w:pPr>
      <w:r>
        <w:rPr>
          <w:rFonts w:hint="default" w:ascii="Times New Roman" w:hAnsi="Times New Roman" w:eastAsia="宋体" w:cs="Times New Roman"/>
          <w:spacing w:val="10"/>
          <w:kern w:val="0"/>
          <w:szCs w:val="20"/>
          <w:lang w:val="en-US" w:eastAsia="zh-CN"/>
        </w:rPr>
        <w:t>表4-22 世纪天鸿资产规模与营业收入变化表</w:t>
      </w:r>
    </w:p>
    <w:tbl>
      <w:tblPr>
        <w:tblStyle w:val="7"/>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271"/>
        <w:gridCol w:w="3411"/>
        <w:gridCol w:w="3837"/>
      </w:tblGrid>
      <w:tr w14:paraId="5F85D62D">
        <w:trPr>
          <w:trHeight w:val="0" w:hRule="atLeast"/>
          <w:tblHeader/>
          <w:jc w:val="center"/>
        </w:trPr>
        <w:tc>
          <w:tcPr>
            <w:tcW w:w="1271" w:type="dxa"/>
            <w:tcBorders>
              <w:top w:val="single" w:color="auto" w:sz="12" w:space="0"/>
              <w:left w:val="nil"/>
              <w:bottom w:val="single" w:color="auto" w:sz="4" w:space="0"/>
              <w:right w:val="nil"/>
            </w:tcBorders>
            <w:shd w:val="clear" w:color="auto" w:fill="auto"/>
            <w:vAlign w:val="center"/>
          </w:tcPr>
          <w:p w14:paraId="473DB711">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年份</w:t>
            </w:r>
          </w:p>
        </w:tc>
        <w:tc>
          <w:tcPr>
            <w:tcW w:w="3411" w:type="dxa"/>
            <w:tcBorders>
              <w:top w:val="single" w:color="auto" w:sz="12" w:space="0"/>
              <w:left w:val="nil"/>
              <w:bottom w:val="single" w:color="auto" w:sz="4" w:space="0"/>
              <w:right w:val="nil"/>
            </w:tcBorders>
            <w:shd w:val="clear" w:color="auto" w:fill="auto"/>
            <w:vAlign w:val="center"/>
          </w:tcPr>
          <w:p w14:paraId="18833DE4">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资产总计（元）</w:t>
            </w:r>
          </w:p>
        </w:tc>
        <w:tc>
          <w:tcPr>
            <w:tcW w:w="3837" w:type="dxa"/>
            <w:tcBorders>
              <w:top w:val="single" w:color="auto" w:sz="12" w:space="0"/>
              <w:left w:val="nil"/>
              <w:bottom w:val="single" w:color="auto" w:sz="4" w:space="0"/>
              <w:right w:val="nil"/>
            </w:tcBorders>
            <w:shd w:val="clear" w:color="auto" w:fill="auto"/>
            <w:vAlign w:val="center"/>
          </w:tcPr>
          <w:p w14:paraId="49E32A64">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营业总收入（元）</w:t>
            </w:r>
          </w:p>
        </w:tc>
      </w:tr>
      <w:tr w14:paraId="2C25D63D">
        <w:trPr>
          <w:trHeight w:val="0" w:hRule="atLeast"/>
          <w:jc w:val="center"/>
        </w:trPr>
        <w:tc>
          <w:tcPr>
            <w:tcW w:w="1271" w:type="dxa"/>
            <w:tcBorders>
              <w:top w:val="single" w:color="auto" w:sz="4" w:space="0"/>
              <w:left w:val="nil"/>
              <w:bottom w:val="nil"/>
              <w:right w:val="nil"/>
            </w:tcBorders>
            <w:shd w:val="clear" w:color="auto" w:fill="auto"/>
            <w:vAlign w:val="center"/>
          </w:tcPr>
          <w:p w14:paraId="5441D488">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2020</w:t>
            </w:r>
          </w:p>
        </w:tc>
        <w:tc>
          <w:tcPr>
            <w:tcW w:w="3411" w:type="dxa"/>
            <w:tcBorders>
              <w:top w:val="single" w:color="auto" w:sz="4" w:space="0"/>
              <w:left w:val="nil"/>
              <w:bottom w:val="nil"/>
              <w:right w:val="nil"/>
            </w:tcBorders>
            <w:shd w:val="clear" w:color="auto" w:fill="auto"/>
            <w:vAlign w:val="center"/>
          </w:tcPr>
          <w:p w14:paraId="683E76ED">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740,945,173.80</w:t>
            </w:r>
          </w:p>
        </w:tc>
        <w:tc>
          <w:tcPr>
            <w:tcW w:w="3837" w:type="dxa"/>
            <w:tcBorders>
              <w:top w:val="single" w:color="auto" w:sz="4" w:space="0"/>
              <w:left w:val="nil"/>
              <w:bottom w:val="nil"/>
              <w:right w:val="nil"/>
            </w:tcBorders>
            <w:shd w:val="clear" w:color="auto" w:fill="auto"/>
            <w:vAlign w:val="center"/>
          </w:tcPr>
          <w:p w14:paraId="3B4873F0">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357,177,555.40</w:t>
            </w:r>
          </w:p>
        </w:tc>
      </w:tr>
      <w:tr w14:paraId="7A03B637">
        <w:trPr>
          <w:trHeight w:val="0" w:hRule="atLeast"/>
          <w:jc w:val="center"/>
        </w:trPr>
        <w:tc>
          <w:tcPr>
            <w:tcW w:w="1271" w:type="dxa"/>
            <w:tcBorders>
              <w:top w:val="nil"/>
              <w:left w:val="nil"/>
              <w:bottom w:val="nil"/>
              <w:right w:val="nil"/>
            </w:tcBorders>
            <w:shd w:val="clear" w:color="auto" w:fill="auto"/>
            <w:vAlign w:val="center"/>
          </w:tcPr>
          <w:p w14:paraId="603FC128">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2021</w:t>
            </w:r>
          </w:p>
        </w:tc>
        <w:tc>
          <w:tcPr>
            <w:tcW w:w="3411" w:type="dxa"/>
            <w:tcBorders>
              <w:top w:val="nil"/>
              <w:left w:val="nil"/>
              <w:bottom w:val="nil"/>
              <w:right w:val="nil"/>
            </w:tcBorders>
            <w:shd w:val="clear" w:color="auto" w:fill="auto"/>
            <w:vAlign w:val="center"/>
          </w:tcPr>
          <w:p w14:paraId="7F22CB0D">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774,866,979.80</w:t>
            </w:r>
          </w:p>
        </w:tc>
        <w:tc>
          <w:tcPr>
            <w:tcW w:w="3837" w:type="dxa"/>
            <w:tcBorders>
              <w:top w:val="nil"/>
              <w:left w:val="nil"/>
              <w:bottom w:val="nil"/>
              <w:right w:val="nil"/>
            </w:tcBorders>
            <w:shd w:val="clear" w:color="auto" w:fill="auto"/>
            <w:vAlign w:val="center"/>
          </w:tcPr>
          <w:p w14:paraId="0704696B">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411,354,179.40</w:t>
            </w:r>
          </w:p>
        </w:tc>
      </w:tr>
      <w:tr w14:paraId="33AE8005">
        <w:trPr>
          <w:trHeight w:val="0" w:hRule="atLeast"/>
          <w:jc w:val="center"/>
        </w:trPr>
        <w:tc>
          <w:tcPr>
            <w:tcW w:w="1271" w:type="dxa"/>
            <w:tcBorders>
              <w:top w:val="nil"/>
              <w:left w:val="nil"/>
              <w:bottom w:val="nil"/>
              <w:right w:val="nil"/>
            </w:tcBorders>
            <w:shd w:val="clear" w:color="auto" w:fill="auto"/>
            <w:vAlign w:val="center"/>
          </w:tcPr>
          <w:p w14:paraId="757D7A5A">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2022</w:t>
            </w:r>
          </w:p>
        </w:tc>
        <w:tc>
          <w:tcPr>
            <w:tcW w:w="3411" w:type="dxa"/>
            <w:tcBorders>
              <w:top w:val="nil"/>
              <w:left w:val="nil"/>
              <w:bottom w:val="nil"/>
              <w:right w:val="nil"/>
            </w:tcBorders>
            <w:shd w:val="clear" w:color="auto" w:fill="auto"/>
            <w:vAlign w:val="center"/>
          </w:tcPr>
          <w:p w14:paraId="3A39566C">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1,041,883,057</w:t>
            </w:r>
          </w:p>
        </w:tc>
        <w:tc>
          <w:tcPr>
            <w:tcW w:w="3837" w:type="dxa"/>
            <w:tcBorders>
              <w:top w:val="nil"/>
              <w:left w:val="nil"/>
              <w:bottom w:val="nil"/>
              <w:right w:val="nil"/>
            </w:tcBorders>
            <w:shd w:val="clear" w:color="auto" w:fill="auto"/>
            <w:vAlign w:val="center"/>
          </w:tcPr>
          <w:p w14:paraId="79A0D19D">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432,962,210.90</w:t>
            </w:r>
          </w:p>
        </w:tc>
      </w:tr>
      <w:tr w14:paraId="19F2DF40">
        <w:trPr>
          <w:trHeight w:val="0" w:hRule="atLeast"/>
          <w:jc w:val="center"/>
        </w:trPr>
        <w:tc>
          <w:tcPr>
            <w:tcW w:w="1271" w:type="dxa"/>
            <w:tcBorders>
              <w:top w:val="nil"/>
              <w:left w:val="nil"/>
              <w:bottom w:val="nil"/>
              <w:right w:val="nil"/>
            </w:tcBorders>
            <w:shd w:val="clear" w:color="auto" w:fill="auto"/>
            <w:vAlign w:val="center"/>
          </w:tcPr>
          <w:p w14:paraId="285DBD00">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2023</w:t>
            </w:r>
          </w:p>
        </w:tc>
        <w:tc>
          <w:tcPr>
            <w:tcW w:w="3411" w:type="dxa"/>
            <w:tcBorders>
              <w:top w:val="nil"/>
              <w:left w:val="nil"/>
              <w:bottom w:val="nil"/>
              <w:right w:val="nil"/>
            </w:tcBorders>
            <w:shd w:val="clear" w:color="auto" w:fill="auto"/>
            <w:vAlign w:val="center"/>
          </w:tcPr>
          <w:p w14:paraId="476986D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1,123,506,725</w:t>
            </w:r>
          </w:p>
        </w:tc>
        <w:tc>
          <w:tcPr>
            <w:tcW w:w="3837" w:type="dxa"/>
            <w:tcBorders>
              <w:top w:val="nil"/>
              <w:left w:val="nil"/>
              <w:bottom w:val="nil"/>
              <w:right w:val="nil"/>
            </w:tcBorders>
            <w:shd w:val="clear" w:color="auto" w:fill="auto"/>
            <w:vAlign w:val="center"/>
          </w:tcPr>
          <w:p w14:paraId="37C46D1A">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507,410,689</w:t>
            </w:r>
          </w:p>
        </w:tc>
      </w:tr>
      <w:tr w14:paraId="704F52A8">
        <w:trPr>
          <w:trHeight w:val="0" w:hRule="atLeast"/>
          <w:jc w:val="center"/>
        </w:trPr>
        <w:tc>
          <w:tcPr>
            <w:tcW w:w="1271" w:type="dxa"/>
            <w:tcBorders>
              <w:top w:val="nil"/>
              <w:left w:val="nil"/>
              <w:bottom w:val="single" w:color="auto" w:sz="12" w:space="0"/>
              <w:right w:val="nil"/>
            </w:tcBorders>
            <w:shd w:val="clear" w:color="auto" w:fill="auto"/>
            <w:vAlign w:val="center"/>
          </w:tcPr>
          <w:p w14:paraId="764C80DC">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2024</w:t>
            </w:r>
          </w:p>
        </w:tc>
        <w:tc>
          <w:tcPr>
            <w:tcW w:w="3411" w:type="dxa"/>
            <w:tcBorders>
              <w:top w:val="nil"/>
              <w:left w:val="nil"/>
              <w:bottom w:val="single" w:color="auto" w:sz="12" w:space="0"/>
              <w:right w:val="nil"/>
            </w:tcBorders>
            <w:shd w:val="clear" w:color="auto" w:fill="auto"/>
            <w:vAlign w:val="center"/>
          </w:tcPr>
          <w:p w14:paraId="562FDB7B">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1,127,350,271</w:t>
            </w:r>
          </w:p>
        </w:tc>
        <w:tc>
          <w:tcPr>
            <w:tcW w:w="3837" w:type="dxa"/>
            <w:tcBorders>
              <w:top w:val="nil"/>
              <w:left w:val="nil"/>
              <w:bottom w:val="single" w:color="auto" w:sz="12" w:space="0"/>
              <w:right w:val="nil"/>
            </w:tcBorders>
            <w:shd w:val="clear" w:color="auto" w:fill="auto"/>
            <w:vAlign w:val="center"/>
          </w:tcPr>
          <w:p w14:paraId="485525FF">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530,950,692.70</w:t>
            </w:r>
          </w:p>
        </w:tc>
      </w:tr>
    </w:tbl>
    <w:p w14:paraId="002C5754">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数据来源：</w:t>
      </w:r>
      <w:r>
        <w:rPr>
          <w:rFonts w:hint="eastAsia" w:ascii="Times New Roman" w:hAnsi="Times New Roman" w:eastAsia="宋体" w:cs="Times New Roman"/>
          <w:sz w:val="24"/>
          <w:szCs w:val="24"/>
          <w:lang w:val="en-US" w:eastAsia="zh-CN"/>
        </w:rPr>
        <w:t>i</w:t>
      </w:r>
      <w:r>
        <w:rPr>
          <w:rFonts w:hint="default" w:ascii="Times New Roman" w:hAnsi="Times New Roman" w:eastAsia="宋体" w:cs="Times New Roman"/>
          <w:sz w:val="24"/>
          <w:szCs w:val="24"/>
          <w:lang w:val="en-US" w:eastAsia="zh-CN"/>
        </w:rPr>
        <w:t>finD</w:t>
      </w:r>
      <w:r>
        <w:rPr>
          <w:rFonts w:hint="default" w:ascii="Times New Roman" w:hAnsi="Times New Roman" w:eastAsia="宋体" w:cs="Times New Roman"/>
          <w:sz w:val="24"/>
          <w:szCs w:val="24"/>
        </w:rPr>
        <w:t>数据库整理</w:t>
      </w:r>
    </w:p>
    <w:p w14:paraId="1D1EB89C">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进一步从主营业务结构来看，公司收入主要来源于教辅图书业务。根据公司年报披露，2024年教辅图书收入占主营收入的86.57%，策划费收入占比9.15%，其他业务占比较小，如表4-2</w:t>
      </w:r>
      <w:r>
        <w:rPr>
          <w:rFonts w:hint="default" w:ascii="Times New Roman" w:hAnsi="Times New Roman" w:eastAsia="宋体" w:cs="Times New Roman"/>
          <w:sz w:val="24"/>
          <w:szCs w:val="24"/>
          <w:lang w:val="en-US" w:eastAsia="zh-CN"/>
        </w:rPr>
        <w:t>3</w:t>
      </w:r>
      <w:r>
        <w:rPr>
          <w:rFonts w:hint="default" w:ascii="Times New Roman" w:hAnsi="Times New Roman" w:eastAsia="宋体" w:cs="Times New Roman"/>
          <w:sz w:val="24"/>
          <w:szCs w:val="24"/>
        </w:rPr>
        <w:t>所示。</w:t>
      </w:r>
    </w:p>
    <w:p w14:paraId="60004926">
      <w:pPr>
        <w:widowControl/>
        <w:tabs>
          <w:tab w:val="left" w:pos="377"/>
        </w:tabs>
        <w:autoSpaceDE/>
        <w:autoSpaceDN/>
        <w:snapToGrid/>
        <w:spacing w:before="156" w:beforeLines="50"/>
        <w:jc w:val="center"/>
        <w:rPr>
          <w:rFonts w:hint="default" w:ascii="Times New Roman" w:hAnsi="Times New Roman" w:eastAsia="宋体" w:cs="Times New Roman"/>
          <w:spacing w:val="10"/>
          <w:kern w:val="0"/>
          <w:szCs w:val="20"/>
          <w:lang w:val="en-US" w:eastAsia="zh-CN"/>
        </w:rPr>
      </w:pPr>
      <w:r>
        <w:rPr>
          <w:rFonts w:hint="default" w:ascii="Times New Roman" w:hAnsi="Times New Roman" w:eastAsia="宋体" w:cs="Times New Roman"/>
          <w:spacing w:val="10"/>
          <w:kern w:val="0"/>
          <w:szCs w:val="20"/>
          <w:lang w:val="en-US" w:eastAsia="zh-CN"/>
        </w:rPr>
        <w:t>表4-23 世纪天鸿主营业务结构表</w:t>
      </w:r>
    </w:p>
    <w:tbl>
      <w:tblPr>
        <w:tblStyle w:val="7"/>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259"/>
        <w:gridCol w:w="2295"/>
        <w:gridCol w:w="2078"/>
        <w:gridCol w:w="1887"/>
      </w:tblGrid>
      <w:tr w14:paraId="7F0C3710">
        <w:trPr>
          <w:trHeight w:val="0" w:hRule="atLeast"/>
          <w:tblHeader/>
          <w:jc w:val="center"/>
        </w:trPr>
        <w:tc>
          <w:tcPr>
            <w:tcW w:w="2259" w:type="dxa"/>
            <w:tcBorders>
              <w:top w:val="single" w:color="auto" w:sz="12" w:space="0"/>
              <w:left w:val="nil"/>
              <w:bottom w:val="single" w:color="auto" w:sz="4" w:space="0"/>
              <w:right w:val="nil"/>
            </w:tcBorders>
            <w:shd w:val="clear" w:color="auto" w:fill="auto"/>
            <w:vAlign w:val="center"/>
          </w:tcPr>
          <w:p w14:paraId="4F94D9C2">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产品类型</w:t>
            </w:r>
          </w:p>
        </w:tc>
        <w:tc>
          <w:tcPr>
            <w:tcW w:w="2295" w:type="dxa"/>
            <w:tcBorders>
              <w:top w:val="single" w:color="auto" w:sz="12" w:space="0"/>
              <w:left w:val="nil"/>
              <w:bottom w:val="single" w:color="auto" w:sz="4" w:space="0"/>
              <w:right w:val="nil"/>
            </w:tcBorders>
            <w:shd w:val="clear" w:color="auto" w:fill="auto"/>
            <w:vAlign w:val="center"/>
          </w:tcPr>
          <w:p w14:paraId="6A0059CA">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主营收入</w:t>
            </w:r>
          </w:p>
        </w:tc>
        <w:tc>
          <w:tcPr>
            <w:tcW w:w="2078" w:type="dxa"/>
            <w:tcBorders>
              <w:top w:val="single" w:color="auto" w:sz="12" w:space="0"/>
              <w:left w:val="nil"/>
              <w:bottom w:val="single" w:color="auto" w:sz="4" w:space="0"/>
              <w:right w:val="nil"/>
            </w:tcBorders>
            <w:shd w:val="clear" w:color="auto" w:fill="auto"/>
            <w:vAlign w:val="center"/>
          </w:tcPr>
          <w:p w14:paraId="1DAA50D9">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收入占比</w:t>
            </w:r>
          </w:p>
        </w:tc>
        <w:tc>
          <w:tcPr>
            <w:tcW w:w="1887" w:type="dxa"/>
            <w:tcBorders>
              <w:top w:val="single" w:color="auto" w:sz="12" w:space="0"/>
              <w:left w:val="nil"/>
              <w:bottom w:val="single" w:color="auto" w:sz="4" w:space="0"/>
              <w:right w:val="nil"/>
            </w:tcBorders>
            <w:shd w:val="clear" w:color="auto" w:fill="auto"/>
            <w:vAlign w:val="center"/>
          </w:tcPr>
          <w:p w14:paraId="7751506D">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毛利率</w:t>
            </w:r>
          </w:p>
        </w:tc>
      </w:tr>
      <w:tr w14:paraId="38B8BFBE">
        <w:trPr>
          <w:trHeight w:val="0" w:hRule="atLeast"/>
          <w:jc w:val="center"/>
        </w:trPr>
        <w:tc>
          <w:tcPr>
            <w:tcW w:w="2259" w:type="dxa"/>
            <w:tcBorders>
              <w:top w:val="single" w:color="auto" w:sz="4" w:space="0"/>
              <w:left w:val="nil"/>
              <w:bottom w:val="nil"/>
              <w:right w:val="nil"/>
            </w:tcBorders>
            <w:shd w:val="clear" w:color="auto" w:fill="FFFFFF"/>
            <w:vAlign w:val="center"/>
          </w:tcPr>
          <w:p w14:paraId="06192566">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教辅图书</w:t>
            </w:r>
          </w:p>
        </w:tc>
        <w:tc>
          <w:tcPr>
            <w:tcW w:w="2295" w:type="dxa"/>
            <w:tcBorders>
              <w:top w:val="single" w:color="auto" w:sz="4" w:space="0"/>
              <w:left w:val="nil"/>
              <w:bottom w:val="nil"/>
              <w:right w:val="nil"/>
            </w:tcBorders>
            <w:shd w:val="clear" w:color="auto" w:fill="FFFFFF"/>
            <w:vAlign w:val="center"/>
          </w:tcPr>
          <w:p w14:paraId="560C23D0">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4.596亿元</w:t>
            </w:r>
          </w:p>
        </w:tc>
        <w:tc>
          <w:tcPr>
            <w:tcW w:w="2078" w:type="dxa"/>
            <w:tcBorders>
              <w:top w:val="single" w:color="auto" w:sz="4" w:space="0"/>
              <w:left w:val="nil"/>
              <w:bottom w:val="nil"/>
              <w:right w:val="nil"/>
            </w:tcBorders>
            <w:shd w:val="clear" w:color="auto" w:fill="FFFFFF"/>
            <w:vAlign w:val="center"/>
          </w:tcPr>
          <w:p w14:paraId="16A084E2">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86.57%</w:t>
            </w:r>
          </w:p>
        </w:tc>
        <w:tc>
          <w:tcPr>
            <w:tcW w:w="1887" w:type="dxa"/>
            <w:tcBorders>
              <w:top w:val="single" w:color="auto" w:sz="4" w:space="0"/>
              <w:left w:val="nil"/>
              <w:bottom w:val="nil"/>
              <w:right w:val="nil"/>
            </w:tcBorders>
            <w:shd w:val="clear" w:color="auto" w:fill="FFFFFF"/>
            <w:vAlign w:val="center"/>
          </w:tcPr>
          <w:p w14:paraId="616C52F8">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36.87%</w:t>
            </w:r>
          </w:p>
        </w:tc>
      </w:tr>
      <w:tr w14:paraId="388D7695">
        <w:trPr>
          <w:trHeight w:val="0" w:hRule="atLeast"/>
          <w:jc w:val="center"/>
        </w:trPr>
        <w:tc>
          <w:tcPr>
            <w:tcW w:w="2259" w:type="dxa"/>
            <w:tcBorders>
              <w:top w:val="nil"/>
              <w:left w:val="nil"/>
              <w:bottom w:val="nil"/>
              <w:right w:val="nil"/>
            </w:tcBorders>
            <w:shd w:val="clear" w:color="auto" w:fill="FFFFFF"/>
            <w:vAlign w:val="center"/>
          </w:tcPr>
          <w:p w14:paraId="1244E4FF">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策划费</w:t>
            </w:r>
          </w:p>
        </w:tc>
        <w:tc>
          <w:tcPr>
            <w:tcW w:w="2295" w:type="dxa"/>
            <w:tcBorders>
              <w:top w:val="nil"/>
              <w:left w:val="nil"/>
              <w:bottom w:val="nil"/>
              <w:right w:val="nil"/>
            </w:tcBorders>
            <w:shd w:val="clear" w:color="auto" w:fill="FFFFFF"/>
            <w:vAlign w:val="center"/>
          </w:tcPr>
          <w:p w14:paraId="049BD5E8">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4859万元</w:t>
            </w:r>
          </w:p>
        </w:tc>
        <w:tc>
          <w:tcPr>
            <w:tcW w:w="2078" w:type="dxa"/>
            <w:tcBorders>
              <w:top w:val="nil"/>
              <w:left w:val="nil"/>
              <w:bottom w:val="nil"/>
              <w:right w:val="nil"/>
            </w:tcBorders>
            <w:shd w:val="clear" w:color="auto" w:fill="FFFFFF"/>
            <w:vAlign w:val="center"/>
          </w:tcPr>
          <w:p w14:paraId="2DC17D32">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9.15%</w:t>
            </w:r>
          </w:p>
        </w:tc>
        <w:tc>
          <w:tcPr>
            <w:tcW w:w="1887" w:type="dxa"/>
            <w:tcBorders>
              <w:top w:val="nil"/>
              <w:left w:val="nil"/>
              <w:bottom w:val="nil"/>
              <w:right w:val="nil"/>
            </w:tcBorders>
            <w:shd w:val="clear" w:color="auto" w:fill="FFFFFF"/>
            <w:vAlign w:val="center"/>
          </w:tcPr>
          <w:p w14:paraId="59823315">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46.07%</w:t>
            </w:r>
          </w:p>
        </w:tc>
      </w:tr>
      <w:tr w14:paraId="3F00BF3D">
        <w:trPr>
          <w:trHeight w:val="0" w:hRule="atLeast"/>
          <w:jc w:val="center"/>
        </w:trPr>
        <w:tc>
          <w:tcPr>
            <w:tcW w:w="2259" w:type="dxa"/>
            <w:tcBorders>
              <w:top w:val="nil"/>
              <w:left w:val="nil"/>
              <w:bottom w:val="nil"/>
              <w:right w:val="nil"/>
            </w:tcBorders>
            <w:shd w:val="clear" w:color="auto" w:fill="FFFFFF"/>
            <w:vAlign w:val="center"/>
          </w:tcPr>
          <w:p w14:paraId="3EA450BD">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商品销售</w:t>
            </w:r>
          </w:p>
        </w:tc>
        <w:tc>
          <w:tcPr>
            <w:tcW w:w="2295" w:type="dxa"/>
            <w:tcBorders>
              <w:top w:val="nil"/>
              <w:left w:val="nil"/>
              <w:bottom w:val="nil"/>
              <w:right w:val="nil"/>
            </w:tcBorders>
            <w:shd w:val="clear" w:color="auto" w:fill="FFFFFF"/>
            <w:vAlign w:val="center"/>
          </w:tcPr>
          <w:p w14:paraId="033C524C">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1070万元</w:t>
            </w:r>
          </w:p>
        </w:tc>
        <w:tc>
          <w:tcPr>
            <w:tcW w:w="2078" w:type="dxa"/>
            <w:tcBorders>
              <w:top w:val="nil"/>
              <w:left w:val="nil"/>
              <w:bottom w:val="nil"/>
              <w:right w:val="nil"/>
            </w:tcBorders>
            <w:shd w:val="clear" w:color="auto" w:fill="FFFFFF"/>
            <w:vAlign w:val="center"/>
          </w:tcPr>
          <w:p w14:paraId="015AB281">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2.02%</w:t>
            </w:r>
          </w:p>
        </w:tc>
        <w:tc>
          <w:tcPr>
            <w:tcW w:w="1887" w:type="dxa"/>
            <w:tcBorders>
              <w:top w:val="nil"/>
              <w:left w:val="nil"/>
              <w:bottom w:val="nil"/>
              <w:right w:val="nil"/>
            </w:tcBorders>
            <w:shd w:val="clear" w:color="auto" w:fill="FFFFFF"/>
            <w:vAlign w:val="center"/>
          </w:tcPr>
          <w:p w14:paraId="1F191881">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11.02%</w:t>
            </w:r>
          </w:p>
        </w:tc>
      </w:tr>
      <w:tr w14:paraId="04FEADD0">
        <w:trPr>
          <w:trHeight w:val="0" w:hRule="atLeast"/>
          <w:jc w:val="center"/>
        </w:trPr>
        <w:tc>
          <w:tcPr>
            <w:tcW w:w="2259" w:type="dxa"/>
            <w:tcBorders>
              <w:top w:val="nil"/>
              <w:left w:val="nil"/>
              <w:bottom w:val="nil"/>
              <w:right w:val="nil"/>
            </w:tcBorders>
            <w:shd w:val="clear" w:color="auto" w:fill="FFFFFF"/>
            <w:vAlign w:val="center"/>
          </w:tcPr>
          <w:p w14:paraId="5ADC065E">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其他(补充)</w:t>
            </w:r>
          </w:p>
        </w:tc>
        <w:tc>
          <w:tcPr>
            <w:tcW w:w="2295" w:type="dxa"/>
            <w:tcBorders>
              <w:top w:val="nil"/>
              <w:left w:val="nil"/>
              <w:bottom w:val="nil"/>
              <w:right w:val="nil"/>
            </w:tcBorders>
            <w:shd w:val="clear" w:color="auto" w:fill="FFFFFF"/>
            <w:vAlign w:val="center"/>
          </w:tcPr>
          <w:p w14:paraId="26840A11">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560.7万元</w:t>
            </w:r>
          </w:p>
        </w:tc>
        <w:tc>
          <w:tcPr>
            <w:tcW w:w="2078" w:type="dxa"/>
            <w:tcBorders>
              <w:top w:val="nil"/>
              <w:left w:val="nil"/>
              <w:bottom w:val="nil"/>
              <w:right w:val="nil"/>
            </w:tcBorders>
            <w:shd w:val="clear" w:color="auto" w:fill="FFFFFF"/>
            <w:vAlign w:val="center"/>
          </w:tcPr>
          <w:p w14:paraId="59FF4C4E">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1.06%</w:t>
            </w:r>
          </w:p>
        </w:tc>
        <w:tc>
          <w:tcPr>
            <w:tcW w:w="1887" w:type="dxa"/>
            <w:tcBorders>
              <w:top w:val="nil"/>
              <w:left w:val="nil"/>
              <w:bottom w:val="nil"/>
              <w:right w:val="nil"/>
            </w:tcBorders>
            <w:shd w:val="clear" w:color="auto" w:fill="FFFFFF"/>
            <w:vAlign w:val="center"/>
          </w:tcPr>
          <w:p w14:paraId="6161C96E">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57.59%</w:t>
            </w:r>
          </w:p>
        </w:tc>
      </w:tr>
      <w:tr w14:paraId="70C4FD18">
        <w:trPr>
          <w:trHeight w:val="0" w:hRule="atLeast"/>
          <w:jc w:val="center"/>
        </w:trPr>
        <w:tc>
          <w:tcPr>
            <w:tcW w:w="2259" w:type="dxa"/>
            <w:tcBorders>
              <w:top w:val="nil"/>
              <w:left w:val="nil"/>
              <w:bottom w:val="nil"/>
              <w:right w:val="nil"/>
            </w:tcBorders>
            <w:shd w:val="clear" w:color="auto" w:fill="FFFFFF"/>
            <w:vAlign w:val="center"/>
          </w:tcPr>
          <w:p w14:paraId="0FA5E19E">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咨询服务</w:t>
            </w:r>
          </w:p>
        </w:tc>
        <w:tc>
          <w:tcPr>
            <w:tcW w:w="2295" w:type="dxa"/>
            <w:tcBorders>
              <w:top w:val="nil"/>
              <w:left w:val="nil"/>
              <w:bottom w:val="nil"/>
              <w:right w:val="nil"/>
            </w:tcBorders>
            <w:shd w:val="clear" w:color="auto" w:fill="FFFFFF"/>
            <w:vAlign w:val="center"/>
          </w:tcPr>
          <w:p w14:paraId="400C28DC">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530.6万元</w:t>
            </w:r>
          </w:p>
        </w:tc>
        <w:tc>
          <w:tcPr>
            <w:tcW w:w="2078" w:type="dxa"/>
            <w:tcBorders>
              <w:top w:val="nil"/>
              <w:left w:val="nil"/>
              <w:bottom w:val="nil"/>
              <w:right w:val="nil"/>
            </w:tcBorders>
            <w:shd w:val="clear" w:color="auto" w:fill="FFFFFF"/>
            <w:vAlign w:val="center"/>
          </w:tcPr>
          <w:p w14:paraId="4048156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1.00%</w:t>
            </w:r>
          </w:p>
        </w:tc>
        <w:tc>
          <w:tcPr>
            <w:tcW w:w="1887" w:type="dxa"/>
            <w:tcBorders>
              <w:top w:val="nil"/>
              <w:left w:val="nil"/>
              <w:bottom w:val="nil"/>
              <w:right w:val="nil"/>
            </w:tcBorders>
            <w:shd w:val="clear" w:color="auto" w:fill="FFFFFF"/>
            <w:vAlign w:val="center"/>
          </w:tcPr>
          <w:p w14:paraId="4935FF6B">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76.16%</w:t>
            </w:r>
          </w:p>
        </w:tc>
      </w:tr>
      <w:tr w14:paraId="3258B2C8">
        <w:trPr>
          <w:trHeight w:val="0" w:hRule="atLeast"/>
          <w:jc w:val="center"/>
        </w:trPr>
        <w:tc>
          <w:tcPr>
            <w:tcW w:w="2259" w:type="dxa"/>
            <w:tcBorders>
              <w:top w:val="nil"/>
              <w:left w:val="nil"/>
              <w:bottom w:val="single" w:color="auto" w:sz="12" w:space="0"/>
              <w:right w:val="nil"/>
            </w:tcBorders>
            <w:shd w:val="clear" w:color="auto" w:fill="FFFFFF"/>
            <w:vAlign w:val="center"/>
          </w:tcPr>
          <w:p w14:paraId="105E3775">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技术服务</w:t>
            </w:r>
          </w:p>
        </w:tc>
        <w:tc>
          <w:tcPr>
            <w:tcW w:w="2295" w:type="dxa"/>
            <w:tcBorders>
              <w:top w:val="nil"/>
              <w:left w:val="nil"/>
              <w:bottom w:val="single" w:color="auto" w:sz="12" w:space="0"/>
              <w:right w:val="nil"/>
            </w:tcBorders>
            <w:shd w:val="clear" w:color="auto" w:fill="FFFFFF"/>
            <w:vAlign w:val="center"/>
          </w:tcPr>
          <w:p w14:paraId="48F6E037">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111.2万元</w:t>
            </w:r>
          </w:p>
        </w:tc>
        <w:tc>
          <w:tcPr>
            <w:tcW w:w="2078" w:type="dxa"/>
            <w:tcBorders>
              <w:top w:val="nil"/>
              <w:left w:val="nil"/>
              <w:bottom w:val="single" w:color="auto" w:sz="12" w:space="0"/>
              <w:right w:val="nil"/>
            </w:tcBorders>
            <w:shd w:val="clear" w:color="auto" w:fill="FFFFFF"/>
            <w:vAlign w:val="center"/>
          </w:tcPr>
          <w:p w14:paraId="207EB258">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0.21%</w:t>
            </w:r>
          </w:p>
        </w:tc>
        <w:tc>
          <w:tcPr>
            <w:tcW w:w="1887" w:type="dxa"/>
            <w:tcBorders>
              <w:top w:val="nil"/>
              <w:left w:val="nil"/>
              <w:bottom w:val="single" w:color="auto" w:sz="12" w:space="0"/>
              <w:right w:val="nil"/>
            </w:tcBorders>
            <w:shd w:val="clear" w:color="auto" w:fill="FFFFFF"/>
            <w:vAlign w:val="center"/>
          </w:tcPr>
          <w:p w14:paraId="62E8B5A1">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-10.11%</w:t>
            </w:r>
          </w:p>
        </w:tc>
      </w:tr>
    </w:tbl>
    <w:p w14:paraId="4E1C1181">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数据来源：</w:t>
      </w:r>
      <w:r>
        <w:rPr>
          <w:rFonts w:hint="eastAsia" w:ascii="Times New Roman" w:hAnsi="Times New Roman" w:eastAsia="宋体" w:cs="Times New Roman"/>
          <w:sz w:val="24"/>
          <w:szCs w:val="24"/>
          <w:lang w:val="en-US" w:eastAsia="zh-CN"/>
        </w:rPr>
        <w:t>东方财富网</w:t>
      </w:r>
      <w:r>
        <w:rPr>
          <w:rFonts w:hint="default" w:ascii="Times New Roman" w:hAnsi="Times New Roman" w:eastAsia="宋体" w:cs="Times New Roman"/>
          <w:sz w:val="24"/>
          <w:szCs w:val="24"/>
        </w:rPr>
        <w:t>整理</w:t>
      </w:r>
    </w:p>
    <w:p w14:paraId="3B3378DF">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2020—2024年期间，教辅图书收入长期占公司主营收入的80%以上，是企业收入的主要来源。例如2020年教辅图书收入占比为88.78%，2024年仍保持在86.57%。由于出版发行类业务具有较为稳定的市场需求和发行渠道体系，企业收入规模通常不会出现剧烈波动，这也使得营业收入增长节奏相对平稳。</w:t>
      </w:r>
    </w:p>
    <w:p w14:paraId="3F473E9A">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近年来，公司开始探索人工智能在教育领域的应用，例如教育内容数字化、AI学习辅助工具等。但从主营业务结构来看，相关技术服务和数字化产品收入占比仍然较小。例如2024年技术服务收入仅占主营收入约0.21%，说明AI相关业务目前仍处于探索和培育阶段，对整体收入规模影响有限。</w:t>
      </w:r>
    </w:p>
    <w:p w14:paraId="2EEF2A14">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因此，从资产运营效率角度看，世纪天鸿总资产周转率保持稳定，主要原因在于企业营业收入增长与资产规模扩张基本同步，同时主营业务结构较为稳定。AI相关业务虽然开始布局，但目前仍处于早期发展阶段，对企业资产结构和收入规模的影响尚未明显体现，因此企业整体资产周转效率未出现明显变化。</w:t>
      </w:r>
    </w:p>
    <w:p w14:paraId="7EB66E45">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3. 思美传媒</w:t>
      </w:r>
    </w:p>
    <w:p w14:paraId="200FE18C">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思美传媒2020—2024年的总资产周转率由1.083提升至2.301，在样本企业中处于较高水平，并呈持续上升趋势，是样本企业中资产周转率较高的一类。</w:t>
      </w:r>
    </w:p>
    <w:p w14:paraId="22AF4D3B">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从表4-2</w:t>
      </w:r>
      <w:r>
        <w:rPr>
          <w:rFonts w:hint="default" w:ascii="Times New Roman" w:hAnsi="Times New Roman" w:eastAsia="宋体" w:cs="Times New Roman"/>
          <w:sz w:val="24"/>
          <w:szCs w:val="24"/>
          <w:lang w:val="en-US" w:eastAsia="zh-CN"/>
        </w:rPr>
        <w:t>4</w:t>
      </w:r>
      <w:r>
        <w:rPr>
          <w:rFonts w:hint="default" w:ascii="Times New Roman" w:hAnsi="Times New Roman" w:eastAsia="宋体" w:cs="Times New Roman"/>
          <w:sz w:val="24"/>
          <w:szCs w:val="24"/>
        </w:rPr>
        <w:t>可</w:t>
      </w:r>
      <w:r>
        <w:rPr>
          <w:rFonts w:hint="default" w:ascii="Times New Roman" w:hAnsi="Times New Roman" w:eastAsia="宋体" w:cs="Times New Roman"/>
          <w:sz w:val="24"/>
          <w:szCs w:val="24"/>
          <w:lang w:val="en-US" w:eastAsia="zh-CN"/>
        </w:rPr>
        <w:t>见</w:t>
      </w:r>
      <w:r>
        <w:rPr>
          <w:rFonts w:hint="default" w:ascii="Times New Roman" w:hAnsi="Times New Roman" w:eastAsia="宋体" w:cs="Times New Roman"/>
          <w:sz w:val="24"/>
          <w:szCs w:val="24"/>
        </w:rPr>
        <w:t>，公司营业收入在样本期内整体呈增长趋势，由2020年的39.61亿元增长至2024年的61.76亿元，增长幅度较为明显；与此同时，公司资产规模整体变化相对有限，2020—2024年基本维持在25亿—29亿元之间波动。由于营业收入增长速度明显快于资产规模变化，企业利用既有资产创造收入的能力持续提升，从而推动总资产周转率不断提高。</w:t>
      </w:r>
    </w:p>
    <w:p w14:paraId="57BCA269">
      <w:pPr>
        <w:widowControl/>
        <w:tabs>
          <w:tab w:val="left" w:pos="377"/>
        </w:tabs>
        <w:autoSpaceDE/>
        <w:autoSpaceDN/>
        <w:snapToGrid/>
        <w:spacing w:before="156" w:beforeLines="50"/>
        <w:jc w:val="center"/>
        <w:rPr>
          <w:rFonts w:hint="default" w:ascii="Times New Roman" w:hAnsi="Times New Roman" w:eastAsia="宋体" w:cs="Times New Roman"/>
          <w:spacing w:val="10"/>
          <w:kern w:val="0"/>
          <w:szCs w:val="20"/>
          <w:lang w:val="en-US" w:eastAsia="zh-CN"/>
        </w:rPr>
      </w:pPr>
      <w:r>
        <w:rPr>
          <w:rFonts w:hint="default" w:ascii="Times New Roman" w:hAnsi="Times New Roman" w:eastAsia="宋体" w:cs="Times New Roman"/>
          <w:spacing w:val="10"/>
          <w:kern w:val="0"/>
          <w:szCs w:val="20"/>
          <w:lang w:val="en-US" w:eastAsia="zh-CN"/>
        </w:rPr>
        <w:t>表4-24 思美传媒资产规模与营业收入变化表</w:t>
      </w:r>
    </w:p>
    <w:tbl>
      <w:tblPr>
        <w:tblStyle w:val="7"/>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251"/>
        <w:gridCol w:w="3417"/>
        <w:gridCol w:w="3851"/>
      </w:tblGrid>
      <w:tr w14:paraId="6754D069">
        <w:trPr>
          <w:trHeight w:val="0" w:hRule="atLeast"/>
          <w:tblHeader/>
          <w:jc w:val="center"/>
        </w:trPr>
        <w:tc>
          <w:tcPr>
            <w:tcW w:w="1251" w:type="dxa"/>
            <w:tcBorders>
              <w:top w:val="single" w:color="000000" w:sz="12" w:space="0"/>
              <w:left w:val="nil"/>
              <w:bottom w:val="single" w:color="000000" w:sz="8" w:space="0"/>
              <w:right w:val="nil"/>
            </w:tcBorders>
            <w:shd w:val="clear" w:color="auto" w:fill="auto"/>
            <w:vAlign w:val="center"/>
          </w:tcPr>
          <w:p w14:paraId="3F24082B">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4"/>
                <w:szCs w:val="24"/>
                <w:u w:val="none"/>
              </w:rPr>
            </w:pPr>
            <w:r>
              <w:rPr>
                <w:rFonts w:hint="default" w:ascii="Times New Roman" w:hAnsi="Times New Roman" w:eastAsia="宋体" w:cs="Times New Roman"/>
                <w:b/>
                <w:bCs/>
                <w:i w:val="0"/>
                <w:iCs w:val="0"/>
                <w:color w:val="000000"/>
                <w:kern w:val="0"/>
                <w:sz w:val="24"/>
                <w:szCs w:val="24"/>
                <w:u w:val="none"/>
                <w:lang w:val="en-US" w:eastAsia="zh-CN" w:bidi="ar"/>
              </w:rPr>
              <w:t>年份</w:t>
            </w:r>
          </w:p>
        </w:tc>
        <w:tc>
          <w:tcPr>
            <w:tcW w:w="3417" w:type="dxa"/>
            <w:tcBorders>
              <w:top w:val="single" w:color="000000" w:sz="12" w:space="0"/>
              <w:left w:val="nil"/>
              <w:bottom w:val="single" w:color="000000" w:sz="8" w:space="0"/>
              <w:right w:val="nil"/>
            </w:tcBorders>
            <w:shd w:val="clear" w:color="auto" w:fill="auto"/>
            <w:vAlign w:val="center"/>
          </w:tcPr>
          <w:p w14:paraId="5ED9A07B">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4"/>
                <w:szCs w:val="24"/>
                <w:u w:val="none"/>
              </w:rPr>
            </w:pPr>
            <w:r>
              <w:rPr>
                <w:rFonts w:hint="default" w:ascii="Times New Roman" w:hAnsi="Times New Roman" w:eastAsia="宋体" w:cs="Times New Roman"/>
                <w:b/>
                <w:bCs/>
                <w:i w:val="0"/>
                <w:iCs w:val="0"/>
                <w:color w:val="000000"/>
                <w:kern w:val="0"/>
                <w:sz w:val="24"/>
                <w:szCs w:val="24"/>
                <w:u w:val="none"/>
                <w:lang w:val="en-US" w:eastAsia="zh-CN" w:bidi="ar"/>
              </w:rPr>
              <w:t>资产总计（元）</w:t>
            </w:r>
          </w:p>
        </w:tc>
        <w:tc>
          <w:tcPr>
            <w:tcW w:w="3851" w:type="dxa"/>
            <w:tcBorders>
              <w:top w:val="single" w:color="000000" w:sz="12" w:space="0"/>
              <w:left w:val="nil"/>
              <w:bottom w:val="single" w:color="000000" w:sz="8" w:space="0"/>
              <w:right w:val="nil"/>
            </w:tcBorders>
            <w:shd w:val="clear" w:color="auto" w:fill="auto"/>
            <w:vAlign w:val="center"/>
          </w:tcPr>
          <w:p w14:paraId="63FCAFAC">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4"/>
                <w:szCs w:val="24"/>
                <w:u w:val="none"/>
              </w:rPr>
            </w:pPr>
            <w:r>
              <w:rPr>
                <w:rFonts w:hint="default" w:ascii="Times New Roman" w:hAnsi="Times New Roman" w:eastAsia="宋体" w:cs="Times New Roman"/>
                <w:b/>
                <w:bCs/>
                <w:i w:val="0"/>
                <w:iCs w:val="0"/>
                <w:color w:val="000000"/>
                <w:kern w:val="0"/>
                <w:sz w:val="24"/>
                <w:szCs w:val="24"/>
                <w:u w:val="none"/>
                <w:lang w:val="en-US" w:eastAsia="zh-CN" w:bidi="ar"/>
              </w:rPr>
              <w:t>营业总收入（元）</w:t>
            </w:r>
          </w:p>
        </w:tc>
      </w:tr>
      <w:tr w14:paraId="174924BA">
        <w:trPr>
          <w:trHeight w:val="0" w:hRule="atLeast"/>
          <w:jc w:val="center"/>
        </w:trPr>
        <w:tc>
          <w:tcPr>
            <w:tcW w:w="1251" w:type="dxa"/>
            <w:tcBorders>
              <w:top w:val="nil"/>
              <w:left w:val="nil"/>
              <w:bottom w:val="nil"/>
              <w:right w:val="nil"/>
            </w:tcBorders>
            <w:shd w:val="clear" w:color="auto" w:fill="auto"/>
            <w:vAlign w:val="center"/>
          </w:tcPr>
          <w:p w14:paraId="333C7CC7">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2020</w:t>
            </w:r>
          </w:p>
        </w:tc>
        <w:tc>
          <w:tcPr>
            <w:tcW w:w="3417" w:type="dxa"/>
            <w:tcBorders>
              <w:top w:val="nil"/>
              <w:left w:val="nil"/>
              <w:bottom w:val="nil"/>
              <w:right w:val="nil"/>
            </w:tcBorders>
            <w:shd w:val="clear" w:color="auto" w:fill="auto"/>
            <w:vAlign w:val="center"/>
          </w:tcPr>
          <w:p w14:paraId="3BD71C68">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2,746,908,355</w:t>
            </w:r>
          </w:p>
        </w:tc>
        <w:tc>
          <w:tcPr>
            <w:tcW w:w="3851" w:type="dxa"/>
            <w:tcBorders>
              <w:top w:val="nil"/>
              <w:left w:val="nil"/>
              <w:bottom w:val="nil"/>
              <w:right w:val="nil"/>
            </w:tcBorders>
            <w:shd w:val="clear" w:color="auto" w:fill="auto"/>
            <w:vAlign w:val="center"/>
          </w:tcPr>
          <w:p w14:paraId="708B5302">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3,960,546,275</w:t>
            </w:r>
          </w:p>
        </w:tc>
      </w:tr>
      <w:tr w14:paraId="516778E9">
        <w:trPr>
          <w:trHeight w:val="0" w:hRule="atLeast"/>
          <w:jc w:val="center"/>
        </w:trPr>
        <w:tc>
          <w:tcPr>
            <w:tcW w:w="1251" w:type="dxa"/>
            <w:tcBorders>
              <w:top w:val="nil"/>
              <w:left w:val="nil"/>
              <w:bottom w:val="nil"/>
              <w:right w:val="nil"/>
            </w:tcBorders>
            <w:shd w:val="clear" w:color="auto" w:fill="auto"/>
            <w:vAlign w:val="center"/>
          </w:tcPr>
          <w:p w14:paraId="515A2E53">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2021</w:t>
            </w:r>
          </w:p>
        </w:tc>
        <w:tc>
          <w:tcPr>
            <w:tcW w:w="3417" w:type="dxa"/>
            <w:tcBorders>
              <w:top w:val="nil"/>
              <w:left w:val="nil"/>
              <w:bottom w:val="nil"/>
              <w:right w:val="nil"/>
            </w:tcBorders>
            <w:shd w:val="clear" w:color="auto" w:fill="auto"/>
            <w:vAlign w:val="center"/>
          </w:tcPr>
          <w:p w14:paraId="5A75E998">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2,951,804,104</w:t>
            </w:r>
          </w:p>
        </w:tc>
        <w:tc>
          <w:tcPr>
            <w:tcW w:w="3851" w:type="dxa"/>
            <w:tcBorders>
              <w:top w:val="nil"/>
              <w:left w:val="nil"/>
              <w:bottom w:val="nil"/>
              <w:right w:val="nil"/>
            </w:tcBorders>
            <w:shd w:val="clear" w:color="auto" w:fill="auto"/>
            <w:vAlign w:val="center"/>
          </w:tcPr>
          <w:p w14:paraId="3513D997">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4,450,594,972</w:t>
            </w:r>
          </w:p>
        </w:tc>
      </w:tr>
      <w:tr w14:paraId="583EC8BF">
        <w:trPr>
          <w:trHeight w:val="0" w:hRule="atLeast"/>
          <w:jc w:val="center"/>
        </w:trPr>
        <w:tc>
          <w:tcPr>
            <w:tcW w:w="1251" w:type="dxa"/>
            <w:tcBorders>
              <w:top w:val="nil"/>
              <w:left w:val="nil"/>
              <w:bottom w:val="nil"/>
              <w:right w:val="nil"/>
            </w:tcBorders>
            <w:shd w:val="clear" w:color="auto" w:fill="auto"/>
            <w:vAlign w:val="center"/>
          </w:tcPr>
          <w:p w14:paraId="5B07960A">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2022</w:t>
            </w:r>
          </w:p>
        </w:tc>
        <w:tc>
          <w:tcPr>
            <w:tcW w:w="3417" w:type="dxa"/>
            <w:tcBorders>
              <w:top w:val="nil"/>
              <w:left w:val="nil"/>
              <w:bottom w:val="nil"/>
              <w:right w:val="nil"/>
            </w:tcBorders>
            <w:shd w:val="clear" w:color="auto" w:fill="auto"/>
            <w:vAlign w:val="center"/>
          </w:tcPr>
          <w:p w14:paraId="12578D4B">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2,396,965,991</w:t>
            </w:r>
          </w:p>
        </w:tc>
        <w:tc>
          <w:tcPr>
            <w:tcW w:w="3851" w:type="dxa"/>
            <w:tcBorders>
              <w:top w:val="nil"/>
              <w:left w:val="nil"/>
              <w:bottom w:val="nil"/>
              <w:right w:val="nil"/>
            </w:tcBorders>
            <w:shd w:val="clear" w:color="auto" w:fill="auto"/>
            <w:vAlign w:val="center"/>
          </w:tcPr>
          <w:p w14:paraId="1332278C">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4,185,681,285</w:t>
            </w:r>
          </w:p>
        </w:tc>
      </w:tr>
      <w:tr w14:paraId="315DD91A">
        <w:trPr>
          <w:trHeight w:val="0" w:hRule="atLeast"/>
          <w:jc w:val="center"/>
        </w:trPr>
        <w:tc>
          <w:tcPr>
            <w:tcW w:w="1251" w:type="dxa"/>
            <w:tcBorders>
              <w:top w:val="nil"/>
              <w:left w:val="nil"/>
              <w:bottom w:val="nil"/>
              <w:right w:val="nil"/>
            </w:tcBorders>
            <w:shd w:val="clear" w:color="auto" w:fill="auto"/>
            <w:vAlign w:val="center"/>
          </w:tcPr>
          <w:p w14:paraId="1900EF3F">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2023</w:t>
            </w:r>
          </w:p>
        </w:tc>
        <w:tc>
          <w:tcPr>
            <w:tcW w:w="3417" w:type="dxa"/>
            <w:tcBorders>
              <w:top w:val="nil"/>
              <w:left w:val="nil"/>
              <w:bottom w:val="nil"/>
              <w:right w:val="nil"/>
            </w:tcBorders>
            <w:shd w:val="clear" w:color="auto" w:fill="auto"/>
            <w:vAlign w:val="center"/>
          </w:tcPr>
          <w:p w14:paraId="51DFE820">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2,499,498,172</w:t>
            </w:r>
          </w:p>
        </w:tc>
        <w:tc>
          <w:tcPr>
            <w:tcW w:w="3851" w:type="dxa"/>
            <w:tcBorders>
              <w:top w:val="nil"/>
              <w:left w:val="nil"/>
              <w:bottom w:val="nil"/>
              <w:right w:val="nil"/>
            </w:tcBorders>
            <w:shd w:val="clear" w:color="auto" w:fill="auto"/>
            <w:vAlign w:val="center"/>
          </w:tcPr>
          <w:p w14:paraId="63E0DD11">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5,558,547,077</w:t>
            </w:r>
          </w:p>
        </w:tc>
      </w:tr>
      <w:tr w14:paraId="2A9725C1">
        <w:trPr>
          <w:trHeight w:val="0" w:hRule="atLeast"/>
          <w:jc w:val="center"/>
        </w:trPr>
        <w:tc>
          <w:tcPr>
            <w:tcW w:w="1251" w:type="dxa"/>
            <w:tcBorders>
              <w:top w:val="nil"/>
              <w:left w:val="nil"/>
              <w:bottom w:val="single" w:color="000000" w:sz="12" w:space="0"/>
              <w:right w:val="nil"/>
            </w:tcBorders>
            <w:shd w:val="clear" w:color="auto" w:fill="auto"/>
            <w:vAlign w:val="center"/>
          </w:tcPr>
          <w:p w14:paraId="6FC847F1">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2024</w:t>
            </w:r>
          </w:p>
        </w:tc>
        <w:tc>
          <w:tcPr>
            <w:tcW w:w="3417" w:type="dxa"/>
            <w:tcBorders>
              <w:top w:val="nil"/>
              <w:left w:val="nil"/>
              <w:bottom w:val="single" w:color="000000" w:sz="12" w:space="0"/>
              <w:right w:val="nil"/>
            </w:tcBorders>
            <w:shd w:val="clear" w:color="auto" w:fill="auto"/>
            <w:vAlign w:val="center"/>
          </w:tcPr>
          <w:p w14:paraId="6E48D23D">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2,869,686,762</w:t>
            </w:r>
          </w:p>
        </w:tc>
        <w:tc>
          <w:tcPr>
            <w:tcW w:w="3851" w:type="dxa"/>
            <w:tcBorders>
              <w:top w:val="nil"/>
              <w:left w:val="nil"/>
              <w:bottom w:val="single" w:color="000000" w:sz="12" w:space="0"/>
              <w:right w:val="nil"/>
            </w:tcBorders>
            <w:shd w:val="clear" w:color="auto" w:fill="auto"/>
            <w:vAlign w:val="center"/>
          </w:tcPr>
          <w:p w14:paraId="2E89317A">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6,176,146,965</w:t>
            </w:r>
          </w:p>
        </w:tc>
      </w:tr>
    </w:tbl>
    <w:p w14:paraId="2A6EC4EC">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数据来源：</w:t>
      </w:r>
      <w:r>
        <w:rPr>
          <w:rFonts w:hint="eastAsia" w:ascii="Times New Roman" w:hAnsi="Times New Roman" w:eastAsia="宋体" w:cs="Times New Roman"/>
          <w:sz w:val="24"/>
          <w:szCs w:val="24"/>
          <w:lang w:val="en-US" w:eastAsia="zh-CN"/>
        </w:rPr>
        <w:t>i</w:t>
      </w:r>
      <w:r>
        <w:rPr>
          <w:rFonts w:hint="default" w:ascii="Times New Roman" w:hAnsi="Times New Roman" w:eastAsia="宋体" w:cs="Times New Roman"/>
          <w:sz w:val="24"/>
          <w:szCs w:val="24"/>
          <w:lang w:val="en-US" w:eastAsia="zh-CN"/>
        </w:rPr>
        <w:t>finD</w:t>
      </w:r>
      <w:r>
        <w:rPr>
          <w:rFonts w:hint="default" w:ascii="Times New Roman" w:hAnsi="Times New Roman" w:eastAsia="宋体" w:cs="Times New Roman"/>
          <w:sz w:val="24"/>
          <w:szCs w:val="24"/>
        </w:rPr>
        <w:t>数据库整理</w:t>
      </w:r>
    </w:p>
    <w:p w14:paraId="492273AF">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进一步从主营业务结构来看，公司收入主要来源于营销服务业务。根据公司年报披露，2024年营销服务收入占主营收入的99.63%，是企业最主要的收入来源，如表4-2</w:t>
      </w:r>
      <w:r>
        <w:rPr>
          <w:rFonts w:hint="default" w:ascii="Times New Roman" w:hAnsi="Times New Roman" w:eastAsia="宋体" w:cs="Times New Roman"/>
          <w:sz w:val="24"/>
          <w:szCs w:val="24"/>
          <w:lang w:val="en-US" w:eastAsia="zh-CN"/>
        </w:rPr>
        <w:t>5</w:t>
      </w:r>
      <w:r>
        <w:rPr>
          <w:rFonts w:hint="default" w:ascii="Times New Roman" w:hAnsi="Times New Roman" w:eastAsia="宋体" w:cs="Times New Roman"/>
          <w:sz w:val="24"/>
          <w:szCs w:val="24"/>
        </w:rPr>
        <w:t>所示。</w:t>
      </w:r>
    </w:p>
    <w:p w14:paraId="16FCFB5F">
      <w:pPr>
        <w:widowControl/>
        <w:tabs>
          <w:tab w:val="left" w:pos="377"/>
        </w:tabs>
        <w:autoSpaceDE/>
        <w:autoSpaceDN/>
        <w:snapToGrid/>
        <w:spacing w:before="156" w:beforeLines="50"/>
        <w:jc w:val="center"/>
        <w:rPr>
          <w:rFonts w:hint="default" w:ascii="Times New Roman" w:hAnsi="Times New Roman" w:eastAsia="宋体" w:cs="Times New Roman"/>
          <w:spacing w:val="10"/>
          <w:kern w:val="0"/>
          <w:szCs w:val="20"/>
          <w:lang w:val="en-US" w:eastAsia="zh-CN"/>
        </w:rPr>
      </w:pPr>
      <w:r>
        <w:rPr>
          <w:rFonts w:hint="default" w:ascii="Times New Roman" w:hAnsi="Times New Roman" w:eastAsia="宋体" w:cs="Times New Roman"/>
          <w:spacing w:val="10"/>
          <w:kern w:val="0"/>
          <w:szCs w:val="20"/>
          <w:lang w:val="en-US" w:eastAsia="zh-CN"/>
        </w:rPr>
        <w:t>表4-25 思美传媒主营业务结构表</w:t>
      </w:r>
    </w:p>
    <w:tbl>
      <w:tblPr>
        <w:tblStyle w:val="7"/>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3310"/>
        <w:gridCol w:w="1728"/>
        <w:gridCol w:w="1728"/>
        <w:gridCol w:w="1753"/>
      </w:tblGrid>
      <w:tr w14:paraId="70714ABB">
        <w:trPr>
          <w:trHeight w:val="0" w:hRule="atLeast"/>
          <w:tblHeader/>
          <w:jc w:val="center"/>
        </w:trPr>
        <w:tc>
          <w:tcPr>
            <w:tcW w:w="3310" w:type="dxa"/>
            <w:tcBorders>
              <w:top w:val="single" w:color="auto" w:sz="12" w:space="0"/>
              <w:left w:val="nil"/>
              <w:bottom w:val="single" w:color="auto" w:sz="4" w:space="0"/>
              <w:right w:val="nil"/>
            </w:tcBorders>
            <w:shd w:val="clear" w:color="auto" w:fill="auto"/>
            <w:vAlign w:val="center"/>
          </w:tcPr>
          <w:p w14:paraId="2FB232DF">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产品类型</w:t>
            </w:r>
          </w:p>
        </w:tc>
        <w:tc>
          <w:tcPr>
            <w:tcW w:w="1728" w:type="dxa"/>
            <w:tcBorders>
              <w:top w:val="single" w:color="auto" w:sz="12" w:space="0"/>
              <w:left w:val="nil"/>
              <w:bottom w:val="single" w:color="auto" w:sz="4" w:space="0"/>
              <w:right w:val="nil"/>
            </w:tcBorders>
            <w:shd w:val="clear" w:color="auto" w:fill="auto"/>
            <w:vAlign w:val="center"/>
          </w:tcPr>
          <w:p w14:paraId="1D7F6D36">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主营收入</w:t>
            </w:r>
          </w:p>
        </w:tc>
        <w:tc>
          <w:tcPr>
            <w:tcW w:w="1728" w:type="dxa"/>
            <w:tcBorders>
              <w:top w:val="single" w:color="auto" w:sz="12" w:space="0"/>
              <w:left w:val="nil"/>
              <w:bottom w:val="single" w:color="auto" w:sz="4" w:space="0"/>
              <w:right w:val="nil"/>
            </w:tcBorders>
            <w:shd w:val="clear" w:color="auto" w:fill="auto"/>
            <w:vAlign w:val="center"/>
          </w:tcPr>
          <w:p w14:paraId="45D35945">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收入占比</w:t>
            </w:r>
          </w:p>
        </w:tc>
        <w:tc>
          <w:tcPr>
            <w:tcW w:w="1753" w:type="dxa"/>
            <w:tcBorders>
              <w:top w:val="single" w:color="auto" w:sz="12" w:space="0"/>
              <w:left w:val="nil"/>
              <w:bottom w:val="single" w:color="auto" w:sz="4" w:space="0"/>
              <w:right w:val="nil"/>
            </w:tcBorders>
            <w:shd w:val="clear" w:color="auto" w:fill="auto"/>
            <w:vAlign w:val="center"/>
          </w:tcPr>
          <w:p w14:paraId="1F431FBF">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毛利率</w:t>
            </w:r>
          </w:p>
        </w:tc>
      </w:tr>
      <w:tr w14:paraId="218DA721">
        <w:trPr>
          <w:trHeight w:val="0" w:hRule="atLeast"/>
          <w:jc w:val="center"/>
        </w:trPr>
        <w:tc>
          <w:tcPr>
            <w:tcW w:w="3310" w:type="dxa"/>
            <w:tcBorders>
              <w:top w:val="single" w:color="auto" w:sz="4" w:space="0"/>
              <w:left w:val="nil"/>
              <w:bottom w:val="nil"/>
              <w:right w:val="nil"/>
            </w:tcBorders>
            <w:shd w:val="clear" w:color="auto" w:fill="FFFFFF"/>
            <w:vAlign w:val="center"/>
          </w:tcPr>
          <w:p w14:paraId="3B99D760">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商务服务业</w:t>
            </w:r>
          </w:p>
        </w:tc>
        <w:tc>
          <w:tcPr>
            <w:tcW w:w="1728" w:type="dxa"/>
            <w:tcBorders>
              <w:top w:val="single" w:color="auto" w:sz="4" w:space="0"/>
              <w:left w:val="nil"/>
              <w:bottom w:val="nil"/>
              <w:right w:val="nil"/>
            </w:tcBorders>
            <w:shd w:val="clear" w:color="auto" w:fill="FFFFFF"/>
            <w:vAlign w:val="center"/>
          </w:tcPr>
          <w:p w14:paraId="68679A19">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61.76亿</w:t>
            </w:r>
          </w:p>
        </w:tc>
        <w:tc>
          <w:tcPr>
            <w:tcW w:w="1728" w:type="dxa"/>
            <w:tcBorders>
              <w:top w:val="single" w:color="auto" w:sz="4" w:space="0"/>
              <w:left w:val="nil"/>
              <w:bottom w:val="nil"/>
              <w:right w:val="nil"/>
            </w:tcBorders>
            <w:shd w:val="clear" w:color="auto" w:fill="FFFFFF"/>
            <w:vAlign w:val="center"/>
          </w:tcPr>
          <w:p w14:paraId="4B7EA01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100.00%</w:t>
            </w:r>
          </w:p>
        </w:tc>
        <w:tc>
          <w:tcPr>
            <w:tcW w:w="1753" w:type="dxa"/>
            <w:tcBorders>
              <w:top w:val="single" w:color="auto" w:sz="4" w:space="0"/>
              <w:left w:val="nil"/>
              <w:bottom w:val="nil"/>
              <w:right w:val="nil"/>
            </w:tcBorders>
            <w:shd w:val="clear" w:color="auto" w:fill="FFFFFF"/>
            <w:vAlign w:val="center"/>
          </w:tcPr>
          <w:p w14:paraId="7019D9D1">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3.86%</w:t>
            </w:r>
          </w:p>
        </w:tc>
      </w:tr>
      <w:tr w14:paraId="54A13DAF">
        <w:trPr>
          <w:trHeight w:val="0" w:hRule="atLeast"/>
          <w:jc w:val="center"/>
        </w:trPr>
        <w:tc>
          <w:tcPr>
            <w:tcW w:w="3310" w:type="dxa"/>
            <w:tcBorders>
              <w:top w:val="nil"/>
              <w:left w:val="nil"/>
              <w:bottom w:val="nil"/>
              <w:right w:val="nil"/>
            </w:tcBorders>
            <w:shd w:val="clear" w:color="auto" w:fill="FFFFFF"/>
            <w:vAlign w:val="center"/>
          </w:tcPr>
          <w:p w14:paraId="3FB1521C">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营销服务</w:t>
            </w:r>
          </w:p>
        </w:tc>
        <w:tc>
          <w:tcPr>
            <w:tcW w:w="1728" w:type="dxa"/>
            <w:tcBorders>
              <w:top w:val="nil"/>
              <w:left w:val="nil"/>
              <w:bottom w:val="nil"/>
              <w:right w:val="nil"/>
            </w:tcBorders>
            <w:shd w:val="clear" w:color="auto" w:fill="FFFFFF"/>
            <w:vAlign w:val="center"/>
          </w:tcPr>
          <w:p w14:paraId="76F716EA">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61.53亿</w:t>
            </w:r>
          </w:p>
        </w:tc>
        <w:tc>
          <w:tcPr>
            <w:tcW w:w="1728" w:type="dxa"/>
            <w:tcBorders>
              <w:top w:val="nil"/>
              <w:left w:val="nil"/>
              <w:bottom w:val="nil"/>
              <w:right w:val="nil"/>
            </w:tcBorders>
            <w:shd w:val="clear" w:color="auto" w:fill="FFFFFF"/>
            <w:vAlign w:val="center"/>
          </w:tcPr>
          <w:p w14:paraId="7F55734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99.63%</w:t>
            </w:r>
          </w:p>
        </w:tc>
        <w:tc>
          <w:tcPr>
            <w:tcW w:w="1753" w:type="dxa"/>
            <w:tcBorders>
              <w:top w:val="nil"/>
              <w:left w:val="nil"/>
              <w:bottom w:val="nil"/>
              <w:right w:val="nil"/>
            </w:tcBorders>
            <w:shd w:val="clear" w:color="auto" w:fill="FFFFFF"/>
            <w:vAlign w:val="center"/>
          </w:tcPr>
          <w:p w14:paraId="5D8CC0BD">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3.94%</w:t>
            </w:r>
          </w:p>
        </w:tc>
      </w:tr>
      <w:tr w14:paraId="245182BB">
        <w:trPr>
          <w:trHeight w:val="0" w:hRule="atLeast"/>
          <w:jc w:val="center"/>
        </w:trPr>
        <w:tc>
          <w:tcPr>
            <w:tcW w:w="3310" w:type="dxa"/>
            <w:tcBorders>
              <w:top w:val="nil"/>
              <w:left w:val="nil"/>
              <w:bottom w:val="nil"/>
              <w:right w:val="nil"/>
            </w:tcBorders>
            <w:shd w:val="clear" w:color="auto" w:fill="FFFFFF"/>
            <w:vAlign w:val="center"/>
          </w:tcPr>
          <w:p w14:paraId="496B607E">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数字版权运营及服务</w:t>
            </w:r>
          </w:p>
        </w:tc>
        <w:tc>
          <w:tcPr>
            <w:tcW w:w="1728" w:type="dxa"/>
            <w:tcBorders>
              <w:top w:val="nil"/>
              <w:left w:val="nil"/>
              <w:bottom w:val="nil"/>
              <w:right w:val="nil"/>
            </w:tcBorders>
            <w:shd w:val="clear" w:color="auto" w:fill="FFFFFF"/>
            <w:vAlign w:val="center"/>
          </w:tcPr>
          <w:p w14:paraId="751AE0E0">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2041万</w:t>
            </w:r>
          </w:p>
        </w:tc>
        <w:tc>
          <w:tcPr>
            <w:tcW w:w="1728" w:type="dxa"/>
            <w:tcBorders>
              <w:top w:val="nil"/>
              <w:left w:val="nil"/>
              <w:bottom w:val="nil"/>
              <w:right w:val="nil"/>
            </w:tcBorders>
            <w:shd w:val="clear" w:color="auto" w:fill="FFFFFF"/>
            <w:vAlign w:val="center"/>
          </w:tcPr>
          <w:p w14:paraId="43EDF057">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0.33%</w:t>
            </w:r>
          </w:p>
        </w:tc>
        <w:tc>
          <w:tcPr>
            <w:tcW w:w="1753" w:type="dxa"/>
            <w:tcBorders>
              <w:top w:val="nil"/>
              <w:left w:val="nil"/>
              <w:bottom w:val="nil"/>
              <w:right w:val="nil"/>
            </w:tcBorders>
            <w:shd w:val="clear" w:color="auto" w:fill="FFFFFF"/>
            <w:vAlign w:val="center"/>
          </w:tcPr>
          <w:p w14:paraId="4E7A7807">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-32.19%</w:t>
            </w:r>
          </w:p>
        </w:tc>
      </w:tr>
      <w:tr w14:paraId="44B7046B">
        <w:trPr>
          <w:trHeight w:val="0" w:hRule="atLeast"/>
          <w:jc w:val="center"/>
        </w:trPr>
        <w:tc>
          <w:tcPr>
            <w:tcW w:w="3310" w:type="dxa"/>
            <w:tcBorders>
              <w:top w:val="nil"/>
              <w:left w:val="nil"/>
              <w:bottom w:val="nil"/>
              <w:right w:val="nil"/>
            </w:tcBorders>
            <w:shd w:val="clear" w:color="auto" w:fill="FFFFFF"/>
            <w:vAlign w:val="center"/>
          </w:tcPr>
          <w:p w14:paraId="0ED87931">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其他(补充)</w:t>
            </w:r>
          </w:p>
        </w:tc>
        <w:tc>
          <w:tcPr>
            <w:tcW w:w="1728" w:type="dxa"/>
            <w:tcBorders>
              <w:top w:val="nil"/>
              <w:left w:val="nil"/>
              <w:bottom w:val="nil"/>
              <w:right w:val="nil"/>
            </w:tcBorders>
            <w:shd w:val="clear" w:color="auto" w:fill="FFFFFF"/>
            <w:vAlign w:val="center"/>
          </w:tcPr>
          <w:p w14:paraId="3B747F17">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263.4万</w:t>
            </w:r>
          </w:p>
        </w:tc>
        <w:tc>
          <w:tcPr>
            <w:tcW w:w="1728" w:type="dxa"/>
            <w:tcBorders>
              <w:top w:val="nil"/>
              <w:left w:val="nil"/>
              <w:bottom w:val="nil"/>
              <w:right w:val="nil"/>
            </w:tcBorders>
            <w:shd w:val="clear" w:color="auto" w:fill="FFFFFF"/>
            <w:vAlign w:val="center"/>
          </w:tcPr>
          <w:p w14:paraId="79FB1965">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0.04%</w:t>
            </w:r>
          </w:p>
        </w:tc>
        <w:tc>
          <w:tcPr>
            <w:tcW w:w="1753" w:type="dxa"/>
            <w:tcBorders>
              <w:top w:val="nil"/>
              <w:left w:val="nil"/>
              <w:bottom w:val="nil"/>
              <w:right w:val="nil"/>
            </w:tcBorders>
            <w:shd w:val="clear" w:color="auto" w:fill="FFFFFF"/>
            <w:vAlign w:val="center"/>
          </w:tcPr>
          <w:p w14:paraId="5CF6A1A0">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0.00%</w:t>
            </w:r>
          </w:p>
        </w:tc>
      </w:tr>
      <w:tr w14:paraId="42A92A96">
        <w:trPr>
          <w:trHeight w:val="0" w:hRule="atLeast"/>
          <w:jc w:val="center"/>
        </w:trPr>
        <w:tc>
          <w:tcPr>
            <w:tcW w:w="3310" w:type="dxa"/>
            <w:tcBorders>
              <w:top w:val="nil"/>
              <w:left w:val="nil"/>
              <w:bottom w:val="single" w:color="auto" w:sz="12" w:space="0"/>
              <w:right w:val="nil"/>
            </w:tcBorders>
            <w:shd w:val="clear" w:color="auto" w:fill="FFFFFF"/>
            <w:vAlign w:val="center"/>
          </w:tcPr>
          <w:p w14:paraId="7983E2C9">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影视内容</w:t>
            </w:r>
          </w:p>
        </w:tc>
        <w:tc>
          <w:tcPr>
            <w:tcW w:w="1728" w:type="dxa"/>
            <w:tcBorders>
              <w:top w:val="nil"/>
              <w:left w:val="nil"/>
              <w:bottom w:val="single" w:color="auto" w:sz="12" w:space="0"/>
              <w:right w:val="nil"/>
            </w:tcBorders>
            <w:shd w:val="clear" w:color="auto" w:fill="FFFFFF"/>
            <w:vAlign w:val="center"/>
          </w:tcPr>
          <w:p w14:paraId="156E500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9.291万</w:t>
            </w:r>
          </w:p>
        </w:tc>
        <w:tc>
          <w:tcPr>
            <w:tcW w:w="1728" w:type="dxa"/>
            <w:tcBorders>
              <w:top w:val="nil"/>
              <w:left w:val="nil"/>
              <w:bottom w:val="single" w:color="auto" w:sz="12" w:space="0"/>
              <w:right w:val="nil"/>
            </w:tcBorders>
            <w:shd w:val="clear" w:color="auto" w:fill="FFFFFF"/>
            <w:vAlign w:val="center"/>
          </w:tcPr>
          <w:p w14:paraId="79C9FE71">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0.00%</w:t>
            </w:r>
          </w:p>
        </w:tc>
        <w:tc>
          <w:tcPr>
            <w:tcW w:w="1753" w:type="dxa"/>
            <w:tcBorders>
              <w:top w:val="nil"/>
              <w:left w:val="nil"/>
              <w:bottom w:val="single" w:color="auto" w:sz="12" w:space="0"/>
              <w:right w:val="nil"/>
            </w:tcBorders>
            <w:shd w:val="clear" w:color="auto" w:fill="FFFFFF"/>
            <w:vAlign w:val="center"/>
          </w:tcPr>
          <w:p w14:paraId="2D94A713">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-155.77%</w:t>
            </w:r>
          </w:p>
        </w:tc>
      </w:tr>
    </w:tbl>
    <w:p w14:paraId="23C7648F">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数据来源：</w:t>
      </w:r>
      <w:r>
        <w:rPr>
          <w:rFonts w:hint="eastAsia" w:ascii="Times New Roman" w:hAnsi="Times New Roman" w:eastAsia="宋体" w:cs="Times New Roman"/>
          <w:sz w:val="24"/>
          <w:szCs w:val="24"/>
          <w:lang w:val="en-US" w:eastAsia="zh-CN"/>
        </w:rPr>
        <w:t>东方财富网</w:t>
      </w:r>
      <w:r>
        <w:rPr>
          <w:rFonts w:hint="default" w:ascii="Times New Roman" w:hAnsi="Times New Roman" w:eastAsia="宋体" w:cs="Times New Roman"/>
          <w:sz w:val="24"/>
          <w:szCs w:val="24"/>
        </w:rPr>
        <w:t>整理</w:t>
      </w:r>
    </w:p>
    <w:p w14:paraId="2BE96E08">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从业务结构变化来看，公司主营收入长期集中在营销服务领域。2020—2024年期间，营销服务收入占比始终保持在90%以上，是企业收入规模扩张的主要来源。营销服务属于典型的服务型业务，企业通常通过整合媒体资源、客户资源以及创意内容生产开展业务，自身资产规模相对较小，因此在收入规模扩张时，总资产周转率往往会随之提升。</w:t>
      </w:r>
    </w:p>
    <w:p w14:paraId="4DB19778">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近年来，公司也在探索数字版权运营、内容营销以及数字化营销工具等新业务。例如公司在营销业务中逐步引入数据分析平台、数字内容制作以及智能营销工具，以提升广告投放效率和内容生产效率。但从主营业务结构来看，相关数字化业务收入规模仍然较小，对公司整体收入结构的影响有限。</w:t>
      </w:r>
    </w:p>
    <w:p w14:paraId="6669F17D">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因此，从资产运营效率角度看，思美传媒总资产周转率持续上升的主要原因在于企业营业收入规模快速增长，而资产规模变化相对有限。在营销服务业务的带动下，公司利用既有资产创造收入的能力不断提高，从而在样本期内表现出较高的资产周转效率。</w:t>
      </w:r>
    </w:p>
    <w:p w14:paraId="0EBE4A8F">
      <w:pPr>
        <w:autoSpaceDE/>
        <w:autoSpaceDN/>
        <w:snapToGrid/>
        <w:spacing w:before="156" w:beforeLines="50" w:after="156" w:afterLines="50" w:line="420" w:lineRule="exact"/>
        <w:jc w:val="left"/>
        <w:outlineLvl w:val="2"/>
        <w:rPr>
          <w:rFonts w:hint="default" w:ascii="Times New Roman" w:hAnsi="Times New Roman" w:eastAsia="黑体" w:cs="Times New Roman"/>
          <w:color w:val="000000"/>
          <w:kern w:val="0"/>
          <w:sz w:val="28"/>
          <w:szCs w:val="28"/>
          <w:lang w:val="en-US" w:eastAsia="zh-CN"/>
        </w:rPr>
      </w:pPr>
      <w:r>
        <w:rPr>
          <w:rFonts w:hint="default" w:ascii="Times New Roman" w:hAnsi="Times New Roman" w:eastAsia="黑体" w:cs="Times New Roman"/>
          <w:color w:val="000000"/>
          <w:kern w:val="0"/>
          <w:sz w:val="28"/>
          <w:szCs w:val="28"/>
          <w:lang w:val="en-US" w:eastAsia="zh-CN"/>
        </w:rPr>
        <w:t>4.2.2.3 本节小结</w:t>
      </w:r>
    </w:p>
    <w:p w14:paraId="451FFE0D">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综合来看，样本企业总资产周转率的差异主要来源于业务模式和收入增长方式的不同。技术产品型企业通常需要持续投入研发和平台建设，资产规模扩张相对较快，而新产品商业化存在一定周期，因此营业收入增长往往滞后于资产扩张，导致资产周转率整体偏低或呈下降趋势；出版内容类企业依托稳定的发行渠道和市场需求，资产规模与收入规模变化较为同步，因此周转率整体保持稳定；营销服务类企业资产结构相对较轻，当收入规模快速扩大时，更容易形成较高的资产周转水平。</w:t>
      </w:r>
    </w:p>
    <w:p w14:paraId="3D75BF6A">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总资产周转率分析进一步揭示了人工智能应用层中小企业盈利分化的另一层逻辑：高周转并不一定意味着高盈利，低周转也不一定意味着低盈利。真正关键的是，企业的周转速度必须与利润率结构和业务模式相匹配。对于方直科技和巨人网络这类高附加值企业而言，低周转可以被高利润率所补偿；对于思美传媒和天地在线这类服务型企业而言，即使周转率较高，只要利润率过低或持续恶化，资本回报仍然难以改善。</w:t>
      </w:r>
    </w:p>
    <w:p w14:paraId="7AFE408B">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因此，从杜邦分析的视角看，总资产周转率主要回答的是企业收入形成得快不快，而并不直接决定企业最终赚得多不多。对人工智能应用层中小企业而言，只有当周转效率、利润空间和业务模式三者同时协调时，企业盈利能力才可能实现稳定提升。基于这一判断，下一节将进一步从权益乘数角度展开分析，以判断资本结构变化是否放大或缓冲了企业盈利波动。</w:t>
      </w:r>
    </w:p>
    <w:p w14:paraId="2324B36D">
      <w:pPr>
        <w:autoSpaceDE/>
        <w:autoSpaceDN/>
        <w:snapToGrid/>
        <w:spacing w:before="156" w:beforeLines="50" w:after="156" w:afterLines="50" w:line="420" w:lineRule="exact"/>
        <w:jc w:val="left"/>
        <w:outlineLvl w:val="2"/>
        <w:rPr>
          <w:rFonts w:hint="default" w:ascii="Times New Roman" w:hAnsi="Times New Roman" w:eastAsia="黑体" w:cs="Times New Roman"/>
          <w:color w:val="000000"/>
          <w:kern w:val="0"/>
          <w:sz w:val="28"/>
          <w:szCs w:val="28"/>
          <w:lang w:val="en-US" w:eastAsia="zh-CN"/>
        </w:rPr>
      </w:pPr>
      <w:r>
        <w:rPr>
          <w:rFonts w:hint="default" w:ascii="Times New Roman" w:hAnsi="Times New Roman" w:eastAsia="黑体" w:cs="Times New Roman"/>
          <w:color w:val="000000"/>
          <w:kern w:val="0"/>
          <w:sz w:val="28"/>
          <w:szCs w:val="28"/>
          <w:lang w:val="en-US" w:eastAsia="zh-CN"/>
        </w:rPr>
        <w:t>4.2.3权益乘数分析</w:t>
      </w:r>
    </w:p>
    <w:p w14:paraId="4EEBE881">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权益乘数</w:t>
      </w:r>
      <w:r>
        <w:rPr>
          <w:rFonts w:hint="default" w:ascii="Times New Roman" w:hAnsi="Times New Roman" w:eastAsia="宋体" w:cs="Times New Roman"/>
          <w:sz w:val="24"/>
          <w:szCs w:val="24"/>
          <w:lang w:val="en-US" w:eastAsia="zh-CN"/>
        </w:rPr>
        <w:t>主要用来</w:t>
      </w:r>
      <w:r>
        <w:rPr>
          <w:rFonts w:hint="default" w:ascii="Times New Roman" w:hAnsi="Times New Roman" w:eastAsia="宋体" w:cs="Times New Roman"/>
          <w:sz w:val="24"/>
          <w:szCs w:val="24"/>
        </w:rPr>
        <w:t>衡量企业资本结构，反映企业资产中有多少比例来源于负债融资</w:t>
      </w:r>
      <w:r>
        <w:rPr>
          <w:rFonts w:hint="default" w:ascii="Times New Roman" w:hAnsi="Times New Roman" w:eastAsia="宋体" w:cs="Times New Roman"/>
          <w:sz w:val="24"/>
          <w:szCs w:val="24"/>
          <w:lang w:val="en-US" w:eastAsia="zh-CN"/>
        </w:rPr>
        <w:t>。</w:t>
      </w:r>
      <w:r>
        <w:rPr>
          <w:rFonts w:hint="default" w:ascii="Times New Roman" w:hAnsi="Times New Roman" w:eastAsia="宋体" w:cs="Times New Roman"/>
          <w:sz w:val="24"/>
          <w:szCs w:val="24"/>
        </w:rPr>
        <w:t>在杜邦分析体系中，权益乘数体现的是企业的财务杠杆水平，其计算公式为：</w:t>
      </w:r>
    </w:p>
    <w:p w14:paraId="1A8B91F0">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m:oMathPara>
        <m:oMath>
          <m:r>
            <m:rPr>
              <m:nor/>
              <m:sty m:val="p"/>
            </m:rPr>
            <w:rPr>
              <w:rFonts w:hint="default" w:ascii="Times New Roman" w:hAnsi="Times New Roman" w:eastAsia="宋体" w:cs="Times New Roman"/>
              <w:b w:val="0"/>
              <w:i w:val="0"/>
              <w:sz w:val="24"/>
              <w:lang w:val="en-US" w:eastAsia="zh-CN"/>
            </w:rPr>
            <m:t>权益乘数</m:t>
          </m:r>
          <m:r>
            <m:rPr>
              <m:nor/>
              <m:sty m:val="p"/>
            </m:rPr>
            <w:rPr>
              <w:rFonts w:hint="default" w:ascii="Times New Roman" w:hAnsi="Times New Roman" w:eastAsia="宋体" w:cs="Times New Roman"/>
              <w:b w:val="0"/>
              <w:i w:val="0"/>
              <w:sz w:val="24"/>
            </w:rPr>
            <m:t>=</m:t>
          </m:r>
          <m:f>
            <m:fPr>
              <m:ctrlPr>
                <w:rPr>
                  <w:rFonts w:hint="default" w:ascii="Cambria Math" w:hAnsi="Cambria Math" w:eastAsia="宋体" w:cs="Times New Roman"/>
                  <w:i/>
                  <w:sz w:val="24"/>
                </w:rPr>
              </m:ctrlPr>
            </m:fPr>
            <m:num>
              <m:r>
                <m:rPr>
                  <m:nor/>
                  <m:sty m:val="p"/>
                </m:rPr>
                <w:rPr>
                  <w:rFonts w:hint="default" w:ascii="Times New Roman" w:hAnsi="Times New Roman" w:eastAsia="宋体" w:cs="Times New Roman"/>
                  <w:b w:val="0"/>
                  <w:i w:val="0"/>
                  <w:sz w:val="24"/>
                  <w:lang w:val="en-US" w:eastAsia="zh-CN"/>
                </w:rPr>
                <m:t>总资产</m:t>
              </m:r>
              <m:ctrlPr>
                <w:rPr>
                  <w:rFonts w:hint="default" w:ascii="Cambria Math" w:hAnsi="Cambria Math" w:eastAsia="宋体" w:cs="Times New Roman"/>
                  <w:sz w:val="24"/>
                </w:rPr>
              </m:ctrlPr>
            </m:num>
            <m:den>
              <m:r>
                <m:rPr>
                  <m:nor/>
                  <m:sty m:val="p"/>
                </m:rPr>
                <w:rPr>
                  <w:rFonts w:hint="default" w:ascii="Times New Roman" w:hAnsi="Times New Roman" w:eastAsia="宋体" w:cs="Times New Roman"/>
                  <w:b w:val="0"/>
                  <w:i w:val="0"/>
                  <w:sz w:val="24"/>
                  <w:lang w:val="en-US" w:eastAsia="zh-CN"/>
                </w:rPr>
                <m:t>股东权益</m:t>
              </m:r>
              <m:ctrlPr>
                <w:rPr>
                  <w:rFonts w:hint="default" w:ascii="Cambria Math" w:hAnsi="Cambria Math" w:eastAsia="宋体" w:cs="Times New Roman"/>
                  <w:sz w:val="24"/>
                </w:rPr>
              </m:ctrlPr>
            </m:den>
          </m:f>
        </m:oMath>
      </m:oMathPara>
    </w:p>
    <w:p w14:paraId="5E4360FF">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p>
    <w:p w14:paraId="6DE57DB9">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当企业在保持股东权益相对稳定的情况下增加负债融资、扩大资产规模时，权益乘数通常会上升；反之，当企业负债规模下降或股东权益增长较快时，权益乘数则可能下降。因此，权益乘数不仅反映企业资本结构特征，也在一定程度上体现企业的财务风险水平。</w:t>
      </w:r>
    </w:p>
    <w:p w14:paraId="3D8BF2DA">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eastAsia" w:ascii="Times New Roman" w:hAnsi="Times New Roman" w:eastAsia="宋体" w:cs="Times New Roman"/>
          <w:sz w:val="24"/>
          <w:szCs w:val="24"/>
          <w:lang w:eastAsia="zh-CN"/>
        </w:rPr>
      </w:pPr>
      <w:r>
        <w:rPr>
          <w:rFonts w:hint="default" w:ascii="Times New Roman" w:hAnsi="Times New Roman" w:eastAsia="宋体" w:cs="Times New Roman"/>
          <w:sz w:val="24"/>
          <w:szCs w:val="24"/>
        </w:rPr>
        <w:t>对于人工智能应用层企业而言，企业普遍处于技术研发与业务拓展阶段，收入模式和市场空间仍在不断探索。根据艾瑞咨询《2024年中国人工智能产业研究报告》，AI赛道股权投资事件占比高达77.9%，约70%的项目仍处于A轮及以前阶段，显示出企业高度依赖股权融资而非债权融资的特征。艾媒咨询《2025年中国人工智能产业市场状况及标杆企业经营数据分析报告》也显示，人工智能应用层企业资产负债率普遍较低，负债率最低的十家企业平均资产负债率低于15%，显著低于传统制造业水平。这一融资结构特点反映出，部分企业在早期发展阶段更倾向于依赖自有资本和股权融资维持经营规模，而非通过大规模举债扩大资产规模，与其轻资产运营、持续研发投入的行业特性密切相关。因此，从样本企业整体情况来看，多数企业的财务杠杆水平相对温和。为了进一步分析不同企业资本结构的差异，本文对典型样本企业2020—2024年的权益乘数进行计算，结果如表4-2</w:t>
      </w:r>
      <w:r>
        <w:rPr>
          <w:rFonts w:hint="default" w:ascii="Times New Roman" w:hAnsi="Times New Roman" w:eastAsia="宋体" w:cs="Times New Roman"/>
          <w:sz w:val="24"/>
          <w:szCs w:val="24"/>
          <w:lang w:val="en-US" w:eastAsia="zh-CN"/>
        </w:rPr>
        <w:t>6</w:t>
      </w:r>
      <w:r>
        <w:rPr>
          <w:rFonts w:hint="default" w:ascii="Times New Roman" w:hAnsi="Times New Roman" w:eastAsia="宋体" w:cs="Times New Roman"/>
          <w:sz w:val="24"/>
          <w:szCs w:val="24"/>
        </w:rPr>
        <w:t>所示</w:t>
      </w:r>
      <w:r>
        <w:rPr>
          <w:rFonts w:hint="eastAsia" w:ascii="Times New Roman" w:hAnsi="Times New Roman" w:eastAsia="宋体" w:cs="Times New Roman"/>
          <w:sz w:val="24"/>
          <w:szCs w:val="24"/>
          <w:lang w:eastAsia="zh-CN"/>
        </w:rPr>
        <w:t>。</w:t>
      </w:r>
    </w:p>
    <w:p w14:paraId="69AC873C">
      <w:pPr>
        <w:widowControl/>
        <w:tabs>
          <w:tab w:val="left" w:pos="377"/>
        </w:tabs>
        <w:autoSpaceDE/>
        <w:autoSpaceDN/>
        <w:snapToGrid/>
        <w:spacing w:before="156" w:beforeLines="50"/>
        <w:jc w:val="center"/>
        <w:rPr>
          <w:rFonts w:hint="default" w:ascii="Times New Roman" w:hAnsi="Times New Roman" w:eastAsia="宋体" w:cs="Times New Roman"/>
          <w:spacing w:val="10"/>
          <w:kern w:val="0"/>
          <w:szCs w:val="20"/>
          <w:lang w:val="en-US" w:eastAsia="zh-CN"/>
        </w:rPr>
      </w:pPr>
      <w:r>
        <w:rPr>
          <w:rFonts w:hint="default" w:ascii="Times New Roman" w:hAnsi="Times New Roman" w:eastAsia="宋体" w:cs="Times New Roman"/>
          <w:spacing w:val="10"/>
          <w:kern w:val="0"/>
          <w:szCs w:val="20"/>
          <w:lang w:val="en-US" w:eastAsia="zh-CN"/>
        </w:rPr>
        <w:t>表4-26 典型样本企业权益乘数表</w:t>
      </w:r>
    </w:p>
    <w:tbl>
      <w:tblPr>
        <w:tblStyle w:val="7"/>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613"/>
        <w:gridCol w:w="1536"/>
        <w:gridCol w:w="1074"/>
        <w:gridCol w:w="1074"/>
        <w:gridCol w:w="1074"/>
        <w:gridCol w:w="1074"/>
        <w:gridCol w:w="1074"/>
      </w:tblGrid>
      <w:tr w14:paraId="61C07634">
        <w:trPr>
          <w:trHeight w:val="0" w:hRule="atLeast"/>
          <w:tblHeader/>
          <w:jc w:val="center"/>
        </w:trPr>
        <w:tc>
          <w:tcPr>
            <w:tcW w:w="1613" w:type="dxa"/>
            <w:tcBorders>
              <w:top w:val="single" w:color="auto" w:sz="12" w:space="0"/>
              <w:left w:val="nil"/>
              <w:bottom w:val="single" w:color="auto" w:sz="4" w:space="0"/>
              <w:right w:val="nil"/>
            </w:tcBorders>
            <w:shd w:val="clear" w:color="auto" w:fill="auto"/>
            <w:vAlign w:val="center"/>
          </w:tcPr>
          <w:p w14:paraId="15B1AE67">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Times New Roman" w:hAnsi="Times New Roman" w:eastAsia="宋体" w:cs="Times New Roman"/>
                <w:b/>
                <w:bCs/>
                <w:i w:val="0"/>
                <w:iCs w:val="0"/>
                <w:color w:val="000000"/>
                <w:kern w:val="0"/>
                <w:sz w:val="21"/>
                <w:szCs w:val="21"/>
                <w:u w:val="none"/>
                <w:lang w:val="en-US" w:eastAsia="zh-CN" w:bidi="ar"/>
              </w:rPr>
              <w:t>企业类型</w:t>
            </w:r>
          </w:p>
        </w:tc>
        <w:tc>
          <w:tcPr>
            <w:tcW w:w="1536" w:type="dxa"/>
            <w:tcBorders>
              <w:top w:val="single" w:color="auto" w:sz="12" w:space="0"/>
              <w:left w:val="nil"/>
              <w:bottom w:val="single" w:color="auto" w:sz="4" w:space="0"/>
              <w:right w:val="nil"/>
            </w:tcBorders>
            <w:shd w:val="clear" w:color="auto" w:fill="auto"/>
            <w:vAlign w:val="center"/>
          </w:tcPr>
          <w:p w14:paraId="1C08275D">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Times New Roman" w:hAnsi="Times New Roman" w:eastAsia="宋体" w:cs="Times New Roman"/>
                <w:b/>
                <w:bCs/>
                <w:i w:val="0"/>
                <w:iCs w:val="0"/>
                <w:color w:val="000000"/>
                <w:kern w:val="0"/>
                <w:sz w:val="21"/>
                <w:szCs w:val="21"/>
                <w:u w:val="none"/>
                <w:lang w:val="en-US" w:eastAsia="zh-CN" w:bidi="ar"/>
              </w:rPr>
              <w:t>企业</w:t>
            </w:r>
          </w:p>
        </w:tc>
        <w:tc>
          <w:tcPr>
            <w:tcW w:w="1074" w:type="dxa"/>
            <w:tcBorders>
              <w:top w:val="single" w:color="auto" w:sz="12" w:space="0"/>
              <w:left w:val="nil"/>
              <w:bottom w:val="single" w:color="auto" w:sz="4" w:space="0"/>
              <w:right w:val="nil"/>
            </w:tcBorders>
            <w:shd w:val="clear" w:color="auto" w:fill="auto"/>
            <w:vAlign w:val="center"/>
          </w:tcPr>
          <w:p w14:paraId="0A9EFBC8">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Times New Roman" w:hAnsi="Times New Roman" w:eastAsia="宋体" w:cs="Times New Roman"/>
                <w:b/>
                <w:bCs/>
                <w:i w:val="0"/>
                <w:iCs w:val="0"/>
                <w:color w:val="000000"/>
                <w:kern w:val="0"/>
                <w:sz w:val="21"/>
                <w:szCs w:val="21"/>
                <w:u w:val="none"/>
                <w:lang w:val="en-US" w:eastAsia="zh-CN" w:bidi="ar"/>
              </w:rPr>
              <w:t>2020</w:t>
            </w:r>
          </w:p>
        </w:tc>
        <w:tc>
          <w:tcPr>
            <w:tcW w:w="1074" w:type="dxa"/>
            <w:tcBorders>
              <w:top w:val="single" w:color="auto" w:sz="12" w:space="0"/>
              <w:left w:val="nil"/>
              <w:bottom w:val="single" w:color="auto" w:sz="4" w:space="0"/>
              <w:right w:val="nil"/>
            </w:tcBorders>
            <w:shd w:val="clear" w:color="auto" w:fill="auto"/>
            <w:vAlign w:val="center"/>
          </w:tcPr>
          <w:p w14:paraId="66E802C6">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Times New Roman" w:hAnsi="Times New Roman" w:eastAsia="宋体" w:cs="Times New Roman"/>
                <w:b/>
                <w:bCs/>
                <w:i w:val="0"/>
                <w:iCs w:val="0"/>
                <w:color w:val="000000"/>
                <w:kern w:val="0"/>
                <w:sz w:val="21"/>
                <w:szCs w:val="21"/>
                <w:u w:val="none"/>
                <w:lang w:val="en-US" w:eastAsia="zh-CN" w:bidi="ar"/>
              </w:rPr>
              <w:t>2021</w:t>
            </w:r>
          </w:p>
        </w:tc>
        <w:tc>
          <w:tcPr>
            <w:tcW w:w="1074" w:type="dxa"/>
            <w:tcBorders>
              <w:top w:val="single" w:color="auto" w:sz="12" w:space="0"/>
              <w:left w:val="nil"/>
              <w:bottom w:val="single" w:color="auto" w:sz="4" w:space="0"/>
              <w:right w:val="nil"/>
            </w:tcBorders>
            <w:shd w:val="clear" w:color="auto" w:fill="auto"/>
            <w:vAlign w:val="center"/>
          </w:tcPr>
          <w:p w14:paraId="4F9A75EC">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Times New Roman" w:hAnsi="Times New Roman" w:eastAsia="宋体" w:cs="Times New Roman"/>
                <w:b/>
                <w:bCs/>
                <w:i w:val="0"/>
                <w:iCs w:val="0"/>
                <w:color w:val="000000"/>
                <w:kern w:val="0"/>
                <w:sz w:val="21"/>
                <w:szCs w:val="21"/>
                <w:u w:val="none"/>
                <w:lang w:val="en-US" w:eastAsia="zh-CN" w:bidi="ar"/>
              </w:rPr>
              <w:t>2022</w:t>
            </w:r>
          </w:p>
        </w:tc>
        <w:tc>
          <w:tcPr>
            <w:tcW w:w="1074" w:type="dxa"/>
            <w:tcBorders>
              <w:top w:val="single" w:color="auto" w:sz="12" w:space="0"/>
              <w:left w:val="nil"/>
              <w:bottom w:val="single" w:color="auto" w:sz="4" w:space="0"/>
              <w:right w:val="nil"/>
            </w:tcBorders>
            <w:shd w:val="clear" w:color="auto" w:fill="auto"/>
            <w:vAlign w:val="center"/>
          </w:tcPr>
          <w:p w14:paraId="581AF6FE">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Times New Roman" w:hAnsi="Times New Roman" w:eastAsia="宋体" w:cs="Times New Roman"/>
                <w:b/>
                <w:bCs/>
                <w:i w:val="0"/>
                <w:iCs w:val="0"/>
                <w:color w:val="000000"/>
                <w:kern w:val="0"/>
                <w:sz w:val="21"/>
                <w:szCs w:val="21"/>
                <w:u w:val="none"/>
                <w:lang w:val="en-US" w:eastAsia="zh-CN" w:bidi="ar"/>
              </w:rPr>
              <w:t>2023</w:t>
            </w:r>
          </w:p>
        </w:tc>
        <w:tc>
          <w:tcPr>
            <w:tcW w:w="1074" w:type="dxa"/>
            <w:tcBorders>
              <w:top w:val="single" w:color="auto" w:sz="12" w:space="0"/>
              <w:left w:val="nil"/>
              <w:bottom w:val="single" w:color="auto" w:sz="4" w:space="0"/>
              <w:right w:val="nil"/>
            </w:tcBorders>
            <w:shd w:val="clear" w:color="auto" w:fill="auto"/>
            <w:vAlign w:val="center"/>
          </w:tcPr>
          <w:p w14:paraId="57C3CD33">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Times New Roman" w:hAnsi="Times New Roman" w:eastAsia="宋体" w:cs="Times New Roman"/>
                <w:b/>
                <w:bCs/>
                <w:i w:val="0"/>
                <w:iCs w:val="0"/>
                <w:color w:val="000000"/>
                <w:kern w:val="0"/>
                <w:sz w:val="21"/>
                <w:szCs w:val="21"/>
                <w:u w:val="none"/>
                <w:lang w:val="en-US" w:eastAsia="zh-CN" w:bidi="ar"/>
              </w:rPr>
              <w:t>2024</w:t>
            </w:r>
          </w:p>
        </w:tc>
      </w:tr>
      <w:tr w14:paraId="1355DC3D">
        <w:trPr>
          <w:trHeight w:val="0" w:hRule="atLeast"/>
          <w:jc w:val="center"/>
        </w:trPr>
        <w:tc>
          <w:tcPr>
            <w:tcW w:w="1613" w:type="dxa"/>
            <w:tcBorders>
              <w:top w:val="single" w:color="auto" w:sz="4" w:space="0"/>
              <w:left w:val="nil"/>
              <w:bottom w:val="nil"/>
              <w:right w:val="nil"/>
            </w:tcBorders>
            <w:shd w:val="clear" w:color="auto" w:fill="auto"/>
            <w:vAlign w:val="center"/>
          </w:tcPr>
          <w:p w14:paraId="0DF8663F">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AI独立产品型</w:t>
            </w:r>
          </w:p>
        </w:tc>
        <w:tc>
          <w:tcPr>
            <w:tcW w:w="1536" w:type="dxa"/>
            <w:tcBorders>
              <w:top w:val="single" w:color="auto" w:sz="4" w:space="0"/>
              <w:left w:val="nil"/>
              <w:bottom w:val="nil"/>
              <w:right w:val="nil"/>
            </w:tcBorders>
            <w:shd w:val="clear" w:color="auto" w:fill="auto"/>
            <w:vAlign w:val="center"/>
          </w:tcPr>
          <w:p w14:paraId="15FB4390">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方直科技</w:t>
            </w:r>
          </w:p>
        </w:tc>
        <w:tc>
          <w:tcPr>
            <w:tcW w:w="1074" w:type="dxa"/>
            <w:tcBorders>
              <w:top w:val="single" w:color="auto" w:sz="4" w:space="0"/>
              <w:left w:val="nil"/>
              <w:bottom w:val="nil"/>
              <w:right w:val="nil"/>
            </w:tcBorders>
            <w:shd w:val="clear" w:color="auto" w:fill="auto"/>
            <w:vAlign w:val="center"/>
          </w:tcPr>
          <w:p w14:paraId="70653BE5">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1.045</w:t>
            </w:r>
          </w:p>
        </w:tc>
        <w:tc>
          <w:tcPr>
            <w:tcW w:w="1074" w:type="dxa"/>
            <w:tcBorders>
              <w:top w:val="single" w:color="auto" w:sz="4" w:space="0"/>
              <w:left w:val="nil"/>
              <w:bottom w:val="nil"/>
              <w:right w:val="nil"/>
            </w:tcBorders>
            <w:shd w:val="clear" w:color="auto" w:fill="auto"/>
            <w:vAlign w:val="center"/>
          </w:tcPr>
          <w:p w14:paraId="039B5C2C">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1.033</w:t>
            </w:r>
          </w:p>
        </w:tc>
        <w:tc>
          <w:tcPr>
            <w:tcW w:w="1074" w:type="dxa"/>
            <w:tcBorders>
              <w:top w:val="single" w:color="auto" w:sz="4" w:space="0"/>
              <w:left w:val="nil"/>
              <w:bottom w:val="nil"/>
              <w:right w:val="nil"/>
            </w:tcBorders>
            <w:shd w:val="clear" w:color="auto" w:fill="auto"/>
            <w:vAlign w:val="center"/>
          </w:tcPr>
          <w:p w14:paraId="07BE7EF2">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1.032</w:t>
            </w:r>
          </w:p>
        </w:tc>
        <w:tc>
          <w:tcPr>
            <w:tcW w:w="1074" w:type="dxa"/>
            <w:tcBorders>
              <w:top w:val="single" w:color="auto" w:sz="4" w:space="0"/>
              <w:left w:val="nil"/>
              <w:bottom w:val="nil"/>
              <w:right w:val="nil"/>
            </w:tcBorders>
            <w:shd w:val="clear" w:color="auto" w:fill="auto"/>
            <w:vAlign w:val="center"/>
          </w:tcPr>
          <w:p w14:paraId="599CE338">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1.022</w:t>
            </w:r>
          </w:p>
        </w:tc>
        <w:tc>
          <w:tcPr>
            <w:tcW w:w="1074" w:type="dxa"/>
            <w:tcBorders>
              <w:top w:val="single" w:color="auto" w:sz="4" w:space="0"/>
              <w:left w:val="nil"/>
              <w:bottom w:val="nil"/>
              <w:right w:val="nil"/>
            </w:tcBorders>
            <w:shd w:val="clear" w:color="auto" w:fill="auto"/>
            <w:vAlign w:val="center"/>
          </w:tcPr>
          <w:p w14:paraId="37562BC8">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1.032</w:t>
            </w:r>
          </w:p>
        </w:tc>
      </w:tr>
      <w:tr w14:paraId="63AE9527">
        <w:trPr>
          <w:trHeight w:val="0" w:hRule="atLeast"/>
          <w:jc w:val="center"/>
        </w:trPr>
        <w:tc>
          <w:tcPr>
            <w:tcW w:w="1613" w:type="dxa"/>
            <w:tcBorders>
              <w:top w:val="nil"/>
              <w:left w:val="nil"/>
              <w:bottom w:val="nil"/>
              <w:right w:val="nil"/>
            </w:tcBorders>
            <w:shd w:val="clear" w:color="auto" w:fill="auto"/>
            <w:vAlign w:val="center"/>
          </w:tcPr>
          <w:p w14:paraId="4E1B3832">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AI独立产品型</w:t>
            </w:r>
          </w:p>
        </w:tc>
        <w:tc>
          <w:tcPr>
            <w:tcW w:w="1536" w:type="dxa"/>
            <w:tcBorders>
              <w:top w:val="nil"/>
              <w:left w:val="nil"/>
              <w:bottom w:val="nil"/>
              <w:right w:val="nil"/>
            </w:tcBorders>
            <w:shd w:val="clear" w:color="auto" w:fill="auto"/>
            <w:vAlign w:val="center"/>
          </w:tcPr>
          <w:p w14:paraId="3BA163C2">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佳讯飞鸿</w:t>
            </w:r>
          </w:p>
        </w:tc>
        <w:tc>
          <w:tcPr>
            <w:tcW w:w="1074" w:type="dxa"/>
            <w:tcBorders>
              <w:top w:val="nil"/>
              <w:left w:val="nil"/>
              <w:bottom w:val="nil"/>
              <w:right w:val="nil"/>
            </w:tcBorders>
            <w:shd w:val="clear" w:color="auto" w:fill="auto"/>
            <w:vAlign w:val="center"/>
          </w:tcPr>
          <w:p w14:paraId="6BEF1942">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1.415</w:t>
            </w:r>
          </w:p>
        </w:tc>
        <w:tc>
          <w:tcPr>
            <w:tcW w:w="1074" w:type="dxa"/>
            <w:tcBorders>
              <w:top w:val="nil"/>
              <w:left w:val="nil"/>
              <w:bottom w:val="nil"/>
              <w:right w:val="nil"/>
            </w:tcBorders>
            <w:shd w:val="clear" w:color="auto" w:fill="auto"/>
            <w:vAlign w:val="center"/>
          </w:tcPr>
          <w:p w14:paraId="7B0D5EE6">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1.39</w:t>
            </w:r>
          </w:p>
        </w:tc>
        <w:tc>
          <w:tcPr>
            <w:tcW w:w="1074" w:type="dxa"/>
            <w:tcBorders>
              <w:top w:val="nil"/>
              <w:left w:val="nil"/>
              <w:bottom w:val="nil"/>
              <w:right w:val="nil"/>
            </w:tcBorders>
            <w:shd w:val="clear" w:color="auto" w:fill="auto"/>
            <w:vAlign w:val="center"/>
          </w:tcPr>
          <w:p w14:paraId="2A6C187D">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1.358</w:t>
            </w:r>
          </w:p>
        </w:tc>
        <w:tc>
          <w:tcPr>
            <w:tcW w:w="1074" w:type="dxa"/>
            <w:tcBorders>
              <w:top w:val="nil"/>
              <w:left w:val="nil"/>
              <w:bottom w:val="nil"/>
              <w:right w:val="nil"/>
            </w:tcBorders>
            <w:shd w:val="clear" w:color="auto" w:fill="auto"/>
            <w:vAlign w:val="center"/>
          </w:tcPr>
          <w:p w14:paraId="68D3375D">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1.424</w:t>
            </w:r>
          </w:p>
        </w:tc>
        <w:tc>
          <w:tcPr>
            <w:tcW w:w="1074" w:type="dxa"/>
            <w:tcBorders>
              <w:top w:val="nil"/>
              <w:left w:val="nil"/>
              <w:bottom w:val="nil"/>
              <w:right w:val="nil"/>
            </w:tcBorders>
            <w:shd w:val="clear" w:color="auto" w:fill="auto"/>
            <w:vAlign w:val="center"/>
          </w:tcPr>
          <w:p w14:paraId="2E163619">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1.407</w:t>
            </w:r>
          </w:p>
        </w:tc>
      </w:tr>
      <w:tr w14:paraId="294AAE20">
        <w:trPr>
          <w:trHeight w:val="0" w:hRule="atLeast"/>
          <w:jc w:val="center"/>
        </w:trPr>
        <w:tc>
          <w:tcPr>
            <w:tcW w:w="1613" w:type="dxa"/>
            <w:tcBorders>
              <w:top w:val="nil"/>
              <w:left w:val="nil"/>
              <w:bottom w:val="nil"/>
              <w:right w:val="nil"/>
            </w:tcBorders>
            <w:shd w:val="clear" w:color="auto" w:fill="auto"/>
            <w:vAlign w:val="center"/>
          </w:tcPr>
          <w:p w14:paraId="475F17D5">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AI独立产品型</w:t>
            </w:r>
          </w:p>
        </w:tc>
        <w:tc>
          <w:tcPr>
            <w:tcW w:w="1536" w:type="dxa"/>
            <w:tcBorders>
              <w:top w:val="nil"/>
              <w:left w:val="nil"/>
              <w:bottom w:val="nil"/>
              <w:right w:val="nil"/>
            </w:tcBorders>
            <w:shd w:val="clear" w:color="auto" w:fill="auto"/>
            <w:vAlign w:val="center"/>
          </w:tcPr>
          <w:p w14:paraId="4B2B95B3">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天地在线</w:t>
            </w:r>
          </w:p>
        </w:tc>
        <w:tc>
          <w:tcPr>
            <w:tcW w:w="1074" w:type="dxa"/>
            <w:tcBorders>
              <w:top w:val="nil"/>
              <w:left w:val="nil"/>
              <w:bottom w:val="nil"/>
              <w:right w:val="nil"/>
            </w:tcBorders>
            <w:shd w:val="clear" w:color="auto" w:fill="auto"/>
            <w:vAlign w:val="center"/>
          </w:tcPr>
          <w:p w14:paraId="7616501E">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1.577</w:t>
            </w:r>
          </w:p>
        </w:tc>
        <w:tc>
          <w:tcPr>
            <w:tcW w:w="1074" w:type="dxa"/>
            <w:tcBorders>
              <w:top w:val="nil"/>
              <w:left w:val="nil"/>
              <w:bottom w:val="nil"/>
              <w:right w:val="nil"/>
            </w:tcBorders>
            <w:shd w:val="clear" w:color="auto" w:fill="auto"/>
            <w:vAlign w:val="center"/>
          </w:tcPr>
          <w:p w14:paraId="08382405">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1.565</w:t>
            </w:r>
          </w:p>
        </w:tc>
        <w:tc>
          <w:tcPr>
            <w:tcW w:w="1074" w:type="dxa"/>
            <w:tcBorders>
              <w:top w:val="nil"/>
              <w:left w:val="nil"/>
              <w:bottom w:val="nil"/>
              <w:right w:val="nil"/>
            </w:tcBorders>
            <w:shd w:val="clear" w:color="auto" w:fill="auto"/>
            <w:vAlign w:val="center"/>
          </w:tcPr>
          <w:p w14:paraId="7051BC99">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1.368</w:t>
            </w:r>
          </w:p>
        </w:tc>
        <w:tc>
          <w:tcPr>
            <w:tcW w:w="1074" w:type="dxa"/>
            <w:tcBorders>
              <w:top w:val="nil"/>
              <w:left w:val="nil"/>
              <w:bottom w:val="nil"/>
              <w:right w:val="nil"/>
            </w:tcBorders>
            <w:shd w:val="clear" w:color="auto" w:fill="auto"/>
            <w:vAlign w:val="center"/>
          </w:tcPr>
          <w:p w14:paraId="56632687">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1.294</w:t>
            </w:r>
          </w:p>
        </w:tc>
        <w:tc>
          <w:tcPr>
            <w:tcW w:w="1074" w:type="dxa"/>
            <w:tcBorders>
              <w:top w:val="nil"/>
              <w:left w:val="nil"/>
              <w:bottom w:val="nil"/>
              <w:right w:val="nil"/>
            </w:tcBorders>
            <w:shd w:val="clear" w:color="auto" w:fill="auto"/>
            <w:vAlign w:val="center"/>
          </w:tcPr>
          <w:p w14:paraId="0A188D0B">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1.31</w:t>
            </w:r>
          </w:p>
        </w:tc>
      </w:tr>
      <w:tr w14:paraId="642D2BD0">
        <w:trPr>
          <w:trHeight w:val="0" w:hRule="atLeast"/>
          <w:jc w:val="center"/>
        </w:trPr>
        <w:tc>
          <w:tcPr>
            <w:tcW w:w="1613" w:type="dxa"/>
            <w:tcBorders>
              <w:top w:val="nil"/>
              <w:left w:val="nil"/>
              <w:bottom w:val="nil"/>
              <w:right w:val="nil"/>
            </w:tcBorders>
            <w:shd w:val="clear" w:color="auto" w:fill="auto"/>
            <w:vAlign w:val="center"/>
          </w:tcPr>
          <w:p w14:paraId="31A7FD2D">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AI业务赋能型</w:t>
            </w:r>
          </w:p>
        </w:tc>
        <w:tc>
          <w:tcPr>
            <w:tcW w:w="1536" w:type="dxa"/>
            <w:tcBorders>
              <w:top w:val="nil"/>
              <w:left w:val="nil"/>
              <w:bottom w:val="nil"/>
              <w:right w:val="nil"/>
            </w:tcBorders>
            <w:shd w:val="clear" w:color="auto" w:fill="auto"/>
            <w:vAlign w:val="center"/>
          </w:tcPr>
          <w:p w14:paraId="354ABB34">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巨人网络</w:t>
            </w:r>
          </w:p>
        </w:tc>
        <w:tc>
          <w:tcPr>
            <w:tcW w:w="1074" w:type="dxa"/>
            <w:tcBorders>
              <w:top w:val="nil"/>
              <w:left w:val="nil"/>
              <w:bottom w:val="nil"/>
              <w:right w:val="nil"/>
            </w:tcBorders>
            <w:shd w:val="clear" w:color="auto" w:fill="auto"/>
            <w:vAlign w:val="center"/>
          </w:tcPr>
          <w:p w14:paraId="35CE2B30">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1.138</w:t>
            </w:r>
          </w:p>
        </w:tc>
        <w:tc>
          <w:tcPr>
            <w:tcW w:w="1074" w:type="dxa"/>
            <w:tcBorders>
              <w:top w:val="nil"/>
              <w:left w:val="nil"/>
              <w:bottom w:val="nil"/>
              <w:right w:val="nil"/>
            </w:tcBorders>
            <w:shd w:val="clear" w:color="auto" w:fill="auto"/>
            <w:vAlign w:val="center"/>
          </w:tcPr>
          <w:p w14:paraId="0FA5C0FA">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1.126</w:t>
            </w:r>
          </w:p>
        </w:tc>
        <w:tc>
          <w:tcPr>
            <w:tcW w:w="1074" w:type="dxa"/>
            <w:tcBorders>
              <w:top w:val="nil"/>
              <w:left w:val="nil"/>
              <w:bottom w:val="nil"/>
              <w:right w:val="nil"/>
            </w:tcBorders>
            <w:shd w:val="clear" w:color="auto" w:fill="auto"/>
            <w:vAlign w:val="center"/>
          </w:tcPr>
          <w:p w14:paraId="1AC43FC5">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1.11</w:t>
            </w:r>
          </w:p>
        </w:tc>
        <w:tc>
          <w:tcPr>
            <w:tcW w:w="1074" w:type="dxa"/>
            <w:tcBorders>
              <w:top w:val="nil"/>
              <w:left w:val="nil"/>
              <w:bottom w:val="nil"/>
              <w:right w:val="nil"/>
            </w:tcBorders>
            <w:shd w:val="clear" w:color="auto" w:fill="auto"/>
            <w:vAlign w:val="center"/>
          </w:tcPr>
          <w:p w14:paraId="425DB199">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1.14</w:t>
            </w:r>
          </w:p>
        </w:tc>
        <w:tc>
          <w:tcPr>
            <w:tcW w:w="1074" w:type="dxa"/>
            <w:tcBorders>
              <w:top w:val="nil"/>
              <w:left w:val="nil"/>
              <w:bottom w:val="nil"/>
              <w:right w:val="nil"/>
            </w:tcBorders>
            <w:shd w:val="clear" w:color="auto" w:fill="auto"/>
            <w:vAlign w:val="center"/>
          </w:tcPr>
          <w:p w14:paraId="31574900">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1.146</w:t>
            </w:r>
          </w:p>
        </w:tc>
      </w:tr>
      <w:tr w14:paraId="0916A488">
        <w:trPr>
          <w:trHeight w:val="0" w:hRule="atLeast"/>
          <w:jc w:val="center"/>
        </w:trPr>
        <w:tc>
          <w:tcPr>
            <w:tcW w:w="1613" w:type="dxa"/>
            <w:tcBorders>
              <w:top w:val="nil"/>
              <w:left w:val="nil"/>
              <w:bottom w:val="nil"/>
              <w:right w:val="nil"/>
            </w:tcBorders>
            <w:shd w:val="clear" w:color="auto" w:fill="auto"/>
            <w:vAlign w:val="center"/>
          </w:tcPr>
          <w:p w14:paraId="42C04653">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AI业务赋能型</w:t>
            </w:r>
          </w:p>
        </w:tc>
        <w:tc>
          <w:tcPr>
            <w:tcW w:w="1536" w:type="dxa"/>
            <w:tcBorders>
              <w:top w:val="nil"/>
              <w:left w:val="nil"/>
              <w:bottom w:val="nil"/>
              <w:right w:val="nil"/>
            </w:tcBorders>
            <w:shd w:val="clear" w:color="auto" w:fill="auto"/>
            <w:vAlign w:val="center"/>
          </w:tcPr>
          <w:p w14:paraId="59262D24">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世纪天鸿</w:t>
            </w:r>
          </w:p>
        </w:tc>
        <w:tc>
          <w:tcPr>
            <w:tcW w:w="1074" w:type="dxa"/>
            <w:tcBorders>
              <w:top w:val="nil"/>
              <w:left w:val="nil"/>
              <w:bottom w:val="nil"/>
              <w:right w:val="nil"/>
            </w:tcBorders>
            <w:shd w:val="clear" w:color="auto" w:fill="auto"/>
            <w:vAlign w:val="center"/>
          </w:tcPr>
          <w:p w14:paraId="670B510F">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1.476</w:t>
            </w:r>
          </w:p>
        </w:tc>
        <w:tc>
          <w:tcPr>
            <w:tcW w:w="1074" w:type="dxa"/>
            <w:tcBorders>
              <w:top w:val="nil"/>
              <w:left w:val="nil"/>
              <w:bottom w:val="nil"/>
              <w:right w:val="nil"/>
            </w:tcBorders>
            <w:shd w:val="clear" w:color="auto" w:fill="auto"/>
            <w:vAlign w:val="center"/>
          </w:tcPr>
          <w:p w14:paraId="62019182">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1.481</w:t>
            </w:r>
          </w:p>
        </w:tc>
        <w:tc>
          <w:tcPr>
            <w:tcW w:w="1074" w:type="dxa"/>
            <w:tcBorders>
              <w:top w:val="nil"/>
              <w:left w:val="nil"/>
              <w:bottom w:val="nil"/>
              <w:right w:val="nil"/>
            </w:tcBorders>
            <w:shd w:val="clear" w:color="auto" w:fill="auto"/>
            <w:vAlign w:val="center"/>
          </w:tcPr>
          <w:p w14:paraId="597DE440">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1.318</w:t>
            </w:r>
          </w:p>
        </w:tc>
        <w:tc>
          <w:tcPr>
            <w:tcW w:w="1074" w:type="dxa"/>
            <w:tcBorders>
              <w:top w:val="nil"/>
              <w:left w:val="nil"/>
              <w:bottom w:val="nil"/>
              <w:right w:val="nil"/>
            </w:tcBorders>
            <w:shd w:val="clear" w:color="auto" w:fill="auto"/>
            <w:vAlign w:val="center"/>
          </w:tcPr>
          <w:p w14:paraId="37E059D7">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1.344</w:t>
            </w:r>
          </w:p>
        </w:tc>
        <w:tc>
          <w:tcPr>
            <w:tcW w:w="1074" w:type="dxa"/>
            <w:tcBorders>
              <w:top w:val="nil"/>
              <w:left w:val="nil"/>
              <w:bottom w:val="nil"/>
              <w:right w:val="nil"/>
            </w:tcBorders>
            <w:shd w:val="clear" w:color="auto" w:fill="auto"/>
            <w:vAlign w:val="center"/>
          </w:tcPr>
          <w:p w14:paraId="67280E33">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1.307</w:t>
            </w:r>
          </w:p>
        </w:tc>
      </w:tr>
      <w:tr w14:paraId="140A6F53">
        <w:trPr>
          <w:trHeight w:val="0" w:hRule="atLeast"/>
          <w:jc w:val="center"/>
        </w:trPr>
        <w:tc>
          <w:tcPr>
            <w:tcW w:w="1613" w:type="dxa"/>
            <w:tcBorders>
              <w:top w:val="nil"/>
              <w:left w:val="nil"/>
              <w:bottom w:val="single" w:color="auto" w:sz="12" w:space="0"/>
              <w:right w:val="nil"/>
            </w:tcBorders>
            <w:shd w:val="clear" w:color="auto" w:fill="auto"/>
            <w:vAlign w:val="center"/>
          </w:tcPr>
          <w:p w14:paraId="7DDAF741">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AI业务赋能型</w:t>
            </w:r>
          </w:p>
        </w:tc>
        <w:tc>
          <w:tcPr>
            <w:tcW w:w="1536" w:type="dxa"/>
            <w:tcBorders>
              <w:top w:val="nil"/>
              <w:left w:val="nil"/>
              <w:bottom w:val="single" w:color="auto" w:sz="12" w:space="0"/>
              <w:right w:val="nil"/>
            </w:tcBorders>
            <w:shd w:val="clear" w:color="auto" w:fill="auto"/>
            <w:vAlign w:val="center"/>
          </w:tcPr>
          <w:p w14:paraId="5B4C9C95">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思美传媒</w:t>
            </w:r>
          </w:p>
        </w:tc>
        <w:tc>
          <w:tcPr>
            <w:tcW w:w="1074" w:type="dxa"/>
            <w:tcBorders>
              <w:top w:val="nil"/>
              <w:left w:val="nil"/>
              <w:bottom w:val="single" w:color="auto" w:sz="12" w:space="0"/>
              <w:right w:val="nil"/>
            </w:tcBorders>
            <w:shd w:val="clear" w:color="auto" w:fill="auto"/>
            <w:vAlign w:val="center"/>
          </w:tcPr>
          <w:p w14:paraId="27D2C8E7">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1.373</w:t>
            </w:r>
          </w:p>
        </w:tc>
        <w:tc>
          <w:tcPr>
            <w:tcW w:w="1074" w:type="dxa"/>
            <w:tcBorders>
              <w:top w:val="nil"/>
              <w:left w:val="nil"/>
              <w:bottom w:val="single" w:color="auto" w:sz="12" w:space="0"/>
              <w:right w:val="nil"/>
            </w:tcBorders>
            <w:shd w:val="clear" w:color="auto" w:fill="auto"/>
            <w:vAlign w:val="center"/>
          </w:tcPr>
          <w:p w14:paraId="64CA6841">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1.47</w:t>
            </w:r>
          </w:p>
        </w:tc>
        <w:tc>
          <w:tcPr>
            <w:tcW w:w="1074" w:type="dxa"/>
            <w:tcBorders>
              <w:top w:val="nil"/>
              <w:left w:val="nil"/>
              <w:bottom w:val="single" w:color="auto" w:sz="12" w:space="0"/>
              <w:right w:val="nil"/>
            </w:tcBorders>
            <w:shd w:val="clear" w:color="auto" w:fill="auto"/>
            <w:vAlign w:val="center"/>
          </w:tcPr>
          <w:p w14:paraId="4E580A22">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1.511</w:t>
            </w:r>
          </w:p>
        </w:tc>
        <w:tc>
          <w:tcPr>
            <w:tcW w:w="1074" w:type="dxa"/>
            <w:tcBorders>
              <w:top w:val="nil"/>
              <w:left w:val="nil"/>
              <w:bottom w:val="single" w:color="auto" w:sz="12" w:space="0"/>
              <w:right w:val="nil"/>
            </w:tcBorders>
            <w:shd w:val="clear" w:color="auto" w:fill="auto"/>
            <w:vAlign w:val="center"/>
          </w:tcPr>
          <w:p w14:paraId="10FF1416">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1.704</w:t>
            </w:r>
          </w:p>
        </w:tc>
        <w:tc>
          <w:tcPr>
            <w:tcW w:w="1074" w:type="dxa"/>
            <w:tcBorders>
              <w:top w:val="nil"/>
              <w:left w:val="nil"/>
              <w:bottom w:val="single" w:color="auto" w:sz="12" w:space="0"/>
              <w:right w:val="nil"/>
            </w:tcBorders>
            <w:shd w:val="clear" w:color="auto" w:fill="auto"/>
            <w:vAlign w:val="center"/>
          </w:tcPr>
          <w:p w14:paraId="79D2E679">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2.013</w:t>
            </w:r>
          </w:p>
        </w:tc>
      </w:tr>
    </w:tbl>
    <w:p w14:paraId="27C71C9E">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数据来源：</w:t>
      </w:r>
      <w:r>
        <w:rPr>
          <w:rFonts w:hint="default" w:ascii="Times New Roman" w:hAnsi="Times New Roman" w:eastAsia="宋体" w:cs="Times New Roman"/>
          <w:sz w:val="24"/>
          <w:szCs w:val="24"/>
          <w:lang w:val="en-US" w:eastAsia="zh-CN"/>
        </w:rPr>
        <w:t>finD</w:t>
      </w:r>
      <w:r>
        <w:rPr>
          <w:rFonts w:hint="default" w:ascii="Times New Roman" w:hAnsi="Times New Roman" w:eastAsia="宋体" w:cs="Times New Roman"/>
          <w:sz w:val="24"/>
          <w:szCs w:val="24"/>
        </w:rPr>
        <w:t>数据库整理</w:t>
      </w:r>
    </w:p>
    <w:p w14:paraId="653C5FEA">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总体来看，典型样本企业在财务杠杆使用程度上存在一定差异，但整体杠杆水平普遍不高，如图4-5所示，多数企业权益乘数维持在1—1.5之间，</w:t>
      </w:r>
      <w:r>
        <w:rPr>
          <w:rFonts w:hint="default" w:ascii="Times New Roman" w:hAnsi="Times New Roman" w:eastAsia="宋体" w:cs="Times New Roman"/>
          <w:sz w:val="24"/>
          <w:szCs w:val="24"/>
        </w:rPr>
        <w:t>说明企业资产结构中负债占比相对有限，经营活动更多依赖股东资本和企业内部积累。与此同时，个别企业权益乘数在样本期内出现明显上升，例如思美传媒，其权益乘数由2020年的1.373上升至2024年的2.013，说明企业在后期逐渐提高了负债融资比例，从而扩大资产规模。</w:t>
      </w:r>
    </w:p>
    <w:p w14:paraId="2EE28A44">
      <w:pPr>
        <w:widowControl/>
        <w:tabs>
          <w:tab w:val="left" w:pos="377"/>
        </w:tabs>
        <w:autoSpaceDE/>
        <w:autoSpaceDN/>
        <w:snapToGrid/>
        <w:spacing w:before="156" w:beforeLines="50"/>
        <w:jc w:val="center"/>
        <w:rPr>
          <w:rFonts w:hint="default" w:ascii="Times New Roman" w:hAnsi="Times New Roman" w:eastAsia="宋体" w:cs="Times New Roman"/>
          <w:spacing w:val="10"/>
          <w:kern w:val="0"/>
          <w:szCs w:val="20"/>
          <w:lang w:val="en-US" w:eastAsia="zh-CN"/>
        </w:rPr>
      </w:pPr>
      <w:r>
        <w:rPr>
          <w:rFonts w:hint="default" w:ascii="Times New Roman" w:hAnsi="Times New Roman" w:cs="Times New Roman"/>
        </w:rPr>
        <w:drawing>
          <wp:inline distT="0" distB="0" distL="114300" distR="114300">
            <wp:extent cx="5274310" cy="2874010"/>
            <wp:effectExtent l="4445" t="4445" r="7620" b="7620"/>
            <wp:docPr id="6" name="图表 5"/>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2CF64313">
      <w:pPr>
        <w:widowControl/>
        <w:tabs>
          <w:tab w:val="left" w:pos="377"/>
        </w:tabs>
        <w:autoSpaceDE/>
        <w:autoSpaceDN/>
        <w:snapToGrid/>
        <w:spacing w:before="156" w:beforeLines="50"/>
        <w:jc w:val="center"/>
        <w:rPr>
          <w:rFonts w:hint="default" w:ascii="Times New Roman" w:hAnsi="Times New Roman" w:eastAsia="宋体" w:cs="Times New Roman"/>
          <w:spacing w:val="10"/>
          <w:kern w:val="0"/>
          <w:szCs w:val="20"/>
          <w:lang w:val="en-US" w:eastAsia="zh-CN"/>
        </w:rPr>
      </w:pPr>
      <w:r>
        <w:rPr>
          <w:rFonts w:hint="default" w:ascii="Times New Roman" w:hAnsi="Times New Roman" w:eastAsia="宋体" w:cs="Times New Roman"/>
          <w:spacing w:val="10"/>
          <w:kern w:val="0"/>
          <w:szCs w:val="20"/>
          <w:lang w:val="en-US" w:eastAsia="zh-CN"/>
        </w:rPr>
        <w:t>图4-5 典型样本企业权益乘数变化趋势图</w:t>
      </w:r>
    </w:p>
    <w:p w14:paraId="2DF2E6AB">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p>
    <w:p w14:paraId="49A20AD5">
      <w:pPr>
        <w:autoSpaceDE/>
        <w:autoSpaceDN/>
        <w:snapToGrid/>
        <w:spacing w:before="156" w:beforeLines="50" w:after="156" w:afterLines="50" w:line="420" w:lineRule="exact"/>
        <w:jc w:val="left"/>
        <w:outlineLvl w:val="2"/>
        <w:rPr>
          <w:rFonts w:hint="default" w:ascii="Times New Roman" w:hAnsi="Times New Roman" w:eastAsia="黑体" w:cs="Times New Roman"/>
          <w:color w:val="000000"/>
          <w:kern w:val="0"/>
          <w:sz w:val="28"/>
          <w:szCs w:val="28"/>
          <w:lang w:val="en-US" w:eastAsia="zh-CN"/>
        </w:rPr>
      </w:pPr>
      <w:r>
        <w:rPr>
          <w:rFonts w:hint="default" w:ascii="Times New Roman" w:hAnsi="Times New Roman" w:eastAsia="黑体" w:cs="Times New Roman"/>
          <w:color w:val="000000"/>
          <w:kern w:val="0"/>
          <w:sz w:val="28"/>
          <w:szCs w:val="28"/>
          <w:lang w:val="en-US" w:eastAsia="zh-CN"/>
        </w:rPr>
        <w:t>4.2.3.1 AI独立产品型企业权益乘数分析</w:t>
      </w:r>
    </w:p>
    <w:p w14:paraId="2C86B8A7">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 方直科技</w:t>
      </w:r>
    </w:p>
    <w:p w14:paraId="06A7E989">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方直科技2020—2024年的权益乘数始终维持在1.02—1.05之间，整体波动幅度很小，是样本企业中财务杠杆水平最低的企业之一</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为进一步观察企业资本结构变化，</w:t>
      </w:r>
      <w:r>
        <w:rPr>
          <w:rFonts w:hint="default" w:ascii="Times New Roman" w:hAnsi="Times New Roman" w:eastAsia="宋体" w:cs="Times New Roman"/>
          <w:sz w:val="24"/>
          <w:szCs w:val="24"/>
          <w:lang w:val="en-US" w:eastAsia="zh-CN"/>
        </w:rPr>
        <w:t>本文继续</w:t>
      </w:r>
      <w:r>
        <w:rPr>
          <w:rFonts w:hint="default" w:ascii="Times New Roman" w:hAnsi="Times New Roman" w:eastAsia="宋体" w:cs="Times New Roman"/>
          <w:sz w:val="24"/>
          <w:szCs w:val="24"/>
        </w:rPr>
        <w:t>结合资产规模与负债规模变化进行分析。</w:t>
      </w:r>
    </w:p>
    <w:p w14:paraId="3BEA1D32">
      <w:pPr>
        <w:widowControl/>
        <w:tabs>
          <w:tab w:val="left" w:pos="377"/>
        </w:tabs>
        <w:autoSpaceDE/>
        <w:autoSpaceDN/>
        <w:snapToGrid/>
        <w:spacing w:before="156" w:beforeLines="50"/>
        <w:jc w:val="center"/>
        <w:rPr>
          <w:rFonts w:hint="default" w:ascii="Times New Roman" w:hAnsi="Times New Roman" w:eastAsia="宋体" w:cs="Times New Roman"/>
          <w:spacing w:val="10"/>
          <w:kern w:val="0"/>
          <w:szCs w:val="20"/>
          <w:lang w:val="en-US" w:eastAsia="zh-CN"/>
        </w:rPr>
      </w:pPr>
      <w:r>
        <w:rPr>
          <w:rFonts w:hint="default" w:ascii="Times New Roman" w:hAnsi="Times New Roman" w:eastAsia="宋体" w:cs="Times New Roman"/>
          <w:spacing w:val="10"/>
          <w:kern w:val="0"/>
          <w:szCs w:val="20"/>
          <w:lang w:val="en-US" w:eastAsia="zh-CN"/>
        </w:rPr>
        <w:t>表4-27 方直科技资产规模与负债规模变化表</w:t>
      </w:r>
    </w:p>
    <w:tbl>
      <w:tblPr>
        <w:tblStyle w:val="7"/>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9"/>
        <w:gridCol w:w="3589"/>
        <w:gridCol w:w="3591"/>
      </w:tblGrid>
      <w:tr w14:paraId="2F0FDD33">
        <w:trPr>
          <w:trHeight w:val="0" w:hRule="atLeast"/>
          <w:tblHeader/>
          <w:jc w:val="center"/>
        </w:trPr>
        <w:tc>
          <w:tcPr>
            <w:tcW w:w="1339" w:type="dxa"/>
            <w:tcBorders>
              <w:top w:val="single" w:color="auto" w:sz="12" w:space="0"/>
              <w:left w:val="nil"/>
              <w:bottom w:val="single" w:color="auto" w:sz="4" w:space="0"/>
              <w:right w:val="nil"/>
            </w:tcBorders>
            <w:shd w:val="clear" w:color="auto" w:fill="auto"/>
            <w:vAlign w:val="center"/>
          </w:tcPr>
          <w:p w14:paraId="7EB1E5B9">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年份</w:t>
            </w:r>
          </w:p>
        </w:tc>
        <w:tc>
          <w:tcPr>
            <w:tcW w:w="3589" w:type="dxa"/>
            <w:tcBorders>
              <w:top w:val="single" w:color="auto" w:sz="12" w:space="0"/>
              <w:left w:val="nil"/>
              <w:bottom w:val="single" w:color="auto" w:sz="4" w:space="0"/>
              <w:right w:val="nil"/>
            </w:tcBorders>
            <w:shd w:val="clear" w:color="auto" w:fill="auto"/>
            <w:vAlign w:val="center"/>
          </w:tcPr>
          <w:p w14:paraId="721ADD5E">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资产总计（元）</w:t>
            </w:r>
          </w:p>
        </w:tc>
        <w:tc>
          <w:tcPr>
            <w:tcW w:w="3591" w:type="dxa"/>
            <w:tcBorders>
              <w:top w:val="single" w:color="auto" w:sz="12" w:space="0"/>
              <w:left w:val="nil"/>
              <w:bottom w:val="single" w:color="auto" w:sz="4" w:space="0"/>
              <w:right w:val="nil"/>
            </w:tcBorders>
            <w:shd w:val="clear" w:color="auto" w:fill="auto"/>
            <w:vAlign w:val="center"/>
          </w:tcPr>
          <w:p w14:paraId="2B9568AB">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负债合计（元）</w:t>
            </w:r>
          </w:p>
        </w:tc>
      </w:tr>
      <w:tr w14:paraId="620496F6">
        <w:trPr>
          <w:trHeight w:val="0" w:hRule="atLeast"/>
          <w:jc w:val="center"/>
        </w:trPr>
        <w:tc>
          <w:tcPr>
            <w:tcW w:w="1339" w:type="dxa"/>
            <w:tcBorders>
              <w:top w:val="single" w:color="auto" w:sz="4" w:space="0"/>
              <w:left w:val="nil"/>
              <w:bottom w:val="nil"/>
              <w:right w:val="nil"/>
            </w:tcBorders>
            <w:shd w:val="clear" w:color="auto" w:fill="auto"/>
            <w:vAlign w:val="center"/>
          </w:tcPr>
          <w:p w14:paraId="7107ACA5">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2020</w:t>
            </w:r>
          </w:p>
        </w:tc>
        <w:tc>
          <w:tcPr>
            <w:tcW w:w="3589" w:type="dxa"/>
            <w:tcBorders>
              <w:top w:val="single" w:color="auto" w:sz="4" w:space="0"/>
              <w:left w:val="nil"/>
              <w:bottom w:val="nil"/>
              <w:right w:val="nil"/>
            </w:tcBorders>
            <w:shd w:val="clear" w:color="auto" w:fill="auto"/>
            <w:vAlign w:val="center"/>
          </w:tcPr>
          <w:p w14:paraId="7965717B">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678,658,437</w:t>
            </w:r>
          </w:p>
        </w:tc>
        <w:tc>
          <w:tcPr>
            <w:tcW w:w="3591" w:type="dxa"/>
            <w:tcBorders>
              <w:top w:val="single" w:color="auto" w:sz="4" w:space="0"/>
              <w:left w:val="nil"/>
              <w:bottom w:val="nil"/>
              <w:right w:val="nil"/>
            </w:tcBorders>
            <w:shd w:val="clear" w:color="auto" w:fill="auto"/>
            <w:vAlign w:val="center"/>
          </w:tcPr>
          <w:p w14:paraId="669666F8">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29,241,996</w:t>
            </w:r>
          </w:p>
        </w:tc>
      </w:tr>
      <w:tr w14:paraId="784C4C4D">
        <w:trPr>
          <w:trHeight w:val="0" w:hRule="atLeast"/>
          <w:jc w:val="center"/>
        </w:trPr>
        <w:tc>
          <w:tcPr>
            <w:tcW w:w="1339" w:type="dxa"/>
            <w:tcBorders>
              <w:top w:val="nil"/>
              <w:left w:val="nil"/>
              <w:bottom w:val="nil"/>
              <w:right w:val="nil"/>
            </w:tcBorders>
            <w:shd w:val="clear" w:color="auto" w:fill="auto"/>
            <w:vAlign w:val="center"/>
          </w:tcPr>
          <w:p w14:paraId="26F5E7E1">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2021</w:t>
            </w:r>
          </w:p>
        </w:tc>
        <w:tc>
          <w:tcPr>
            <w:tcW w:w="3589" w:type="dxa"/>
            <w:tcBorders>
              <w:top w:val="nil"/>
              <w:left w:val="nil"/>
              <w:bottom w:val="nil"/>
              <w:right w:val="nil"/>
            </w:tcBorders>
            <w:shd w:val="clear" w:color="auto" w:fill="auto"/>
            <w:vAlign w:val="center"/>
          </w:tcPr>
          <w:p w14:paraId="131C8F5A">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685,266,193</w:t>
            </w:r>
          </w:p>
        </w:tc>
        <w:tc>
          <w:tcPr>
            <w:tcW w:w="3591" w:type="dxa"/>
            <w:tcBorders>
              <w:top w:val="nil"/>
              <w:left w:val="nil"/>
              <w:bottom w:val="nil"/>
              <w:right w:val="nil"/>
            </w:tcBorders>
            <w:shd w:val="clear" w:color="auto" w:fill="auto"/>
            <w:vAlign w:val="center"/>
          </w:tcPr>
          <w:p w14:paraId="27022A33">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22,207,921</w:t>
            </w:r>
          </w:p>
        </w:tc>
      </w:tr>
      <w:tr w14:paraId="18D97618">
        <w:trPr>
          <w:trHeight w:val="0" w:hRule="atLeast"/>
          <w:jc w:val="center"/>
        </w:trPr>
        <w:tc>
          <w:tcPr>
            <w:tcW w:w="1339" w:type="dxa"/>
            <w:tcBorders>
              <w:top w:val="nil"/>
              <w:left w:val="nil"/>
              <w:bottom w:val="nil"/>
              <w:right w:val="nil"/>
            </w:tcBorders>
            <w:shd w:val="clear" w:color="auto" w:fill="auto"/>
            <w:vAlign w:val="center"/>
          </w:tcPr>
          <w:p w14:paraId="6737C978">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2022</w:t>
            </w:r>
          </w:p>
        </w:tc>
        <w:tc>
          <w:tcPr>
            <w:tcW w:w="3589" w:type="dxa"/>
            <w:tcBorders>
              <w:top w:val="nil"/>
              <w:left w:val="nil"/>
              <w:bottom w:val="nil"/>
              <w:right w:val="nil"/>
            </w:tcBorders>
            <w:shd w:val="clear" w:color="auto" w:fill="auto"/>
            <w:vAlign w:val="center"/>
          </w:tcPr>
          <w:p w14:paraId="67F4128A">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704,654,098</w:t>
            </w:r>
          </w:p>
        </w:tc>
        <w:tc>
          <w:tcPr>
            <w:tcW w:w="3591" w:type="dxa"/>
            <w:tcBorders>
              <w:top w:val="nil"/>
              <w:left w:val="nil"/>
              <w:bottom w:val="nil"/>
              <w:right w:val="nil"/>
            </w:tcBorders>
            <w:shd w:val="clear" w:color="auto" w:fill="auto"/>
            <w:vAlign w:val="center"/>
          </w:tcPr>
          <w:p w14:paraId="133C754D">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21,906,984</w:t>
            </w:r>
          </w:p>
        </w:tc>
      </w:tr>
      <w:tr w14:paraId="35B83DC4">
        <w:trPr>
          <w:trHeight w:val="0" w:hRule="atLeast"/>
          <w:jc w:val="center"/>
        </w:trPr>
        <w:tc>
          <w:tcPr>
            <w:tcW w:w="1339" w:type="dxa"/>
            <w:tcBorders>
              <w:top w:val="nil"/>
              <w:left w:val="nil"/>
              <w:bottom w:val="nil"/>
              <w:right w:val="nil"/>
            </w:tcBorders>
            <w:shd w:val="clear" w:color="auto" w:fill="auto"/>
            <w:vAlign w:val="center"/>
          </w:tcPr>
          <w:p w14:paraId="0A69576F">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2023</w:t>
            </w:r>
          </w:p>
        </w:tc>
        <w:tc>
          <w:tcPr>
            <w:tcW w:w="3589" w:type="dxa"/>
            <w:tcBorders>
              <w:top w:val="nil"/>
              <w:left w:val="nil"/>
              <w:bottom w:val="nil"/>
              <w:right w:val="nil"/>
            </w:tcBorders>
            <w:shd w:val="clear" w:color="auto" w:fill="auto"/>
            <w:vAlign w:val="center"/>
          </w:tcPr>
          <w:p w14:paraId="72C32BF0">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723,448,126</w:t>
            </w:r>
          </w:p>
        </w:tc>
        <w:tc>
          <w:tcPr>
            <w:tcW w:w="3591" w:type="dxa"/>
            <w:tcBorders>
              <w:top w:val="nil"/>
              <w:left w:val="nil"/>
              <w:bottom w:val="nil"/>
              <w:right w:val="nil"/>
            </w:tcBorders>
            <w:shd w:val="clear" w:color="auto" w:fill="auto"/>
            <w:vAlign w:val="center"/>
          </w:tcPr>
          <w:p w14:paraId="6355B6F1">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15,249,409</w:t>
            </w:r>
          </w:p>
        </w:tc>
      </w:tr>
      <w:tr w14:paraId="64793AB5">
        <w:trPr>
          <w:trHeight w:val="0" w:hRule="atLeast"/>
          <w:jc w:val="center"/>
        </w:trPr>
        <w:tc>
          <w:tcPr>
            <w:tcW w:w="1339" w:type="dxa"/>
            <w:tcBorders>
              <w:top w:val="nil"/>
              <w:left w:val="nil"/>
              <w:bottom w:val="single" w:color="auto" w:sz="12" w:space="0"/>
              <w:right w:val="nil"/>
            </w:tcBorders>
            <w:shd w:val="clear" w:color="auto" w:fill="auto"/>
            <w:vAlign w:val="center"/>
          </w:tcPr>
          <w:p w14:paraId="76E6D3F9">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2024</w:t>
            </w:r>
          </w:p>
        </w:tc>
        <w:tc>
          <w:tcPr>
            <w:tcW w:w="3589" w:type="dxa"/>
            <w:tcBorders>
              <w:top w:val="nil"/>
              <w:left w:val="nil"/>
              <w:bottom w:val="single" w:color="auto" w:sz="12" w:space="0"/>
              <w:right w:val="nil"/>
            </w:tcBorders>
            <w:shd w:val="clear" w:color="auto" w:fill="auto"/>
            <w:vAlign w:val="center"/>
          </w:tcPr>
          <w:p w14:paraId="30FE0565">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723,296,827</w:t>
            </w:r>
          </w:p>
        </w:tc>
        <w:tc>
          <w:tcPr>
            <w:tcW w:w="3591" w:type="dxa"/>
            <w:tcBorders>
              <w:top w:val="nil"/>
              <w:left w:val="nil"/>
              <w:bottom w:val="single" w:color="auto" w:sz="12" w:space="0"/>
              <w:right w:val="nil"/>
            </w:tcBorders>
            <w:shd w:val="clear" w:color="auto" w:fill="auto"/>
            <w:vAlign w:val="center"/>
          </w:tcPr>
          <w:p w14:paraId="6BEBE153">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19,667,517</w:t>
            </w:r>
          </w:p>
        </w:tc>
      </w:tr>
    </w:tbl>
    <w:p w14:paraId="4001CDD4">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数据来源：</w:t>
      </w:r>
      <w:r>
        <w:rPr>
          <w:rFonts w:hint="default" w:ascii="Times New Roman" w:hAnsi="Times New Roman" w:eastAsia="宋体" w:cs="Times New Roman"/>
          <w:sz w:val="24"/>
          <w:szCs w:val="24"/>
          <w:lang w:val="en-US" w:eastAsia="zh-CN"/>
        </w:rPr>
        <w:t>finD</w:t>
      </w:r>
      <w:r>
        <w:rPr>
          <w:rFonts w:hint="default" w:ascii="Times New Roman" w:hAnsi="Times New Roman" w:eastAsia="宋体" w:cs="Times New Roman"/>
          <w:sz w:val="24"/>
          <w:szCs w:val="24"/>
        </w:rPr>
        <w:t>数据库整理</w:t>
      </w:r>
    </w:p>
    <w:p w14:paraId="4218649A">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val="en-US" w:eastAsia="zh-CN"/>
        </w:rPr>
        <w:t>如</w:t>
      </w:r>
      <w:r>
        <w:rPr>
          <w:rFonts w:hint="default" w:ascii="Times New Roman" w:hAnsi="Times New Roman" w:eastAsia="宋体" w:cs="Times New Roman"/>
          <w:sz w:val="24"/>
          <w:szCs w:val="24"/>
        </w:rPr>
        <w:t>方直科技资产规模与负债规模变化</w:t>
      </w:r>
      <w:r>
        <w:rPr>
          <w:rFonts w:hint="default" w:ascii="Times New Roman" w:hAnsi="Times New Roman" w:eastAsia="宋体" w:cs="Times New Roman"/>
          <w:sz w:val="24"/>
          <w:szCs w:val="24"/>
          <w:lang w:val="en-US" w:eastAsia="zh-CN"/>
        </w:rPr>
        <w:t>表</w:t>
      </w:r>
      <w:r>
        <w:rPr>
          <w:rFonts w:hint="default" w:ascii="Times New Roman" w:hAnsi="Times New Roman" w:eastAsia="宋体" w:cs="Times New Roman"/>
          <w:sz w:val="24"/>
          <w:szCs w:val="24"/>
          <w:lang w:eastAsia="zh-CN"/>
        </w:rPr>
        <w:t>（表4-2</w:t>
      </w:r>
      <w:r>
        <w:rPr>
          <w:rFonts w:hint="default" w:ascii="Times New Roman" w:hAnsi="Times New Roman" w:eastAsia="宋体" w:cs="Times New Roman"/>
          <w:sz w:val="24"/>
          <w:szCs w:val="24"/>
          <w:lang w:val="en-US" w:eastAsia="zh-CN"/>
        </w:rPr>
        <w:t>7</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所示</w:t>
      </w:r>
      <w:r>
        <w:rPr>
          <w:rFonts w:hint="default" w:ascii="Times New Roman" w:hAnsi="Times New Roman" w:eastAsia="宋体" w:cs="Times New Roman"/>
          <w:sz w:val="24"/>
          <w:szCs w:val="24"/>
          <w:lang w:eastAsia="zh-CN"/>
        </w:rPr>
        <w:t>，公司资产规模在样本期内整体保持稳定增长，由2020年的6.79亿元增加至2024年的7.23亿元，而负债规模则始终处于较低水平，五年间基本维持在1500万元至3000万元之间。以2024年为例，公司总资产约为7.23亿元，而负债规模仅约1967万元，负债占资产比例不足3%。在这种资本结构下，企业资产绝大部分由股东权益构成，因此权益乘数长期接近1。</w:t>
      </w:r>
    </w:p>
    <w:p w14:paraId="0AB2B747">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lang w:eastAsia="zh-CN"/>
        </w:rPr>
        <w:t>从资本结构角度看，这种低杠杆结构在技术型企业中较为常见。方直科技主要从事教育软件及数字教育产品研发，企业资产结构以研发投入、软件系统和内容资源为主，对固定资产和外部融资的依赖程度相对较低。同时，技术产品研发周期具有一定不确定性，企业通常更倾向于保持稳健的资本结构，以降低财务风险。</w:t>
      </w:r>
      <w:r>
        <w:rPr>
          <w:rFonts w:hint="default" w:ascii="Times New Roman" w:hAnsi="Times New Roman" w:eastAsia="宋体" w:cs="Times New Roman"/>
          <w:sz w:val="24"/>
          <w:szCs w:val="24"/>
          <w:lang w:val="en-US" w:eastAsia="zh-CN"/>
        </w:rPr>
        <w:t>由前文可知，</w:t>
      </w:r>
      <w:r>
        <w:rPr>
          <w:rFonts w:hint="default" w:ascii="Times New Roman" w:hAnsi="Times New Roman" w:eastAsia="宋体" w:cs="Times New Roman"/>
          <w:sz w:val="24"/>
          <w:szCs w:val="24"/>
          <w:lang w:eastAsia="zh-CN"/>
        </w:rPr>
        <w:t>人工智能教育产品类的业务仍处于持续研发与推广阶段，需要保持较为稳定的资金支持。因此，从资本结构安排来看，公司并未通过增加负债融资扩大经营规模，而是以自有资本为主维持业务发展。</w:t>
      </w:r>
    </w:p>
    <w:p w14:paraId="65D6842B">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 佳讯飞鸿</w:t>
      </w:r>
    </w:p>
    <w:p w14:paraId="22969E24">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佳讯飞鸿2020—2024年的权益乘数整体维持在1.35—1.42之间，波动幅度较小，说明企业在保持财务稳健的同时，也通过一定程度的负债融资支持业务发展。</w:t>
      </w:r>
    </w:p>
    <w:p w14:paraId="5E13F98F">
      <w:pPr>
        <w:widowControl/>
        <w:tabs>
          <w:tab w:val="left" w:pos="377"/>
        </w:tabs>
        <w:autoSpaceDE/>
        <w:autoSpaceDN/>
        <w:snapToGrid/>
        <w:spacing w:before="156" w:beforeLines="50"/>
        <w:jc w:val="center"/>
        <w:rPr>
          <w:rFonts w:hint="default" w:ascii="Times New Roman" w:hAnsi="Times New Roman" w:eastAsia="宋体" w:cs="Times New Roman"/>
          <w:spacing w:val="10"/>
          <w:kern w:val="0"/>
          <w:szCs w:val="20"/>
          <w:lang w:val="en-US" w:eastAsia="zh-CN"/>
        </w:rPr>
      </w:pPr>
      <w:r>
        <w:rPr>
          <w:rFonts w:hint="default" w:ascii="Times New Roman" w:hAnsi="Times New Roman" w:eastAsia="宋体" w:cs="Times New Roman"/>
          <w:spacing w:val="10"/>
          <w:kern w:val="0"/>
          <w:szCs w:val="20"/>
          <w:lang w:val="en-US" w:eastAsia="zh-CN"/>
        </w:rPr>
        <w:t>表4-28 佳讯飞鸿资产规模与负债规模变化表</w:t>
      </w:r>
    </w:p>
    <w:tbl>
      <w:tblPr>
        <w:tblStyle w:val="7"/>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9"/>
        <w:gridCol w:w="3589"/>
        <w:gridCol w:w="3591"/>
      </w:tblGrid>
      <w:tr w14:paraId="3E975CC9">
        <w:trPr>
          <w:trHeight w:val="0" w:hRule="atLeast"/>
          <w:tblHeader/>
          <w:jc w:val="center"/>
        </w:trPr>
        <w:tc>
          <w:tcPr>
            <w:tcW w:w="1339" w:type="dxa"/>
            <w:tcBorders>
              <w:top w:val="single" w:color="auto" w:sz="12" w:space="0"/>
              <w:left w:val="nil"/>
              <w:bottom w:val="single" w:color="auto" w:sz="4" w:space="0"/>
              <w:right w:val="nil"/>
            </w:tcBorders>
            <w:shd w:val="clear" w:color="auto" w:fill="auto"/>
            <w:vAlign w:val="center"/>
          </w:tcPr>
          <w:p w14:paraId="2CE78705">
            <w:pPr>
              <w:keepNext/>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年份</w:t>
            </w:r>
          </w:p>
        </w:tc>
        <w:tc>
          <w:tcPr>
            <w:tcW w:w="3589" w:type="dxa"/>
            <w:tcBorders>
              <w:top w:val="single" w:color="auto" w:sz="12" w:space="0"/>
              <w:left w:val="nil"/>
              <w:bottom w:val="single" w:color="auto" w:sz="4" w:space="0"/>
              <w:right w:val="nil"/>
            </w:tcBorders>
            <w:shd w:val="clear" w:color="auto" w:fill="auto"/>
            <w:vAlign w:val="center"/>
          </w:tcPr>
          <w:p w14:paraId="3B836395">
            <w:pPr>
              <w:keepNext/>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资产总计（元）</w:t>
            </w:r>
          </w:p>
        </w:tc>
        <w:tc>
          <w:tcPr>
            <w:tcW w:w="3591" w:type="dxa"/>
            <w:tcBorders>
              <w:top w:val="single" w:color="auto" w:sz="12" w:space="0"/>
              <w:left w:val="nil"/>
              <w:bottom w:val="single" w:color="auto" w:sz="4" w:space="0"/>
              <w:right w:val="nil"/>
            </w:tcBorders>
            <w:shd w:val="clear" w:color="auto" w:fill="auto"/>
            <w:vAlign w:val="center"/>
          </w:tcPr>
          <w:p w14:paraId="6359D02E">
            <w:pPr>
              <w:keepNext/>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负债合计（元）</w:t>
            </w:r>
          </w:p>
        </w:tc>
      </w:tr>
      <w:tr w14:paraId="555677DB">
        <w:trPr>
          <w:trHeight w:val="0" w:hRule="atLeast"/>
          <w:jc w:val="center"/>
        </w:trPr>
        <w:tc>
          <w:tcPr>
            <w:tcW w:w="1339" w:type="dxa"/>
            <w:tcBorders>
              <w:top w:val="single" w:color="auto" w:sz="4" w:space="0"/>
              <w:left w:val="nil"/>
              <w:bottom w:val="nil"/>
              <w:right w:val="nil"/>
            </w:tcBorders>
            <w:shd w:val="clear" w:color="auto" w:fill="auto"/>
            <w:vAlign w:val="center"/>
          </w:tcPr>
          <w:p w14:paraId="02C466CC">
            <w:pPr>
              <w:keepNext/>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2020</w:t>
            </w:r>
          </w:p>
        </w:tc>
        <w:tc>
          <w:tcPr>
            <w:tcW w:w="3589" w:type="dxa"/>
            <w:tcBorders>
              <w:top w:val="single" w:color="auto" w:sz="4" w:space="0"/>
              <w:left w:val="nil"/>
              <w:bottom w:val="nil"/>
              <w:right w:val="nil"/>
            </w:tcBorders>
            <w:shd w:val="clear" w:color="auto" w:fill="auto"/>
            <w:vAlign w:val="center"/>
          </w:tcPr>
          <w:p w14:paraId="02DAFFB6">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3,034,679,403</w:t>
            </w:r>
          </w:p>
        </w:tc>
        <w:tc>
          <w:tcPr>
            <w:tcW w:w="3591" w:type="dxa"/>
            <w:tcBorders>
              <w:top w:val="single" w:color="auto" w:sz="4" w:space="0"/>
              <w:left w:val="nil"/>
              <w:bottom w:val="nil"/>
              <w:right w:val="nil"/>
            </w:tcBorders>
            <w:shd w:val="clear" w:color="auto" w:fill="auto"/>
            <w:vAlign w:val="center"/>
          </w:tcPr>
          <w:p w14:paraId="7523362E">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889,273,633</w:t>
            </w:r>
          </w:p>
        </w:tc>
      </w:tr>
      <w:tr w14:paraId="3A80D5C8">
        <w:trPr>
          <w:trHeight w:val="0" w:hRule="atLeast"/>
          <w:jc w:val="center"/>
        </w:trPr>
        <w:tc>
          <w:tcPr>
            <w:tcW w:w="1339" w:type="dxa"/>
            <w:tcBorders>
              <w:top w:val="nil"/>
              <w:left w:val="nil"/>
              <w:bottom w:val="nil"/>
              <w:right w:val="nil"/>
            </w:tcBorders>
            <w:shd w:val="clear" w:color="auto" w:fill="auto"/>
            <w:vAlign w:val="center"/>
          </w:tcPr>
          <w:p w14:paraId="1F1616D3">
            <w:pPr>
              <w:keepNext/>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2021</w:t>
            </w:r>
          </w:p>
        </w:tc>
        <w:tc>
          <w:tcPr>
            <w:tcW w:w="3589" w:type="dxa"/>
            <w:tcBorders>
              <w:top w:val="nil"/>
              <w:left w:val="nil"/>
              <w:bottom w:val="nil"/>
              <w:right w:val="nil"/>
            </w:tcBorders>
            <w:shd w:val="clear" w:color="auto" w:fill="auto"/>
            <w:vAlign w:val="center"/>
          </w:tcPr>
          <w:p w14:paraId="56BA68D1">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3,031,943,430</w:t>
            </w:r>
          </w:p>
        </w:tc>
        <w:tc>
          <w:tcPr>
            <w:tcW w:w="3591" w:type="dxa"/>
            <w:tcBorders>
              <w:top w:val="nil"/>
              <w:left w:val="nil"/>
              <w:bottom w:val="nil"/>
              <w:right w:val="nil"/>
            </w:tcBorders>
            <w:shd w:val="clear" w:color="auto" w:fill="auto"/>
            <w:vAlign w:val="center"/>
          </w:tcPr>
          <w:p w14:paraId="13BDF88D">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850,827,808</w:t>
            </w:r>
          </w:p>
        </w:tc>
      </w:tr>
      <w:tr w14:paraId="53CB1D27">
        <w:trPr>
          <w:trHeight w:val="0" w:hRule="atLeast"/>
          <w:jc w:val="center"/>
        </w:trPr>
        <w:tc>
          <w:tcPr>
            <w:tcW w:w="1339" w:type="dxa"/>
            <w:tcBorders>
              <w:top w:val="nil"/>
              <w:left w:val="nil"/>
              <w:bottom w:val="nil"/>
              <w:right w:val="nil"/>
            </w:tcBorders>
            <w:shd w:val="clear" w:color="auto" w:fill="auto"/>
            <w:vAlign w:val="center"/>
          </w:tcPr>
          <w:p w14:paraId="7659F62A">
            <w:pPr>
              <w:keepNext/>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2022</w:t>
            </w:r>
          </w:p>
        </w:tc>
        <w:tc>
          <w:tcPr>
            <w:tcW w:w="3589" w:type="dxa"/>
            <w:tcBorders>
              <w:top w:val="nil"/>
              <w:left w:val="nil"/>
              <w:bottom w:val="nil"/>
              <w:right w:val="nil"/>
            </w:tcBorders>
            <w:shd w:val="clear" w:color="auto" w:fill="auto"/>
            <w:vAlign w:val="center"/>
          </w:tcPr>
          <w:p w14:paraId="2A8654D8">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3,034,792,648</w:t>
            </w:r>
          </w:p>
        </w:tc>
        <w:tc>
          <w:tcPr>
            <w:tcW w:w="3591" w:type="dxa"/>
            <w:tcBorders>
              <w:top w:val="nil"/>
              <w:left w:val="nil"/>
              <w:bottom w:val="nil"/>
              <w:right w:val="nil"/>
            </w:tcBorders>
            <w:shd w:val="clear" w:color="auto" w:fill="auto"/>
            <w:vAlign w:val="center"/>
          </w:tcPr>
          <w:p w14:paraId="0522A2F7">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798,113,606</w:t>
            </w:r>
          </w:p>
        </w:tc>
      </w:tr>
      <w:tr w14:paraId="50A9B1C4">
        <w:trPr>
          <w:trHeight w:val="0" w:hRule="atLeast"/>
          <w:jc w:val="center"/>
        </w:trPr>
        <w:tc>
          <w:tcPr>
            <w:tcW w:w="1339" w:type="dxa"/>
            <w:tcBorders>
              <w:top w:val="nil"/>
              <w:left w:val="nil"/>
              <w:bottom w:val="nil"/>
              <w:right w:val="nil"/>
            </w:tcBorders>
            <w:shd w:val="clear" w:color="auto" w:fill="auto"/>
            <w:vAlign w:val="center"/>
          </w:tcPr>
          <w:p w14:paraId="79728409">
            <w:pPr>
              <w:keepNext/>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2023</w:t>
            </w:r>
          </w:p>
        </w:tc>
        <w:tc>
          <w:tcPr>
            <w:tcW w:w="3589" w:type="dxa"/>
            <w:tcBorders>
              <w:top w:val="nil"/>
              <w:left w:val="nil"/>
              <w:bottom w:val="nil"/>
              <w:right w:val="nil"/>
            </w:tcBorders>
            <w:shd w:val="clear" w:color="auto" w:fill="auto"/>
            <w:vAlign w:val="center"/>
          </w:tcPr>
          <w:p w14:paraId="10CC26E6">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3,166,828,604</w:t>
            </w:r>
          </w:p>
        </w:tc>
        <w:tc>
          <w:tcPr>
            <w:tcW w:w="3591" w:type="dxa"/>
            <w:tcBorders>
              <w:top w:val="nil"/>
              <w:left w:val="nil"/>
              <w:bottom w:val="nil"/>
              <w:right w:val="nil"/>
            </w:tcBorders>
            <w:shd w:val="clear" w:color="auto" w:fill="auto"/>
            <w:vAlign w:val="center"/>
          </w:tcPr>
          <w:p w14:paraId="71978331">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942,784,437</w:t>
            </w:r>
          </w:p>
        </w:tc>
      </w:tr>
      <w:tr w14:paraId="56F5AA4A">
        <w:trPr>
          <w:trHeight w:val="0" w:hRule="atLeast"/>
          <w:jc w:val="center"/>
        </w:trPr>
        <w:tc>
          <w:tcPr>
            <w:tcW w:w="1339" w:type="dxa"/>
            <w:tcBorders>
              <w:top w:val="nil"/>
              <w:left w:val="nil"/>
              <w:bottom w:val="single" w:color="auto" w:sz="12" w:space="0"/>
              <w:right w:val="nil"/>
            </w:tcBorders>
            <w:shd w:val="clear" w:color="auto" w:fill="auto"/>
            <w:vAlign w:val="center"/>
          </w:tcPr>
          <w:p w14:paraId="49CC555F">
            <w:pPr>
              <w:keepNext/>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2024</w:t>
            </w:r>
          </w:p>
        </w:tc>
        <w:tc>
          <w:tcPr>
            <w:tcW w:w="3589" w:type="dxa"/>
            <w:tcBorders>
              <w:top w:val="nil"/>
              <w:left w:val="nil"/>
              <w:bottom w:val="single" w:color="auto" w:sz="12" w:space="0"/>
              <w:right w:val="nil"/>
            </w:tcBorders>
            <w:shd w:val="clear" w:color="auto" w:fill="auto"/>
            <w:vAlign w:val="center"/>
          </w:tcPr>
          <w:p w14:paraId="6C19F10B">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3,143,722,135</w:t>
            </w:r>
          </w:p>
        </w:tc>
        <w:tc>
          <w:tcPr>
            <w:tcW w:w="3591" w:type="dxa"/>
            <w:tcBorders>
              <w:top w:val="nil"/>
              <w:left w:val="nil"/>
              <w:bottom w:val="single" w:color="auto" w:sz="12" w:space="0"/>
              <w:right w:val="nil"/>
            </w:tcBorders>
            <w:shd w:val="clear" w:color="auto" w:fill="auto"/>
            <w:vAlign w:val="center"/>
          </w:tcPr>
          <w:p w14:paraId="38875B17">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909,054,838</w:t>
            </w:r>
          </w:p>
        </w:tc>
      </w:tr>
    </w:tbl>
    <w:p w14:paraId="35833049">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数据来源：</w:t>
      </w:r>
      <w:r>
        <w:rPr>
          <w:rFonts w:hint="default" w:ascii="Times New Roman" w:hAnsi="Times New Roman" w:eastAsia="宋体" w:cs="Times New Roman"/>
          <w:sz w:val="24"/>
          <w:szCs w:val="24"/>
          <w:lang w:val="en-US" w:eastAsia="zh-CN"/>
        </w:rPr>
        <w:t>finD</w:t>
      </w:r>
      <w:r>
        <w:rPr>
          <w:rFonts w:hint="default" w:ascii="Times New Roman" w:hAnsi="Times New Roman" w:eastAsia="宋体" w:cs="Times New Roman"/>
          <w:sz w:val="24"/>
          <w:szCs w:val="24"/>
        </w:rPr>
        <w:t>数据库整理</w:t>
      </w:r>
    </w:p>
    <w:p w14:paraId="16C25885">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表4-2</w:t>
      </w:r>
      <w:r>
        <w:rPr>
          <w:rFonts w:hint="default" w:ascii="Times New Roman" w:hAnsi="Times New Roman" w:eastAsia="宋体" w:cs="Times New Roman"/>
          <w:sz w:val="24"/>
          <w:szCs w:val="24"/>
          <w:lang w:val="en-US" w:eastAsia="zh-CN"/>
        </w:rPr>
        <w:t>8列出了</w:t>
      </w:r>
      <w:r>
        <w:rPr>
          <w:rFonts w:hint="default" w:ascii="Times New Roman" w:hAnsi="Times New Roman" w:eastAsia="宋体" w:cs="Times New Roman"/>
          <w:sz w:val="24"/>
          <w:szCs w:val="24"/>
        </w:rPr>
        <w:t>佳讯飞鸿</w:t>
      </w:r>
      <w:r>
        <w:rPr>
          <w:rFonts w:hint="default" w:ascii="Times New Roman" w:hAnsi="Times New Roman" w:eastAsia="宋体" w:cs="Times New Roman"/>
          <w:sz w:val="24"/>
          <w:szCs w:val="24"/>
          <w:lang w:eastAsia="zh-CN"/>
        </w:rPr>
        <w:t>的</w:t>
      </w:r>
      <w:r>
        <w:rPr>
          <w:rFonts w:hint="default" w:ascii="Times New Roman" w:hAnsi="Times New Roman" w:eastAsia="宋体" w:cs="Times New Roman"/>
          <w:sz w:val="24"/>
          <w:szCs w:val="24"/>
        </w:rPr>
        <w:t>资产规模与负债规模变化，公司资产规模在样本期内整体保持稳定，基本维持在30亿元左右。与此同时，公司负债规模则在8亿—9亿元之间波动。以2024年为例，公司总资产约为31.44亿元，负债规模约为9.09亿元，负债占资产比例约为29%。在这种资本结构下，企业既保持了一定程度的财务杠杆，又没有出现过度依赖负债融资的情况，因此权益乘数整体保持稳定。</w:t>
      </w:r>
    </w:p>
    <w:p w14:paraId="62191174">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从业务特征来看，佳讯飞鸿主要从事行业智能化解决方案业务，企业在系统研发、项目实施以及后期维护过程中需要一定的营运资金支持，因此企业通常会保持适度的负债规模，以维持项目实施和日常经营活动的资金需求。同时，公司在轨道交通、政府及能源等行业场景中持续推进智能化系统应用，其中也包括人工智能技术在调度系统、视频分析及行业物联网系统中的应用。这类业务在项目实施阶段通常需要一定的资金周转，因此企业资本结构中会保持一定比例的负债。</w:t>
      </w:r>
    </w:p>
    <w:p w14:paraId="27B955CA">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3. 天地在线</w:t>
      </w:r>
    </w:p>
    <w:p w14:paraId="299908F3">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天地在线2020—2024年的权益乘数由1.577逐步下降至1.310，整体呈下降趋势，说明企业在样本期内逐渐降低了财务杠杆水平。</w:t>
      </w:r>
    </w:p>
    <w:p w14:paraId="34F1E65A">
      <w:pPr>
        <w:widowControl/>
        <w:tabs>
          <w:tab w:val="left" w:pos="377"/>
        </w:tabs>
        <w:autoSpaceDE/>
        <w:autoSpaceDN/>
        <w:snapToGrid/>
        <w:spacing w:before="156" w:beforeLines="50"/>
        <w:jc w:val="center"/>
        <w:rPr>
          <w:rFonts w:hint="default" w:ascii="Times New Roman" w:hAnsi="Times New Roman" w:eastAsia="宋体" w:cs="Times New Roman"/>
          <w:spacing w:val="10"/>
          <w:kern w:val="0"/>
          <w:szCs w:val="20"/>
          <w:lang w:val="en-US" w:eastAsia="zh-CN"/>
        </w:rPr>
      </w:pPr>
      <w:r>
        <w:rPr>
          <w:rFonts w:hint="default" w:ascii="Times New Roman" w:hAnsi="Times New Roman" w:eastAsia="宋体" w:cs="Times New Roman"/>
          <w:spacing w:val="10"/>
          <w:kern w:val="0"/>
          <w:szCs w:val="20"/>
          <w:lang w:val="en-US" w:eastAsia="zh-CN"/>
        </w:rPr>
        <w:t>表4-29 天地在线资产规模与负债规模变化表</w:t>
      </w:r>
    </w:p>
    <w:tbl>
      <w:tblPr>
        <w:tblStyle w:val="7"/>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19"/>
        <w:gridCol w:w="3600"/>
        <w:gridCol w:w="3600"/>
      </w:tblGrid>
      <w:tr w14:paraId="3053B8B6">
        <w:trPr>
          <w:trHeight w:val="0" w:hRule="atLeast"/>
          <w:tblHeader/>
          <w:jc w:val="center"/>
        </w:trPr>
        <w:tc>
          <w:tcPr>
            <w:tcW w:w="1319" w:type="dxa"/>
            <w:tcBorders>
              <w:top w:val="single" w:color="000000" w:sz="12" w:space="0"/>
              <w:left w:val="nil"/>
              <w:bottom w:val="single" w:color="000000" w:sz="8" w:space="0"/>
              <w:right w:val="nil"/>
            </w:tcBorders>
            <w:shd w:val="clear" w:color="auto" w:fill="auto"/>
            <w:vAlign w:val="center"/>
          </w:tcPr>
          <w:p w14:paraId="476A7800">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4"/>
                <w:szCs w:val="24"/>
                <w:u w:val="none"/>
              </w:rPr>
            </w:pPr>
            <w:r>
              <w:rPr>
                <w:rFonts w:hint="default" w:ascii="Times New Roman" w:hAnsi="Times New Roman" w:eastAsia="宋体" w:cs="Times New Roman"/>
                <w:b/>
                <w:bCs/>
                <w:i w:val="0"/>
                <w:iCs w:val="0"/>
                <w:color w:val="000000"/>
                <w:kern w:val="0"/>
                <w:sz w:val="24"/>
                <w:szCs w:val="24"/>
                <w:u w:val="none"/>
                <w:lang w:val="en-US" w:eastAsia="zh-CN" w:bidi="ar"/>
              </w:rPr>
              <w:t>年份</w:t>
            </w:r>
          </w:p>
        </w:tc>
        <w:tc>
          <w:tcPr>
            <w:tcW w:w="3600" w:type="dxa"/>
            <w:tcBorders>
              <w:top w:val="single" w:color="000000" w:sz="12" w:space="0"/>
              <w:left w:val="nil"/>
              <w:bottom w:val="single" w:color="000000" w:sz="8" w:space="0"/>
              <w:right w:val="nil"/>
            </w:tcBorders>
            <w:shd w:val="clear" w:color="auto" w:fill="auto"/>
            <w:vAlign w:val="center"/>
          </w:tcPr>
          <w:p w14:paraId="281A762E">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4"/>
                <w:szCs w:val="24"/>
                <w:u w:val="none"/>
              </w:rPr>
            </w:pPr>
            <w:r>
              <w:rPr>
                <w:rFonts w:hint="default" w:ascii="Times New Roman" w:hAnsi="Times New Roman" w:eastAsia="宋体" w:cs="Times New Roman"/>
                <w:b/>
                <w:bCs/>
                <w:i w:val="0"/>
                <w:iCs w:val="0"/>
                <w:color w:val="000000"/>
                <w:kern w:val="0"/>
                <w:sz w:val="24"/>
                <w:szCs w:val="24"/>
                <w:u w:val="none"/>
                <w:lang w:val="en-US" w:eastAsia="zh-CN" w:bidi="ar"/>
              </w:rPr>
              <w:t>资产总计（元）</w:t>
            </w:r>
          </w:p>
        </w:tc>
        <w:tc>
          <w:tcPr>
            <w:tcW w:w="3600" w:type="dxa"/>
            <w:tcBorders>
              <w:top w:val="single" w:color="000000" w:sz="12" w:space="0"/>
              <w:left w:val="nil"/>
              <w:bottom w:val="single" w:color="000000" w:sz="8" w:space="0"/>
              <w:right w:val="nil"/>
            </w:tcBorders>
            <w:shd w:val="clear" w:color="auto" w:fill="auto"/>
            <w:vAlign w:val="center"/>
          </w:tcPr>
          <w:p w14:paraId="046F804B">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4"/>
                <w:szCs w:val="24"/>
                <w:u w:val="none"/>
              </w:rPr>
            </w:pPr>
            <w:r>
              <w:rPr>
                <w:rFonts w:hint="default" w:ascii="Times New Roman" w:hAnsi="Times New Roman" w:eastAsia="宋体" w:cs="Times New Roman"/>
                <w:b/>
                <w:bCs/>
                <w:i w:val="0"/>
                <w:iCs w:val="0"/>
                <w:color w:val="000000"/>
                <w:kern w:val="0"/>
                <w:sz w:val="24"/>
                <w:szCs w:val="24"/>
                <w:u w:val="none"/>
                <w:lang w:val="en-US" w:eastAsia="zh-CN" w:bidi="ar"/>
              </w:rPr>
              <w:t>负债合计（元）</w:t>
            </w:r>
          </w:p>
        </w:tc>
      </w:tr>
      <w:tr w14:paraId="0A7E12B3">
        <w:trPr>
          <w:trHeight w:val="0" w:hRule="atLeast"/>
          <w:jc w:val="center"/>
        </w:trPr>
        <w:tc>
          <w:tcPr>
            <w:tcW w:w="1319" w:type="dxa"/>
            <w:tcBorders>
              <w:top w:val="nil"/>
              <w:left w:val="nil"/>
              <w:bottom w:val="nil"/>
              <w:right w:val="nil"/>
            </w:tcBorders>
            <w:shd w:val="clear" w:color="auto" w:fill="auto"/>
            <w:vAlign w:val="center"/>
          </w:tcPr>
          <w:p w14:paraId="4D5840E1">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2020</w:t>
            </w:r>
          </w:p>
        </w:tc>
        <w:tc>
          <w:tcPr>
            <w:tcW w:w="3600" w:type="dxa"/>
            <w:tcBorders>
              <w:top w:val="nil"/>
              <w:left w:val="nil"/>
              <w:bottom w:val="nil"/>
              <w:right w:val="nil"/>
            </w:tcBorders>
            <w:shd w:val="clear" w:color="auto" w:fill="auto"/>
            <w:vAlign w:val="center"/>
          </w:tcPr>
          <w:p w14:paraId="38B04070">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1,633,328,105</w:t>
            </w:r>
          </w:p>
        </w:tc>
        <w:tc>
          <w:tcPr>
            <w:tcW w:w="3600" w:type="dxa"/>
            <w:tcBorders>
              <w:top w:val="nil"/>
              <w:left w:val="nil"/>
              <w:bottom w:val="nil"/>
              <w:right w:val="nil"/>
            </w:tcBorders>
            <w:shd w:val="clear" w:color="auto" w:fill="auto"/>
            <w:vAlign w:val="center"/>
          </w:tcPr>
          <w:p w14:paraId="7930F606">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597,372,393</w:t>
            </w:r>
          </w:p>
        </w:tc>
      </w:tr>
      <w:tr w14:paraId="39669FA8">
        <w:trPr>
          <w:trHeight w:val="0" w:hRule="atLeast"/>
          <w:jc w:val="center"/>
        </w:trPr>
        <w:tc>
          <w:tcPr>
            <w:tcW w:w="1319" w:type="dxa"/>
            <w:tcBorders>
              <w:top w:val="nil"/>
              <w:left w:val="nil"/>
              <w:bottom w:val="nil"/>
              <w:right w:val="nil"/>
            </w:tcBorders>
            <w:shd w:val="clear" w:color="auto" w:fill="auto"/>
            <w:vAlign w:val="center"/>
          </w:tcPr>
          <w:p w14:paraId="302DF197">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2021</w:t>
            </w:r>
          </w:p>
        </w:tc>
        <w:tc>
          <w:tcPr>
            <w:tcW w:w="3600" w:type="dxa"/>
            <w:tcBorders>
              <w:top w:val="nil"/>
              <w:left w:val="nil"/>
              <w:bottom w:val="nil"/>
              <w:right w:val="nil"/>
            </w:tcBorders>
            <w:shd w:val="clear" w:color="auto" w:fill="auto"/>
            <w:vAlign w:val="center"/>
          </w:tcPr>
          <w:p w14:paraId="39948191">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1,662,828,820</w:t>
            </w:r>
          </w:p>
        </w:tc>
        <w:tc>
          <w:tcPr>
            <w:tcW w:w="3600" w:type="dxa"/>
            <w:tcBorders>
              <w:top w:val="nil"/>
              <w:left w:val="nil"/>
              <w:bottom w:val="nil"/>
              <w:right w:val="nil"/>
            </w:tcBorders>
            <w:shd w:val="clear" w:color="auto" w:fill="auto"/>
            <w:vAlign w:val="center"/>
          </w:tcPr>
          <w:p w14:paraId="61FC1B43">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600,120,426</w:t>
            </w:r>
          </w:p>
        </w:tc>
      </w:tr>
      <w:tr w14:paraId="08A8611F">
        <w:trPr>
          <w:trHeight w:val="0" w:hRule="atLeast"/>
          <w:jc w:val="center"/>
        </w:trPr>
        <w:tc>
          <w:tcPr>
            <w:tcW w:w="1319" w:type="dxa"/>
            <w:tcBorders>
              <w:top w:val="nil"/>
              <w:left w:val="nil"/>
              <w:bottom w:val="nil"/>
              <w:right w:val="nil"/>
            </w:tcBorders>
            <w:shd w:val="clear" w:color="auto" w:fill="auto"/>
            <w:vAlign w:val="center"/>
          </w:tcPr>
          <w:p w14:paraId="751ECBD1">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2022</w:t>
            </w:r>
          </w:p>
        </w:tc>
        <w:tc>
          <w:tcPr>
            <w:tcW w:w="3600" w:type="dxa"/>
            <w:tcBorders>
              <w:top w:val="nil"/>
              <w:left w:val="nil"/>
              <w:bottom w:val="nil"/>
              <w:right w:val="nil"/>
            </w:tcBorders>
            <w:shd w:val="clear" w:color="auto" w:fill="auto"/>
            <w:vAlign w:val="center"/>
          </w:tcPr>
          <w:p w14:paraId="2E1A1C00">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1,429,550,289</w:t>
            </w:r>
          </w:p>
        </w:tc>
        <w:tc>
          <w:tcPr>
            <w:tcW w:w="3600" w:type="dxa"/>
            <w:tcBorders>
              <w:top w:val="nil"/>
              <w:left w:val="nil"/>
              <w:bottom w:val="nil"/>
              <w:right w:val="nil"/>
            </w:tcBorders>
            <w:shd w:val="clear" w:color="auto" w:fill="auto"/>
            <w:vAlign w:val="center"/>
          </w:tcPr>
          <w:p w14:paraId="7CBB2251">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384,279,700</w:t>
            </w:r>
          </w:p>
        </w:tc>
      </w:tr>
      <w:tr w14:paraId="1D9EFAC1">
        <w:trPr>
          <w:trHeight w:val="0" w:hRule="atLeast"/>
          <w:jc w:val="center"/>
        </w:trPr>
        <w:tc>
          <w:tcPr>
            <w:tcW w:w="1319" w:type="dxa"/>
            <w:tcBorders>
              <w:top w:val="nil"/>
              <w:left w:val="nil"/>
              <w:bottom w:val="nil"/>
              <w:right w:val="nil"/>
            </w:tcBorders>
            <w:shd w:val="clear" w:color="auto" w:fill="auto"/>
            <w:vAlign w:val="center"/>
          </w:tcPr>
          <w:p w14:paraId="3DA2A28D">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2023</w:t>
            </w:r>
          </w:p>
        </w:tc>
        <w:tc>
          <w:tcPr>
            <w:tcW w:w="3600" w:type="dxa"/>
            <w:tcBorders>
              <w:top w:val="nil"/>
              <w:left w:val="nil"/>
              <w:bottom w:val="nil"/>
              <w:right w:val="nil"/>
            </w:tcBorders>
            <w:shd w:val="clear" w:color="auto" w:fill="auto"/>
            <w:vAlign w:val="center"/>
          </w:tcPr>
          <w:p w14:paraId="2E135DB5">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1,295,480,700</w:t>
            </w:r>
          </w:p>
        </w:tc>
        <w:tc>
          <w:tcPr>
            <w:tcW w:w="3600" w:type="dxa"/>
            <w:tcBorders>
              <w:top w:val="nil"/>
              <w:left w:val="nil"/>
              <w:bottom w:val="nil"/>
              <w:right w:val="nil"/>
            </w:tcBorders>
            <w:shd w:val="clear" w:color="auto" w:fill="auto"/>
            <w:vAlign w:val="center"/>
          </w:tcPr>
          <w:p w14:paraId="616D97C9">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293,951,266</w:t>
            </w:r>
          </w:p>
        </w:tc>
      </w:tr>
      <w:tr w14:paraId="254785B4">
        <w:trPr>
          <w:trHeight w:val="0" w:hRule="atLeast"/>
          <w:jc w:val="center"/>
        </w:trPr>
        <w:tc>
          <w:tcPr>
            <w:tcW w:w="1319" w:type="dxa"/>
            <w:tcBorders>
              <w:top w:val="nil"/>
              <w:left w:val="nil"/>
              <w:bottom w:val="single" w:color="000000" w:sz="12" w:space="0"/>
              <w:right w:val="nil"/>
            </w:tcBorders>
            <w:shd w:val="clear" w:color="auto" w:fill="auto"/>
            <w:vAlign w:val="center"/>
          </w:tcPr>
          <w:p w14:paraId="5D5EFB29">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2024</w:t>
            </w:r>
          </w:p>
        </w:tc>
        <w:tc>
          <w:tcPr>
            <w:tcW w:w="3600" w:type="dxa"/>
            <w:tcBorders>
              <w:top w:val="nil"/>
              <w:left w:val="nil"/>
              <w:bottom w:val="single" w:color="000000" w:sz="12" w:space="0"/>
              <w:right w:val="nil"/>
            </w:tcBorders>
            <w:shd w:val="clear" w:color="auto" w:fill="auto"/>
            <w:vAlign w:val="center"/>
          </w:tcPr>
          <w:p w14:paraId="0BE604B0">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1,224,640,744</w:t>
            </w:r>
          </w:p>
        </w:tc>
        <w:tc>
          <w:tcPr>
            <w:tcW w:w="3600" w:type="dxa"/>
            <w:tcBorders>
              <w:top w:val="nil"/>
              <w:left w:val="nil"/>
              <w:bottom w:val="single" w:color="000000" w:sz="12" w:space="0"/>
              <w:right w:val="nil"/>
            </w:tcBorders>
            <w:shd w:val="clear" w:color="auto" w:fill="auto"/>
            <w:vAlign w:val="center"/>
          </w:tcPr>
          <w:p w14:paraId="66289E28">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290,101,832</w:t>
            </w:r>
          </w:p>
        </w:tc>
      </w:tr>
    </w:tbl>
    <w:p w14:paraId="06E01158">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数据来源：</w:t>
      </w:r>
      <w:r>
        <w:rPr>
          <w:rFonts w:hint="default" w:ascii="Times New Roman" w:hAnsi="Times New Roman" w:eastAsia="宋体" w:cs="Times New Roman"/>
          <w:sz w:val="24"/>
          <w:szCs w:val="24"/>
          <w:lang w:val="en-US" w:eastAsia="zh-CN"/>
        </w:rPr>
        <w:t>finD</w:t>
      </w:r>
      <w:r>
        <w:rPr>
          <w:rFonts w:hint="default" w:ascii="Times New Roman" w:hAnsi="Times New Roman" w:eastAsia="宋体" w:cs="Times New Roman"/>
          <w:sz w:val="24"/>
          <w:szCs w:val="24"/>
        </w:rPr>
        <w:t>数据库整理</w:t>
      </w:r>
    </w:p>
    <w:p w14:paraId="600EFA73">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从</w:t>
      </w:r>
      <w:r>
        <w:rPr>
          <w:rFonts w:hint="default" w:ascii="Times New Roman" w:hAnsi="Times New Roman" w:eastAsia="宋体" w:cs="Times New Roman"/>
          <w:sz w:val="24"/>
          <w:szCs w:val="24"/>
        </w:rPr>
        <w:t>天地在线资产规模与负债规模</w:t>
      </w:r>
      <w:r>
        <w:rPr>
          <w:rFonts w:hint="default" w:ascii="Times New Roman" w:hAnsi="Times New Roman" w:eastAsia="宋体" w:cs="Times New Roman"/>
          <w:sz w:val="24"/>
          <w:szCs w:val="24"/>
          <w:lang w:val="en-US" w:eastAsia="zh-CN"/>
        </w:rPr>
        <w:t>变化表（表4-29）可以看出，公司资产规模在样本期内呈下降趋势，由2020年的16.33亿元下降至2024年的12.25亿元。同时，公司负债规模下降更为明显，由2020年的约5.97亿元下降至2024年的约2.90亿元。负债规模的大幅下降，使得企业资产中由负债形成的比例逐渐降低，从而推动权益乘数持续下降。</w:t>
      </w:r>
    </w:p>
    <w:p w14:paraId="19A02C13">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以2024年为例，公司总资产约为12.25亿元，而负债规模约为2.90亿元，负债占资产比例约为24%。相比2020年约36%的负债占比，企业财务杠杆水平明显降低。在这种情况下，企业资产中更多部分由股东权益构成，因此权益乘数逐渐下降并稳定在1.3左右。</w:t>
      </w:r>
    </w:p>
    <w:p w14:paraId="774715AC">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这说明</w:t>
      </w:r>
      <w:r>
        <w:rPr>
          <w:rFonts w:hint="default" w:ascii="Times New Roman" w:hAnsi="Times New Roman" w:eastAsia="宋体" w:cs="Times New Roman"/>
          <w:sz w:val="24"/>
          <w:szCs w:val="24"/>
          <w:lang w:val="en-US" w:eastAsia="zh-CN"/>
        </w:rPr>
        <w:t>公司在盈利能力走弱的过程中，并没有继续依赖提高杠杆维持扩张，反而在2022年以后逐步降低了财务放大程度。但即便如此，公司ROE仍由14.2396%快速滑落至-6.9893%，说明杠杆收缩并未改变其盈利恶化的基本趋势。</w:t>
      </w:r>
    </w:p>
    <w:p w14:paraId="0F261F6C">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这一结果进一步印证了天地在线问题的核心不在资本结构，而在利润率和周转率同步下滑。公司传统数字营销业务毛利空间有限，新布局的AI数字人、XR直播和SaaS类业务尚处于培育阶段，因此即使杠杆水平回落，也无法对ROE形成实质性修复。对天地在线而言，权益乘数更多体现为风险防御而非收益创造工具，其盈利修复仍取决于业务结构改善和新业务商业化，而非融资结构调整。</w:t>
      </w:r>
    </w:p>
    <w:p w14:paraId="6E0D467D">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综合来看，AI独立产品型企业在权益乘数上的差异并不大。方直科技代表极低杠杆、依靠内生积累的教育AI产品模式，佳讯飞鸿代表适度杠杆、项目交付驱动的行业解决方案模式，天地在线则显示出盈利下行阶段主动收杠杆的过渡型特征。三者共同说明，AI独立产品型企业ROE的差异，主要不是财务杠杆造成的，而是经营结构和商业化效率差异的结果。</w:t>
      </w:r>
    </w:p>
    <w:p w14:paraId="57F92AFE">
      <w:pPr>
        <w:autoSpaceDE/>
        <w:autoSpaceDN/>
        <w:snapToGrid/>
        <w:spacing w:before="156" w:beforeLines="50" w:after="156" w:afterLines="50" w:line="420" w:lineRule="exact"/>
        <w:jc w:val="left"/>
        <w:outlineLvl w:val="2"/>
        <w:rPr>
          <w:rFonts w:hint="default" w:ascii="Times New Roman" w:hAnsi="Times New Roman" w:eastAsia="黑体" w:cs="Times New Roman"/>
          <w:color w:val="000000"/>
          <w:kern w:val="0"/>
          <w:sz w:val="28"/>
          <w:szCs w:val="28"/>
          <w:lang w:val="en-US" w:eastAsia="zh-CN"/>
        </w:rPr>
      </w:pPr>
      <w:r>
        <w:rPr>
          <w:rFonts w:hint="default" w:ascii="Times New Roman" w:hAnsi="Times New Roman" w:eastAsia="黑体" w:cs="Times New Roman"/>
          <w:color w:val="000000"/>
          <w:kern w:val="0"/>
          <w:sz w:val="28"/>
          <w:szCs w:val="28"/>
          <w:lang w:val="en-US" w:eastAsia="zh-CN"/>
        </w:rPr>
        <w:t>4.2.3.2 AI业务赋能型企业权益乘数分析</w:t>
      </w:r>
    </w:p>
    <w:p w14:paraId="7FA50FC6">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kern w:val="2"/>
          <w:sz w:val="24"/>
          <w:szCs w:val="24"/>
          <w:lang w:val="en-US" w:eastAsia="zh-CN" w:bidi="ar-SA"/>
        </w:rPr>
        <w:t>1. 巨人网络</w:t>
      </w:r>
    </w:p>
    <w:p w14:paraId="2B156D84">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rPr>
        <w:t>巨人网络2020—2024年的权益乘数整体维持在1.11—1.15之间，是六家典型样本中资本结构最稳健的企业之一。</w:t>
      </w:r>
    </w:p>
    <w:p w14:paraId="491C095E">
      <w:pPr>
        <w:widowControl/>
        <w:tabs>
          <w:tab w:val="left" w:pos="377"/>
        </w:tabs>
        <w:autoSpaceDE/>
        <w:autoSpaceDN/>
        <w:snapToGrid/>
        <w:spacing w:before="156" w:beforeLines="50"/>
        <w:jc w:val="center"/>
        <w:rPr>
          <w:rFonts w:hint="default" w:ascii="Times New Roman" w:hAnsi="Times New Roman" w:eastAsia="宋体" w:cs="Times New Roman"/>
          <w:spacing w:val="10"/>
          <w:kern w:val="0"/>
          <w:szCs w:val="20"/>
          <w:lang w:val="en-US" w:eastAsia="zh-CN"/>
        </w:rPr>
      </w:pPr>
      <w:r>
        <w:rPr>
          <w:rFonts w:hint="default" w:ascii="Times New Roman" w:hAnsi="Times New Roman" w:eastAsia="宋体" w:cs="Times New Roman"/>
          <w:spacing w:val="10"/>
          <w:kern w:val="0"/>
          <w:szCs w:val="20"/>
          <w:lang w:val="en-US" w:eastAsia="zh-CN"/>
        </w:rPr>
        <w:t>表4-30 巨人网络资产规模与负债规模变化表</w:t>
      </w:r>
    </w:p>
    <w:tbl>
      <w:tblPr>
        <w:tblStyle w:val="7"/>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19"/>
        <w:gridCol w:w="3600"/>
        <w:gridCol w:w="3600"/>
      </w:tblGrid>
      <w:tr w14:paraId="3A89EF48">
        <w:trPr>
          <w:trHeight w:val="0" w:hRule="atLeast"/>
          <w:tblHeader/>
          <w:jc w:val="center"/>
        </w:trPr>
        <w:tc>
          <w:tcPr>
            <w:tcW w:w="1319" w:type="dxa"/>
            <w:tcBorders>
              <w:top w:val="single" w:color="auto" w:sz="12" w:space="0"/>
              <w:left w:val="nil"/>
              <w:bottom w:val="single" w:color="auto" w:sz="4" w:space="0"/>
              <w:right w:val="nil"/>
            </w:tcBorders>
            <w:shd w:val="clear" w:color="auto" w:fill="auto"/>
            <w:vAlign w:val="center"/>
          </w:tcPr>
          <w:p w14:paraId="7AEFF259">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4"/>
                <w:szCs w:val="24"/>
                <w:u w:val="none"/>
              </w:rPr>
            </w:pPr>
            <w:r>
              <w:rPr>
                <w:rFonts w:hint="default" w:ascii="Times New Roman" w:hAnsi="Times New Roman" w:eastAsia="宋体" w:cs="Times New Roman"/>
                <w:b/>
                <w:bCs/>
                <w:i w:val="0"/>
                <w:iCs w:val="0"/>
                <w:color w:val="000000"/>
                <w:kern w:val="0"/>
                <w:sz w:val="24"/>
                <w:szCs w:val="24"/>
                <w:u w:val="none"/>
                <w:lang w:val="en-US" w:eastAsia="zh-CN" w:bidi="ar"/>
              </w:rPr>
              <w:t>年份</w:t>
            </w:r>
          </w:p>
        </w:tc>
        <w:tc>
          <w:tcPr>
            <w:tcW w:w="3600" w:type="dxa"/>
            <w:tcBorders>
              <w:top w:val="single" w:color="auto" w:sz="12" w:space="0"/>
              <w:left w:val="nil"/>
              <w:bottom w:val="single" w:color="auto" w:sz="4" w:space="0"/>
              <w:right w:val="nil"/>
            </w:tcBorders>
            <w:shd w:val="clear" w:color="auto" w:fill="auto"/>
            <w:vAlign w:val="center"/>
          </w:tcPr>
          <w:p w14:paraId="66FE1920">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4"/>
                <w:szCs w:val="24"/>
                <w:u w:val="none"/>
              </w:rPr>
            </w:pPr>
            <w:r>
              <w:rPr>
                <w:rFonts w:hint="default" w:ascii="Times New Roman" w:hAnsi="Times New Roman" w:eastAsia="宋体" w:cs="Times New Roman"/>
                <w:b/>
                <w:bCs/>
                <w:i w:val="0"/>
                <w:iCs w:val="0"/>
                <w:color w:val="000000"/>
                <w:kern w:val="0"/>
                <w:sz w:val="24"/>
                <w:szCs w:val="24"/>
                <w:u w:val="none"/>
                <w:lang w:val="en-US" w:eastAsia="zh-CN" w:bidi="ar"/>
              </w:rPr>
              <w:t>资产总计（元）</w:t>
            </w:r>
          </w:p>
        </w:tc>
        <w:tc>
          <w:tcPr>
            <w:tcW w:w="3600" w:type="dxa"/>
            <w:tcBorders>
              <w:top w:val="single" w:color="auto" w:sz="12" w:space="0"/>
              <w:left w:val="nil"/>
              <w:bottom w:val="single" w:color="auto" w:sz="4" w:space="0"/>
              <w:right w:val="nil"/>
            </w:tcBorders>
            <w:shd w:val="clear" w:color="auto" w:fill="auto"/>
            <w:vAlign w:val="center"/>
          </w:tcPr>
          <w:p w14:paraId="5FFBBD2B">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4"/>
                <w:szCs w:val="24"/>
                <w:u w:val="none"/>
              </w:rPr>
            </w:pPr>
            <w:r>
              <w:rPr>
                <w:rFonts w:hint="default" w:ascii="Times New Roman" w:hAnsi="Times New Roman" w:eastAsia="宋体" w:cs="Times New Roman"/>
                <w:b/>
                <w:bCs/>
                <w:i w:val="0"/>
                <w:iCs w:val="0"/>
                <w:color w:val="000000"/>
                <w:kern w:val="0"/>
                <w:sz w:val="24"/>
                <w:szCs w:val="24"/>
                <w:u w:val="none"/>
                <w:lang w:val="en-US" w:eastAsia="zh-CN" w:bidi="ar"/>
              </w:rPr>
              <w:t>负债合计（元）</w:t>
            </w:r>
          </w:p>
        </w:tc>
      </w:tr>
      <w:tr w14:paraId="3332DCAD">
        <w:trPr>
          <w:trHeight w:val="0" w:hRule="atLeast"/>
          <w:jc w:val="center"/>
        </w:trPr>
        <w:tc>
          <w:tcPr>
            <w:tcW w:w="1319" w:type="dxa"/>
            <w:tcBorders>
              <w:top w:val="single" w:color="auto" w:sz="4" w:space="0"/>
              <w:left w:val="nil"/>
              <w:bottom w:val="nil"/>
              <w:right w:val="nil"/>
            </w:tcBorders>
            <w:shd w:val="clear" w:color="auto" w:fill="auto"/>
            <w:vAlign w:val="center"/>
          </w:tcPr>
          <w:p w14:paraId="28F3DB1E">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2020</w:t>
            </w:r>
          </w:p>
        </w:tc>
        <w:tc>
          <w:tcPr>
            <w:tcW w:w="3600" w:type="dxa"/>
            <w:tcBorders>
              <w:top w:val="single" w:color="auto" w:sz="4" w:space="0"/>
              <w:left w:val="nil"/>
              <w:bottom w:val="nil"/>
              <w:right w:val="nil"/>
            </w:tcBorders>
            <w:shd w:val="clear" w:color="auto" w:fill="auto"/>
            <w:vAlign w:val="center"/>
          </w:tcPr>
          <w:p w14:paraId="0E0BEB69">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10,834,794,955</w:t>
            </w:r>
          </w:p>
        </w:tc>
        <w:tc>
          <w:tcPr>
            <w:tcW w:w="3600" w:type="dxa"/>
            <w:tcBorders>
              <w:top w:val="single" w:color="auto" w:sz="4" w:space="0"/>
              <w:left w:val="nil"/>
              <w:bottom w:val="nil"/>
              <w:right w:val="nil"/>
            </w:tcBorders>
            <w:shd w:val="clear" w:color="auto" w:fill="auto"/>
            <w:vAlign w:val="center"/>
          </w:tcPr>
          <w:p w14:paraId="4CE4744E">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1,310,586,410</w:t>
            </w:r>
          </w:p>
        </w:tc>
      </w:tr>
      <w:tr w14:paraId="03BA4B77">
        <w:trPr>
          <w:trHeight w:val="0" w:hRule="atLeast"/>
          <w:jc w:val="center"/>
        </w:trPr>
        <w:tc>
          <w:tcPr>
            <w:tcW w:w="1319" w:type="dxa"/>
            <w:tcBorders>
              <w:top w:val="nil"/>
              <w:left w:val="nil"/>
              <w:bottom w:val="nil"/>
              <w:right w:val="nil"/>
            </w:tcBorders>
            <w:shd w:val="clear" w:color="auto" w:fill="auto"/>
            <w:vAlign w:val="center"/>
          </w:tcPr>
          <w:p w14:paraId="74133A8B">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2021</w:t>
            </w:r>
          </w:p>
        </w:tc>
        <w:tc>
          <w:tcPr>
            <w:tcW w:w="3600" w:type="dxa"/>
            <w:tcBorders>
              <w:top w:val="nil"/>
              <w:left w:val="nil"/>
              <w:bottom w:val="nil"/>
              <w:right w:val="nil"/>
            </w:tcBorders>
            <w:shd w:val="clear" w:color="auto" w:fill="auto"/>
            <w:vAlign w:val="center"/>
          </w:tcPr>
          <w:p w14:paraId="230281FE">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11,925,121,573</w:t>
            </w:r>
          </w:p>
        </w:tc>
        <w:tc>
          <w:tcPr>
            <w:tcW w:w="3600" w:type="dxa"/>
            <w:tcBorders>
              <w:top w:val="nil"/>
              <w:left w:val="nil"/>
              <w:bottom w:val="nil"/>
              <w:right w:val="nil"/>
            </w:tcBorders>
            <w:shd w:val="clear" w:color="auto" w:fill="auto"/>
            <w:vAlign w:val="center"/>
          </w:tcPr>
          <w:p w14:paraId="06866C9C">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1,330,116,960</w:t>
            </w:r>
          </w:p>
        </w:tc>
      </w:tr>
      <w:tr w14:paraId="67B5C100">
        <w:trPr>
          <w:trHeight w:val="0" w:hRule="atLeast"/>
          <w:jc w:val="center"/>
        </w:trPr>
        <w:tc>
          <w:tcPr>
            <w:tcW w:w="1319" w:type="dxa"/>
            <w:tcBorders>
              <w:top w:val="nil"/>
              <w:left w:val="nil"/>
              <w:bottom w:val="nil"/>
              <w:right w:val="nil"/>
            </w:tcBorders>
            <w:shd w:val="clear" w:color="auto" w:fill="auto"/>
            <w:vAlign w:val="center"/>
          </w:tcPr>
          <w:p w14:paraId="2D8B0A17">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2022</w:t>
            </w:r>
          </w:p>
        </w:tc>
        <w:tc>
          <w:tcPr>
            <w:tcW w:w="3600" w:type="dxa"/>
            <w:tcBorders>
              <w:top w:val="nil"/>
              <w:left w:val="nil"/>
              <w:bottom w:val="nil"/>
              <w:right w:val="nil"/>
            </w:tcBorders>
            <w:shd w:val="clear" w:color="auto" w:fill="auto"/>
            <w:vAlign w:val="center"/>
          </w:tcPr>
          <w:p w14:paraId="3C77C6F8">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13,209,068,645</w:t>
            </w:r>
          </w:p>
        </w:tc>
        <w:tc>
          <w:tcPr>
            <w:tcW w:w="3600" w:type="dxa"/>
            <w:tcBorders>
              <w:top w:val="nil"/>
              <w:left w:val="nil"/>
              <w:bottom w:val="nil"/>
              <w:right w:val="nil"/>
            </w:tcBorders>
            <w:shd w:val="clear" w:color="auto" w:fill="auto"/>
            <w:vAlign w:val="center"/>
          </w:tcPr>
          <w:p w14:paraId="0BA186E5">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1,307,533,578</w:t>
            </w:r>
          </w:p>
        </w:tc>
      </w:tr>
      <w:tr w14:paraId="5274B512">
        <w:trPr>
          <w:trHeight w:val="0" w:hRule="atLeast"/>
          <w:jc w:val="center"/>
        </w:trPr>
        <w:tc>
          <w:tcPr>
            <w:tcW w:w="1319" w:type="dxa"/>
            <w:tcBorders>
              <w:top w:val="nil"/>
              <w:left w:val="nil"/>
              <w:bottom w:val="nil"/>
              <w:right w:val="nil"/>
            </w:tcBorders>
            <w:shd w:val="clear" w:color="auto" w:fill="auto"/>
            <w:vAlign w:val="center"/>
          </w:tcPr>
          <w:p w14:paraId="386BCD41">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2023</w:t>
            </w:r>
          </w:p>
        </w:tc>
        <w:tc>
          <w:tcPr>
            <w:tcW w:w="3600" w:type="dxa"/>
            <w:tcBorders>
              <w:top w:val="nil"/>
              <w:left w:val="nil"/>
              <w:bottom w:val="nil"/>
              <w:right w:val="nil"/>
            </w:tcBorders>
            <w:shd w:val="clear" w:color="auto" w:fill="auto"/>
            <w:vAlign w:val="center"/>
          </w:tcPr>
          <w:p w14:paraId="2938239C">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13,370,515,052</w:t>
            </w:r>
          </w:p>
        </w:tc>
        <w:tc>
          <w:tcPr>
            <w:tcW w:w="3600" w:type="dxa"/>
            <w:tcBorders>
              <w:top w:val="nil"/>
              <w:left w:val="nil"/>
              <w:bottom w:val="nil"/>
              <w:right w:val="nil"/>
            </w:tcBorders>
            <w:shd w:val="clear" w:color="auto" w:fill="auto"/>
            <w:vAlign w:val="center"/>
          </w:tcPr>
          <w:p w14:paraId="5D2F2F15">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1,638,581,089</w:t>
            </w:r>
          </w:p>
        </w:tc>
      </w:tr>
      <w:tr w14:paraId="34A8D06F">
        <w:trPr>
          <w:trHeight w:val="0" w:hRule="atLeast"/>
          <w:jc w:val="center"/>
        </w:trPr>
        <w:tc>
          <w:tcPr>
            <w:tcW w:w="1319" w:type="dxa"/>
            <w:tcBorders>
              <w:top w:val="nil"/>
              <w:left w:val="nil"/>
              <w:bottom w:val="single" w:color="auto" w:sz="12" w:space="0"/>
              <w:right w:val="nil"/>
            </w:tcBorders>
            <w:shd w:val="clear" w:color="auto" w:fill="auto"/>
            <w:vAlign w:val="center"/>
          </w:tcPr>
          <w:p w14:paraId="4406B8C5">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2024</w:t>
            </w:r>
          </w:p>
        </w:tc>
        <w:tc>
          <w:tcPr>
            <w:tcW w:w="3600" w:type="dxa"/>
            <w:tcBorders>
              <w:top w:val="nil"/>
              <w:left w:val="nil"/>
              <w:bottom w:val="single" w:color="auto" w:sz="12" w:space="0"/>
              <w:right w:val="nil"/>
            </w:tcBorders>
            <w:shd w:val="clear" w:color="auto" w:fill="auto"/>
            <w:vAlign w:val="center"/>
          </w:tcPr>
          <w:p w14:paraId="26FBB5FB">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14,742,575,985</w:t>
            </w:r>
          </w:p>
        </w:tc>
        <w:tc>
          <w:tcPr>
            <w:tcW w:w="3600" w:type="dxa"/>
            <w:tcBorders>
              <w:top w:val="nil"/>
              <w:left w:val="nil"/>
              <w:bottom w:val="single" w:color="auto" w:sz="12" w:space="0"/>
              <w:right w:val="nil"/>
            </w:tcBorders>
            <w:shd w:val="clear" w:color="auto" w:fill="auto"/>
            <w:vAlign w:val="center"/>
          </w:tcPr>
          <w:p w14:paraId="5384644F">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1,881,497,502</w:t>
            </w:r>
          </w:p>
        </w:tc>
      </w:tr>
    </w:tbl>
    <w:p w14:paraId="2FE64A51">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数据来源：</w:t>
      </w:r>
      <w:r>
        <w:rPr>
          <w:rFonts w:hint="default" w:ascii="Times New Roman" w:hAnsi="Times New Roman" w:eastAsia="宋体" w:cs="Times New Roman"/>
          <w:sz w:val="24"/>
          <w:szCs w:val="24"/>
          <w:lang w:val="en-US" w:eastAsia="zh-CN"/>
        </w:rPr>
        <w:t>finD</w:t>
      </w:r>
      <w:r>
        <w:rPr>
          <w:rFonts w:hint="default" w:ascii="Times New Roman" w:hAnsi="Times New Roman" w:eastAsia="宋体" w:cs="Times New Roman"/>
          <w:sz w:val="24"/>
          <w:szCs w:val="24"/>
        </w:rPr>
        <w:t>数据库整理</w:t>
      </w:r>
    </w:p>
    <w:p w14:paraId="38FE5A5A">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见表4-30数据显示，公司资产规模在样本期内持续增长，由2020年的108.35亿元增长至2024年的147.43亿元。与此同时，公司负债规模也由2020年的13.11亿元增长至2024年的18.81亿元，但整体增幅相对有限。以2024年为例，公司负债规模约占总资产的12.8%，负债占比处于较低水平。在这种资本结构下，企业资产大部分由股东权益形成，因此权益乘数长期维持在1.1左右。公司在扩大资产规模的过程中并未明显提高负债比例，而是更多依赖股东权益和企业内部积累形成资产规模。这种资本结构在互联网内容企业中较为常见，因为企业核心资产主要是研发团队、数字内容和用户资源，对大规模固定资产投资的依赖程度较低，因此负债融资需求相对有限。</w:t>
      </w:r>
    </w:p>
    <w:p w14:paraId="260BCDB2">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20" w:firstLineChars="0"/>
        <w:jc w:val="both"/>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结合其ROE始终维持高位可以发现，公司高回报并非来源于杠杆放大，而主要建立在高销售净利率基础上。换言之，巨人网络体现的是一种低杠杆</w: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高利润的高质量盈利模式。</w:t>
      </w:r>
    </w:p>
    <w:p w14:paraId="60073B31">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20" w:firstLineChars="0"/>
        <w:jc w:val="both"/>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这一点与游戏行业经营逻辑一致。游戏企业一旦形成稳定产品矩阵和现金流，自有经营积累就足以支撑后续研发和运营投入，并不需要依赖大量债务融资。巨人网络2024年年报亦显示，公司将AI主要用于GiantGPT、AI美术生产平台、智能音频管理等内部研发和运营提效场景，AI的作用更多体现在提高高毛利主业的效率，而非通过资本扩张推动外延式增长。因此，其权益乘数稳定偏低，本身就是其经营质量较高的重要体现。</w:t>
      </w:r>
    </w:p>
    <w:p w14:paraId="79AA9C3B">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2. 世纪天鸿</w:t>
      </w:r>
    </w:p>
    <w:p w14:paraId="326724D3">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rPr>
        <w:t>世纪天鸿2020—2024年的权益乘数整体维持在1.30—1.48之间，波动幅度相对有限，说明公司在样本期内财务杠杆水平整体较为稳定</w:t>
      </w:r>
      <w:r>
        <w:rPr>
          <w:rFonts w:hint="default" w:ascii="Times New Roman" w:hAnsi="Times New Roman" w:eastAsia="宋体" w:cs="Times New Roman"/>
          <w:sz w:val="24"/>
          <w:szCs w:val="24"/>
          <w:lang w:val="en-US" w:eastAsia="zh-CN"/>
        </w:rPr>
        <w:t>。</w:t>
      </w:r>
    </w:p>
    <w:p w14:paraId="48E87474">
      <w:pPr>
        <w:widowControl/>
        <w:tabs>
          <w:tab w:val="left" w:pos="377"/>
        </w:tabs>
        <w:autoSpaceDE/>
        <w:autoSpaceDN/>
        <w:snapToGrid/>
        <w:spacing w:before="156" w:beforeLines="50"/>
        <w:jc w:val="center"/>
        <w:rPr>
          <w:rFonts w:hint="default" w:ascii="Times New Roman" w:hAnsi="Times New Roman" w:eastAsia="宋体" w:cs="Times New Roman"/>
          <w:spacing w:val="10"/>
          <w:kern w:val="0"/>
          <w:szCs w:val="20"/>
          <w:lang w:val="en-US" w:eastAsia="zh-CN"/>
        </w:rPr>
      </w:pPr>
      <w:r>
        <w:rPr>
          <w:rFonts w:hint="default" w:ascii="Times New Roman" w:hAnsi="Times New Roman" w:eastAsia="宋体" w:cs="Times New Roman"/>
          <w:spacing w:val="10"/>
          <w:kern w:val="0"/>
          <w:szCs w:val="20"/>
          <w:lang w:val="en-US" w:eastAsia="zh-CN"/>
        </w:rPr>
        <w:t>表4-31 世纪天鸿资产规模与负债规模变化表</w:t>
      </w:r>
    </w:p>
    <w:tbl>
      <w:tblPr>
        <w:tblStyle w:val="7"/>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19"/>
        <w:gridCol w:w="3600"/>
        <w:gridCol w:w="3600"/>
      </w:tblGrid>
      <w:tr w14:paraId="45A6398D">
        <w:trPr>
          <w:trHeight w:val="0" w:hRule="atLeast"/>
          <w:tblHeader/>
          <w:jc w:val="center"/>
        </w:trPr>
        <w:tc>
          <w:tcPr>
            <w:tcW w:w="1319" w:type="dxa"/>
            <w:tcBorders>
              <w:top w:val="single" w:color="auto" w:sz="12" w:space="0"/>
              <w:left w:val="nil"/>
              <w:bottom w:val="single" w:color="auto" w:sz="4" w:space="0"/>
              <w:right w:val="nil"/>
            </w:tcBorders>
            <w:shd w:val="clear" w:color="auto" w:fill="auto"/>
            <w:vAlign w:val="center"/>
          </w:tcPr>
          <w:p w14:paraId="28CA57CD">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4"/>
                <w:szCs w:val="24"/>
                <w:u w:val="none"/>
              </w:rPr>
            </w:pPr>
            <w:r>
              <w:rPr>
                <w:rFonts w:hint="default" w:ascii="Times New Roman" w:hAnsi="Times New Roman" w:eastAsia="宋体" w:cs="Times New Roman"/>
                <w:b/>
                <w:bCs/>
                <w:i w:val="0"/>
                <w:iCs w:val="0"/>
                <w:color w:val="000000"/>
                <w:kern w:val="0"/>
                <w:sz w:val="24"/>
                <w:szCs w:val="24"/>
                <w:u w:val="none"/>
                <w:lang w:val="en-US" w:eastAsia="zh-CN" w:bidi="ar"/>
              </w:rPr>
              <w:t>年份</w:t>
            </w:r>
          </w:p>
        </w:tc>
        <w:tc>
          <w:tcPr>
            <w:tcW w:w="3600" w:type="dxa"/>
            <w:tcBorders>
              <w:top w:val="single" w:color="auto" w:sz="12" w:space="0"/>
              <w:left w:val="nil"/>
              <w:bottom w:val="single" w:color="auto" w:sz="4" w:space="0"/>
              <w:right w:val="nil"/>
            </w:tcBorders>
            <w:shd w:val="clear" w:color="auto" w:fill="auto"/>
            <w:vAlign w:val="center"/>
          </w:tcPr>
          <w:p w14:paraId="5C67F9B2">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4"/>
                <w:szCs w:val="24"/>
                <w:u w:val="none"/>
              </w:rPr>
            </w:pPr>
            <w:r>
              <w:rPr>
                <w:rFonts w:hint="default" w:ascii="Times New Roman" w:hAnsi="Times New Roman" w:eastAsia="宋体" w:cs="Times New Roman"/>
                <w:b/>
                <w:bCs/>
                <w:i w:val="0"/>
                <w:iCs w:val="0"/>
                <w:color w:val="000000"/>
                <w:kern w:val="0"/>
                <w:sz w:val="24"/>
                <w:szCs w:val="24"/>
                <w:u w:val="none"/>
                <w:lang w:val="en-US" w:eastAsia="zh-CN" w:bidi="ar"/>
              </w:rPr>
              <w:t>资产总计（元）</w:t>
            </w:r>
          </w:p>
        </w:tc>
        <w:tc>
          <w:tcPr>
            <w:tcW w:w="3600" w:type="dxa"/>
            <w:tcBorders>
              <w:top w:val="single" w:color="auto" w:sz="12" w:space="0"/>
              <w:left w:val="nil"/>
              <w:bottom w:val="single" w:color="auto" w:sz="4" w:space="0"/>
              <w:right w:val="nil"/>
            </w:tcBorders>
            <w:shd w:val="clear" w:color="auto" w:fill="auto"/>
            <w:vAlign w:val="center"/>
          </w:tcPr>
          <w:p w14:paraId="62E1DA22">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4"/>
                <w:szCs w:val="24"/>
                <w:u w:val="none"/>
              </w:rPr>
            </w:pPr>
            <w:r>
              <w:rPr>
                <w:rFonts w:hint="default" w:ascii="Times New Roman" w:hAnsi="Times New Roman" w:eastAsia="宋体" w:cs="Times New Roman"/>
                <w:b/>
                <w:bCs/>
                <w:i w:val="0"/>
                <w:iCs w:val="0"/>
                <w:color w:val="000000"/>
                <w:kern w:val="0"/>
                <w:sz w:val="24"/>
                <w:szCs w:val="24"/>
                <w:u w:val="none"/>
                <w:lang w:val="en-US" w:eastAsia="zh-CN" w:bidi="ar"/>
              </w:rPr>
              <w:t>负债合计（元）</w:t>
            </w:r>
          </w:p>
        </w:tc>
      </w:tr>
      <w:tr w14:paraId="31947EB4">
        <w:trPr>
          <w:trHeight w:val="0" w:hRule="atLeast"/>
          <w:jc w:val="center"/>
        </w:trPr>
        <w:tc>
          <w:tcPr>
            <w:tcW w:w="1319" w:type="dxa"/>
            <w:tcBorders>
              <w:top w:val="single" w:color="auto" w:sz="4" w:space="0"/>
              <w:left w:val="nil"/>
              <w:bottom w:val="nil"/>
              <w:right w:val="nil"/>
            </w:tcBorders>
            <w:shd w:val="clear" w:color="auto" w:fill="auto"/>
            <w:vAlign w:val="center"/>
          </w:tcPr>
          <w:p w14:paraId="78FD6130">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2020</w:t>
            </w:r>
          </w:p>
        </w:tc>
        <w:tc>
          <w:tcPr>
            <w:tcW w:w="3600" w:type="dxa"/>
            <w:tcBorders>
              <w:top w:val="single" w:color="auto" w:sz="4" w:space="0"/>
              <w:left w:val="nil"/>
              <w:bottom w:val="nil"/>
              <w:right w:val="nil"/>
            </w:tcBorders>
            <w:shd w:val="clear" w:color="auto" w:fill="auto"/>
            <w:vAlign w:val="center"/>
          </w:tcPr>
          <w:p w14:paraId="6E02BFA9">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740,945,173.80</w:t>
            </w:r>
          </w:p>
        </w:tc>
        <w:tc>
          <w:tcPr>
            <w:tcW w:w="3600" w:type="dxa"/>
            <w:tcBorders>
              <w:top w:val="single" w:color="auto" w:sz="4" w:space="0"/>
              <w:left w:val="nil"/>
              <w:bottom w:val="nil"/>
              <w:right w:val="nil"/>
            </w:tcBorders>
            <w:shd w:val="clear" w:color="auto" w:fill="auto"/>
            <w:vAlign w:val="center"/>
          </w:tcPr>
          <w:p w14:paraId="04D0F19E">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239,091,849.80</w:t>
            </w:r>
          </w:p>
        </w:tc>
      </w:tr>
      <w:tr w14:paraId="4A1A141C">
        <w:trPr>
          <w:trHeight w:val="0" w:hRule="atLeast"/>
          <w:jc w:val="center"/>
        </w:trPr>
        <w:tc>
          <w:tcPr>
            <w:tcW w:w="1319" w:type="dxa"/>
            <w:tcBorders>
              <w:top w:val="nil"/>
              <w:left w:val="nil"/>
              <w:bottom w:val="nil"/>
              <w:right w:val="nil"/>
            </w:tcBorders>
            <w:shd w:val="clear" w:color="auto" w:fill="auto"/>
            <w:vAlign w:val="center"/>
          </w:tcPr>
          <w:p w14:paraId="5863F526">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2021</w:t>
            </w:r>
          </w:p>
        </w:tc>
        <w:tc>
          <w:tcPr>
            <w:tcW w:w="3600" w:type="dxa"/>
            <w:tcBorders>
              <w:top w:val="nil"/>
              <w:left w:val="nil"/>
              <w:bottom w:val="nil"/>
              <w:right w:val="nil"/>
            </w:tcBorders>
            <w:shd w:val="clear" w:color="auto" w:fill="auto"/>
            <w:vAlign w:val="center"/>
          </w:tcPr>
          <w:p w14:paraId="4EA5745C">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774,866,979.80</w:t>
            </w:r>
          </w:p>
        </w:tc>
        <w:tc>
          <w:tcPr>
            <w:tcW w:w="3600" w:type="dxa"/>
            <w:tcBorders>
              <w:top w:val="nil"/>
              <w:left w:val="nil"/>
              <w:bottom w:val="nil"/>
              <w:right w:val="nil"/>
            </w:tcBorders>
            <w:shd w:val="clear" w:color="auto" w:fill="auto"/>
            <w:vAlign w:val="center"/>
          </w:tcPr>
          <w:p w14:paraId="5F09A9C1">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251,753,846</w:t>
            </w:r>
          </w:p>
        </w:tc>
      </w:tr>
      <w:tr w14:paraId="1679CE19">
        <w:trPr>
          <w:trHeight w:val="0" w:hRule="atLeast"/>
          <w:jc w:val="center"/>
        </w:trPr>
        <w:tc>
          <w:tcPr>
            <w:tcW w:w="1319" w:type="dxa"/>
            <w:tcBorders>
              <w:top w:val="nil"/>
              <w:left w:val="nil"/>
              <w:bottom w:val="nil"/>
              <w:right w:val="nil"/>
            </w:tcBorders>
            <w:shd w:val="clear" w:color="auto" w:fill="auto"/>
            <w:vAlign w:val="center"/>
          </w:tcPr>
          <w:p w14:paraId="339A7488">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2022</w:t>
            </w:r>
          </w:p>
        </w:tc>
        <w:tc>
          <w:tcPr>
            <w:tcW w:w="3600" w:type="dxa"/>
            <w:tcBorders>
              <w:top w:val="nil"/>
              <w:left w:val="nil"/>
              <w:bottom w:val="nil"/>
              <w:right w:val="nil"/>
            </w:tcBorders>
            <w:shd w:val="clear" w:color="auto" w:fill="auto"/>
            <w:vAlign w:val="center"/>
          </w:tcPr>
          <w:p w14:paraId="1B7A59FC">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1,041,883,057</w:t>
            </w:r>
          </w:p>
        </w:tc>
        <w:tc>
          <w:tcPr>
            <w:tcW w:w="3600" w:type="dxa"/>
            <w:tcBorders>
              <w:top w:val="nil"/>
              <w:left w:val="nil"/>
              <w:bottom w:val="nil"/>
              <w:right w:val="nil"/>
            </w:tcBorders>
            <w:shd w:val="clear" w:color="auto" w:fill="auto"/>
            <w:vAlign w:val="center"/>
          </w:tcPr>
          <w:p w14:paraId="1683E283">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251,163,843.40</w:t>
            </w:r>
          </w:p>
        </w:tc>
      </w:tr>
      <w:tr w14:paraId="2C81347D">
        <w:trPr>
          <w:trHeight w:val="0" w:hRule="atLeast"/>
          <w:jc w:val="center"/>
        </w:trPr>
        <w:tc>
          <w:tcPr>
            <w:tcW w:w="1319" w:type="dxa"/>
            <w:tcBorders>
              <w:top w:val="nil"/>
              <w:left w:val="nil"/>
              <w:bottom w:val="nil"/>
              <w:right w:val="nil"/>
            </w:tcBorders>
            <w:shd w:val="clear" w:color="auto" w:fill="auto"/>
            <w:vAlign w:val="center"/>
          </w:tcPr>
          <w:p w14:paraId="5FAB5BC9">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2023</w:t>
            </w:r>
          </w:p>
        </w:tc>
        <w:tc>
          <w:tcPr>
            <w:tcW w:w="3600" w:type="dxa"/>
            <w:tcBorders>
              <w:top w:val="nil"/>
              <w:left w:val="nil"/>
              <w:bottom w:val="nil"/>
              <w:right w:val="nil"/>
            </w:tcBorders>
            <w:shd w:val="clear" w:color="auto" w:fill="auto"/>
            <w:vAlign w:val="center"/>
          </w:tcPr>
          <w:p w14:paraId="0AB96209">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1,123,506,725</w:t>
            </w:r>
          </w:p>
        </w:tc>
        <w:tc>
          <w:tcPr>
            <w:tcW w:w="3600" w:type="dxa"/>
            <w:tcBorders>
              <w:top w:val="nil"/>
              <w:left w:val="nil"/>
              <w:bottom w:val="nil"/>
              <w:right w:val="nil"/>
            </w:tcBorders>
            <w:shd w:val="clear" w:color="auto" w:fill="auto"/>
            <w:vAlign w:val="center"/>
          </w:tcPr>
          <w:p w14:paraId="61CAB7A5">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287,365,330.70</w:t>
            </w:r>
          </w:p>
        </w:tc>
      </w:tr>
      <w:tr w14:paraId="1309545E">
        <w:trPr>
          <w:trHeight w:val="0" w:hRule="atLeast"/>
          <w:jc w:val="center"/>
        </w:trPr>
        <w:tc>
          <w:tcPr>
            <w:tcW w:w="1319" w:type="dxa"/>
            <w:tcBorders>
              <w:top w:val="nil"/>
              <w:left w:val="nil"/>
              <w:bottom w:val="single" w:color="auto" w:sz="12" w:space="0"/>
              <w:right w:val="nil"/>
            </w:tcBorders>
            <w:shd w:val="clear" w:color="auto" w:fill="auto"/>
            <w:vAlign w:val="center"/>
          </w:tcPr>
          <w:p w14:paraId="0BE02BEE">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2024</w:t>
            </w:r>
          </w:p>
        </w:tc>
        <w:tc>
          <w:tcPr>
            <w:tcW w:w="3600" w:type="dxa"/>
            <w:tcBorders>
              <w:top w:val="nil"/>
              <w:left w:val="nil"/>
              <w:bottom w:val="single" w:color="auto" w:sz="12" w:space="0"/>
              <w:right w:val="nil"/>
            </w:tcBorders>
            <w:shd w:val="clear" w:color="auto" w:fill="auto"/>
            <w:vAlign w:val="center"/>
          </w:tcPr>
          <w:p w14:paraId="0146ECDF">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1,127,350,271</w:t>
            </w:r>
          </w:p>
        </w:tc>
        <w:tc>
          <w:tcPr>
            <w:tcW w:w="3600" w:type="dxa"/>
            <w:tcBorders>
              <w:top w:val="nil"/>
              <w:left w:val="nil"/>
              <w:bottom w:val="single" w:color="auto" w:sz="12" w:space="0"/>
              <w:right w:val="nil"/>
            </w:tcBorders>
            <w:shd w:val="clear" w:color="auto" w:fill="auto"/>
            <w:vAlign w:val="center"/>
          </w:tcPr>
          <w:p w14:paraId="49BF5EE7">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264,772,760.20</w:t>
            </w:r>
          </w:p>
        </w:tc>
      </w:tr>
    </w:tbl>
    <w:p w14:paraId="117695A1">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数据来源：</w:t>
      </w:r>
      <w:r>
        <w:rPr>
          <w:rFonts w:hint="default" w:ascii="Times New Roman" w:hAnsi="Times New Roman" w:eastAsia="宋体" w:cs="Times New Roman"/>
          <w:sz w:val="24"/>
          <w:szCs w:val="24"/>
          <w:lang w:val="en-US" w:eastAsia="zh-CN"/>
        </w:rPr>
        <w:t>finD</w:t>
      </w:r>
      <w:r>
        <w:rPr>
          <w:rFonts w:hint="default" w:ascii="Times New Roman" w:hAnsi="Times New Roman" w:eastAsia="宋体" w:cs="Times New Roman"/>
          <w:sz w:val="24"/>
          <w:szCs w:val="24"/>
        </w:rPr>
        <w:t>数据库整理</w:t>
      </w:r>
    </w:p>
    <w:p w14:paraId="4BABEB53">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从表4-31所示，公司资产规模在样本期内呈现逐步增长趋势，由2020年的7.41亿元增长至2024年的11.27亿元。同时，公司负债规模整体变化相对有限，基本维持在2.4亿—2.9亿元之间。以2024年为例，公司负债规模约为2.65亿元，占总资产比例约为23.5%。由于负债规模占比不高，公司资产中较大部分由股东权益构成，因此权益乘数整体保持在1.3左右。</w:t>
      </w:r>
    </w:p>
    <w:p w14:paraId="437C985C">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世纪天鸿的经营特征是传统教辅主业稳定，AI教育产品持续推进但尚未规模放量。在这一阶段，企业更需要维持稳健财务结构以应对教育行业政策变化、市场推广周期和渠道投入节奏，而不是通过高杠杆换取短期扩张。其权益乘数的稳定回落，说明公司在AI布局过程中总体采取较稳妥策略；但这也意味着，ROE提升不会依靠财务放大，而仍要依赖AI教育产品的规模化变现和费用结构优化。3. 思美传媒</w:t>
      </w:r>
    </w:p>
    <w:p w14:paraId="7A8E1949">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rPr>
        <w:t>思美传媒2020—2024年的权益乘数由1.373上升至2.013，在样本企业中上升幅度最为明显，说明企业在样本期内逐渐提高了财务杠杆水平</w:t>
      </w:r>
      <w:r>
        <w:rPr>
          <w:rFonts w:hint="default" w:ascii="Times New Roman" w:hAnsi="Times New Roman" w:eastAsia="宋体" w:cs="Times New Roman"/>
          <w:sz w:val="24"/>
          <w:szCs w:val="24"/>
          <w:lang w:val="en-US" w:eastAsia="zh-CN"/>
        </w:rPr>
        <w:t>。</w:t>
      </w:r>
    </w:p>
    <w:p w14:paraId="2D9833D3">
      <w:pPr>
        <w:widowControl/>
        <w:tabs>
          <w:tab w:val="left" w:pos="377"/>
        </w:tabs>
        <w:autoSpaceDE/>
        <w:autoSpaceDN/>
        <w:snapToGrid/>
        <w:spacing w:before="156" w:beforeLines="50"/>
        <w:jc w:val="center"/>
        <w:rPr>
          <w:rFonts w:hint="default" w:ascii="Times New Roman" w:hAnsi="Times New Roman" w:eastAsia="宋体" w:cs="Times New Roman"/>
          <w:spacing w:val="10"/>
          <w:kern w:val="0"/>
          <w:szCs w:val="20"/>
          <w:lang w:val="en-US" w:eastAsia="zh-CN"/>
        </w:rPr>
      </w:pPr>
      <w:r>
        <w:rPr>
          <w:rFonts w:hint="default" w:ascii="Times New Roman" w:hAnsi="Times New Roman" w:eastAsia="宋体" w:cs="Times New Roman"/>
          <w:spacing w:val="10"/>
          <w:kern w:val="0"/>
          <w:szCs w:val="20"/>
          <w:lang w:val="en-US" w:eastAsia="zh-CN"/>
        </w:rPr>
        <w:t>表4-32 思美传媒资产规模与负债规模变化表</w:t>
      </w:r>
    </w:p>
    <w:tbl>
      <w:tblPr>
        <w:tblStyle w:val="7"/>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9"/>
        <w:gridCol w:w="3589"/>
        <w:gridCol w:w="3591"/>
      </w:tblGrid>
      <w:tr w14:paraId="72F391EE">
        <w:trPr>
          <w:trHeight w:val="0" w:hRule="atLeast"/>
          <w:tblHeader/>
          <w:jc w:val="center"/>
        </w:trPr>
        <w:tc>
          <w:tcPr>
            <w:tcW w:w="1339" w:type="dxa"/>
            <w:tcBorders>
              <w:top w:val="single" w:color="auto" w:sz="12" w:space="0"/>
              <w:left w:val="nil"/>
              <w:bottom w:val="single" w:color="auto" w:sz="4" w:space="0"/>
              <w:right w:val="nil"/>
            </w:tcBorders>
            <w:shd w:val="clear" w:color="auto" w:fill="auto"/>
            <w:vAlign w:val="center"/>
          </w:tcPr>
          <w:p w14:paraId="76D79094">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年份</w:t>
            </w:r>
          </w:p>
        </w:tc>
        <w:tc>
          <w:tcPr>
            <w:tcW w:w="3589" w:type="dxa"/>
            <w:tcBorders>
              <w:top w:val="single" w:color="auto" w:sz="12" w:space="0"/>
              <w:left w:val="nil"/>
              <w:bottom w:val="single" w:color="auto" w:sz="4" w:space="0"/>
              <w:right w:val="nil"/>
            </w:tcBorders>
            <w:shd w:val="clear" w:color="auto" w:fill="auto"/>
            <w:vAlign w:val="center"/>
          </w:tcPr>
          <w:p w14:paraId="676641D6">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资产总计（元）</w:t>
            </w:r>
          </w:p>
        </w:tc>
        <w:tc>
          <w:tcPr>
            <w:tcW w:w="3591" w:type="dxa"/>
            <w:tcBorders>
              <w:top w:val="single" w:color="auto" w:sz="12" w:space="0"/>
              <w:left w:val="nil"/>
              <w:bottom w:val="single" w:color="auto" w:sz="4" w:space="0"/>
              <w:right w:val="nil"/>
            </w:tcBorders>
            <w:shd w:val="clear" w:color="auto" w:fill="auto"/>
            <w:vAlign w:val="center"/>
          </w:tcPr>
          <w:p w14:paraId="46EB81AB">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负债合计（元）</w:t>
            </w:r>
          </w:p>
        </w:tc>
      </w:tr>
      <w:tr w14:paraId="197B5527">
        <w:trPr>
          <w:trHeight w:val="0" w:hRule="atLeast"/>
          <w:jc w:val="center"/>
        </w:trPr>
        <w:tc>
          <w:tcPr>
            <w:tcW w:w="1339" w:type="dxa"/>
            <w:tcBorders>
              <w:top w:val="single" w:color="auto" w:sz="4" w:space="0"/>
              <w:left w:val="nil"/>
              <w:bottom w:val="nil"/>
              <w:right w:val="nil"/>
            </w:tcBorders>
            <w:shd w:val="clear" w:color="auto" w:fill="auto"/>
            <w:vAlign w:val="center"/>
          </w:tcPr>
          <w:p w14:paraId="7CF29518">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2020</w:t>
            </w:r>
          </w:p>
        </w:tc>
        <w:tc>
          <w:tcPr>
            <w:tcW w:w="3589" w:type="dxa"/>
            <w:tcBorders>
              <w:top w:val="single" w:color="auto" w:sz="4" w:space="0"/>
              <w:left w:val="nil"/>
              <w:bottom w:val="nil"/>
              <w:right w:val="nil"/>
            </w:tcBorders>
            <w:shd w:val="clear" w:color="auto" w:fill="auto"/>
            <w:vAlign w:val="center"/>
          </w:tcPr>
          <w:p w14:paraId="4CF6D4F5">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2,746,908,355</w:t>
            </w:r>
          </w:p>
        </w:tc>
        <w:tc>
          <w:tcPr>
            <w:tcW w:w="3591" w:type="dxa"/>
            <w:tcBorders>
              <w:top w:val="single" w:color="auto" w:sz="4" w:space="0"/>
              <w:left w:val="nil"/>
              <w:bottom w:val="nil"/>
              <w:right w:val="nil"/>
            </w:tcBorders>
            <w:shd w:val="clear" w:color="auto" w:fill="auto"/>
            <w:vAlign w:val="center"/>
          </w:tcPr>
          <w:p w14:paraId="0867907E">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746,347,188</w:t>
            </w:r>
          </w:p>
        </w:tc>
      </w:tr>
      <w:tr w14:paraId="4435099C">
        <w:trPr>
          <w:trHeight w:val="0" w:hRule="atLeast"/>
          <w:jc w:val="center"/>
        </w:trPr>
        <w:tc>
          <w:tcPr>
            <w:tcW w:w="1339" w:type="dxa"/>
            <w:tcBorders>
              <w:top w:val="nil"/>
              <w:left w:val="nil"/>
              <w:bottom w:val="nil"/>
              <w:right w:val="nil"/>
            </w:tcBorders>
            <w:shd w:val="clear" w:color="auto" w:fill="auto"/>
            <w:vAlign w:val="center"/>
          </w:tcPr>
          <w:p w14:paraId="5051B519">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2021</w:t>
            </w:r>
          </w:p>
        </w:tc>
        <w:tc>
          <w:tcPr>
            <w:tcW w:w="3589" w:type="dxa"/>
            <w:tcBorders>
              <w:top w:val="nil"/>
              <w:left w:val="nil"/>
              <w:bottom w:val="nil"/>
              <w:right w:val="nil"/>
            </w:tcBorders>
            <w:shd w:val="clear" w:color="auto" w:fill="auto"/>
            <w:vAlign w:val="center"/>
          </w:tcPr>
          <w:p w14:paraId="696DB305">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2,951,804,104</w:t>
            </w:r>
          </w:p>
        </w:tc>
        <w:tc>
          <w:tcPr>
            <w:tcW w:w="3591" w:type="dxa"/>
            <w:tcBorders>
              <w:top w:val="nil"/>
              <w:left w:val="nil"/>
              <w:bottom w:val="nil"/>
              <w:right w:val="nil"/>
            </w:tcBorders>
            <w:shd w:val="clear" w:color="auto" w:fill="auto"/>
            <w:vAlign w:val="center"/>
          </w:tcPr>
          <w:p w14:paraId="5A9E9188">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944,005,568</w:t>
            </w:r>
          </w:p>
        </w:tc>
      </w:tr>
      <w:tr w14:paraId="32D28F09">
        <w:trPr>
          <w:trHeight w:val="0" w:hRule="atLeast"/>
          <w:jc w:val="center"/>
        </w:trPr>
        <w:tc>
          <w:tcPr>
            <w:tcW w:w="1339" w:type="dxa"/>
            <w:tcBorders>
              <w:top w:val="nil"/>
              <w:left w:val="nil"/>
              <w:bottom w:val="nil"/>
              <w:right w:val="nil"/>
            </w:tcBorders>
            <w:shd w:val="clear" w:color="auto" w:fill="auto"/>
            <w:vAlign w:val="center"/>
          </w:tcPr>
          <w:p w14:paraId="453059AC">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2022</w:t>
            </w:r>
          </w:p>
        </w:tc>
        <w:tc>
          <w:tcPr>
            <w:tcW w:w="3589" w:type="dxa"/>
            <w:tcBorders>
              <w:top w:val="nil"/>
              <w:left w:val="nil"/>
              <w:bottom w:val="nil"/>
              <w:right w:val="nil"/>
            </w:tcBorders>
            <w:shd w:val="clear" w:color="auto" w:fill="auto"/>
            <w:vAlign w:val="center"/>
          </w:tcPr>
          <w:p w14:paraId="1D5EDABE">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2,396,965,991</w:t>
            </w:r>
          </w:p>
        </w:tc>
        <w:tc>
          <w:tcPr>
            <w:tcW w:w="3591" w:type="dxa"/>
            <w:tcBorders>
              <w:top w:val="nil"/>
              <w:left w:val="nil"/>
              <w:bottom w:val="nil"/>
              <w:right w:val="nil"/>
            </w:tcBorders>
            <w:shd w:val="clear" w:color="auto" w:fill="auto"/>
            <w:vAlign w:val="center"/>
          </w:tcPr>
          <w:p w14:paraId="296CAE96">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794,126,556</w:t>
            </w:r>
          </w:p>
        </w:tc>
      </w:tr>
      <w:tr w14:paraId="71ADB456">
        <w:trPr>
          <w:trHeight w:val="0" w:hRule="atLeast"/>
          <w:jc w:val="center"/>
        </w:trPr>
        <w:tc>
          <w:tcPr>
            <w:tcW w:w="1339" w:type="dxa"/>
            <w:tcBorders>
              <w:top w:val="nil"/>
              <w:left w:val="nil"/>
              <w:bottom w:val="nil"/>
              <w:right w:val="nil"/>
            </w:tcBorders>
            <w:shd w:val="clear" w:color="auto" w:fill="auto"/>
            <w:vAlign w:val="center"/>
          </w:tcPr>
          <w:p w14:paraId="10C2A6C8">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2023</w:t>
            </w:r>
          </w:p>
        </w:tc>
        <w:tc>
          <w:tcPr>
            <w:tcW w:w="3589" w:type="dxa"/>
            <w:tcBorders>
              <w:top w:val="nil"/>
              <w:left w:val="nil"/>
              <w:bottom w:val="nil"/>
              <w:right w:val="nil"/>
            </w:tcBorders>
            <w:shd w:val="clear" w:color="auto" w:fill="auto"/>
            <w:vAlign w:val="center"/>
          </w:tcPr>
          <w:p w14:paraId="7DC24F88">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2,499,498,172</w:t>
            </w:r>
          </w:p>
        </w:tc>
        <w:tc>
          <w:tcPr>
            <w:tcW w:w="3591" w:type="dxa"/>
            <w:tcBorders>
              <w:top w:val="nil"/>
              <w:left w:val="nil"/>
              <w:bottom w:val="nil"/>
              <w:right w:val="nil"/>
            </w:tcBorders>
            <w:shd w:val="clear" w:color="auto" w:fill="auto"/>
            <w:vAlign w:val="center"/>
          </w:tcPr>
          <w:p w14:paraId="0EFF79E1">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1,032,936,034</w:t>
            </w:r>
          </w:p>
        </w:tc>
      </w:tr>
      <w:tr w14:paraId="03D2DA90">
        <w:trPr>
          <w:trHeight w:val="0" w:hRule="atLeast"/>
          <w:jc w:val="center"/>
        </w:trPr>
        <w:tc>
          <w:tcPr>
            <w:tcW w:w="1339" w:type="dxa"/>
            <w:tcBorders>
              <w:top w:val="nil"/>
              <w:left w:val="nil"/>
              <w:bottom w:val="single" w:color="auto" w:sz="12" w:space="0"/>
              <w:right w:val="nil"/>
            </w:tcBorders>
            <w:shd w:val="clear" w:color="auto" w:fill="auto"/>
            <w:vAlign w:val="center"/>
          </w:tcPr>
          <w:p w14:paraId="3AEB83A9">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2024</w:t>
            </w:r>
          </w:p>
        </w:tc>
        <w:tc>
          <w:tcPr>
            <w:tcW w:w="3589" w:type="dxa"/>
            <w:tcBorders>
              <w:top w:val="nil"/>
              <w:left w:val="nil"/>
              <w:bottom w:val="single" w:color="auto" w:sz="12" w:space="0"/>
              <w:right w:val="nil"/>
            </w:tcBorders>
            <w:shd w:val="clear" w:color="auto" w:fill="auto"/>
            <w:vAlign w:val="center"/>
          </w:tcPr>
          <w:p w14:paraId="1FE9A2E7">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2,869,686,762</w:t>
            </w:r>
          </w:p>
        </w:tc>
        <w:tc>
          <w:tcPr>
            <w:tcW w:w="3591" w:type="dxa"/>
            <w:tcBorders>
              <w:top w:val="nil"/>
              <w:left w:val="nil"/>
              <w:bottom w:val="single" w:color="auto" w:sz="12" w:space="0"/>
              <w:right w:val="nil"/>
            </w:tcBorders>
            <w:shd w:val="clear" w:color="auto" w:fill="auto"/>
            <w:vAlign w:val="center"/>
          </w:tcPr>
          <w:p w14:paraId="35F2D110">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1,444,094,654</w:t>
            </w:r>
          </w:p>
        </w:tc>
      </w:tr>
    </w:tbl>
    <w:p w14:paraId="75ABAF8A">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数据来源：</w:t>
      </w:r>
      <w:r>
        <w:rPr>
          <w:rFonts w:hint="default" w:ascii="Times New Roman" w:hAnsi="Times New Roman" w:eastAsia="宋体" w:cs="Times New Roman"/>
          <w:sz w:val="24"/>
          <w:szCs w:val="24"/>
          <w:lang w:val="en-US" w:eastAsia="zh-CN"/>
        </w:rPr>
        <w:t>finD</w:t>
      </w:r>
      <w:r>
        <w:rPr>
          <w:rFonts w:hint="default" w:ascii="Times New Roman" w:hAnsi="Times New Roman" w:eastAsia="宋体" w:cs="Times New Roman"/>
          <w:sz w:val="24"/>
          <w:szCs w:val="24"/>
        </w:rPr>
        <w:t>数据库整理</w:t>
      </w:r>
    </w:p>
    <w:p w14:paraId="57D8C550">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如表4-32，公司资产规模在样本期内整体呈增长趋势，由2020年的27.47亿元增长至2024年的28.70亿元，变化幅度相对有限。然而，公司负债规模增长较为明显，由2020年的7.46亿元增加至2024年的14.44亿元，五年间增长接近一倍。随着负债规模持续增加，企业资产中由负债形成的比例逐渐提高，从而推动权益乘数明显上升。以2024年为例，公司总资产约为28.70亿元，而负债规模已达到14.44亿元，负债占资产比例约为50%。相比2020年约27%的负债占比，企业财务杠杆水平显著提高。在这种情况下，企业通过负债融资扩大资产规模，使得权益乘数提升至2以上。</w:t>
      </w:r>
    </w:p>
    <w:p w14:paraId="7AFEFB9E">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这意味着，思美传媒并不是在高利润基础上利用杠杆放大收益，而是在低利润甚至亏损基础上承受更高杠杆带来的波动风险。</w:t>
      </w:r>
    </w:p>
    <w:p w14:paraId="2403EED1">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这一特征具有较强的警示意义。思美传媒主营整合营销传播业务，营业成本率长期高于92%，说明其利润空间本就很薄；在此基础上，权益乘数由1.37升至2.01，意味着企业每单位净资产需要承担更高资产规模，一旦净利率继续承压，负向冲击就会更快传导至ROE。因此，思美传媒的案例说明，对于低毛利行业中的AI赋能型企业而言，若AI主要用于流程提效而尚未形成新的利润来源，杠杆上升不仅不能改善回报，反而可能放大脆弱性。</w:t>
      </w:r>
    </w:p>
    <w:p w14:paraId="0DB52B4B">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综合来看，AI业务赋能型企业在权益乘数上的分化，主要反映原有主业经营基础的差异。巨人网络和世纪天鸿依托较稳健主业，采取低至中等杠杆即可维持经营；思美传媒则在低利润结构下出现杠杆上升，使财务风险进一步暴露。这说明，对AI业务赋能型企业而言，资本结构只能在次要层面影响ROE，真正决定盈利质量的仍然是主业利润空间及AI赋能后能否转化为可持续经营收益。</w:t>
      </w:r>
    </w:p>
    <w:p w14:paraId="7A1D77EF">
      <w:pPr>
        <w:autoSpaceDE/>
        <w:autoSpaceDN/>
        <w:snapToGrid/>
        <w:spacing w:before="156" w:beforeLines="50" w:after="156" w:afterLines="50" w:line="420" w:lineRule="exact"/>
        <w:jc w:val="left"/>
        <w:outlineLvl w:val="2"/>
        <w:rPr>
          <w:rFonts w:hint="default" w:ascii="Times New Roman" w:hAnsi="Times New Roman" w:eastAsia="黑体" w:cs="Times New Roman"/>
          <w:color w:val="000000"/>
          <w:kern w:val="0"/>
          <w:sz w:val="28"/>
          <w:szCs w:val="28"/>
          <w:lang w:val="en-US" w:eastAsia="zh-CN"/>
        </w:rPr>
      </w:pPr>
      <w:r>
        <w:rPr>
          <w:rFonts w:hint="default" w:ascii="Times New Roman" w:hAnsi="Times New Roman" w:eastAsia="黑体" w:cs="Times New Roman"/>
          <w:color w:val="000000"/>
          <w:kern w:val="0"/>
          <w:sz w:val="28"/>
          <w:szCs w:val="28"/>
          <w:lang w:val="en-US" w:eastAsia="zh-CN"/>
        </w:rPr>
        <w:t>4.2.3.3 本节小结</w:t>
      </w:r>
    </w:p>
    <w:p w14:paraId="04AD9D03">
      <w:pPr>
        <w:bidi w:val="0"/>
        <w:ind w:firstLine="420" w:firstLineChars="0"/>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总体来看，六家典型样本企业的权益乘数普遍处于可控区间，只有思美传媒在样本后期呈现出较明显的杠杆上升。因此，从杜邦分析结果看，资本结构并不是样本企业盈利分化的主导因素。对于方直科技、佳讯飞鸿、巨人网络和世纪天鸿而言，ROE变化更多取决于销售净利率和总资产周转率；对天地在线而言，杠杆调整并未改变盈利下行趋势；对思美传媒而言，杠杆上升反而放大了低利润经营模式的脆弱性。</w:t>
      </w:r>
    </w:p>
    <w:p w14:paraId="50747C69">
      <w:pPr>
        <w:bidi w:val="0"/>
        <w:ind w:firstLine="420" w:firstLineChars="0"/>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由此可以得出更明确的判断：在A股人工智能应用层中小企业样本中，权益乘数更多扮演放大器而非发动机的角色。只有当企业已经形成较稳定的利润率和周转效率时，杠杆才可能正向放大股东回报；若主营业务利润结构本身偏弱，财务杠杆不仅难以改善盈利，反而可能加重风险暴露。基于这一结论，下一小节将对4.2节的杜邦分析结果进行综合归纳，进一步提炼不同业务模式企业盈利差异的核心来源。</w:t>
      </w:r>
    </w:p>
    <w:p w14:paraId="5B2FCCE2">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p>
    <w:p w14:paraId="1CDAA77E">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p>
    <w:p w14:paraId="0A96D819">
      <w:pPr>
        <w:autoSpaceDE/>
        <w:autoSpaceDN/>
        <w:snapToGrid/>
        <w:spacing w:before="156" w:beforeLines="50" w:after="156" w:afterLines="50" w:line="420" w:lineRule="exact"/>
        <w:jc w:val="left"/>
        <w:outlineLvl w:val="2"/>
        <w:rPr>
          <w:rFonts w:hint="default" w:ascii="Times New Roman" w:hAnsi="Times New Roman" w:eastAsia="黑体" w:cs="Times New Roman"/>
          <w:color w:val="000000"/>
          <w:kern w:val="0"/>
          <w:sz w:val="28"/>
          <w:szCs w:val="28"/>
          <w:lang w:val="en-US" w:eastAsia="zh-CN"/>
        </w:rPr>
      </w:pPr>
      <w:r>
        <w:rPr>
          <w:rFonts w:hint="default" w:ascii="Times New Roman" w:hAnsi="Times New Roman" w:eastAsia="黑体" w:cs="Times New Roman"/>
          <w:color w:val="000000"/>
          <w:kern w:val="0"/>
          <w:sz w:val="28"/>
          <w:szCs w:val="28"/>
          <w:lang w:val="en-US" w:eastAsia="zh-CN"/>
        </w:rPr>
        <w:t>4.2.3.3 本节小结</w:t>
      </w:r>
    </w:p>
    <w:p w14:paraId="37D1AF5E">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总体来看，典型样本企业权益乘数整体处于较为稳健水平，大多数企业并未通过大规模负债融资扩大经营规模。这一现象反映出人工智能应用层企业普遍采取较为谨慎的资本结构策略，以降低技术创新和市场不确定性带来的经营风险。</w:t>
      </w:r>
    </w:p>
    <w:p w14:paraId="525332BD">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样本企业在财务杠杆使用上呈现出明显分化：部分企业保持低杠杆经营，以降低财务风险；部分企业维持适度杠杆水平，以支持业务扩张；个别企业则通过提高负债融资比例扩大资产规模。从杜邦分析的角度看，权益乘数对企业净资产收益率具有放大作用，但过高的杠杆也会增加财务风险。因此，在人工智能应用层企业中，财务杠杆的使用程度不仅取决于企业融资能力，也与企业业务发展阶段和资本结构策略密切相关。</w:t>
      </w:r>
    </w:p>
    <w:p w14:paraId="2F2154EA">
      <w:pPr>
        <w:autoSpaceDE/>
        <w:autoSpaceDN/>
        <w:snapToGrid/>
        <w:spacing w:before="156" w:beforeLines="50" w:after="156" w:afterLines="50" w:line="420" w:lineRule="exact"/>
        <w:jc w:val="left"/>
        <w:outlineLvl w:val="2"/>
        <w:rPr>
          <w:rFonts w:hint="default" w:ascii="Times New Roman" w:hAnsi="Times New Roman" w:eastAsia="黑体" w:cs="Times New Roman"/>
          <w:color w:val="000000"/>
          <w:kern w:val="0"/>
          <w:sz w:val="28"/>
          <w:szCs w:val="28"/>
          <w:lang w:val="en-US" w:eastAsia="zh-CN"/>
        </w:rPr>
      </w:pPr>
      <w:r>
        <w:rPr>
          <w:rFonts w:hint="default" w:ascii="Times New Roman" w:hAnsi="Times New Roman" w:eastAsia="黑体" w:cs="Times New Roman"/>
          <w:color w:val="000000"/>
          <w:kern w:val="0"/>
          <w:sz w:val="28"/>
          <w:szCs w:val="28"/>
          <w:lang w:val="en-US" w:eastAsia="zh-CN"/>
        </w:rPr>
        <w:t>4.2.4净资产收益率分析</w:t>
      </w:r>
    </w:p>
    <w:p w14:paraId="7BFF0016">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t>净资产收益率是衡量企业股东权益获利能力的核心指标，</w:t>
      </w:r>
      <w:r>
        <w:rPr>
          <w:rFonts w:hint="default" w:ascii="Times New Roman" w:hAnsi="Times New Roman" w:eastAsia="宋体" w:cs="Times New Roman"/>
          <w:sz w:val="24"/>
          <w:szCs w:val="24"/>
        </w:rPr>
        <w:t>反映企业利用股东投入资本创造利润的能力。在杜邦分析框架中，净资产收益率由销售净利率、总资产周转率和权益乘数三个因素共同决定，其基本关系为：</w:t>
      </w:r>
    </w:p>
    <w:p w14:paraId="616C023F">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val="en-US" w:eastAsia="zh-CN"/>
        </w:rPr>
      </w:pPr>
      <m:oMathPara>
        <m:oMath>
          <m:r>
            <m:rPr>
              <m:nor/>
              <m:sty m:val="p"/>
            </m:rPr>
            <w:rPr>
              <w:rFonts w:hint="default" w:ascii="Times New Roman" w:hAnsi="Times New Roman" w:eastAsia="宋体" w:cs="Times New Roman"/>
              <w:b w:val="0"/>
              <w:i w:val="0"/>
              <w:sz w:val="24"/>
            </w:rPr>
            <m:t>净资产收益率=销售净利率×总资产周转率×权益乘数</m:t>
          </m:r>
        </m:oMath>
      </m:oMathPara>
    </w:p>
    <w:p w14:paraId="2F57CDA5">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其中，销售净利率反映企业收入转化为利润的能力，总资产周转率体现企业资产利用效率，而权益乘数则反映企业财务杠杆水平。三者共同决定企业最终的股东回报水平。因此，对净资产收益率的分析需要结合上述三个指标进行综合考察。在前文中，本文已经分别从销售净利率、总资产周转率和权益乘数三个方面对样本企业进行了分析。在此基础上，进一步对6家典型样本企业2020—2024年的净资产收益率变化情况进行比较分析，以综合考察不同企业盈利能力的形成机制。典型样本企业的净资产收益率比较如表4-3</w:t>
      </w:r>
      <w:r>
        <w:rPr>
          <w:rFonts w:hint="default" w:ascii="Times New Roman" w:hAnsi="Times New Roman" w:eastAsia="宋体" w:cs="Times New Roman"/>
          <w:sz w:val="24"/>
          <w:szCs w:val="24"/>
          <w:lang w:val="en-US" w:eastAsia="zh-CN"/>
        </w:rPr>
        <w:t>3</w:t>
      </w:r>
      <w:r>
        <w:rPr>
          <w:rFonts w:hint="default" w:ascii="Times New Roman" w:hAnsi="Times New Roman" w:eastAsia="宋体" w:cs="Times New Roman"/>
          <w:sz w:val="24"/>
          <w:szCs w:val="24"/>
        </w:rPr>
        <w:t>所示。</w:t>
      </w:r>
    </w:p>
    <w:p w14:paraId="3EAFFBCD">
      <w:pPr>
        <w:widowControl/>
        <w:tabs>
          <w:tab w:val="left" w:pos="377"/>
        </w:tabs>
        <w:autoSpaceDE/>
        <w:autoSpaceDN/>
        <w:snapToGrid/>
        <w:spacing w:before="156" w:beforeLines="50"/>
        <w:jc w:val="center"/>
        <w:rPr>
          <w:rFonts w:hint="default" w:ascii="Times New Roman" w:hAnsi="Times New Roman" w:eastAsia="宋体" w:cs="Times New Roman"/>
          <w:spacing w:val="10"/>
          <w:kern w:val="0"/>
          <w:szCs w:val="20"/>
          <w:lang w:val="en-US" w:eastAsia="zh-CN"/>
        </w:rPr>
      </w:pPr>
      <w:r>
        <w:rPr>
          <w:rFonts w:hint="default" w:ascii="Times New Roman" w:hAnsi="Times New Roman" w:eastAsia="宋体" w:cs="Times New Roman"/>
          <w:spacing w:val="10"/>
          <w:kern w:val="0"/>
          <w:szCs w:val="20"/>
          <w:lang w:val="en-US" w:eastAsia="zh-CN"/>
        </w:rPr>
        <w:t>表4-33 典型样本企业净资产收益率比较表</w:t>
      </w:r>
    </w:p>
    <w:tbl>
      <w:tblPr>
        <w:tblStyle w:val="7"/>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583"/>
        <w:gridCol w:w="1513"/>
        <w:gridCol w:w="1205"/>
        <w:gridCol w:w="907"/>
        <w:gridCol w:w="1205"/>
        <w:gridCol w:w="1053"/>
        <w:gridCol w:w="1053"/>
      </w:tblGrid>
      <w:tr w14:paraId="168C5ACD">
        <w:trPr>
          <w:trHeight w:val="0" w:hRule="atLeast"/>
          <w:tblHeader/>
          <w:jc w:val="center"/>
        </w:trPr>
        <w:tc>
          <w:tcPr>
            <w:tcW w:w="1583" w:type="dxa"/>
            <w:tcBorders>
              <w:top w:val="single" w:color="auto" w:sz="12" w:space="0"/>
              <w:left w:val="nil"/>
              <w:bottom w:val="single" w:color="auto" w:sz="4" w:space="0"/>
              <w:right w:val="nil"/>
            </w:tcBorders>
            <w:shd w:val="clear" w:color="auto" w:fill="auto"/>
            <w:vAlign w:val="center"/>
          </w:tcPr>
          <w:p w14:paraId="1AB4EE6F">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Times New Roman" w:hAnsi="Times New Roman" w:eastAsia="宋体" w:cs="Times New Roman"/>
                <w:b/>
                <w:bCs/>
                <w:i w:val="0"/>
                <w:iCs w:val="0"/>
                <w:color w:val="000000"/>
                <w:kern w:val="0"/>
                <w:sz w:val="21"/>
                <w:szCs w:val="21"/>
                <w:u w:val="none"/>
                <w:lang w:val="en-US" w:eastAsia="zh-CN" w:bidi="ar"/>
              </w:rPr>
              <w:t>企业类型</w:t>
            </w:r>
          </w:p>
        </w:tc>
        <w:tc>
          <w:tcPr>
            <w:tcW w:w="1513" w:type="dxa"/>
            <w:tcBorders>
              <w:top w:val="single" w:color="auto" w:sz="12" w:space="0"/>
              <w:left w:val="nil"/>
              <w:bottom w:val="single" w:color="auto" w:sz="4" w:space="0"/>
              <w:right w:val="nil"/>
            </w:tcBorders>
            <w:shd w:val="clear" w:color="auto" w:fill="auto"/>
            <w:vAlign w:val="center"/>
          </w:tcPr>
          <w:p w14:paraId="52E0F474">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Times New Roman" w:hAnsi="Times New Roman" w:eastAsia="宋体" w:cs="Times New Roman"/>
                <w:b/>
                <w:bCs/>
                <w:i w:val="0"/>
                <w:iCs w:val="0"/>
                <w:color w:val="000000"/>
                <w:kern w:val="0"/>
                <w:sz w:val="21"/>
                <w:szCs w:val="21"/>
                <w:u w:val="none"/>
                <w:lang w:val="en-US" w:eastAsia="zh-CN" w:bidi="ar"/>
              </w:rPr>
              <w:t>企业名称</w:t>
            </w:r>
          </w:p>
        </w:tc>
        <w:tc>
          <w:tcPr>
            <w:tcW w:w="1205" w:type="dxa"/>
            <w:tcBorders>
              <w:top w:val="single" w:color="auto" w:sz="12" w:space="0"/>
              <w:left w:val="nil"/>
              <w:bottom w:val="single" w:color="auto" w:sz="4" w:space="0"/>
              <w:right w:val="nil"/>
            </w:tcBorders>
            <w:shd w:val="clear" w:color="auto" w:fill="auto"/>
            <w:vAlign w:val="center"/>
          </w:tcPr>
          <w:p w14:paraId="7137DEB3">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Times New Roman" w:hAnsi="Times New Roman" w:eastAsia="宋体" w:cs="Times New Roman"/>
                <w:b/>
                <w:bCs/>
                <w:i w:val="0"/>
                <w:iCs w:val="0"/>
                <w:color w:val="000000"/>
                <w:kern w:val="0"/>
                <w:sz w:val="21"/>
                <w:szCs w:val="21"/>
                <w:u w:val="none"/>
                <w:lang w:val="en-US" w:eastAsia="zh-CN" w:bidi="ar"/>
              </w:rPr>
              <w:t>2020</w:t>
            </w:r>
          </w:p>
        </w:tc>
        <w:tc>
          <w:tcPr>
            <w:tcW w:w="907" w:type="dxa"/>
            <w:tcBorders>
              <w:top w:val="single" w:color="auto" w:sz="12" w:space="0"/>
              <w:left w:val="nil"/>
              <w:bottom w:val="single" w:color="auto" w:sz="4" w:space="0"/>
              <w:right w:val="nil"/>
            </w:tcBorders>
            <w:shd w:val="clear" w:color="auto" w:fill="auto"/>
            <w:vAlign w:val="center"/>
          </w:tcPr>
          <w:p w14:paraId="2F439A80">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Times New Roman" w:hAnsi="Times New Roman" w:eastAsia="宋体" w:cs="Times New Roman"/>
                <w:b/>
                <w:bCs/>
                <w:i w:val="0"/>
                <w:iCs w:val="0"/>
                <w:color w:val="000000"/>
                <w:kern w:val="0"/>
                <w:sz w:val="21"/>
                <w:szCs w:val="21"/>
                <w:u w:val="none"/>
                <w:lang w:val="en-US" w:eastAsia="zh-CN" w:bidi="ar"/>
              </w:rPr>
              <w:t>2021</w:t>
            </w:r>
          </w:p>
        </w:tc>
        <w:tc>
          <w:tcPr>
            <w:tcW w:w="1205" w:type="dxa"/>
            <w:tcBorders>
              <w:top w:val="single" w:color="auto" w:sz="12" w:space="0"/>
              <w:left w:val="nil"/>
              <w:bottom w:val="single" w:color="auto" w:sz="4" w:space="0"/>
              <w:right w:val="nil"/>
            </w:tcBorders>
            <w:shd w:val="clear" w:color="auto" w:fill="auto"/>
            <w:vAlign w:val="center"/>
          </w:tcPr>
          <w:p w14:paraId="0997F091">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Times New Roman" w:hAnsi="Times New Roman" w:eastAsia="宋体" w:cs="Times New Roman"/>
                <w:b/>
                <w:bCs/>
                <w:i w:val="0"/>
                <w:iCs w:val="0"/>
                <w:color w:val="000000"/>
                <w:kern w:val="0"/>
                <w:sz w:val="21"/>
                <w:szCs w:val="21"/>
                <w:u w:val="none"/>
                <w:lang w:val="en-US" w:eastAsia="zh-CN" w:bidi="ar"/>
              </w:rPr>
              <w:t>2022</w:t>
            </w:r>
          </w:p>
        </w:tc>
        <w:tc>
          <w:tcPr>
            <w:tcW w:w="1053" w:type="dxa"/>
            <w:tcBorders>
              <w:top w:val="single" w:color="auto" w:sz="12" w:space="0"/>
              <w:left w:val="nil"/>
              <w:bottom w:val="single" w:color="auto" w:sz="4" w:space="0"/>
              <w:right w:val="nil"/>
            </w:tcBorders>
            <w:shd w:val="clear" w:color="auto" w:fill="auto"/>
            <w:vAlign w:val="center"/>
          </w:tcPr>
          <w:p w14:paraId="08C592F9">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Times New Roman" w:hAnsi="Times New Roman" w:eastAsia="宋体" w:cs="Times New Roman"/>
                <w:b/>
                <w:bCs/>
                <w:i w:val="0"/>
                <w:iCs w:val="0"/>
                <w:color w:val="000000"/>
                <w:kern w:val="0"/>
                <w:sz w:val="21"/>
                <w:szCs w:val="21"/>
                <w:u w:val="none"/>
                <w:lang w:val="en-US" w:eastAsia="zh-CN" w:bidi="ar"/>
              </w:rPr>
              <w:t>2023</w:t>
            </w:r>
          </w:p>
        </w:tc>
        <w:tc>
          <w:tcPr>
            <w:tcW w:w="1053" w:type="dxa"/>
            <w:tcBorders>
              <w:top w:val="single" w:color="auto" w:sz="12" w:space="0"/>
              <w:left w:val="nil"/>
              <w:bottom w:val="single" w:color="auto" w:sz="4" w:space="0"/>
              <w:right w:val="nil"/>
            </w:tcBorders>
            <w:shd w:val="clear" w:color="auto" w:fill="auto"/>
            <w:vAlign w:val="center"/>
          </w:tcPr>
          <w:p w14:paraId="6490AAF5">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kern w:val="0"/>
                <w:sz w:val="21"/>
                <w:szCs w:val="21"/>
                <w:u w:val="none"/>
                <w:lang w:val="en-US" w:eastAsia="zh-CN" w:bidi="ar"/>
              </w:rPr>
            </w:pPr>
            <w:r>
              <w:rPr>
                <w:rFonts w:hint="default" w:ascii="Times New Roman" w:hAnsi="Times New Roman" w:eastAsia="宋体" w:cs="Times New Roman"/>
                <w:b/>
                <w:bCs/>
                <w:i w:val="0"/>
                <w:iCs w:val="0"/>
                <w:color w:val="000000"/>
                <w:kern w:val="0"/>
                <w:sz w:val="21"/>
                <w:szCs w:val="21"/>
                <w:u w:val="none"/>
                <w:lang w:val="en-US" w:eastAsia="zh-CN" w:bidi="ar"/>
              </w:rPr>
              <w:t>2024</w:t>
            </w:r>
          </w:p>
        </w:tc>
      </w:tr>
      <w:tr w14:paraId="294A2A68">
        <w:trPr>
          <w:trHeight w:val="0" w:hRule="atLeast"/>
          <w:jc w:val="center"/>
        </w:trPr>
        <w:tc>
          <w:tcPr>
            <w:tcW w:w="1583" w:type="dxa"/>
            <w:tcBorders>
              <w:top w:val="single" w:color="auto" w:sz="4" w:space="0"/>
              <w:left w:val="nil"/>
              <w:bottom w:val="nil"/>
              <w:right w:val="nil"/>
            </w:tcBorders>
            <w:shd w:val="clear" w:color="auto" w:fill="auto"/>
            <w:vAlign w:val="center"/>
          </w:tcPr>
          <w:p w14:paraId="5F8F9882">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AI独立产品型</w:t>
            </w:r>
          </w:p>
        </w:tc>
        <w:tc>
          <w:tcPr>
            <w:tcW w:w="1513" w:type="dxa"/>
            <w:tcBorders>
              <w:top w:val="single" w:color="auto" w:sz="4" w:space="0"/>
              <w:left w:val="nil"/>
              <w:bottom w:val="nil"/>
              <w:right w:val="nil"/>
            </w:tcBorders>
            <w:shd w:val="clear" w:color="auto" w:fill="auto"/>
            <w:vAlign w:val="center"/>
          </w:tcPr>
          <w:p w14:paraId="530EFAFF">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方直科技</w:t>
            </w:r>
          </w:p>
        </w:tc>
        <w:tc>
          <w:tcPr>
            <w:tcW w:w="1205" w:type="dxa"/>
            <w:tcBorders>
              <w:top w:val="single" w:color="auto" w:sz="4" w:space="0"/>
              <w:left w:val="nil"/>
              <w:bottom w:val="nil"/>
              <w:right w:val="nil"/>
            </w:tcBorders>
            <w:shd w:val="clear" w:color="auto" w:fill="auto"/>
            <w:vAlign w:val="bottom"/>
          </w:tcPr>
          <w:p w14:paraId="46F9C38B">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4.89%</w:t>
            </w:r>
          </w:p>
        </w:tc>
        <w:tc>
          <w:tcPr>
            <w:tcW w:w="907" w:type="dxa"/>
            <w:tcBorders>
              <w:top w:val="single" w:color="auto" w:sz="4" w:space="0"/>
              <w:left w:val="nil"/>
              <w:bottom w:val="nil"/>
              <w:right w:val="nil"/>
            </w:tcBorders>
            <w:shd w:val="clear" w:color="auto" w:fill="auto"/>
            <w:vAlign w:val="bottom"/>
          </w:tcPr>
          <w:p w14:paraId="425DEEFD">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3.48%</w:t>
            </w:r>
          </w:p>
        </w:tc>
        <w:tc>
          <w:tcPr>
            <w:tcW w:w="1205" w:type="dxa"/>
            <w:tcBorders>
              <w:top w:val="single" w:color="auto" w:sz="4" w:space="0"/>
              <w:left w:val="nil"/>
              <w:bottom w:val="nil"/>
              <w:right w:val="nil"/>
            </w:tcBorders>
            <w:shd w:val="clear" w:color="auto" w:fill="auto"/>
            <w:vAlign w:val="bottom"/>
          </w:tcPr>
          <w:p w14:paraId="760571BB">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3.47%</w:t>
            </w:r>
          </w:p>
        </w:tc>
        <w:tc>
          <w:tcPr>
            <w:tcW w:w="1053" w:type="dxa"/>
            <w:tcBorders>
              <w:top w:val="single" w:color="auto" w:sz="4" w:space="0"/>
              <w:left w:val="nil"/>
              <w:bottom w:val="nil"/>
              <w:right w:val="nil"/>
            </w:tcBorders>
            <w:shd w:val="clear" w:color="auto" w:fill="auto"/>
            <w:vAlign w:val="bottom"/>
          </w:tcPr>
          <w:p w14:paraId="11F4556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4.58%</w:t>
            </w:r>
          </w:p>
        </w:tc>
        <w:tc>
          <w:tcPr>
            <w:tcW w:w="1053" w:type="dxa"/>
            <w:tcBorders>
              <w:top w:val="single" w:color="auto" w:sz="4" w:space="0"/>
              <w:left w:val="nil"/>
              <w:bottom w:val="nil"/>
              <w:right w:val="nil"/>
            </w:tcBorders>
            <w:shd w:val="clear" w:color="auto" w:fill="auto"/>
            <w:vAlign w:val="bottom"/>
          </w:tcPr>
          <w:p w14:paraId="6B9D8C0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2.46%</w:t>
            </w:r>
          </w:p>
        </w:tc>
      </w:tr>
      <w:tr w14:paraId="0D7CFFEB">
        <w:trPr>
          <w:trHeight w:val="0" w:hRule="atLeast"/>
          <w:jc w:val="center"/>
        </w:trPr>
        <w:tc>
          <w:tcPr>
            <w:tcW w:w="1583" w:type="dxa"/>
            <w:tcBorders>
              <w:top w:val="nil"/>
              <w:left w:val="nil"/>
              <w:bottom w:val="nil"/>
              <w:right w:val="nil"/>
            </w:tcBorders>
            <w:shd w:val="clear" w:color="auto" w:fill="auto"/>
            <w:vAlign w:val="center"/>
          </w:tcPr>
          <w:p w14:paraId="6AC190DC">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AI独立产品型</w:t>
            </w:r>
          </w:p>
        </w:tc>
        <w:tc>
          <w:tcPr>
            <w:tcW w:w="1513" w:type="dxa"/>
            <w:tcBorders>
              <w:top w:val="nil"/>
              <w:left w:val="nil"/>
              <w:bottom w:val="nil"/>
              <w:right w:val="nil"/>
            </w:tcBorders>
            <w:shd w:val="clear" w:color="auto" w:fill="auto"/>
            <w:vAlign w:val="center"/>
          </w:tcPr>
          <w:p w14:paraId="3351FCC6">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佳讯飞鸿</w:t>
            </w:r>
          </w:p>
        </w:tc>
        <w:tc>
          <w:tcPr>
            <w:tcW w:w="1205" w:type="dxa"/>
            <w:tcBorders>
              <w:top w:val="nil"/>
              <w:left w:val="nil"/>
              <w:bottom w:val="nil"/>
              <w:right w:val="nil"/>
            </w:tcBorders>
            <w:shd w:val="clear" w:color="auto" w:fill="auto"/>
            <w:vAlign w:val="bottom"/>
          </w:tcPr>
          <w:p w14:paraId="711EFCC9">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5.53%</w:t>
            </w:r>
          </w:p>
        </w:tc>
        <w:tc>
          <w:tcPr>
            <w:tcW w:w="907" w:type="dxa"/>
            <w:tcBorders>
              <w:top w:val="nil"/>
              <w:left w:val="nil"/>
              <w:bottom w:val="nil"/>
              <w:right w:val="nil"/>
            </w:tcBorders>
            <w:shd w:val="clear" w:color="auto" w:fill="auto"/>
            <w:vAlign w:val="bottom"/>
          </w:tcPr>
          <w:p w14:paraId="06445432">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5.46%</w:t>
            </w:r>
          </w:p>
        </w:tc>
        <w:tc>
          <w:tcPr>
            <w:tcW w:w="1205" w:type="dxa"/>
            <w:tcBorders>
              <w:top w:val="nil"/>
              <w:left w:val="nil"/>
              <w:bottom w:val="nil"/>
              <w:right w:val="nil"/>
            </w:tcBorders>
            <w:shd w:val="clear" w:color="auto" w:fill="auto"/>
            <w:vAlign w:val="bottom"/>
          </w:tcPr>
          <w:p w14:paraId="71D8015C">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2.83%</w:t>
            </w:r>
          </w:p>
        </w:tc>
        <w:tc>
          <w:tcPr>
            <w:tcW w:w="1053" w:type="dxa"/>
            <w:tcBorders>
              <w:top w:val="nil"/>
              <w:left w:val="nil"/>
              <w:bottom w:val="nil"/>
              <w:right w:val="nil"/>
            </w:tcBorders>
            <w:shd w:val="clear" w:color="auto" w:fill="auto"/>
            <w:vAlign w:val="bottom"/>
          </w:tcPr>
          <w:p w14:paraId="022AF3CE">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3.01%</w:t>
            </w:r>
          </w:p>
        </w:tc>
        <w:tc>
          <w:tcPr>
            <w:tcW w:w="1053" w:type="dxa"/>
            <w:tcBorders>
              <w:top w:val="nil"/>
              <w:left w:val="nil"/>
              <w:bottom w:val="nil"/>
              <w:right w:val="nil"/>
            </w:tcBorders>
            <w:shd w:val="clear" w:color="auto" w:fill="auto"/>
            <w:vAlign w:val="bottom"/>
          </w:tcPr>
          <w:p w14:paraId="0896D3DA">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3.34%</w:t>
            </w:r>
          </w:p>
        </w:tc>
      </w:tr>
      <w:tr w14:paraId="43FBA38B">
        <w:trPr>
          <w:trHeight w:val="0" w:hRule="atLeast"/>
          <w:jc w:val="center"/>
        </w:trPr>
        <w:tc>
          <w:tcPr>
            <w:tcW w:w="1583" w:type="dxa"/>
            <w:tcBorders>
              <w:top w:val="nil"/>
              <w:left w:val="nil"/>
              <w:bottom w:val="nil"/>
              <w:right w:val="nil"/>
            </w:tcBorders>
            <w:shd w:val="clear" w:color="auto" w:fill="auto"/>
            <w:vAlign w:val="center"/>
          </w:tcPr>
          <w:p w14:paraId="3E3AAFDB">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AI独立产品型</w:t>
            </w:r>
          </w:p>
        </w:tc>
        <w:tc>
          <w:tcPr>
            <w:tcW w:w="1513" w:type="dxa"/>
            <w:tcBorders>
              <w:top w:val="nil"/>
              <w:left w:val="nil"/>
              <w:bottom w:val="nil"/>
              <w:right w:val="nil"/>
            </w:tcBorders>
            <w:shd w:val="clear" w:color="auto" w:fill="auto"/>
            <w:vAlign w:val="center"/>
          </w:tcPr>
          <w:p w14:paraId="680ED8D0">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天地在线</w:t>
            </w:r>
          </w:p>
        </w:tc>
        <w:tc>
          <w:tcPr>
            <w:tcW w:w="1205" w:type="dxa"/>
            <w:tcBorders>
              <w:top w:val="nil"/>
              <w:left w:val="nil"/>
              <w:bottom w:val="nil"/>
              <w:right w:val="nil"/>
            </w:tcBorders>
            <w:shd w:val="clear" w:color="auto" w:fill="auto"/>
            <w:vAlign w:val="bottom"/>
          </w:tcPr>
          <w:p w14:paraId="461E86D3">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14.24%</w:t>
            </w:r>
          </w:p>
        </w:tc>
        <w:tc>
          <w:tcPr>
            <w:tcW w:w="907" w:type="dxa"/>
            <w:tcBorders>
              <w:top w:val="nil"/>
              <w:left w:val="nil"/>
              <w:bottom w:val="nil"/>
              <w:right w:val="nil"/>
            </w:tcBorders>
            <w:shd w:val="clear" w:color="auto" w:fill="auto"/>
            <w:vAlign w:val="bottom"/>
          </w:tcPr>
          <w:p w14:paraId="48141AE8">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5.16%</w:t>
            </w:r>
          </w:p>
        </w:tc>
        <w:tc>
          <w:tcPr>
            <w:tcW w:w="1205" w:type="dxa"/>
            <w:tcBorders>
              <w:top w:val="nil"/>
              <w:left w:val="nil"/>
              <w:bottom w:val="nil"/>
              <w:right w:val="nil"/>
            </w:tcBorders>
            <w:shd w:val="clear" w:color="auto" w:fill="auto"/>
            <w:vAlign w:val="bottom"/>
          </w:tcPr>
          <w:p w14:paraId="06619D4F">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0.30%</w:t>
            </w:r>
          </w:p>
        </w:tc>
        <w:tc>
          <w:tcPr>
            <w:tcW w:w="1053" w:type="dxa"/>
            <w:tcBorders>
              <w:top w:val="nil"/>
              <w:left w:val="nil"/>
              <w:bottom w:val="nil"/>
              <w:right w:val="nil"/>
            </w:tcBorders>
            <w:shd w:val="clear" w:color="auto" w:fill="auto"/>
            <w:vAlign w:val="bottom"/>
          </w:tcPr>
          <w:p w14:paraId="5A16A65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-2.56%</w:t>
            </w:r>
          </w:p>
        </w:tc>
        <w:tc>
          <w:tcPr>
            <w:tcW w:w="1053" w:type="dxa"/>
            <w:tcBorders>
              <w:top w:val="nil"/>
              <w:left w:val="nil"/>
              <w:bottom w:val="nil"/>
              <w:right w:val="nil"/>
            </w:tcBorders>
            <w:shd w:val="clear" w:color="auto" w:fill="auto"/>
            <w:vAlign w:val="bottom"/>
          </w:tcPr>
          <w:p w14:paraId="365FA27E">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-6.99%</w:t>
            </w:r>
          </w:p>
        </w:tc>
      </w:tr>
      <w:tr w14:paraId="762158A3">
        <w:trPr>
          <w:trHeight w:val="0" w:hRule="atLeast"/>
          <w:jc w:val="center"/>
        </w:trPr>
        <w:tc>
          <w:tcPr>
            <w:tcW w:w="1583" w:type="dxa"/>
            <w:tcBorders>
              <w:top w:val="nil"/>
              <w:left w:val="nil"/>
              <w:bottom w:val="nil"/>
              <w:right w:val="nil"/>
            </w:tcBorders>
            <w:shd w:val="clear" w:color="auto" w:fill="auto"/>
            <w:vAlign w:val="center"/>
          </w:tcPr>
          <w:p w14:paraId="15600617">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AI业务赋能型</w:t>
            </w:r>
          </w:p>
        </w:tc>
        <w:tc>
          <w:tcPr>
            <w:tcW w:w="1513" w:type="dxa"/>
            <w:tcBorders>
              <w:top w:val="nil"/>
              <w:left w:val="nil"/>
              <w:bottom w:val="nil"/>
              <w:right w:val="nil"/>
            </w:tcBorders>
            <w:shd w:val="clear" w:color="auto" w:fill="auto"/>
            <w:vAlign w:val="center"/>
          </w:tcPr>
          <w:p w14:paraId="23ACD72D">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巨人网络</w:t>
            </w:r>
          </w:p>
        </w:tc>
        <w:tc>
          <w:tcPr>
            <w:tcW w:w="1205" w:type="dxa"/>
            <w:tcBorders>
              <w:top w:val="nil"/>
              <w:left w:val="nil"/>
              <w:bottom w:val="nil"/>
              <w:right w:val="nil"/>
            </w:tcBorders>
            <w:shd w:val="clear" w:color="auto" w:fill="auto"/>
            <w:vAlign w:val="bottom"/>
          </w:tcPr>
          <w:p w14:paraId="0B78134D">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11.77%</w:t>
            </w:r>
          </w:p>
        </w:tc>
        <w:tc>
          <w:tcPr>
            <w:tcW w:w="907" w:type="dxa"/>
            <w:tcBorders>
              <w:top w:val="nil"/>
              <w:left w:val="nil"/>
              <w:bottom w:val="nil"/>
              <w:right w:val="nil"/>
            </w:tcBorders>
            <w:shd w:val="clear" w:color="auto" w:fill="auto"/>
            <w:vAlign w:val="bottom"/>
          </w:tcPr>
          <w:p w14:paraId="5E946AFF">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9.94%</w:t>
            </w:r>
          </w:p>
        </w:tc>
        <w:tc>
          <w:tcPr>
            <w:tcW w:w="1205" w:type="dxa"/>
            <w:tcBorders>
              <w:top w:val="nil"/>
              <w:left w:val="nil"/>
              <w:bottom w:val="nil"/>
              <w:right w:val="nil"/>
            </w:tcBorders>
            <w:shd w:val="clear" w:color="auto" w:fill="auto"/>
            <w:vAlign w:val="bottom"/>
          </w:tcPr>
          <w:p w14:paraId="54F3BE9F">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7.60%</w:t>
            </w:r>
          </w:p>
        </w:tc>
        <w:tc>
          <w:tcPr>
            <w:tcW w:w="1053" w:type="dxa"/>
            <w:tcBorders>
              <w:top w:val="nil"/>
              <w:left w:val="nil"/>
              <w:bottom w:val="nil"/>
              <w:right w:val="nil"/>
            </w:tcBorders>
            <w:shd w:val="clear" w:color="auto" w:fill="auto"/>
            <w:vAlign w:val="bottom"/>
          </w:tcPr>
          <w:p w14:paraId="78A129FA">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9.23%</w:t>
            </w:r>
          </w:p>
        </w:tc>
        <w:tc>
          <w:tcPr>
            <w:tcW w:w="1053" w:type="dxa"/>
            <w:tcBorders>
              <w:top w:val="nil"/>
              <w:left w:val="nil"/>
              <w:bottom w:val="nil"/>
              <w:right w:val="nil"/>
            </w:tcBorders>
            <w:shd w:val="clear" w:color="auto" w:fill="auto"/>
            <w:vAlign w:val="bottom"/>
          </w:tcPr>
          <w:p w14:paraId="1A0211A6">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11.63%</w:t>
            </w:r>
          </w:p>
        </w:tc>
      </w:tr>
      <w:tr w14:paraId="075F71EC">
        <w:trPr>
          <w:trHeight w:val="0" w:hRule="atLeast"/>
          <w:jc w:val="center"/>
        </w:trPr>
        <w:tc>
          <w:tcPr>
            <w:tcW w:w="1583" w:type="dxa"/>
            <w:tcBorders>
              <w:top w:val="nil"/>
              <w:left w:val="nil"/>
              <w:bottom w:val="nil"/>
              <w:right w:val="nil"/>
            </w:tcBorders>
            <w:shd w:val="clear" w:color="auto" w:fill="auto"/>
            <w:vAlign w:val="center"/>
          </w:tcPr>
          <w:p w14:paraId="4E0FB7E5">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AI业务赋能型</w:t>
            </w:r>
          </w:p>
        </w:tc>
        <w:tc>
          <w:tcPr>
            <w:tcW w:w="1513" w:type="dxa"/>
            <w:tcBorders>
              <w:top w:val="nil"/>
              <w:left w:val="nil"/>
              <w:bottom w:val="nil"/>
              <w:right w:val="nil"/>
            </w:tcBorders>
            <w:shd w:val="clear" w:color="auto" w:fill="auto"/>
            <w:vAlign w:val="center"/>
          </w:tcPr>
          <w:p w14:paraId="7DFDB750">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世纪天鸿</w:t>
            </w:r>
          </w:p>
        </w:tc>
        <w:tc>
          <w:tcPr>
            <w:tcW w:w="1205" w:type="dxa"/>
            <w:tcBorders>
              <w:top w:val="nil"/>
              <w:left w:val="nil"/>
              <w:bottom w:val="nil"/>
              <w:right w:val="nil"/>
            </w:tcBorders>
            <w:shd w:val="clear" w:color="auto" w:fill="auto"/>
            <w:vAlign w:val="bottom"/>
          </w:tcPr>
          <w:p w14:paraId="0A15A3DD">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6.90%</w:t>
            </w:r>
          </w:p>
        </w:tc>
        <w:tc>
          <w:tcPr>
            <w:tcW w:w="907" w:type="dxa"/>
            <w:tcBorders>
              <w:top w:val="nil"/>
              <w:left w:val="nil"/>
              <w:bottom w:val="nil"/>
              <w:right w:val="nil"/>
            </w:tcBorders>
            <w:shd w:val="clear" w:color="auto" w:fill="auto"/>
            <w:vAlign w:val="bottom"/>
          </w:tcPr>
          <w:p w14:paraId="0AA066A5">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6.89%</w:t>
            </w:r>
          </w:p>
        </w:tc>
        <w:tc>
          <w:tcPr>
            <w:tcW w:w="1205" w:type="dxa"/>
            <w:tcBorders>
              <w:top w:val="nil"/>
              <w:left w:val="nil"/>
              <w:bottom w:val="nil"/>
              <w:right w:val="nil"/>
            </w:tcBorders>
            <w:shd w:val="clear" w:color="auto" w:fill="auto"/>
            <w:vAlign w:val="bottom"/>
          </w:tcPr>
          <w:p w14:paraId="3011072D">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5.52%</w:t>
            </w:r>
          </w:p>
        </w:tc>
        <w:tc>
          <w:tcPr>
            <w:tcW w:w="1053" w:type="dxa"/>
            <w:tcBorders>
              <w:top w:val="nil"/>
              <w:left w:val="nil"/>
              <w:bottom w:val="nil"/>
              <w:right w:val="nil"/>
            </w:tcBorders>
            <w:shd w:val="clear" w:color="auto" w:fill="auto"/>
            <w:vAlign w:val="bottom"/>
          </w:tcPr>
          <w:p w14:paraId="4735112C">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5.30%</w:t>
            </w:r>
          </w:p>
        </w:tc>
        <w:tc>
          <w:tcPr>
            <w:tcW w:w="1053" w:type="dxa"/>
            <w:tcBorders>
              <w:top w:val="nil"/>
              <w:left w:val="nil"/>
              <w:bottom w:val="nil"/>
              <w:right w:val="nil"/>
            </w:tcBorders>
            <w:shd w:val="clear" w:color="auto" w:fill="auto"/>
            <w:vAlign w:val="bottom"/>
          </w:tcPr>
          <w:p w14:paraId="3EA3A8C9">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5.15%</w:t>
            </w:r>
          </w:p>
        </w:tc>
      </w:tr>
      <w:tr w14:paraId="656D2BA2">
        <w:trPr>
          <w:trHeight w:val="0" w:hRule="atLeast"/>
          <w:jc w:val="center"/>
        </w:trPr>
        <w:tc>
          <w:tcPr>
            <w:tcW w:w="1583" w:type="dxa"/>
            <w:tcBorders>
              <w:top w:val="nil"/>
              <w:left w:val="nil"/>
              <w:bottom w:val="single" w:color="auto" w:sz="12" w:space="0"/>
              <w:right w:val="nil"/>
            </w:tcBorders>
            <w:shd w:val="clear" w:color="auto" w:fill="auto"/>
            <w:vAlign w:val="center"/>
          </w:tcPr>
          <w:p w14:paraId="068089DF">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AI业务赋能型</w:t>
            </w:r>
          </w:p>
        </w:tc>
        <w:tc>
          <w:tcPr>
            <w:tcW w:w="1513" w:type="dxa"/>
            <w:tcBorders>
              <w:top w:val="nil"/>
              <w:left w:val="nil"/>
              <w:bottom w:val="single" w:color="auto" w:sz="12" w:space="0"/>
              <w:right w:val="nil"/>
            </w:tcBorders>
            <w:shd w:val="clear" w:color="auto" w:fill="auto"/>
            <w:vAlign w:val="center"/>
          </w:tcPr>
          <w:p w14:paraId="05521D0F">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思美传媒</w:t>
            </w:r>
          </w:p>
        </w:tc>
        <w:tc>
          <w:tcPr>
            <w:tcW w:w="1205" w:type="dxa"/>
            <w:tcBorders>
              <w:top w:val="nil"/>
              <w:left w:val="nil"/>
              <w:bottom w:val="single" w:color="auto" w:sz="12" w:space="0"/>
              <w:right w:val="nil"/>
            </w:tcBorders>
            <w:shd w:val="clear" w:color="auto" w:fill="auto"/>
            <w:vAlign w:val="bottom"/>
          </w:tcPr>
          <w:p w14:paraId="3E382180">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-45.65%</w:t>
            </w:r>
          </w:p>
        </w:tc>
        <w:tc>
          <w:tcPr>
            <w:tcW w:w="907" w:type="dxa"/>
            <w:tcBorders>
              <w:top w:val="nil"/>
              <w:left w:val="nil"/>
              <w:bottom w:val="single" w:color="auto" w:sz="12" w:space="0"/>
              <w:right w:val="nil"/>
            </w:tcBorders>
            <w:shd w:val="clear" w:color="auto" w:fill="auto"/>
            <w:vAlign w:val="bottom"/>
          </w:tcPr>
          <w:p w14:paraId="7222D2CD">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3.03%</w:t>
            </w:r>
          </w:p>
        </w:tc>
        <w:tc>
          <w:tcPr>
            <w:tcW w:w="1205" w:type="dxa"/>
            <w:tcBorders>
              <w:top w:val="nil"/>
              <w:left w:val="nil"/>
              <w:bottom w:val="single" w:color="auto" w:sz="12" w:space="0"/>
              <w:right w:val="nil"/>
            </w:tcBorders>
            <w:shd w:val="clear" w:color="auto" w:fill="auto"/>
            <w:vAlign w:val="bottom"/>
          </w:tcPr>
          <w:p w14:paraId="2503A276">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-23.19%</w:t>
            </w:r>
          </w:p>
        </w:tc>
        <w:tc>
          <w:tcPr>
            <w:tcW w:w="1053" w:type="dxa"/>
            <w:tcBorders>
              <w:top w:val="nil"/>
              <w:left w:val="nil"/>
              <w:bottom w:val="single" w:color="auto" w:sz="12" w:space="0"/>
              <w:right w:val="nil"/>
            </w:tcBorders>
            <w:shd w:val="clear" w:color="auto" w:fill="auto"/>
            <w:vAlign w:val="bottom"/>
          </w:tcPr>
          <w:p w14:paraId="4366824C">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-9.03%</w:t>
            </w:r>
          </w:p>
        </w:tc>
        <w:tc>
          <w:tcPr>
            <w:tcW w:w="1053" w:type="dxa"/>
            <w:tcBorders>
              <w:top w:val="nil"/>
              <w:left w:val="nil"/>
              <w:bottom w:val="single" w:color="auto" w:sz="12" w:space="0"/>
              <w:right w:val="nil"/>
            </w:tcBorders>
            <w:shd w:val="clear" w:color="auto" w:fill="auto"/>
            <w:vAlign w:val="bottom"/>
          </w:tcPr>
          <w:p w14:paraId="7FA8F4C2">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-2.44%</w:t>
            </w:r>
          </w:p>
        </w:tc>
      </w:tr>
    </w:tbl>
    <w:p w14:paraId="10C14B23">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数据来源：</w:t>
      </w:r>
      <w:r>
        <w:rPr>
          <w:rFonts w:hint="default" w:ascii="Times New Roman" w:hAnsi="Times New Roman" w:eastAsia="宋体" w:cs="Times New Roman"/>
          <w:sz w:val="24"/>
          <w:szCs w:val="24"/>
          <w:lang w:val="en-US" w:eastAsia="zh-CN"/>
        </w:rPr>
        <w:t>finD</w:t>
      </w:r>
      <w:r>
        <w:rPr>
          <w:rFonts w:hint="default" w:ascii="Times New Roman" w:hAnsi="Times New Roman" w:eastAsia="宋体" w:cs="Times New Roman"/>
          <w:sz w:val="24"/>
          <w:szCs w:val="24"/>
        </w:rPr>
        <w:t>数据库整理</w:t>
      </w:r>
    </w:p>
    <w:p w14:paraId="4C8A0813">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sz w:val="24"/>
          <w:szCs w:val="24"/>
        </w:rPr>
        <w:t>从表4-3</w:t>
      </w:r>
      <w:r>
        <w:rPr>
          <w:rFonts w:hint="default" w:ascii="Times New Roman" w:hAnsi="Times New Roman" w:eastAsia="宋体" w:cs="Times New Roman"/>
          <w:sz w:val="24"/>
          <w:szCs w:val="24"/>
          <w:lang w:val="en-US" w:eastAsia="zh-CN"/>
        </w:rPr>
        <w:t>3</w:t>
      </w:r>
      <w:r>
        <w:rPr>
          <w:rFonts w:hint="default" w:ascii="Times New Roman" w:hAnsi="Times New Roman" w:eastAsia="宋体" w:cs="Times New Roman"/>
          <w:sz w:val="24"/>
          <w:szCs w:val="24"/>
        </w:rPr>
        <w:t>可以看出，六家典型样本企业的净资产收益率差异较为明显，且变化趋势并不一致。结合图4-2可以发现，多数样本企业的净资产收益率在2021年之后出现不同程度的下降，其中AI独立产品型企业内部波动相对较大。例如，天地在线在2020年仍保持较高的股东回报水平，但随后净资产收益率迅速下降并在后期转为负值，表明企业盈利能力出现明显下滑。相比之下，佳讯飞鸿与方直科技虽然净资产收益率整体处于中低水平，但波动相对可控</w:t>
      </w:r>
      <w:r>
        <w:rPr>
          <w:rFonts w:hint="default" w:ascii="Times New Roman" w:hAnsi="Times New Roman" w:eastAsia="宋体" w:cs="Times New Roman"/>
          <w:kern w:val="2"/>
          <w:sz w:val="24"/>
          <w:szCs w:val="24"/>
          <w:lang w:val="en-US" w:eastAsia="zh-CN" w:bidi="ar-SA"/>
        </w:rPr>
        <w:t>。</w:t>
      </w:r>
      <w:r>
        <w:rPr>
          <w:rFonts w:hint="default" w:ascii="Times New Roman" w:hAnsi="Times New Roman" w:eastAsia="宋体" w:cs="Times New Roman"/>
          <w:sz w:val="24"/>
          <w:szCs w:val="24"/>
        </w:rPr>
        <w:t>为了进一步识别不同企业ROE形成的具体来源，下面将结合杜邦分析框架，对各样本企业净资产收益率的形成机制进行具体分析。</w:t>
      </w:r>
    </w:p>
    <w:p w14:paraId="7AFE61E8">
      <w:pPr>
        <w:widowControl/>
        <w:tabs>
          <w:tab w:val="left" w:pos="377"/>
        </w:tabs>
        <w:autoSpaceDE/>
        <w:autoSpaceDN/>
        <w:snapToGrid/>
        <w:spacing w:before="156" w:beforeLines="50"/>
        <w:jc w:val="center"/>
        <w:rPr>
          <w:rFonts w:hint="default" w:ascii="Times New Roman" w:hAnsi="Times New Roman" w:eastAsia="宋体" w:cs="Times New Roman"/>
          <w:spacing w:val="10"/>
          <w:kern w:val="0"/>
          <w:szCs w:val="20"/>
          <w:lang w:val="en-US" w:eastAsia="zh-CN"/>
        </w:rPr>
      </w:pPr>
      <w:r>
        <w:rPr>
          <w:rFonts w:hint="default" w:ascii="Times New Roman" w:hAnsi="Times New Roman" w:cs="Times New Roman"/>
        </w:rPr>
        <w:drawing>
          <wp:inline distT="0" distB="0" distL="114300" distR="114300">
            <wp:extent cx="5272405" cy="2162810"/>
            <wp:effectExtent l="6350" t="6350" r="29845" b="15240"/>
            <wp:docPr id="3"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421A63DF">
      <w:pPr>
        <w:widowControl/>
        <w:tabs>
          <w:tab w:val="left" w:pos="377"/>
        </w:tabs>
        <w:autoSpaceDE/>
        <w:autoSpaceDN/>
        <w:snapToGrid/>
        <w:spacing w:before="156" w:beforeLines="50"/>
        <w:jc w:val="center"/>
        <w:rPr>
          <w:rFonts w:hint="default" w:ascii="Times New Roman" w:hAnsi="Times New Roman" w:eastAsia="宋体" w:cs="Times New Roman"/>
          <w:spacing w:val="10"/>
          <w:kern w:val="0"/>
          <w:szCs w:val="20"/>
          <w:lang w:val="en-US" w:eastAsia="zh-CN"/>
        </w:rPr>
      </w:pPr>
      <w:r>
        <w:rPr>
          <w:rFonts w:hint="default" w:ascii="Times New Roman" w:hAnsi="Times New Roman" w:eastAsia="宋体" w:cs="Times New Roman"/>
          <w:spacing w:val="10"/>
          <w:kern w:val="0"/>
          <w:szCs w:val="20"/>
          <w:lang w:val="en-US" w:eastAsia="zh-CN"/>
        </w:rPr>
        <w:t>图4-</w:t>
      </w:r>
      <w:r>
        <w:rPr>
          <w:rFonts w:hint="eastAsia" w:ascii="Times New Roman" w:hAnsi="Times New Roman" w:eastAsia="宋体" w:cs="Times New Roman"/>
          <w:spacing w:val="10"/>
          <w:kern w:val="0"/>
          <w:szCs w:val="20"/>
          <w:lang w:val="en-US" w:eastAsia="zh-CN"/>
        </w:rPr>
        <w:t>6</w:t>
      </w:r>
      <w:r>
        <w:rPr>
          <w:rFonts w:hint="default" w:ascii="Times New Roman" w:hAnsi="Times New Roman" w:eastAsia="宋体" w:cs="Times New Roman"/>
          <w:spacing w:val="10"/>
          <w:kern w:val="0"/>
          <w:szCs w:val="20"/>
          <w:lang w:val="en-US" w:eastAsia="zh-CN"/>
        </w:rPr>
        <w:t xml:space="preserve"> 典型样本企业净资产收益率变化趋势图</w:t>
      </w:r>
    </w:p>
    <w:p w14:paraId="1EC0FA4A">
      <w:pPr>
        <w:autoSpaceDE/>
        <w:autoSpaceDN/>
        <w:snapToGrid/>
        <w:spacing w:before="156" w:beforeLines="50" w:after="156" w:afterLines="50" w:line="420" w:lineRule="exact"/>
        <w:jc w:val="left"/>
        <w:outlineLvl w:val="2"/>
        <w:rPr>
          <w:rFonts w:hint="default" w:ascii="Times New Roman" w:hAnsi="Times New Roman" w:eastAsia="黑体" w:cs="Times New Roman"/>
          <w:color w:val="000000"/>
          <w:kern w:val="0"/>
          <w:sz w:val="28"/>
          <w:szCs w:val="28"/>
          <w:lang w:val="en-US" w:eastAsia="zh-CN"/>
        </w:rPr>
      </w:pPr>
      <w:r>
        <w:rPr>
          <w:rFonts w:hint="default" w:ascii="Times New Roman" w:hAnsi="Times New Roman" w:eastAsia="黑体" w:cs="Times New Roman"/>
          <w:color w:val="000000"/>
          <w:kern w:val="0"/>
          <w:sz w:val="28"/>
          <w:szCs w:val="28"/>
          <w:lang w:val="en-US" w:eastAsia="zh-CN"/>
        </w:rPr>
        <w:t>4.2.4.1 AI独立产品型企业净资产收益率分析</w:t>
      </w:r>
    </w:p>
    <w:p w14:paraId="4987EA1C">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（1）方直科技</w:t>
      </w:r>
    </w:p>
    <w:p w14:paraId="0E94CA25">
      <w:pPr>
        <w:widowControl/>
        <w:tabs>
          <w:tab w:val="left" w:pos="377"/>
        </w:tabs>
        <w:autoSpaceDE/>
        <w:autoSpaceDN/>
        <w:snapToGrid/>
        <w:spacing w:before="156" w:beforeLines="50"/>
        <w:jc w:val="center"/>
        <w:rPr>
          <w:rFonts w:hint="default" w:ascii="Times New Roman" w:hAnsi="Times New Roman" w:eastAsia="宋体" w:cs="Times New Roman"/>
          <w:spacing w:val="10"/>
          <w:kern w:val="0"/>
          <w:szCs w:val="20"/>
          <w:lang w:val="en-US" w:eastAsia="zh-CN"/>
        </w:rPr>
      </w:pPr>
      <w:r>
        <w:rPr>
          <w:rFonts w:hint="default" w:ascii="Times New Roman" w:hAnsi="Times New Roman" w:eastAsia="宋体" w:cs="Times New Roman"/>
          <w:spacing w:val="10"/>
          <w:kern w:val="0"/>
          <w:szCs w:val="20"/>
          <w:lang w:val="en-US" w:eastAsia="zh-CN"/>
        </w:rPr>
        <w:t>表4-34 方直科技杜邦指标拆解表</w:t>
      </w:r>
    </w:p>
    <w:tbl>
      <w:tblPr>
        <w:tblStyle w:val="7"/>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790"/>
        <w:gridCol w:w="1145"/>
        <w:gridCol w:w="1146"/>
        <w:gridCol w:w="1146"/>
        <w:gridCol w:w="1146"/>
        <w:gridCol w:w="1146"/>
      </w:tblGrid>
      <w:tr w14:paraId="501A2A2F">
        <w:trPr>
          <w:trHeight w:val="0" w:hRule="atLeast"/>
          <w:tblHeader/>
          <w:jc w:val="center"/>
        </w:trPr>
        <w:tc>
          <w:tcPr>
            <w:tcW w:w="2790" w:type="dxa"/>
            <w:tcBorders>
              <w:top w:val="single" w:color="auto" w:sz="12" w:space="0"/>
              <w:left w:val="nil"/>
              <w:bottom w:val="single" w:color="auto" w:sz="4" w:space="0"/>
              <w:right w:val="nil"/>
            </w:tcBorders>
            <w:shd w:val="clear" w:color="auto" w:fill="auto"/>
            <w:vAlign w:val="center"/>
          </w:tcPr>
          <w:p w14:paraId="12190B09">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指标</w:t>
            </w:r>
          </w:p>
        </w:tc>
        <w:tc>
          <w:tcPr>
            <w:tcW w:w="1145" w:type="dxa"/>
            <w:tcBorders>
              <w:top w:val="single" w:color="auto" w:sz="12" w:space="0"/>
              <w:left w:val="nil"/>
              <w:bottom w:val="single" w:color="auto" w:sz="4" w:space="0"/>
              <w:right w:val="nil"/>
            </w:tcBorders>
            <w:shd w:val="clear" w:color="auto" w:fill="auto"/>
            <w:vAlign w:val="center"/>
          </w:tcPr>
          <w:p w14:paraId="3E192D25">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2020</w:t>
            </w:r>
          </w:p>
        </w:tc>
        <w:tc>
          <w:tcPr>
            <w:tcW w:w="1146" w:type="dxa"/>
            <w:tcBorders>
              <w:top w:val="single" w:color="auto" w:sz="12" w:space="0"/>
              <w:left w:val="nil"/>
              <w:bottom w:val="single" w:color="auto" w:sz="4" w:space="0"/>
              <w:right w:val="nil"/>
            </w:tcBorders>
            <w:shd w:val="clear" w:color="auto" w:fill="auto"/>
            <w:vAlign w:val="center"/>
          </w:tcPr>
          <w:p w14:paraId="0ED886E0">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2021</w:t>
            </w:r>
          </w:p>
        </w:tc>
        <w:tc>
          <w:tcPr>
            <w:tcW w:w="1146" w:type="dxa"/>
            <w:tcBorders>
              <w:top w:val="single" w:color="auto" w:sz="12" w:space="0"/>
              <w:left w:val="nil"/>
              <w:bottom w:val="single" w:color="auto" w:sz="4" w:space="0"/>
              <w:right w:val="nil"/>
            </w:tcBorders>
            <w:shd w:val="clear" w:color="auto" w:fill="auto"/>
            <w:vAlign w:val="center"/>
          </w:tcPr>
          <w:p w14:paraId="7B0C8EFA">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2022</w:t>
            </w:r>
          </w:p>
        </w:tc>
        <w:tc>
          <w:tcPr>
            <w:tcW w:w="1146" w:type="dxa"/>
            <w:tcBorders>
              <w:top w:val="single" w:color="auto" w:sz="12" w:space="0"/>
              <w:left w:val="nil"/>
              <w:bottom w:val="single" w:color="auto" w:sz="4" w:space="0"/>
              <w:right w:val="nil"/>
            </w:tcBorders>
            <w:shd w:val="clear" w:color="auto" w:fill="auto"/>
            <w:vAlign w:val="center"/>
          </w:tcPr>
          <w:p w14:paraId="0DA98839">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2023</w:t>
            </w:r>
          </w:p>
        </w:tc>
        <w:tc>
          <w:tcPr>
            <w:tcW w:w="1146" w:type="dxa"/>
            <w:tcBorders>
              <w:top w:val="single" w:color="auto" w:sz="12" w:space="0"/>
              <w:left w:val="nil"/>
              <w:bottom w:val="single" w:color="auto" w:sz="4" w:space="0"/>
              <w:right w:val="nil"/>
            </w:tcBorders>
            <w:shd w:val="clear" w:color="auto" w:fill="auto"/>
            <w:vAlign w:val="center"/>
          </w:tcPr>
          <w:p w14:paraId="22DE1B7F">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2024</w:t>
            </w:r>
          </w:p>
        </w:tc>
      </w:tr>
      <w:tr w14:paraId="15559D47">
        <w:trPr>
          <w:trHeight w:val="0" w:hRule="atLeast"/>
          <w:jc w:val="center"/>
        </w:trPr>
        <w:tc>
          <w:tcPr>
            <w:tcW w:w="2790" w:type="dxa"/>
            <w:tcBorders>
              <w:top w:val="single" w:color="auto" w:sz="4" w:space="0"/>
              <w:left w:val="nil"/>
              <w:bottom w:val="nil"/>
              <w:right w:val="nil"/>
            </w:tcBorders>
            <w:shd w:val="clear" w:color="auto" w:fill="auto"/>
            <w:vAlign w:val="center"/>
          </w:tcPr>
          <w:p w14:paraId="48837DD7">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ROE(%)</w:t>
            </w:r>
          </w:p>
        </w:tc>
        <w:tc>
          <w:tcPr>
            <w:tcW w:w="1145" w:type="dxa"/>
            <w:tcBorders>
              <w:top w:val="single" w:color="auto" w:sz="4" w:space="0"/>
              <w:left w:val="nil"/>
              <w:bottom w:val="nil"/>
              <w:right w:val="nil"/>
            </w:tcBorders>
            <w:shd w:val="clear" w:color="auto" w:fill="auto"/>
            <w:vAlign w:val="center"/>
          </w:tcPr>
          <w:p w14:paraId="4F363AA5">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4.89</w:t>
            </w:r>
          </w:p>
        </w:tc>
        <w:tc>
          <w:tcPr>
            <w:tcW w:w="1146" w:type="dxa"/>
            <w:tcBorders>
              <w:top w:val="single" w:color="auto" w:sz="4" w:space="0"/>
              <w:left w:val="nil"/>
              <w:bottom w:val="nil"/>
              <w:right w:val="nil"/>
            </w:tcBorders>
            <w:shd w:val="clear" w:color="auto" w:fill="auto"/>
            <w:vAlign w:val="center"/>
          </w:tcPr>
          <w:p w14:paraId="6056FEA1">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3.48</w:t>
            </w:r>
          </w:p>
        </w:tc>
        <w:tc>
          <w:tcPr>
            <w:tcW w:w="1146" w:type="dxa"/>
            <w:tcBorders>
              <w:top w:val="single" w:color="auto" w:sz="4" w:space="0"/>
              <w:left w:val="nil"/>
              <w:bottom w:val="nil"/>
              <w:right w:val="nil"/>
            </w:tcBorders>
            <w:shd w:val="clear" w:color="auto" w:fill="auto"/>
            <w:vAlign w:val="center"/>
          </w:tcPr>
          <w:p w14:paraId="17438172">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3.47</w:t>
            </w:r>
          </w:p>
        </w:tc>
        <w:tc>
          <w:tcPr>
            <w:tcW w:w="1146" w:type="dxa"/>
            <w:tcBorders>
              <w:top w:val="single" w:color="auto" w:sz="4" w:space="0"/>
              <w:left w:val="nil"/>
              <w:bottom w:val="nil"/>
              <w:right w:val="nil"/>
            </w:tcBorders>
            <w:shd w:val="clear" w:color="auto" w:fill="auto"/>
            <w:vAlign w:val="center"/>
          </w:tcPr>
          <w:p w14:paraId="7B9E172E">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4.59</w:t>
            </w:r>
          </w:p>
        </w:tc>
        <w:tc>
          <w:tcPr>
            <w:tcW w:w="1146" w:type="dxa"/>
            <w:tcBorders>
              <w:top w:val="single" w:color="auto" w:sz="4" w:space="0"/>
              <w:left w:val="nil"/>
              <w:bottom w:val="nil"/>
              <w:right w:val="nil"/>
            </w:tcBorders>
            <w:shd w:val="clear" w:color="auto" w:fill="auto"/>
            <w:vAlign w:val="center"/>
          </w:tcPr>
          <w:p w14:paraId="310C0D1E">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2.48</w:t>
            </w:r>
          </w:p>
        </w:tc>
      </w:tr>
      <w:tr w14:paraId="31D84830">
        <w:trPr>
          <w:trHeight w:val="0" w:hRule="atLeast"/>
          <w:jc w:val="center"/>
        </w:trPr>
        <w:tc>
          <w:tcPr>
            <w:tcW w:w="2790" w:type="dxa"/>
            <w:tcBorders>
              <w:top w:val="nil"/>
              <w:left w:val="nil"/>
              <w:bottom w:val="nil"/>
              <w:right w:val="nil"/>
            </w:tcBorders>
            <w:shd w:val="clear" w:color="auto" w:fill="auto"/>
            <w:vAlign w:val="center"/>
          </w:tcPr>
          <w:p w14:paraId="626F67BA">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销售净利率(%)</w:t>
            </w:r>
          </w:p>
        </w:tc>
        <w:tc>
          <w:tcPr>
            <w:tcW w:w="1145" w:type="dxa"/>
            <w:tcBorders>
              <w:top w:val="nil"/>
              <w:left w:val="nil"/>
              <w:bottom w:val="nil"/>
              <w:right w:val="nil"/>
            </w:tcBorders>
            <w:shd w:val="clear" w:color="auto" w:fill="auto"/>
            <w:vAlign w:val="center"/>
          </w:tcPr>
          <w:p w14:paraId="534F74C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25.44</w:t>
            </w:r>
          </w:p>
        </w:tc>
        <w:tc>
          <w:tcPr>
            <w:tcW w:w="1146" w:type="dxa"/>
            <w:tcBorders>
              <w:top w:val="nil"/>
              <w:left w:val="nil"/>
              <w:bottom w:val="nil"/>
              <w:right w:val="nil"/>
            </w:tcBorders>
            <w:shd w:val="clear" w:color="auto" w:fill="auto"/>
            <w:vAlign w:val="center"/>
          </w:tcPr>
          <w:p w14:paraId="525B2D77">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20.37</w:t>
            </w:r>
          </w:p>
        </w:tc>
        <w:tc>
          <w:tcPr>
            <w:tcW w:w="1146" w:type="dxa"/>
            <w:tcBorders>
              <w:top w:val="nil"/>
              <w:left w:val="nil"/>
              <w:bottom w:val="nil"/>
              <w:right w:val="nil"/>
            </w:tcBorders>
            <w:shd w:val="clear" w:color="auto" w:fill="auto"/>
            <w:vAlign w:val="center"/>
          </w:tcPr>
          <w:p w14:paraId="54E78D8B">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21.65</w:t>
            </w:r>
          </w:p>
        </w:tc>
        <w:tc>
          <w:tcPr>
            <w:tcW w:w="1146" w:type="dxa"/>
            <w:tcBorders>
              <w:top w:val="nil"/>
              <w:left w:val="nil"/>
              <w:bottom w:val="nil"/>
              <w:right w:val="nil"/>
            </w:tcBorders>
            <w:shd w:val="clear" w:color="auto" w:fill="auto"/>
            <w:vAlign w:val="center"/>
          </w:tcPr>
          <w:p w14:paraId="561BA455">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31.33</w:t>
            </w:r>
          </w:p>
        </w:tc>
        <w:tc>
          <w:tcPr>
            <w:tcW w:w="1146" w:type="dxa"/>
            <w:tcBorders>
              <w:top w:val="nil"/>
              <w:left w:val="nil"/>
              <w:bottom w:val="nil"/>
              <w:right w:val="nil"/>
            </w:tcBorders>
            <w:shd w:val="clear" w:color="auto" w:fill="auto"/>
            <w:vAlign w:val="center"/>
          </w:tcPr>
          <w:p w14:paraId="14FEE0C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18.8</w:t>
            </w:r>
          </w:p>
        </w:tc>
      </w:tr>
      <w:tr w14:paraId="611EE096">
        <w:trPr>
          <w:trHeight w:val="0" w:hRule="atLeast"/>
          <w:jc w:val="center"/>
        </w:trPr>
        <w:tc>
          <w:tcPr>
            <w:tcW w:w="2790" w:type="dxa"/>
            <w:tcBorders>
              <w:top w:val="nil"/>
              <w:left w:val="nil"/>
              <w:bottom w:val="nil"/>
              <w:right w:val="nil"/>
            </w:tcBorders>
            <w:shd w:val="clear" w:color="auto" w:fill="auto"/>
            <w:vAlign w:val="center"/>
          </w:tcPr>
          <w:p w14:paraId="6A9951CD">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总资产周转率(%)</w:t>
            </w:r>
          </w:p>
        </w:tc>
        <w:tc>
          <w:tcPr>
            <w:tcW w:w="1145" w:type="dxa"/>
            <w:tcBorders>
              <w:top w:val="nil"/>
              <w:left w:val="nil"/>
              <w:bottom w:val="nil"/>
              <w:right w:val="nil"/>
            </w:tcBorders>
            <w:shd w:val="clear" w:color="auto" w:fill="auto"/>
            <w:vAlign w:val="center"/>
          </w:tcPr>
          <w:p w14:paraId="74C71BBD">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18.</w:t>
            </w:r>
            <w:r>
              <w:rPr>
                <w:rFonts w:hint="eastAsia" w:ascii="Times New Roman" w:hAnsi="Times New Roman" w:eastAsia="宋体" w:cs="Times New Roman"/>
                <w:b w:val="0"/>
                <w:bCs w:val="0"/>
                <w:i w:val="0"/>
                <w:iCs w:val="0"/>
                <w:color w:val="000000"/>
                <w:kern w:val="0"/>
                <w:sz w:val="21"/>
                <w:szCs w:val="21"/>
                <w:u w:val="none"/>
                <w:lang w:val="en-US" w:eastAsia="zh-CN" w:bidi="ar"/>
              </w:rPr>
              <w:t>3</w:t>
            </w:r>
          </w:p>
        </w:tc>
        <w:tc>
          <w:tcPr>
            <w:tcW w:w="1146" w:type="dxa"/>
            <w:tcBorders>
              <w:top w:val="nil"/>
              <w:left w:val="nil"/>
              <w:bottom w:val="nil"/>
              <w:right w:val="nil"/>
            </w:tcBorders>
            <w:shd w:val="clear" w:color="auto" w:fill="auto"/>
            <w:vAlign w:val="center"/>
          </w:tcPr>
          <w:p w14:paraId="5CE5047D">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16.3</w:t>
            </w:r>
          </w:p>
        </w:tc>
        <w:tc>
          <w:tcPr>
            <w:tcW w:w="1146" w:type="dxa"/>
            <w:tcBorders>
              <w:top w:val="nil"/>
              <w:left w:val="nil"/>
              <w:bottom w:val="nil"/>
              <w:right w:val="nil"/>
            </w:tcBorders>
            <w:shd w:val="clear" w:color="auto" w:fill="auto"/>
            <w:vAlign w:val="center"/>
          </w:tcPr>
          <w:p w14:paraId="54FA3981">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15.51</w:t>
            </w:r>
          </w:p>
        </w:tc>
        <w:tc>
          <w:tcPr>
            <w:tcW w:w="1146" w:type="dxa"/>
            <w:tcBorders>
              <w:top w:val="nil"/>
              <w:left w:val="nil"/>
              <w:bottom w:val="nil"/>
              <w:right w:val="nil"/>
            </w:tcBorders>
            <w:shd w:val="clear" w:color="auto" w:fill="auto"/>
            <w:vAlign w:val="center"/>
          </w:tcPr>
          <w:p w14:paraId="7507EC21">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14.25</w:t>
            </w:r>
          </w:p>
        </w:tc>
        <w:tc>
          <w:tcPr>
            <w:tcW w:w="1146" w:type="dxa"/>
            <w:tcBorders>
              <w:top w:val="nil"/>
              <w:left w:val="nil"/>
              <w:bottom w:val="nil"/>
              <w:right w:val="nil"/>
            </w:tcBorders>
            <w:shd w:val="clear" w:color="auto" w:fill="auto"/>
            <w:vAlign w:val="center"/>
          </w:tcPr>
          <w:p w14:paraId="790FD44E">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12.74</w:t>
            </w:r>
          </w:p>
        </w:tc>
      </w:tr>
      <w:tr w14:paraId="430CB820">
        <w:trPr>
          <w:trHeight w:val="0" w:hRule="atLeast"/>
          <w:jc w:val="center"/>
        </w:trPr>
        <w:tc>
          <w:tcPr>
            <w:tcW w:w="2790" w:type="dxa"/>
            <w:tcBorders>
              <w:top w:val="nil"/>
              <w:left w:val="nil"/>
              <w:bottom w:val="single" w:color="auto" w:sz="12" w:space="0"/>
              <w:right w:val="nil"/>
            </w:tcBorders>
            <w:shd w:val="clear" w:color="auto" w:fill="auto"/>
            <w:vAlign w:val="center"/>
          </w:tcPr>
          <w:p w14:paraId="428AED4C">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权益乘数</w:t>
            </w:r>
          </w:p>
        </w:tc>
        <w:tc>
          <w:tcPr>
            <w:tcW w:w="1145" w:type="dxa"/>
            <w:tcBorders>
              <w:top w:val="nil"/>
              <w:left w:val="nil"/>
              <w:bottom w:val="single" w:color="auto" w:sz="12" w:space="0"/>
              <w:right w:val="nil"/>
            </w:tcBorders>
            <w:shd w:val="clear" w:color="auto" w:fill="auto"/>
            <w:vAlign w:val="center"/>
          </w:tcPr>
          <w:p w14:paraId="1C3A03BB">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1.045</w:t>
            </w:r>
          </w:p>
        </w:tc>
        <w:tc>
          <w:tcPr>
            <w:tcW w:w="1146" w:type="dxa"/>
            <w:tcBorders>
              <w:top w:val="nil"/>
              <w:left w:val="nil"/>
              <w:bottom w:val="single" w:color="auto" w:sz="12" w:space="0"/>
              <w:right w:val="nil"/>
            </w:tcBorders>
            <w:shd w:val="clear" w:color="auto" w:fill="auto"/>
            <w:vAlign w:val="center"/>
          </w:tcPr>
          <w:p w14:paraId="4D4D5410">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1.033</w:t>
            </w:r>
          </w:p>
        </w:tc>
        <w:tc>
          <w:tcPr>
            <w:tcW w:w="1146" w:type="dxa"/>
            <w:tcBorders>
              <w:top w:val="nil"/>
              <w:left w:val="nil"/>
              <w:bottom w:val="single" w:color="auto" w:sz="12" w:space="0"/>
              <w:right w:val="nil"/>
            </w:tcBorders>
            <w:shd w:val="clear" w:color="auto" w:fill="auto"/>
            <w:vAlign w:val="center"/>
          </w:tcPr>
          <w:p w14:paraId="57FF3DC9">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1.032</w:t>
            </w:r>
          </w:p>
        </w:tc>
        <w:tc>
          <w:tcPr>
            <w:tcW w:w="1146" w:type="dxa"/>
            <w:tcBorders>
              <w:top w:val="nil"/>
              <w:left w:val="nil"/>
              <w:bottom w:val="single" w:color="auto" w:sz="12" w:space="0"/>
              <w:right w:val="nil"/>
            </w:tcBorders>
            <w:shd w:val="clear" w:color="auto" w:fill="auto"/>
            <w:vAlign w:val="center"/>
          </w:tcPr>
          <w:p w14:paraId="264AFD7C">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1.022</w:t>
            </w:r>
          </w:p>
        </w:tc>
        <w:tc>
          <w:tcPr>
            <w:tcW w:w="1146" w:type="dxa"/>
            <w:tcBorders>
              <w:top w:val="nil"/>
              <w:left w:val="nil"/>
              <w:bottom w:val="single" w:color="auto" w:sz="12" w:space="0"/>
              <w:right w:val="nil"/>
            </w:tcBorders>
            <w:shd w:val="clear" w:color="auto" w:fill="auto"/>
            <w:vAlign w:val="center"/>
          </w:tcPr>
          <w:p w14:paraId="6A5FDB55">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1.032</w:t>
            </w:r>
          </w:p>
        </w:tc>
      </w:tr>
    </w:tbl>
    <w:p w14:paraId="171E7BFF">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数据来源：</w:t>
      </w:r>
      <w:r>
        <w:rPr>
          <w:rFonts w:hint="default" w:ascii="Times New Roman" w:hAnsi="Times New Roman" w:eastAsia="宋体" w:cs="Times New Roman"/>
          <w:sz w:val="24"/>
          <w:szCs w:val="24"/>
          <w:lang w:val="en-US" w:eastAsia="zh-CN"/>
        </w:rPr>
        <w:t>finD</w:t>
      </w:r>
      <w:r>
        <w:rPr>
          <w:rFonts w:hint="default" w:ascii="Times New Roman" w:hAnsi="Times New Roman" w:eastAsia="宋体" w:cs="Times New Roman"/>
          <w:sz w:val="24"/>
          <w:szCs w:val="24"/>
        </w:rPr>
        <w:t>数据库整理</w:t>
      </w:r>
    </w:p>
    <w:p w14:paraId="293AF2E4">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420" w:lineRule="exact"/>
        <w:ind w:left="0" w:leftChars="0" w:right="0" w:rightChars="0"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如表4-34，</w:t>
      </w:r>
      <w:r>
        <w:rPr>
          <w:rFonts w:hint="default" w:ascii="Times New Roman" w:hAnsi="Times New Roman" w:eastAsia="宋体" w:cs="Times New Roman"/>
          <w:kern w:val="2"/>
          <w:sz w:val="24"/>
          <w:szCs w:val="24"/>
          <w:lang w:val="en-US" w:eastAsia="zh-CN" w:bidi="ar-SA"/>
        </w:rPr>
        <w:t>方直科技2020—2024年的ROE分别为4.8891%、3.4848%、3.4673%、4.5837%和2.4611%，整体表现为波动中下行。从杜邦分解看，公司销售净利率始终处于较高水平，分别为25.44%、20.37%、21.65%、31.33%和18.80%；权益乘数则长期维持在1.02—1.05之间，杠杆水平极低且变化不大；真正拖累ROE的核心变量是总资产周转率，其由2020年的0.18</w:t>
      </w:r>
      <w:r>
        <w:rPr>
          <w:rFonts w:hint="eastAsia" w:ascii="Times New Roman" w:hAnsi="Times New Roman" w:eastAsia="宋体" w:cs="Times New Roman"/>
          <w:kern w:val="2"/>
          <w:sz w:val="24"/>
          <w:szCs w:val="24"/>
          <w:lang w:val="en-US" w:eastAsia="zh-CN" w:bidi="ar-SA"/>
        </w:rPr>
        <w:t>3</w:t>
      </w:r>
      <w:r>
        <w:rPr>
          <w:rFonts w:hint="default" w:ascii="Times New Roman" w:hAnsi="Times New Roman" w:eastAsia="宋体" w:cs="Times New Roman"/>
          <w:kern w:val="2"/>
          <w:sz w:val="24"/>
          <w:szCs w:val="24"/>
          <w:lang w:val="en-US" w:eastAsia="zh-CN" w:bidi="ar-SA"/>
        </w:rPr>
        <w:t>持续下降至2024年的0.1274。也就是说，方直科技并非利润率不高，而是利润率较高但资产周转偏慢，由此导致资本回报难以明显提升。</w:t>
      </w:r>
    </w:p>
    <w:p w14:paraId="5C2C34C6">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420" w:lineRule="exact"/>
        <w:ind w:left="0" w:leftChars="0" w:right="0" w:rightChars="0"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这一特征与其业务模式高度一致。方直科技的AI应用核心方向为AI数字化课程、AIGC实训、教育智能系统以及成长陪伴类产品，本质上属于教育数字化产品和平台型服务。教育数字化产品通常具备较高内容附加值和较低边际复制成本，因此能够维持较高净利率；但另一方面，教育产品从试点、采购到规模化推广的周期相对较长。教育部在2024世界数字教育大会相关报道中指出，当前智慧教育正处于由资源共享向数据驱动、AI融合和生态重塑推进的过程中，生成式人工智能在教育场景中的普遍应用仍需要经历持续的制度、场景和产品适配过程。这意味着，方直科技ROE偏弱的关键不在于盈利空间缺失，而在于教育AI产品商业化扩张节奏较慢，收入放大速度不足以匹配其高利润率特征，最终表现为高净利率、低周转率、低杠杆下的中低ROE。</w:t>
      </w:r>
    </w:p>
    <w:p w14:paraId="44304D3F">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420" w:lineRule="exact"/>
        <w:ind w:left="0" w:leftChars="0" w:right="0" w:rightChars="0"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（2）佳讯飞鸿</w:t>
      </w:r>
    </w:p>
    <w:p w14:paraId="6B6DD7F0">
      <w:pPr>
        <w:widowControl/>
        <w:tabs>
          <w:tab w:val="left" w:pos="377"/>
        </w:tabs>
        <w:autoSpaceDE/>
        <w:autoSpaceDN/>
        <w:snapToGrid/>
        <w:spacing w:before="156" w:beforeLines="50"/>
        <w:jc w:val="center"/>
        <w:rPr>
          <w:rFonts w:hint="default" w:ascii="Times New Roman" w:hAnsi="Times New Roman" w:eastAsia="宋体" w:cs="Times New Roman"/>
          <w:spacing w:val="10"/>
          <w:kern w:val="0"/>
          <w:szCs w:val="20"/>
          <w:lang w:val="en-US" w:eastAsia="zh-CN"/>
        </w:rPr>
      </w:pPr>
      <w:r>
        <w:rPr>
          <w:rFonts w:hint="default" w:ascii="Times New Roman" w:hAnsi="Times New Roman" w:eastAsia="宋体" w:cs="Times New Roman"/>
          <w:spacing w:val="10"/>
          <w:kern w:val="0"/>
          <w:szCs w:val="20"/>
          <w:lang w:val="en-US" w:eastAsia="zh-CN"/>
        </w:rPr>
        <w:t>表4-35 佳讯飞鸿杜邦指标拆解表</w:t>
      </w:r>
    </w:p>
    <w:tbl>
      <w:tblPr>
        <w:tblStyle w:val="7"/>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790"/>
        <w:gridCol w:w="1145"/>
        <w:gridCol w:w="1146"/>
        <w:gridCol w:w="1146"/>
        <w:gridCol w:w="1146"/>
        <w:gridCol w:w="1146"/>
      </w:tblGrid>
      <w:tr w14:paraId="5CA53458">
        <w:trPr>
          <w:trHeight w:val="0" w:hRule="atLeast"/>
          <w:tblHeader/>
          <w:jc w:val="center"/>
        </w:trPr>
        <w:tc>
          <w:tcPr>
            <w:tcW w:w="2790" w:type="dxa"/>
            <w:tcBorders>
              <w:top w:val="single" w:color="auto" w:sz="12" w:space="0"/>
              <w:left w:val="nil"/>
              <w:bottom w:val="single" w:color="auto" w:sz="4" w:space="0"/>
              <w:right w:val="nil"/>
            </w:tcBorders>
            <w:shd w:val="clear" w:color="auto" w:fill="auto"/>
            <w:vAlign w:val="center"/>
          </w:tcPr>
          <w:p w14:paraId="14414E77">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指标</w:t>
            </w:r>
          </w:p>
        </w:tc>
        <w:tc>
          <w:tcPr>
            <w:tcW w:w="1145" w:type="dxa"/>
            <w:tcBorders>
              <w:top w:val="single" w:color="auto" w:sz="12" w:space="0"/>
              <w:left w:val="nil"/>
              <w:bottom w:val="single" w:color="auto" w:sz="4" w:space="0"/>
              <w:right w:val="nil"/>
            </w:tcBorders>
            <w:shd w:val="clear" w:color="auto" w:fill="auto"/>
            <w:vAlign w:val="center"/>
          </w:tcPr>
          <w:p w14:paraId="04C42EB5">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2020</w:t>
            </w:r>
          </w:p>
        </w:tc>
        <w:tc>
          <w:tcPr>
            <w:tcW w:w="1146" w:type="dxa"/>
            <w:tcBorders>
              <w:top w:val="single" w:color="auto" w:sz="12" w:space="0"/>
              <w:left w:val="nil"/>
              <w:bottom w:val="single" w:color="auto" w:sz="4" w:space="0"/>
              <w:right w:val="nil"/>
            </w:tcBorders>
            <w:shd w:val="clear" w:color="auto" w:fill="auto"/>
            <w:vAlign w:val="center"/>
          </w:tcPr>
          <w:p w14:paraId="62461CCA">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2021</w:t>
            </w:r>
          </w:p>
        </w:tc>
        <w:tc>
          <w:tcPr>
            <w:tcW w:w="1146" w:type="dxa"/>
            <w:tcBorders>
              <w:top w:val="single" w:color="auto" w:sz="12" w:space="0"/>
              <w:left w:val="nil"/>
              <w:bottom w:val="single" w:color="auto" w:sz="4" w:space="0"/>
              <w:right w:val="nil"/>
            </w:tcBorders>
            <w:shd w:val="clear" w:color="auto" w:fill="auto"/>
            <w:vAlign w:val="center"/>
          </w:tcPr>
          <w:p w14:paraId="11E298E7">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2022</w:t>
            </w:r>
          </w:p>
        </w:tc>
        <w:tc>
          <w:tcPr>
            <w:tcW w:w="1146" w:type="dxa"/>
            <w:tcBorders>
              <w:top w:val="single" w:color="auto" w:sz="12" w:space="0"/>
              <w:left w:val="nil"/>
              <w:bottom w:val="single" w:color="auto" w:sz="4" w:space="0"/>
              <w:right w:val="nil"/>
            </w:tcBorders>
            <w:shd w:val="clear" w:color="auto" w:fill="auto"/>
            <w:vAlign w:val="center"/>
          </w:tcPr>
          <w:p w14:paraId="028E2810">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2023</w:t>
            </w:r>
          </w:p>
        </w:tc>
        <w:tc>
          <w:tcPr>
            <w:tcW w:w="1146" w:type="dxa"/>
            <w:tcBorders>
              <w:top w:val="single" w:color="auto" w:sz="12" w:space="0"/>
              <w:left w:val="nil"/>
              <w:bottom w:val="single" w:color="auto" w:sz="4" w:space="0"/>
              <w:right w:val="nil"/>
            </w:tcBorders>
            <w:shd w:val="clear" w:color="auto" w:fill="auto"/>
            <w:vAlign w:val="center"/>
          </w:tcPr>
          <w:p w14:paraId="10B7A8A9">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2024</w:t>
            </w:r>
          </w:p>
        </w:tc>
      </w:tr>
      <w:tr w14:paraId="2B2A5E2C">
        <w:trPr>
          <w:trHeight w:val="0" w:hRule="atLeast"/>
          <w:jc w:val="center"/>
        </w:trPr>
        <w:tc>
          <w:tcPr>
            <w:tcW w:w="2790" w:type="dxa"/>
            <w:tcBorders>
              <w:top w:val="single" w:color="auto" w:sz="4" w:space="0"/>
              <w:left w:val="nil"/>
              <w:bottom w:val="nil"/>
              <w:right w:val="nil"/>
            </w:tcBorders>
            <w:shd w:val="clear" w:color="auto" w:fill="auto"/>
            <w:vAlign w:val="center"/>
          </w:tcPr>
          <w:p w14:paraId="5FBF7BA5">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ROE(%)</w:t>
            </w:r>
          </w:p>
        </w:tc>
        <w:tc>
          <w:tcPr>
            <w:tcW w:w="1145" w:type="dxa"/>
            <w:tcBorders>
              <w:top w:val="single" w:color="auto" w:sz="4" w:space="0"/>
              <w:left w:val="nil"/>
              <w:bottom w:val="nil"/>
              <w:right w:val="nil"/>
            </w:tcBorders>
            <w:shd w:val="clear" w:color="auto" w:fill="auto"/>
            <w:vAlign w:val="bottom"/>
          </w:tcPr>
          <w:p w14:paraId="4D4DB382">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5.53</w:t>
            </w:r>
          </w:p>
        </w:tc>
        <w:tc>
          <w:tcPr>
            <w:tcW w:w="1146" w:type="dxa"/>
            <w:tcBorders>
              <w:top w:val="single" w:color="auto" w:sz="4" w:space="0"/>
              <w:left w:val="nil"/>
              <w:bottom w:val="nil"/>
              <w:right w:val="nil"/>
            </w:tcBorders>
            <w:shd w:val="clear" w:color="auto" w:fill="auto"/>
            <w:vAlign w:val="bottom"/>
          </w:tcPr>
          <w:p w14:paraId="45CC16C8">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5.46</w:t>
            </w:r>
          </w:p>
        </w:tc>
        <w:tc>
          <w:tcPr>
            <w:tcW w:w="1146" w:type="dxa"/>
            <w:tcBorders>
              <w:top w:val="single" w:color="auto" w:sz="4" w:space="0"/>
              <w:left w:val="nil"/>
              <w:bottom w:val="nil"/>
              <w:right w:val="nil"/>
            </w:tcBorders>
            <w:shd w:val="clear" w:color="auto" w:fill="auto"/>
            <w:vAlign w:val="bottom"/>
          </w:tcPr>
          <w:p w14:paraId="5BD847E2">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2.83</w:t>
            </w:r>
          </w:p>
        </w:tc>
        <w:tc>
          <w:tcPr>
            <w:tcW w:w="1146" w:type="dxa"/>
            <w:tcBorders>
              <w:top w:val="single" w:color="auto" w:sz="4" w:space="0"/>
              <w:left w:val="nil"/>
              <w:bottom w:val="nil"/>
              <w:right w:val="nil"/>
            </w:tcBorders>
            <w:shd w:val="clear" w:color="auto" w:fill="auto"/>
            <w:vAlign w:val="bottom"/>
          </w:tcPr>
          <w:p w14:paraId="3EE2E18C">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3.01</w:t>
            </w:r>
          </w:p>
        </w:tc>
        <w:tc>
          <w:tcPr>
            <w:tcW w:w="1146" w:type="dxa"/>
            <w:tcBorders>
              <w:top w:val="single" w:color="auto" w:sz="4" w:space="0"/>
              <w:left w:val="nil"/>
              <w:bottom w:val="nil"/>
              <w:right w:val="nil"/>
            </w:tcBorders>
            <w:shd w:val="clear" w:color="auto" w:fill="auto"/>
            <w:vAlign w:val="bottom"/>
          </w:tcPr>
          <w:p w14:paraId="078AD3DE">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3.34</w:t>
            </w:r>
          </w:p>
        </w:tc>
      </w:tr>
      <w:tr w14:paraId="2DA64092">
        <w:trPr>
          <w:trHeight w:val="0" w:hRule="atLeast"/>
          <w:jc w:val="center"/>
        </w:trPr>
        <w:tc>
          <w:tcPr>
            <w:tcW w:w="2790" w:type="dxa"/>
            <w:tcBorders>
              <w:top w:val="nil"/>
              <w:left w:val="nil"/>
              <w:bottom w:val="nil"/>
              <w:right w:val="nil"/>
            </w:tcBorders>
            <w:shd w:val="clear" w:color="auto" w:fill="auto"/>
            <w:vAlign w:val="center"/>
          </w:tcPr>
          <w:p w14:paraId="71A5A019">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销售净利率(%)</w:t>
            </w:r>
          </w:p>
        </w:tc>
        <w:tc>
          <w:tcPr>
            <w:tcW w:w="1145" w:type="dxa"/>
            <w:tcBorders>
              <w:top w:val="nil"/>
              <w:left w:val="nil"/>
              <w:bottom w:val="nil"/>
              <w:right w:val="nil"/>
            </w:tcBorders>
            <w:shd w:val="clear" w:color="auto" w:fill="auto"/>
            <w:vAlign w:val="center"/>
          </w:tcPr>
          <w:p w14:paraId="5C9E05C1">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12.15</w:t>
            </w:r>
          </w:p>
        </w:tc>
        <w:tc>
          <w:tcPr>
            <w:tcW w:w="1146" w:type="dxa"/>
            <w:tcBorders>
              <w:top w:val="nil"/>
              <w:left w:val="nil"/>
              <w:bottom w:val="nil"/>
              <w:right w:val="nil"/>
            </w:tcBorders>
            <w:shd w:val="clear" w:color="auto" w:fill="auto"/>
            <w:vAlign w:val="center"/>
          </w:tcPr>
          <w:p w14:paraId="40AA3ED5">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11.45</w:t>
            </w:r>
          </w:p>
        </w:tc>
        <w:tc>
          <w:tcPr>
            <w:tcW w:w="1146" w:type="dxa"/>
            <w:tcBorders>
              <w:top w:val="nil"/>
              <w:left w:val="nil"/>
              <w:bottom w:val="nil"/>
              <w:right w:val="nil"/>
            </w:tcBorders>
            <w:shd w:val="clear" w:color="auto" w:fill="auto"/>
            <w:vAlign w:val="center"/>
          </w:tcPr>
          <w:p w14:paraId="5C2A49C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5.33</w:t>
            </w:r>
          </w:p>
        </w:tc>
        <w:tc>
          <w:tcPr>
            <w:tcW w:w="1146" w:type="dxa"/>
            <w:tcBorders>
              <w:top w:val="nil"/>
              <w:left w:val="nil"/>
              <w:bottom w:val="nil"/>
              <w:right w:val="nil"/>
            </w:tcBorders>
            <w:shd w:val="clear" w:color="auto" w:fill="auto"/>
            <w:vAlign w:val="center"/>
          </w:tcPr>
          <w:p w14:paraId="50DCFCB5">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5.65</w:t>
            </w:r>
          </w:p>
        </w:tc>
        <w:tc>
          <w:tcPr>
            <w:tcW w:w="1146" w:type="dxa"/>
            <w:tcBorders>
              <w:top w:val="nil"/>
              <w:left w:val="nil"/>
              <w:bottom w:val="nil"/>
              <w:right w:val="nil"/>
            </w:tcBorders>
            <w:shd w:val="clear" w:color="auto" w:fill="auto"/>
            <w:vAlign w:val="center"/>
          </w:tcPr>
          <w:p w14:paraId="325265F8">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5.97</w:t>
            </w:r>
          </w:p>
        </w:tc>
      </w:tr>
      <w:tr w14:paraId="141EA824">
        <w:trPr>
          <w:trHeight w:val="0" w:hRule="atLeast"/>
          <w:jc w:val="center"/>
        </w:trPr>
        <w:tc>
          <w:tcPr>
            <w:tcW w:w="2790" w:type="dxa"/>
            <w:tcBorders>
              <w:top w:val="nil"/>
              <w:left w:val="nil"/>
              <w:bottom w:val="nil"/>
              <w:right w:val="nil"/>
            </w:tcBorders>
            <w:shd w:val="clear" w:color="auto" w:fill="auto"/>
            <w:vAlign w:val="center"/>
          </w:tcPr>
          <w:p w14:paraId="02A43FC1">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总资产周转率(%)</w:t>
            </w:r>
          </w:p>
        </w:tc>
        <w:tc>
          <w:tcPr>
            <w:tcW w:w="1145" w:type="dxa"/>
            <w:tcBorders>
              <w:top w:val="nil"/>
              <w:left w:val="nil"/>
              <w:bottom w:val="nil"/>
              <w:right w:val="nil"/>
            </w:tcBorders>
            <w:shd w:val="clear" w:color="auto" w:fill="auto"/>
            <w:vAlign w:val="center"/>
          </w:tcPr>
          <w:p w14:paraId="01A99FC8">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31.1</w:t>
            </w:r>
          </w:p>
        </w:tc>
        <w:tc>
          <w:tcPr>
            <w:tcW w:w="1146" w:type="dxa"/>
            <w:tcBorders>
              <w:top w:val="nil"/>
              <w:left w:val="nil"/>
              <w:bottom w:val="nil"/>
              <w:right w:val="nil"/>
            </w:tcBorders>
            <w:shd w:val="clear" w:color="auto" w:fill="auto"/>
            <w:vAlign w:val="center"/>
          </w:tcPr>
          <w:p w14:paraId="0E9ADBBD">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34</w:t>
            </w:r>
          </w:p>
        </w:tc>
        <w:tc>
          <w:tcPr>
            <w:tcW w:w="1146" w:type="dxa"/>
            <w:tcBorders>
              <w:top w:val="nil"/>
              <w:left w:val="nil"/>
              <w:bottom w:val="nil"/>
              <w:right w:val="nil"/>
            </w:tcBorders>
            <w:shd w:val="clear" w:color="auto" w:fill="auto"/>
            <w:vAlign w:val="center"/>
          </w:tcPr>
          <w:p w14:paraId="36AE109C">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37.7</w:t>
            </w:r>
          </w:p>
        </w:tc>
        <w:tc>
          <w:tcPr>
            <w:tcW w:w="1146" w:type="dxa"/>
            <w:tcBorders>
              <w:top w:val="nil"/>
              <w:left w:val="nil"/>
              <w:bottom w:val="nil"/>
              <w:right w:val="nil"/>
            </w:tcBorders>
            <w:shd w:val="clear" w:color="auto" w:fill="auto"/>
            <w:vAlign w:val="center"/>
          </w:tcPr>
          <w:p w14:paraId="5AF30F8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36.2</w:t>
            </w:r>
          </w:p>
        </w:tc>
        <w:tc>
          <w:tcPr>
            <w:tcW w:w="1146" w:type="dxa"/>
            <w:tcBorders>
              <w:top w:val="nil"/>
              <w:left w:val="nil"/>
              <w:bottom w:val="nil"/>
              <w:right w:val="nil"/>
            </w:tcBorders>
            <w:shd w:val="clear" w:color="auto" w:fill="auto"/>
            <w:vAlign w:val="center"/>
          </w:tcPr>
          <w:p w14:paraId="2B03AA61">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36.6</w:t>
            </w:r>
          </w:p>
        </w:tc>
      </w:tr>
      <w:tr w14:paraId="69A98F35">
        <w:trPr>
          <w:trHeight w:val="0" w:hRule="atLeast"/>
          <w:jc w:val="center"/>
        </w:trPr>
        <w:tc>
          <w:tcPr>
            <w:tcW w:w="2790" w:type="dxa"/>
            <w:tcBorders>
              <w:top w:val="nil"/>
              <w:left w:val="nil"/>
              <w:bottom w:val="single" w:color="auto" w:sz="12" w:space="0"/>
              <w:right w:val="nil"/>
            </w:tcBorders>
            <w:shd w:val="clear" w:color="auto" w:fill="auto"/>
            <w:vAlign w:val="center"/>
          </w:tcPr>
          <w:p w14:paraId="0FB9EE03">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权益乘数</w:t>
            </w:r>
          </w:p>
        </w:tc>
        <w:tc>
          <w:tcPr>
            <w:tcW w:w="1145" w:type="dxa"/>
            <w:tcBorders>
              <w:top w:val="nil"/>
              <w:left w:val="nil"/>
              <w:bottom w:val="single" w:color="auto" w:sz="12" w:space="0"/>
              <w:right w:val="nil"/>
            </w:tcBorders>
            <w:shd w:val="clear" w:color="auto" w:fill="auto"/>
            <w:vAlign w:val="center"/>
          </w:tcPr>
          <w:p w14:paraId="59BAD49F">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1.415</w:t>
            </w:r>
          </w:p>
        </w:tc>
        <w:tc>
          <w:tcPr>
            <w:tcW w:w="1146" w:type="dxa"/>
            <w:tcBorders>
              <w:top w:val="nil"/>
              <w:left w:val="nil"/>
              <w:bottom w:val="single" w:color="auto" w:sz="12" w:space="0"/>
              <w:right w:val="nil"/>
            </w:tcBorders>
            <w:shd w:val="clear" w:color="auto" w:fill="auto"/>
            <w:vAlign w:val="center"/>
          </w:tcPr>
          <w:p w14:paraId="11933ACF">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1.39</w:t>
            </w:r>
          </w:p>
        </w:tc>
        <w:tc>
          <w:tcPr>
            <w:tcW w:w="1146" w:type="dxa"/>
            <w:tcBorders>
              <w:top w:val="nil"/>
              <w:left w:val="nil"/>
              <w:bottom w:val="single" w:color="auto" w:sz="12" w:space="0"/>
              <w:right w:val="nil"/>
            </w:tcBorders>
            <w:shd w:val="clear" w:color="auto" w:fill="auto"/>
            <w:vAlign w:val="center"/>
          </w:tcPr>
          <w:p w14:paraId="268DE67F">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1.358</w:t>
            </w:r>
          </w:p>
        </w:tc>
        <w:tc>
          <w:tcPr>
            <w:tcW w:w="1146" w:type="dxa"/>
            <w:tcBorders>
              <w:top w:val="nil"/>
              <w:left w:val="nil"/>
              <w:bottom w:val="single" w:color="auto" w:sz="12" w:space="0"/>
              <w:right w:val="nil"/>
            </w:tcBorders>
            <w:shd w:val="clear" w:color="auto" w:fill="auto"/>
            <w:vAlign w:val="center"/>
          </w:tcPr>
          <w:p w14:paraId="3A00CE46">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1.424</w:t>
            </w:r>
          </w:p>
        </w:tc>
        <w:tc>
          <w:tcPr>
            <w:tcW w:w="1146" w:type="dxa"/>
            <w:tcBorders>
              <w:top w:val="nil"/>
              <w:left w:val="nil"/>
              <w:bottom w:val="single" w:color="auto" w:sz="12" w:space="0"/>
              <w:right w:val="nil"/>
            </w:tcBorders>
            <w:shd w:val="clear" w:color="auto" w:fill="auto"/>
            <w:vAlign w:val="center"/>
          </w:tcPr>
          <w:p w14:paraId="04DC14B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1.407</w:t>
            </w:r>
          </w:p>
        </w:tc>
      </w:tr>
    </w:tbl>
    <w:p w14:paraId="427396F0">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数据来源：</w:t>
      </w:r>
      <w:r>
        <w:rPr>
          <w:rFonts w:hint="default" w:ascii="Times New Roman" w:hAnsi="Times New Roman" w:eastAsia="宋体" w:cs="Times New Roman"/>
          <w:sz w:val="24"/>
          <w:szCs w:val="24"/>
          <w:lang w:val="en-US" w:eastAsia="zh-CN"/>
        </w:rPr>
        <w:t>finD</w:t>
      </w:r>
      <w:r>
        <w:rPr>
          <w:rFonts w:hint="default" w:ascii="Times New Roman" w:hAnsi="Times New Roman" w:eastAsia="宋体" w:cs="Times New Roman"/>
          <w:sz w:val="24"/>
          <w:szCs w:val="24"/>
        </w:rPr>
        <w:t>数据库整理</w:t>
      </w:r>
    </w:p>
    <w:p w14:paraId="2814EE8D">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eastAsia="zh-CN"/>
        </w:rPr>
      </w:pPr>
      <w:r>
        <w:rPr>
          <w:rFonts w:hint="eastAsia" w:ascii="Times New Roman" w:hAnsi="Times New Roman" w:eastAsia="宋体" w:cs="Times New Roman"/>
          <w:sz w:val="24"/>
          <w:szCs w:val="24"/>
          <w:lang w:val="en-US" w:eastAsia="zh-CN"/>
        </w:rPr>
        <w:t>表4-35所示，</w:t>
      </w:r>
      <w:r>
        <w:rPr>
          <w:rFonts w:hint="default" w:ascii="Times New Roman" w:hAnsi="Times New Roman" w:eastAsia="宋体" w:cs="Times New Roman"/>
          <w:sz w:val="24"/>
          <w:szCs w:val="24"/>
          <w:lang w:eastAsia="zh-CN"/>
        </w:rPr>
        <w:t>佳讯飞鸿2020—2024年的ROE分别为5.5339%、5.4577%、2.8266%、3.0142%和3.3413%，表现为2022年以后明显回落后小幅修复。从杜邦分解看，公司总资产周转率相对稳定，权益乘数也稳定在1.36—1.42之间，说明资产运营效率和杠杆结构并非造成ROE下降的主因。相反，销售净利率由2020年的12.15%下降至2024年的5.97%，降幅超过6个百分点，构成ROE下行的最直接来源。</w:t>
      </w:r>
    </w:p>
    <w:p w14:paraId="0350723F">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sz w:val="24"/>
          <w:szCs w:val="24"/>
          <w:lang w:eastAsia="zh-CN"/>
        </w:rPr>
        <w:t>佳讯飞鸿的业务模式决定了其ROE更容易受利润率波动影响。公司AI应用核心方向为轨交智能化大模型应用，主营业务面向轨道交通、民航、国防、政府、能源和金融等场景提供智能化解决方案及专业服务，本质上属于行业场景化解决方案</w:t>
      </w:r>
      <w:r>
        <w:rPr>
          <w:rFonts w:hint="eastAsia" w:ascii="Times New Roman" w:hAnsi="Times New Roman" w:eastAsia="宋体" w:cs="Times New Roman"/>
          <w:sz w:val="24"/>
          <w:szCs w:val="24"/>
          <w:lang w:val="en-US" w:eastAsia="zh-CN"/>
        </w:rPr>
        <w:t>和</w:t>
      </w:r>
      <w:r>
        <w:rPr>
          <w:rFonts w:hint="default" w:ascii="Times New Roman" w:hAnsi="Times New Roman" w:eastAsia="宋体" w:cs="Times New Roman"/>
          <w:sz w:val="24"/>
          <w:szCs w:val="24"/>
          <w:lang w:eastAsia="zh-CN"/>
        </w:rPr>
        <w:t>项目制交付</w:t>
      </w:r>
      <w:r>
        <w:rPr>
          <w:rFonts w:hint="eastAsia" w:ascii="Times New Roman" w:hAnsi="Times New Roman" w:eastAsia="宋体" w:cs="Times New Roman"/>
          <w:sz w:val="24"/>
          <w:szCs w:val="24"/>
          <w:lang w:val="en-US" w:eastAsia="zh-CN"/>
        </w:rPr>
        <w:t>并行的商业模式</w:t>
      </w:r>
      <w:r>
        <w:rPr>
          <w:rFonts w:hint="default" w:ascii="Times New Roman" w:hAnsi="Times New Roman" w:eastAsia="宋体" w:cs="Times New Roman"/>
          <w:sz w:val="24"/>
          <w:szCs w:val="24"/>
          <w:lang w:eastAsia="zh-CN"/>
        </w:rPr>
        <w:t>。这类业务通常具有较高的技术壁垒和客户粘性，但项目交付周期较长、实施环节复杂、定制化程度高，实施成本和后续运维成本往往较高。换言之，佳讯飞鸿并不存在周转极差或杠杆失控的问题，而是典型的项目型高壁垒解决方案企业：收入可形成，但利润释放受实施成本、研发投入和收入确认节奏约束较大，因此ROE的回落主要体现为利润率压缩，而非资产周转或杠杆异常。</w:t>
      </w:r>
    </w:p>
    <w:p w14:paraId="3A78B169">
      <w:pPr>
        <w:pStyle w:val="6"/>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420" w:lineRule="exact"/>
        <w:ind w:left="0" w:leftChars="0" w:right="0" w:rightChars="0"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（3）天地在线</w:t>
      </w:r>
    </w:p>
    <w:p w14:paraId="1B58A8DE">
      <w:pPr>
        <w:widowControl/>
        <w:tabs>
          <w:tab w:val="left" w:pos="377"/>
        </w:tabs>
        <w:autoSpaceDE/>
        <w:autoSpaceDN/>
        <w:snapToGrid/>
        <w:spacing w:before="156" w:beforeLines="50"/>
        <w:jc w:val="center"/>
        <w:rPr>
          <w:rFonts w:hint="default" w:ascii="Times New Roman" w:hAnsi="Times New Roman" w:eastAsia="宋体" w:cs="Times New Roman"/>
          <w:spacing w:val="10"/>
          <w:kern w:val="0"/>
          <w:szCs w:val="20"/>
          <w:lang w:val="en-US" w:eastAsia="zh-CN"/>
        </w:rPr>
      </w:pPr>
      <w:r>
        <w:rPr>
          <w:rFonts w:hint="default" w:ascii="Times New Roman" w:hAnsi="Times New Roman" w:eastAsia="宋体" w:cs="Times New Roman"/>
          <w:spacing w:val="10"/>
          <w:kern w:val="0"/>
          <w:szCs w:val="20"/>
          <w:lang w:val="en-US" w:eastAsia="zh-CN"/>
        </w:rPr>
        <w:t>表4-36 天地在线杜邦指标拆解表</w:t>
      </w:r>
    </w:p>
    <w:tbl>
      <w:tblPr>
        <w:tblStyle w:val="7"/>
        <w:tblW w:w="851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817"/>
        <w:gridCol w:w="1140"/>
        <w:gridCol w:w="1140"/>
        <w:gridCol w:w="1140"/>
        <w:gridCol w:w="1140"/>
        <w:gridCol w:w="1140"/>
      </w:tblGrid>
      <w:tr w14:paraId="5DF09EC9">
        <w:trPr>
          <w:trHeight w:val="0" w:hRule="atLeast"/>
          <w:tblHeader/>
          <w:jc w:val="center"/>
        </w:trPr>
        <w:tc>
          <w:tcPr>
            <w:tcW w:w="2817" w:type="dxa"/>
            <w:tcBorders>
              <w:top w:val="single" w:color="auto" w:sz="12" w:space="0"/>
              <w:left w:val="nil"/>
              <w:bottom w:val="single" w:color="auto" w:sz="4" w:space="0"/>
              <w:right w:val="nil"/>
            </w:tcBorders>
            <w:shd w:val="clear" w:color="auto" w:fill="auto"/>
            <w:vAlign w:val="center"/>
          </w:tcPr>
          <w:p w14:paraId="4D51F413">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4"/>
                <w:szCs w:val="24"/>
                <w:u w:val="none"/>
              </w:rPr>
            </w:pPr>
            <w:r>
              <w:rPr>
                <w:rFonts w:hint="default" w:ascii="Times New Roman" w:hAnsi="Times New Roman" w:eastAsia="宋体" w:cs="Times New Roman"/>
                <w:b/>
                <w:bCs/>
                <w:i w:val="0"/>
                <w:iCs w:val="0"/>
                <w:color w:val="000000"/>
                <w:kern w:val="0"/>
                <w:sz w:val="24"/>
                <w:szCs w:val="24"/>
                <w:u w:val="none"/>
                <w:lang w:val="en-US" w:eastAsia="zh-CN" w:bidi="ar"/>
              </w:rPr>
              <w:t>指标</w:t>
            </w:r>
          </w:p>
        </w:tc>
        <w:tc>
          <w:tcPr>
            <w:tcW w:w="1140" w:type="dxa"/>
            <w:tcBorders>
              <w:top w:val="single" w:color="auto" w:sz="12" w:space="0"/>
              <w:left w:val="nil"/>
              <w:bottom w:val="single" w:color="auto" w:sz="4" w:space="0"/>
              <w:right w:val="nil"/>
            </w:tcBorders>
            <w:shd w:val="clear" w:color="auto" w:fill="auto"/>
            <w:vAlign w:val="center"/>
          </w:tcPr>
          <w:p w14:paraId="303000AE">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4"/>
                <w:szCs w:val="24"/>
                <w:u w:val="none"/>
              </w:rPr>
            </w:pPr>
            <w:r>
              <w:rPr>
                <w:rFonts w:hint="default" w:ascii="Times New Roman" w:hAnsi="Times New Roman" w:eastAsia="宋体" w:cs="Times New Roman"/>
                <w:b/>
                <w:bCs/>
                <w:i w:val="0"/>
                <w:iCs w:val="0"/>
                <w:color w:val="000000"/>
                <w:kern w:val="0"/>
                <w:sz w:val="24"/>
                <w:szCs w:val="24"/>
                <w:u w:val="none"/>
                <w:lang w:val="en-US" w:eastAsia="zh-CN" w:bidi="ar"/>
              </w:rPr>
              <w:t>2020</w:t>
            </w:r>
          </w:p>
        </w:tc>
        <w:tc>
          <w:tcPr>
            <w:tcW w:w="1140" w:type="dxa"/>
            <w:tcBorders>
              <w:top w:val="single" w:color="auto" w:sz="12" w:space="0"/>
              <w:left w:val="nil"/>
              <w:bottom w:val="single" w:color="auto" w:sz="4" w:space="0"/>
              <w:right w:val="nil"/>
            </w:tcBorders>
            <w:shd w:val="clear" w:color="auto" w:fill="auto"/>
            <w:vAlign w:val="center"/>
          </w:tcPr>
          <w:p w14:paraId="3078C2CB">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4"/>
                <w:szCs w:val="24"/>
                <w:u w:val="none"/>
              </w:rPr>
            </w:pPr>
            <w:r>
              <w:rPr>
                <w:rFonts w:hint="default" w:ascii="Times New Roman" w:hAnsi="Times New Roman" w:eastAsia="宋体" w:cs="Times New Roman"/>
                <w:b/>
                <w:bCs/>
                <w:i w:val="0"/>
                <w:iCs w:val="0"/>
                <w:color w:val="000000"/>
                <w:kern w:val="0"/>
                <w:sz w:val="24"/>
                <w:szCs w:val="24"/>
                <w:u w:val="none"/>
                <w:lang w:val="en-US" w:eastAsia="zh-CN" w:bidi="ar"/>
              </w:rPr>
              <w:t>2021</w:t>
            </w:r>
          </w:p>
        </w:tc>
        <w:tc>
          <w:tcPr>
            <w:tcW w:w="1140" w:type="dxa"/>
            <w:tcBorders>
              <w:top w:val="single" w:color="auto" w:sz="12" w:space="0"/>
              <w:left w:val="nil"/>
              <w:bottom w:val="single" w:color="auto" w:sz="4" w:space="0"/>
              <w:right w:val="nil"/>
            </w:tcBorders>
            <w:shd w:val="clear" w:color="auto" w:fill="auto"/>
            <w:vAlign w:val="center"/>
          </w:tcPr>
          <w:p w14:paraId="74C54748">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4"/>
                <w:szCs w:val="24"/>
                <w:u w:val="none"/>
              </w:rPr>
            </w:pPr>
            <w:r>
              <w:rPr>
                <w:rFonts w:hint="default" w:ascii="Times New Roman" w:hAnsi="Times New Roman" w:eastAsia="宋体" w:cs="Times New Roman"/>
                <w:b/>
                <w:bCs/>
                <w:i w:val="0"/>
                <w:iCs w:val="0"/>
                <w:color w:val="000000"/>
                <w:kern w:val="0"/>
                <w:sz w:val="24"/>
                <w:szCs w:val="24"/>
                <w:u w:val="none"/>
                <w:lang w:val="en-US" w:eastAsia="zh-CN" w:bidi="ar"/>
              </w:rPr>
              <w:t>2022</w:t>
            </w:r>
          </w:p>
        </w:tc>
        <w:tc>
          <w:tcPr>
            <w:tcW w:w="1140" w:type="dxa"/>
            <w:tcBorders>
              <w:top w:val="single" w:color="auto" w:sz="12" w:space="0"/>
              <w:left w:val="nil"/>
              <w:bottom w:val="single" w:color="auto" w:sz="4" w:space="0"/>
              <w:right w:val="nil"/>
            </w:tcBorders>
            <w:shd w:val="clear" w:color="auto" w:fill="auto"/>
            <w:vAlign w:val="center"/>
          </w:tcPr>
          <w:p w14:paraId="6021B0A1">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4"/>
                <w:szCs w:val="24"/>
                <w:u w:val="none"/>
              </w:rPr>
            </w:pPr>
            <w:r>
              <w:rPr>
                <w:rFonts w:hint="default" w:ascii="Times New Roman" w:hAnsi="Times New Roman" w:eastAsia="宋体" w:cs="Times New Roman"/>
                <w:b/>
                <w:bCs/>
                <w:i w:val="0"/>
                <w:iCs w:val="0"/>
                <w:color w:val="000000"/>
                <w:kern w:val="0"/>
                <w:sz w:val="24"/>
                <w:szCs w:val="24"/>
                <w:u w:val="none"/>
                <w:lang w:val="en-US" w:eastAsia="zh-CN" w:bidi="ar"/>
              </w:rPr>
              <w:t>2023</w:t>
            </w:r>
          </w:p>
        </w:tc>
        <w:tc>
          <w:tcPr>
            <w:tcW w:w="1140" w:type="dxa"/>
            <w:tcBorders>
              <w:top w:val="single" w:color="auto" w:sz="12" w:space="0"/>
              <w:left w:val="nil"/>
              <w:bottom w:val="single" w:color="auto" w:sz="4" w:space="0"/>
              <w:right w:val="nil"/>
            </w:tcBorders>
            <w:shd w:val="clear" w:color="auto" w:fill="auto"/>
            <w:vAlign w:val="center"/>
          </w:tcPr>
          <w:p w14:paraId="3476243C">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4"/>
                <w:szCs w:val="24"/>
                <w:u w:val="none"/>
              </w:rPr>
            </w:pPr>
            <w:r>
              <w:rPr>
                <w:rFonts w:hint="default" w:ascii="Times New Roman" w:hAnsi="Times New Roman" w:eastAsia="宋体" w:cs="Times New Roman"/>
                <w:b/>
                <w:bCs/>
                <w:i w:val="0"/>
                <w:iCs w:val="0"/>
                <w:color w:val="000000"/>
                <w:kern w:val="0"/>
                <w:sz w:val="24"/>
                <w:szCs w:val="24"/>
                <w:u w:val="none"/>
                <w:lang w:val="en-US" w:eastAsia="zh-CN" w:bidi="ar"/>
              </w:rPr>
              <w:t>2024</w:t>
            </w:r>
          </w:p>
        </w:tc>
      </w:tr>
      <w:tr w14:paraId="1ADFC86C">
        <w:trPr>
          <w:trHeight w:val="0" w:hRule="atLeast"/>
          <w:jc w:val="center"/>
        </w:trPr>
        <w:tc>
          <w:tcPr>
            <w:tcW w:w="2817" w:type="dxa"/>
            <w:tcBorders>
              <w:top w:val="single" w:color="auto" w:sz="4" w:space="0"/>
              <w:left w:val="nil"/>
              <w:bottom w:val="nil"/>
              <w:right w:val="nil"/>
            </w:tcBorders>
            <w:shd w:val="clear" w:color="auto" w:fill="auto"/>
            <w:vAlign w:val="center"/>
          </w:tcPr>
          <w:p w14:paraId="1B8B5AC5">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ROE(%)</w:t>
            </w:r>
          </w:p>
        </w:tc>
        <w:tc>
          <w:tcPr>
            <w:tcW w:w="1140" w:type="dxa"/>
            <w:tcBorders>
              <w:top w:val="single" w:color="auto" w:sz="4" w:space="0"/>
              <w:left w:val="nil"/>
              <w:bottom w:val="nil"/>
              <w:right w:val="nil"/>
            </w:tcBorders>
            <w:shd w:val="clear" w:color="auto" w:fill="auto"/>
            <w:vAlign w:val="bottom"/>
          </w:tcPr>
          <w:p w14:paraId="17EA3D1D">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14.24</w:t>
            </w:r>
          </w:p>
        </w:tc>
        <w:tc>
          <w:tcPr>
            <w:tcW w:w="1140" w:type="dxa"/>
            <w:tcBorders>
              <w:top w:val="single" w:color="auto" w:sz="4" w:space="0"/>
              <w:left w:val="nil"/>
              <w:bottom w:val="nil"/>
              <w:right w:val="nil"/>
            </w:tcBorders>
            <w:shd w:val="clear" w:color="auto" w:fill="auto"/>
            <w:vAlign w:val="bottom"/>
          </w:tcPr>
          <w:p w14:paraId="02768417">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5.16</w:t>
            </w:r>
          </w:p>
        </w:tc>
        <w:tc>
          <w:tcPr>
            <w:tcW w:w="1140" w:type="dxa"/>
            <w:tcBorders>
              <w:top w:val="single" w:color="auto" w:sz="4" w:space="0"/>
              <w:left w:val="nil"/>
              <w:bottom w:val="nil"/>
              <w:right w:val="nil"/>
            </w:tcBorders>
            <w:shd w:val="clear" w:color="auto" w:fill="auto"/>
            <w:vAlign w:val="bottom"/>
          </w:tcPr>
          <w:p w14:paraId="31C757F9">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0.30</w:t>
            </w:r>
          </w:p>
        </w:tc>
        <w:tc>
          <w:tcPr>
            <w:tcW w:w="1140" w:type="dxa"/>
            <w:tcBorders>
              <w:top w:val="single" w:color="auto" w:sz="4" w:space="0"/>
              <w:left w:val="nil"/>
              <w:bottom w:val="nil"/>
              <w:right w:val="nil"/>
            </w:tcBorders>
            <w:shd w:val="clear" w:color="auto" w:fill="auto"/>
            <w:vAlign w:val="bottom"/>
          </w:tcPr>
          <w:p w14:paraId="12AB5862">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-2.56</w:t>
            </w:r>
          </w:p>
        </w:tc>
        <w:tc>
          <w:tcPr>
            <w:tcW w:w="1140" w:type="dxa"/>
            <w:tcBorders>
              <w:top w:val="single" w:color="auto" w:sz="4" w:space="0"/>
              <w:left w:val="nil"/>
              <w:bottom w:val="nil"/>
              <w:right w:val="nil"/>
            </w:tcBorders>
            <w:shd w:val="clear" w:color="auto" w:fill="auto"/>
            <w:vAlign w:val="bottom"/>
          </w:tcPr>
          <w:p w14:paraId="2B3E0F9E">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-6.99</w:t>
            </w:r>
          </w:p>
        </w:tc>
      </w:tr>
      <w:tr w14:paraId="27988822">
        <w:trPr>
          <w:trHeight w:val="0" w:hRule="atLeast"/>
          <w:jc w:val="center"/>
        </w:trPr>
        <w:tc>
          <w:tcPr>
            <w:tcW w:w="2817" w:type="dxa"/>
            <w:tcBorders>
              <w:top w:val="nil"/>
              <w:left w:val="nil"/>
              <w:bottom w:val="nil"/>
              <w:right w:val="nil"/>
            </w:tcBorders>
            <w:shd w:val="clear" w:color="auto" w:fill="auto"/>
            <w:vAlign w:val="center"/>
          </w:tcPr>
          <w:p w14:paraId="67C0A04D">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销售净利率(%)</w:t>
            </w:r>
          </w:p>
        </w:tc>
        <w:tc>
          <w:tcPr>
            <w:tcW w:w="1140" w:type="dxa"/>
            <w:tcBorders>
              <w:top w:val="nil"/>
              <w:left w:val="nil"/>
              <w:bottom w:val="nil"/>
              <w:right w:val="nil"/>
            </w:tcBorders>
            <w:shd w:val="clear" w:color="auto" w:fill="auto"/>
            <w:vAlign w:val="center"/>
          </w:tcPr>
          <w:p w14:paraId="44087E0F">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3.21</w:t>
            </w:r>
          </w:p>
        </w:tc>
        <w:tc>
          <w:tcPr>
            <w:tcW w:w="1140" w:type="dxa"/>
            <w:tcBorders>
              <w:top w:val="nil"/>
              <w:left w:val="nil"/>
              <w:bottom w:val="nil"/>
              <w:right w:val="nil"/>
            </w:tcBorders>
            <w:shd w:val="clear" w:color="auto" w:fill="auto"/>
            <w:vAlign w:val="center"/>
          </w:tcPr>
          <w:p w14:paraId="00CD294C">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1.37</w:t>
            </w:r>
          </w:p>
        </w:tc>
        <w:tc>
          <w:tcPr>
            <w:tcW w:w="1140" w:type="dxa"/>
            <w:tcBorders>
              <w:top w:val="nil"/>
              <w:left w:val="nil"/>
              <w:bottom w:val="nil"/>
              <w:right w:val="nil"/>
            </w:tcBorders>
            <w:shd w:val="clear" w:color="auto" w:fill="auto"/>
            <w:vAlign w:val="center"/>
          </w:tcPr>
          <w:p w14:paraId="199CAD80">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0.16</w:t>
            </w:r>
          </w:p>
        </w:tc>
        <w:tc>
          <w:tcPr>
            <w:tcW w:w="1140" w:type="dxa"/>
            <w:tcBorders>
              <w:top w:val="nil"/>
              <w:left w:val="nil"/>
              <w:bottom w:val="nil"/>
              <w:right w:val="nil"/>
            </w:tcBorders>
            <w:shd w:val="clear" w:color="auto" w:fill="auto"/>
            <w:vAlign w:val="center"/>
          </w:tcPr>
          <w:p w14:paraId="47F07B85">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-1.41</w:t>
            </w:r>
          </w:p>
        </w:tc>
        <w:tc>
          <w:tcPr>
            <w:tcW w:w="1140" w:type="dxa"/>
            <w:tcBorders>
              <w:top w:val="nil"/>
              <w:left w:val="nil"/>
              <w:bottom w:val="nil"/>
              <w:right w:val="nil"/>
            </w:tcBorders>
            <w:shd w:val="clear" w:color="auto" w:fill="auto"/>
            <w:vAlign w:val="center"/>
          </w:tcPr>
          <w:p w14:paraId="1CD0CE13">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-5</w:t>
            </w:r>
          </w:p>
        </w:tc>
      </w:tr>
      <w:tr w14:paraId="2262480C">
        <w:trPr>
          <w:trHeight w:val="0" w:hRule="atLeast"/>
          <w:jc w:val="center"/>
        </w:trPr>
        <w:tc>
          <w:tcPr>
            <w:tcW w:w="2817" w:type="dxa"/>
            <w:tcBorders>
              <w:top w:val="nil"/>
              <w:left w:val="nil"/>
              <w:bottom w:val="nil"/>
              <w:right w:val="nil"/>
            </w:tcBorders>
            <w:shd w:val="clear" w:color="auto" w:fill="auto"/>
            <w:vAlign w:val="center"/>
          </w:tcPr>
          <w:p w14:paraId="6C4472C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总资产周转率(%)</w:t>
            </w:r>
          </w:p>
        </w:tc>
        <w:tc>
          <w:tcPr>
            <w:tcW w:w="1140" w:type="dxa"/>
            <w:tcBorders>
              <w:top w:val="nil"/>
              <w:left w:val="nil"/>
              <w:bottom w:val="nil"/>
              <w:right w:val="nil"/>
            </w:tcBorders>
            <w:shd w:val="clear" w:color="auto" w:fill="auto"/>
            <w:vAlign w:val="center"/>
          </w:tcPr>
          <w:p w14:paraId="681CBB3A">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268.1</w:t>
            </w:r>
          </w:p>
        </w:tc>
        <w:tc>
          <w:tcPr>
            <w:tcW w:w="1140" w:type="dxa"/>
            <w:tcBorders>
              <w:top w:val="nil"/>
              <w:left w:val="nil"/>
              <w:bottom w:val="nil"/>
              <w:right w:val="nil"/>
            </w:tcBorders>
            <w:shd w:val="clear" w:color="auto" w:fill="auto"/>
            <w:vAlign w:val="center"/>
          </w:tcPr>
          <w:p w14:paraId="5BA9B84F">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246.4</w:t>
            </w:r>
          </w:p>
        </w:tc>
        <w:tc>
          <w:tcPr>
            <w:tcW w:w="1140" w:type="dxa"/>
            <w:tcBorders>
              <w:top w:val="nil"/>
              <w:left w:val="nil"/>
              <w:bottom w:val="nil"/>
              <w:right w:val="nil"/>
            </w:tcBorders>
            <w:shd w:val="clear" w:color="auto" w:fill="auto"/>
            <w:vAlign w:val="center"/>
          </w:tcPr>
          <w:p w14:paraId="086EFA3F">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196.9</w:t>
            </w:r>
          </w:p>
        </w:tc>
        <w:tc>
          <w:tcPr>
            <w:tcW w:w="1140" w:type="dxa"/>
            <w:tcBorders>
              <w:top w:val="nil"/>
              <w:left w:val="nil"/>
              <w:bottom w:val="nil"/>
              <w:right w:val="nil"/>
            </w:tcBorders>
            <w:shd w:val="clear" w:color="auto" w:fill="auto"/>
            <w:vAlign w:val="center"/>
          </w:tcPr>
          <w:p w14:paraId="03F79185">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135.4</w:t>
            </w:r>
          </w:p>
        </w:tc>
        <w:tc>
          <w:tcPr>
            <w:tcW w:w="1140" w:type="dxa"/>
            <w:tcBorders>
              <w:top w:val="nil"/>
              <w:left w:val="nil"/>
              <w:bottom w:val="nil"/>
              <w:right w:val="nil"/>
            </w:tcBorders>
            <w:shd w:val="clear" w:color="auto" w:fill="auto"/>
            <w:vAlign w:val="center"/>
          </w:tcPr>
          <w:p w14:paraId="299ABE77">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106.2</w:t>
            </w:r>
          </w:p>
        </w:tc>
      </w:tr>
      <w:tr w14:paraId="7A70F311">
        <w:trPr>
          <w:trHeight w:val="0" w:hRule="atLeast"/>
          <w:jc w:val="center"/>
        </w:trPr>
        <w:tc>
          <w:tcPr>
            <w:tcW w:w="2817" w:type="dxa"/>
            <w:tcBorders>
              <w:top w:val="nil"/>
              <w:left w:val="nil"/>
              <w:bottom w:val="single" w:color="auto" w:sz="12" w:space="0"/>
              <w:right w:val="nil"/>
            </w:tcBorders>
            <w:shd w:val="clear" w:color="auto" w:fill="auto"/>
            <w:vAlign w:val="center"/>
          </w:tcPr>
          <w:p w14:paraId="127EBE08">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权益乘数</w:t>
            </w:r>
          </w:p>
        </w:tc>
        <w:tc>
          <w:tcPr>
            <w:tcW w:w="1140" w:type="dxa"/>
            <w:tcBorders>
              <w:top w:val="nil"/>
              <w:left w:val="nil"/>
              <w:bottom w:val="single" w:color="auto" w:sz="12" w:space="0"/>
              <w:right w:val="nil"/>
            </w:tcBorders>
            <w:shd w:val="clear" w:color="auto" w:fill="auto"/>
            <w:vAlign w:val="center"/>
          </w:tcPr>
          <w:p w14:paraId="1D31CC7C">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1.577</w:t>
            </w:r>
          </w:p>
        </w:tc>
        <w:tc>
          <w:tcPr>
            <w:tcW w:w="1140" w:type="dxa"/>
            <w:tcBorders>
              <w:top w:val="nil"/>
              <w:left w:val="nil"/>
              <w:bottom w:val="single" w:color="auto" w:sz="12" w:space="0"/>
              <w:right w:val="nil"/>
            </w:tcBorders>
            <w:shd w:val="clear" w:color="auto" w:fill="auto"/>
            <w:vAlign w:val="center"/>
          </w:tcPr>
          <w:p w14:paraId="1B07F4BA">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1.565</w:t>
            </w:r>
          </w:p>
        </w:tc>
        <w:tc>
          <w:tcPr>
            <w:tcW w:w="1140" w:type="dxa"/>
            <w:tcBorders>
              <w:top w:val="nil"/>
              <w:left w:val="nil"/>
              <w:bottom w:val="single" w:color="auto" w:sz="12" w:space="0"/>
              <w:right w:val="nil"/>
            </w:tcBorders>
            <w:shd w:val="clear" w:color="auto" w:fill="auto"/>
            <w:vAlign w:val="center"/>
          </w:tcPr>
          <w:p w14:paraId="0760B27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1.368</w:t>
            </w:r>
          </w:p>
        </w:tc>
        <w:tc>
          <w:tcPr>
            <w:tcW w:w="1140" w:type="dxa"/>
            <w:tcBorders>
              <w:top w:val="nil"/>
              <w:left w:val="nil"/>
              <w:bottom w:val="single" w:color="auto" w:sz="12" w:space="0"/>
              <w:right w:val="nil"/>
            </w:tcBorders>
            <w:shd w:val="clear" w:color="auto" w:fill="auto"/>
            <w:vAlign w:val="center"/>
          </w:tcPr>
          <w:p w14:paraId="1566E50B">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1.294</w:t>
            </w:r>
          </w:p>
        </w:tc>
        <w:tc>
          <w:tcPr>
            <w:tcW w:w="1140" w:type="dxa"/>
            <w:tcBorders>
              <w:top w:val="nil"/>
              <w:left w:val="nil"/>
              <w:bottom w:val="single" w:color="auto" w:sz="12" w:space="0"/>
              <w:right w:val="nil"/>
            </w:tcBorders>
            <w:shd w:val="clear" w:color="auto" w:fill="auto"/>
            <w:vAlign w:val="center"/>
          </w:tcPr>
          <w:p w14:paraId="7F27F599">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1.31</w:t>
            </w:r>
          </w:p>
        </w:tc>
      </w:tr>
    </w:tbl>
    <w:p w14:paraId="35A1C4F6">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数据来源：</w:t>
      </w:r>
      <w:r>
        <w:rPr>
          <w:rFonts w:hint="default" w:ascii="Times New Roman" w:hAnsi="Times New Roman" w:eastAsia="宋体" w:cs="Times New Roman"/>
          <w:sz w:val="24"/>
          <w:szCs w:val="24"/>
          <w:lang w:val="en-US" w:eastAsia="zh-CN"/>
        </w:rPr>
        <w:t>finD</w:t>
      </w:r>
      <w:r>
        <w:rPr>
          <w:rFonts w:hint="default" w:ascii="Times New Roman" w:hAnsi="Times New Roman" w:eastAsia="宋体" w:cs="Times New Roman"/>
          <w:sz w:val="24"/>
          <w:szCs w:val="24"/>
        </w:rPr>
        <w:t>数据库整理</w:t>
      </w:r>
    </w:p>
    <w:p w14:paraId="79193AC9">
      <w:pPr>
        <w:autoSpaceDE/>
        <w:autoSpaceDN/>
        <w:snapToGrid/>
        <w:spacing w:before="156" w:beforeLines="50" w:after="156" w:afterLines="50" w:line="420" w:lineRule="exact"/>
        <w:ind w:firstLine="420" w:firstLineChars="0"/>
        <w:jc w:val="left"/>
        <w:outlineLvl w:val="2"/>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天地在线2020—2024年的ROE分别为14.2396%、5.1602%、0.3029%、-2.5578%和-6.9893%，呈现出最明显的持续恶化趋势。从杜邦分解看，公司销售净利率由2020年的3.21%降至2024年的-5.00%，总资产周转率由</w:t>
      </w:r>
      <w:r>
        <w:rPr>
          <w:rFonts w:hint="eastAsia" w:ascii="Times New Roman" w:hAnsi="Times New Roman" w:eastAsia="宋体" w:cs="Times New Roman"/>
          <w:kern w:val="2"/>
          <w:sz w:val="24"/>
          <w:szCs w:val="24"/>
          <w:lang w:val="en-US" w:eastAsia="zh-CN" w:bidi="ar-SA"/>
        </w:rPr>
        <w:t>268.1%</w:t>
      </w:r>
      <w:r>
        <w:rPr>
          <w:rFonts w:hint="default" w:ascii="Times New Roman" w:hAnsi="Times New Roman" w:eastAsia="宋体" w:cs="Times New Roman"/>
          <w:kern w:val="2"/>
          <w:sz w:val="24"/>
          <w:szCs w:val="24"/>
          <w:lang w:val="en-US" w:eastAsia="zh-CN" w:bidi="ar-SA"/>
        </w:rPr>
        <w:t>降至</w:t>
      </w:r>
      <w:r>
        <w:rPr>
          <w:rFonts w:hint="eastAsia" w:ascii="Times New Roman" w:hAnsi="Times New Roman" w:eastAsia="宋体" w:cs="Times New Roman"/>
          <w:kern w:val="2"/>
          <w:sz w:val="24"/>
          <w:szCs w:val="24"/>
          <w:lang w:val="en-US" w:eastAsia="zh-CN" w:bidi="ar-SA"/>
        </w:rPr>
        <w:t>106.2%</w:t>
      </w:r>
      <w:r>
        <w:rPr>
          <w:rFonts w:hint="default" w:ascii="Times New Roman" w:hAnsi="Times New Roman" w:eastAsia="宋体" w:cs="Times New Roman"/>
          <w:kern w:val="2"/>
          <w:sz w:val="24"/>
          <w:szCs w:val="24"/>
          <w:lang w:val="en-US" w:eastAsia="zh-CN" w:bidi="ar-SA"/>
        </w:rPr>
        <w:t>，权益乘数则始终维持在1.29—1.58之间，波动不大。这意味着，天地在线ROE转负并非杠杆扩张所致，而是利润率恶化和周转率下降同时发生的结果。</w:t>
      </w:r>
    </w:p>
    <w:p w14:paraId="45C0CA45">
      <w:pPr>
        <w:autoSpaceDE/>
        <w:autoSpaceDN/>
        <w:snapToGrid/>
        <w:spacing w:before="156" w:beforeLines="50" w:after="156" w:afterLines="50" w:line="420" w:lineRule="exact"/>
        <w:ind w:firstLine="420" w:firstLineChars="0"/>
        <w:jc w:val="left"/>
        <w:outlineLvl w:val="2"/>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从业务逻辑看，天地在线虽然被划为AI独立产品型企业，但其收入基础仍然以数字营销服务和数智化综合服务为主，AI数字人、XR直播、企业级SaaS和智能财税工具等新业务仍处于培育阶段。其问题并不在于完全缺少AI布局，而在于传统主业的利润率本来就较低，而新业务又尚未形成足够规模的收入支撑。在此基础上，公司资产周转率还从2</w:t>
      </w:r>
      <w:r>
        <w:rPr>
          <w:rFonts w:hint="eastAsia" w:ascii="Times New Roman" w:hAnsi="Times New Roman" w:eastAsia="宋体" w:cs="Times New Roman"/>
          <w:kern w:val="2"/>
          <w:sz w:val="24"/>
          <w:szCs w:val="24"/>
          <w:lang w:val="en-US" w:eastAsia="zh-CN" w:bidi="ar-SA"/>
        </w:rPr>
        <w:t>00%</w:t>
      </w:r>
      <w:r>
        <w:rPr>
          <w:rFonts w:hint="default" w:ascii="Times New Roman" w:hAnsi="Times New Roman" w:eastAsia="宋体" w:cs="Times New Roman"/>
          <w:kern w:val="2"/>
          <w:sz w:val="24"/>
          <w:szCs w:val="24"/>
          <w:lang w:val="en-US" w:eastAsia="zh-CN" w:bidi="ar-SA"/>
        </w:rPr>
        <w:t>以上持续下降到接近1</w:t>
      </w:r>
      <w:r>
        <w:rPr>
          <w:rFonts w:hint="eastAsia" w:ascii="Times New Roman" w:hAnsi="Times New Roman" w:eastAsia="宋体" w:cs="Times New Roman"/>
          <w:kern w:val="2"/>
          <w:sz w:val="24"/>
          <w:szCs w:val="24"/>
          <w:lang w:val="en-US" w:eastAsia="zh-CN" w:bidi="ar-SA"/>
        </w:rPr>
        <w:t>00%</w:t>
      </w:r>
      <w:r>
        <w:rPr>
          <w:rFonts w:hint="default" w:ascii="Times New Roman" w:hAnsi="Times New Roman" w:eastAsia="宋体" w:cs="Times New Roman"/>
          <w:kern w:val="2"/>
          <w:sz w:val="24"/>
          <w:szCs w:val="24"/>
          <w:lang w:val="en-US" w:eastAsia="zh-CN" w:bidi="ar-SA"/>
        </w:rPr>
        <w:t>，表明传统流量和营销类业务的收入放大能力也在减弱。QuestMobile关于营销市场的研究显示，当前数字营销市场整体仍保持投放活跃，但行业竞争持续深化，精准投放、闭环转化和内容营销成为主流，这意味着企业即使通过AI提升创意和投放效率，也不一定能够同步获得更高服务溢价。天地在线的ROE恶化，本质上反映的是低利润传统主业</w:t>
      </w:r>
      <w:r>
        <w:rPr>
          <w:rFonts w:hint="eastAsia" w:ascii="Times New Roman" w:hAnsi="Times New Roman" w:eastAsia="宋体" w:cs="Times New Roman"/>
          <w:kern w:val="2"/>
          <w:sz w:val="24"/>
          <w:szCs w:val="24"/>
          <w:lang w:val="en-US" w:eastAsia="zh-CN" w:bidi="ar-SA"/>
        </w:rPr>
        <w:t>、</w:t>
      </w:r>
      <w:r>
        <w:rPr>
          <w:rFonts w:hint="default" w:ascii="Times New Roman" w:hAnsi="Times New Roman" w:eastAsia="宋体" w:cs="Times New Roman"/>
          <w:kern w:val="2"/>
          <w:sz w:val="24"/>
          <w:szCs w:val="24"/>
          <w:lang w:val="en-US" w:eastAsia="zh-CN" w:bidi="ar-SA"/>
        </w:rPr>
        <w:t>新AI业务投入期</w:t>
      </w:r>
      <w:r>
        <w:rPr>
          <w:rFonts w:hint="eastAsia" w:ascii="Times New Roman" w:hAnsi="Times New Roman" w:eastAsia="宋体" w:cs="Times New Roman"/>
          <w:kern w:val="2"/>
          <w:sz w:val="24"/>
          <w:szCs w:val="24"/>
          <w:lang w:val="en-US" w:eastAsia="zh-CN" w:bidi="ar-SA"/>
        </w:rPr>
        <w:t>、</w:t>
      </w:r>
      <w:r>
        <w:rPr>
          <w:rFonts w:hint="default" w:ascii="Times New Roman" w:hAnsi="Times New Roman" w:eastAsia="宋体" w:cs="Times New Roman"/>
          <w:kern w:val="2"/>
          <w:sz w:val="24"/>
          <w:szCs w:val="24"/>
          <w:lang w:val="en-US" w:eastAsia="zh-CN" w:bidi="ar-SA"/>
        </w:rPr>
        <w:t>收入周转减弱的三重压力叠加。</w:t>
      </w:r>
    </w:p>
    <w:p w14:paraId="5FCD1C62">
      <w:pPr>
        <w:autoSpaceDE/>
        <w:autoSpaceDN/>
        <w:snapToGrid/>
        <w:spacing w:before="156" w:beforeLines="50" w:after="156" w:afterLines="50" w:line="420" w:lineRule="exact"/>
        <w:ind w:firstLine="420" w:firstLineChars="0"/>
        <w:jc w:val="left"/>
        <w:outlineLvl w:val="2"/>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综合来看，AI独立产品型企业内部的ROE差异，并不简单表现为产品型一定更高盈利，而是呈现出明显的分层结构：方直科技代表的是高利润率但周转偏低的教育AI产品模式，佳讯飞鸿代表的是利润率受项目实施周期和定制化成本压缩的行业解决方案模式，天地在线则代表传统主业承压且AI新业务尚未规模化的过渡型模式。三者共同说明，AI独立产品型企业虽然更容易形成高附加值产品，但若周转效率不足或商业化节奏滞后，ROE仍可能偏弱。</w:t>
      </w:r>
    </w:p>
    <w:p w14:paraId="62702BB8">
      <w:pPr>
        <w:autoSpaceDE/>
        <w:autoSpaceDN/>
        <w:snapToGrid/>
        <w:spacing w:before="156" w:beforeLines="50" w:after="156" w:afterLines="50" w:line="420" w:lineRule="exact"/>
        <w:jc w:val="left"/>
        <w:outlineLvl w:val="2"/>
        <w:rPr>
          <w:rFonts w:hint="default" w:ascii="Times New Roman" w:hAnsi="Times New Roman" w:eastAsia="黑体" w:cs="Times New Roman"/>
          <w:color w:val="000000"/>
          <w:kern w:val="0"/>
          <w:sz w:val="28"/>
          <w:szCs w:val="28"/>
          <w:lang w:val="en-US" w:eastAsia="zh-CN"/>
        </w:rPr>
      </w:pPr>
      <w:r>
        <w:rPr>
          <w:rFonts w:hint="default" w:ascii="Times New Roman" w:hAnsi="Times New Roman" w:eastAsia="黑体" w:cs="Times New Roman"/>
          <w:color w:val="000000"/>
          <w:kern w:val="0"/>
          <w:sz w:val="28"/>
          <w:szCs w:val="28"/>
          <w:lang w:val="en-US" w:eastAsia="zh-CN"/>
        </w:rPr>
        <w:t>4.2.4.2 AI业务赋能型企业净资产收益率分析</w:t>
      </w:r>
    </w:p>
    <w:p w14:paraId="07D9869F">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（1）巨人网络</w:t>
      </w:r>
    </w:p>
    <w:p w14:paraId="2A50A126">
      <w:pPr>
        <w:widowControl/>
        <w:tabs>
          <w:tab w:val="left" w:pos="377"/>
        </w:tabs>
        <w:autoSpaceDE/>
        <w:autoSpaceDN/>
        <w:snapToGrid/>
        <w:spacing w:before="156" w:beforeLines="50"/>
        <w:jc w:val="center"/>
        <w:rPr>
          <w:rFonts w:hint="default" w:ascii="Times New Roman" w:hAnsi="Times New Roman" w:eastAsia="宋体" w:cs="Times New Roman"/>
          <w:spacing w:val="10"/>
          <w:kern w:val="0"/>
          <w:szCs w:val="20"/>
          <w:lang w:val="en-US" w:eastAsia="zh-CN"/>
        </w:rPr>
      </w:pPr>
      <w:r>
        <w:rPr>
          <w:rFonts w:hint="default" w:ascii="Times New Roman" w:hAnsi="Times New Roman" w:eastAsia="宋体" w:cs="Times New Roman"/>
          <w:spacing w:val="10"/>
          <w:kern w:val="0"/>
          <w:szCs w:val="20"/>
          <w:lang w:val="en-US" w:eastAsia="zh-CN"/>
        </w:rPr>
        <w:t>表4-37 巨人网络杜邦指标拆解表</w:t>
      </w:r>
    </w:p>
    <w:tbl>
      <w:tblPr>
        <w:tblStyle w:val="7"/>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790"/>
        <w:gridCol w:w="1145"/>
        <w:gridCol w:w="1146"/>
        <w:gridCol w:w="1146"/>
        <w:gridCol w:w="1146"/>
        <w:gridCol w:w="1146"/>
      </w:tblGrid>
      <w:tr w14:paraId="1D6E8795">
        <w:trPr>
          <w:trHeight w:val="0" w:hRule="atLeast"/>
          <w:tblHeader/>
          <w:jc w:val="center"/>
        </w:trPr>
        <w:tc>
          <w:tcPr>
            <w:tcW w:w="2790" w:type="dxa"/>
            <w:tcBorders>
              <w:top w:val="single" w:color="auto" w:sz="12" w:space="0"/>
              <w:left w:val="nil"/>
              <w:bottom w:val="single" w:color="auto" w:sz="4" w:space="0"/>
              <w:right w:val="nil"/>
            </w:tcBorders>
            <w:shd w:val="clear" w:color="auto" w:fill="auto"/>
            <w:vAlign w:val="center"/>
          </w:tcPr>
          <w:p w14:paraId="008739D6">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指标</w:t>
            </w:r>
          </w:p>
        </w:tc>
        <w:tc>
          <w:tcPr>
            <w:tcW w:w="1145" w:type="dxa"/>
            <w:tcBorders>
              <w:top w:val="single" w:color="auto" w:sz="12" w:space="0"/>
              <w:left w:val="nil"/>
              <w:bottom w:val="single" w:color="auto" w:sz="4" w:space="0"/>
              <w:right w:val="nil"/>
            </w:tcBorders>
            <w:shd w:val="clear" w:color="auto" w:fill="auto"/>
            <w:vAlign w:val="center"/>
          </w:tcPr>
          <w:p w14:paraId="1DB9E002">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2020</w:t>
            </w:r>
          </w:p>
        </w:tc>
        <w:tc>
          <w:tcPr>
            <w:tcW w:w="1146" w:type="dxa"/>
            <w:tcBorders>
              <w:top w:val="single" w:color="auto" w:sz="12" w:space="0"/>
              <w:left w:val="nil"/>
              <w:bottom w:val="single" w:color="auto" w:sz="4" w:space="0"/>
              <w:right w:val="nil"/>
            </w:tcBorders>
            <w:shd w:val="clear" w:color="auto" w:fill="auto"/>
            <w:vAlign w:val="center"/>
          </w:tcPr>
          <w:p w14:paraId="135E067E">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2021</w:t>
            </w:r>
          </w:p>
        </w:tc>
        <w:tc>
          <w:tcPr>
            <w:tcW w:w="1146" w:type="dxa"/>
            <w:tcBorders>
              <w:top w:val="single" w:color="auto" w:sz="12" w:space="0"/>
              <w:left w:val="nil"/>
              <w:bottom w:val="single" w:color="auto" w:sz="4" w:space="0"/>
              <w:right w:val="nil"/>
            </w:tcBorders>
            <w:shd w:val="clear" w:color="auto" w:fill="auto"/>
            <w:vAlign w:val="center"/>
          </w:tcPr>
          <w:p w14:paraId="41B112CA">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2022</w:t>
            </w:r>
          </w:p>
        </w:tc>
        <w:tc>
          <w:tcPr>
            <w:tcW w:w="1146" w:type="dxa"/>
            <w:tcBorders>
              <w:top w:val="single" w:color="auto" w:sz="12" w:space="0"/>
              <w:left w:val="nil"/>
              <w:bottom w:val="single" w:color="auto" w:sz="4" w:space="0"/>
              <w:right w:val="nil"/>
            </w:tcBorders>
            <w:shd w:val="clear" w:color="auto" w:fill="auto"/>
            <w:vAlign w:val="center"/>
          </w:tcPr>
          <w:p w14:paraId="62BE4252">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2023</w:t>
            </w:r>
          </w:p>
        </w:tc>
        <w:tc>
          <w:tcPr>
            <w:tcW w:w="1146" w:type="dxa"/>
            <w:tcBorders>
              <w:top w:val="single" w:color="auto" w:sz="12" w:space="0"/>
              <w:left w:val="nil"/>
              <w:bottom w:val="single" w:color="auto" w:sz="4" w:space="0"/>
              <w:right w:val="nil"/>
            </w:tcBorders>
            <w:shd w:val="clear" w:color="auto" w:fill="auto"/>
            <w:vAlign w:val="center"/>
          </w:tcPr>
          <w:p w14:paraId="714DCA08">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2024</w:t>
            </w:r>
          </w:p>
        </w:tc>
      </w:tr>
      <w:tr w14:paraId="18999430">
        <w:trPr>
          <w:trHeight w:val="0" w:hRule="atLeast"/>
          <w:jc w:val="center"/>
        </w:trPr>
        <w:tc>
          <w:tcPr>
            <w:tcW w:w="2790" w:type="dxa"/>
            <w:tcBorders>
              <w:top w:val="single" w:color="auto" w:sz="4" w:space="0"/>
              <w:left w:val="nil"/>
              <w:bottom w:val="nil"/>
              <w:right w:val="nil"/>
            </w:tcBorders>
            <w:shd w:val="clear" w:color="auto" w:fill="auto"/>
            <w:vAlign w:val="center"/>
          </w:tcPr>
          <w:p w14:paraId="3F93D04F">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ROE(%)</w:t>
            </w:r>
          </w:p>
        </w:tc>
        <w:tc>
          <w:tcPr>
            <w:tcW w:w="1145" w:type="dxa"/>
            <w:tcBorders>
              <w:top w:val="single" w:color="auto" w:sz="4" w:space="0"/>
              <w:left w:val="nil"/>
              <w:bottom w:val="nil"/>
              <w:right w:val="nil"/>
            </w:tcBorders>
            <w:shd w:val="clear" w:color="auto" w:fill="auto"/>
            <w:vAlign w:val="bottom"/>
          </w:tcPr>
          <w:p w14:paraId="1C09164C">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11.77</w:t>
            </w:r>
          </w:p>
        </w:tc>
        <w:tc>
          <w:tcPr>
            <w:tcW w:w="1146" w:type="dxa"/>
            <w:tcBorders>
              <w:top w:val="single" w:color="auto" w:sz="4" w:space="0"/>
              <w:left w:val="nil"/>
              <w:bottom w:val="nil"/>
              <w:right w:val="nil"/>
            </w:tcBorders>
            <w:shd w:val="clear" w:color="auto" w:fill="auto"/>
            <w:vAlign w:val="bottom"/>
          </w:tcPr>
          <w:p w14:paraId="3273FFF2">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9.94</w:t>
            </w:r>
          </w:p>
        </w:tc>
        <w:tc>
          <w:tcPr>
            <w:tcW w:w="1146" w:type="dxa"/>
            <w:tcBorders>
              <w:top w:val="single" w:color="auto" w:sz="4" w:space="0"/>
              <w:left w:val="nil"/>
              <w:bottom w:val="nil"/>
              <w:right w:val="nil"/>
            </w:tcBorders>
            <w:shd w:val="clear" w:color="auto" w:fill="auto"/>
            <w:vAlign w:val="bottom"/>
          </w:tcPr>
          <w:p w14:paraId="4F060D87">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7.60</w:t>
            </w:r>
          </w:p>
        </w:tc>
        <w:tc>
          <w:tcPr>
            <w:tcW w:w="1146" w:type="dxa"/>
            <w:tcBorders>
              <w:top w:val="single" w:color="auto" w:sz="4" w:space="0"/>
              <w:left w:val="nil"/>
              <w:bottom w:val="nil"/>
              <w:right w:val="nil"/>
            </w:tcBorders>
            <w:shd w:val="clear" w:color="auto" w:fill="auto"/>
            <w:vAlign w:val="bottom"/>
          </w:tcPr>
          <w:p w14:paraId="241278B2">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9.23</w:t>
            </w:r>
          </w:p>
        </w:tc>
        <w:tc>
          <w:tcPr>
            <w:tcW w:w="1146" w:type="dxa"/>
            <w:tcBorders>
              <w:top w:val="single" w:color="auto" w:sz="4" w:space="0"/>
              <w:left w:val="nil"/>
              <w:bottom w:val="nil"/>
              <w:right w:val="nil"/>
            </w:tcBorders>
            <w:shd w:val="clear" w:color="auto" w:fill="auto"/>
            <w:vAlign w:val="bottom"/>
          </w:tcPr>
          <w:p w14:paraId="18A75D5A">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11.63</w:t>
            </w:r>
          </w:p>
        </w:tc>
      </w:tr>
      <w:tr w14:paraId="7B7C63A5">
        <w:trPr>
          <w:trHeight w:val="0" w:hRule="atLeast"/>
          <w:jc w:val="center"/>
        </w:trPr>
        <w:tc>
          <w:tcPr>
            <w:tcW w:w="2790" w:type="dxa"/>
            <w:tcBorders>
              <w:top w:val="nil"/>
              <w:left w:val="nil"/>
              <w:bottom w:val="nil"/>
              <w:right w:val="nil"/>
            </w:tcBorders>
            <w:shd w:val="clear" w:color="auto" w:fill="auto"/>
            <w:vAlign w:val="center"/>
          </w:tcPr>
          <w:p w14:paraId="35F22566">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销售净利率(%)</w:t>
            </w:r>
          </w:p>
        </w:tc>
        <w:tc>
          <w:tcPr>
            <w:tcW w:w="1145" w:type="dxa"/>
            <w:tcBorders>
              <w:top w:val="nil"/>
              <w:left w:val="nil"/>
              <w:bottom w:val="nil"/>
              <w:right w:val="nil"/>
            </w:tcBorders>
            <w:shd w:val="clear" w:color="auto" w:fill="auto"/>
            <w:vAlign w:val="center"/>
          </w:tcPr>
          <w:p w14:paraId="58DE4000">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46.94</w:t>
            </w:r>
          </w:p>
        </w:tc>
        <w:tc>
          <w:tcPr>
            <w:tcW w:w="1146" w:type="dxa"/>
            <w:tcBorders>
              <w:top w:val="nil"/>
              <w:left w:val="nil"/>
              <w:bottom w:val="nil"/>
              <w:right w:val="nil"/>
            </w:tcBorders>
            <w:shd w:val="clear" w:color="auto" w:fill="auto"/>
            <w:vAlign w:val="center"/>
          </w:tcPr>
          <w:p w14:paraId="4BF5C3F9">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46.58</w:t>
            </w:r>
          </w:p>
        </w:tc>
        <w:tc>
          <w:tcPr>
            <w:tcW w:w="1146" w:type="dxa"/>
            <w:tcBorders>
              <w:top w:val="nil"/>
              <w:left w:val="nil"/>
              <w:bottom w:val="nil"/>
              <w:right w:val="nil"/>
            </w:tcBorders>
            <w:shd w:val="clear" w:color="auto" w:fill="auto"/>
            <w:vAlign w:val="center"/>
          </w:tcPr>
          <w:p w14:paraId="5988224D">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40.92</w:t>
            </w:r>
          </w:p>
        </w:tc>
        <w:tc>
          <w:tcPr>
            <w:tcW w:w="1146" w:type="dxa"/>
            <w:tcBorders>
              <w:top w:val="nil"/>
              <w:left w:val="nil"/>
              <w:bottom w:val="nil"/>
              <w:right w:val="nil"/>
            </w:tcBorders>
            <w:shd w:val="clear" w:color="auto" w:fill="auto"/>
            <w:vAlign w:val="center"/>
          </w:tcPr>
          <w:p w14:paraId="14199F2A">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37.34</w:t>
            </w:r>
          </w:p>
        </w:tc>
        <w:tc>
          <w:tcPr>
            <w:tcW w:w="1146" w:type="dxa"/>
            <w:tcBorders>
              <w:top w:val="nil"/>
              <w:left w:val="nil"/>
              <w:bottom w:val="nil"/>
              <w:right w:val="nil"/>
            </w:tcBorders>
            <w:shd w:val="clear" w:color="auto" w:fill="auto"/>
            <w:vAlign w:val="center"/>
          </w:tcPr>
          <w:p w14:paraId="22BD1B86">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48.96</w:t>
            </w:r>
          </w:p>
        </w:tc>
      </w:tr>
      <w:tr w14:paraId="3509CD20">
        <w:trPr>
          <w:trHeight w:val="0" w:hRule="atLeast"/>
          <w:jc w:val="center"/>
        </w:trPr>
        <w:tc>
          <w:tcPr>
            <w:tcW w:w="2790" w:type="dxa"/>
            <w:tcBorders>
              <w:top w:val="nil"/>
              <w:left w:val="nil"/>
              <w:bottom w:val="nil"/>
              <w:right w:val="nil"/>
            </w:tcBorders>
            <w:shd w:val="clear" w:color="auto" w:fill="auto"/>
            <w:vAlign w:val="center"/>
          </w:tcPr>
          <w:p w14:paraId="57C0411B">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总资产周转率(%)</w:t>
            </w:r>
          </w:p>
        </w:tc>
        <w:tc>
          <w:tcPr>
            <w:tcW w:w="1145" w:type="dxa"/>
            <w:tcBorders>
              <w:top w:val="nil"/>
              <w:left w:val="nil"/>
              <w:bottom w:val="nil"/>
              <w:right w:val="nil"/>
            </w:tcBorders>
            <w:shd w:val="clear" w:color="auto" w:fill="auto"/>
            <w:vAlign w:val="center"/>
          </w:tcPr>
          <w:p w14:paraId="77E88AC6">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21.3</w:t>
            </w:r>
          </w:p>
        </w:tc>
        <w:tc>
          <w:tcPr>
            <w:tcW w:w="1146" w:type="dxa"/>
            <w:tcBorders>
              <w:top w:val="nil"/>
              <w:left w:val="nil"/>
              <w:bottom w:val="nil"/>
              <w:right w:val="nil"/>
            </w:tcBorders>
            <w:shd w:val="clear" w:color="auto" w:fill="auto"/>
            <w:vAlign w:val="center"/>
          </w:tcPr>
          <w:p w14:paraId="237A4329">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18.7</w:t>
            </w:r>
          </w:p>
        </w:tc>
        <w:tc>
          <w:tcPr>
            <w:tcW w:w="1146" w:type="dxa"/>
            <w:tcBorders>
              <w:top w:val="nil"/>
              <w:left w:val="nil"/>
              <w:bottom w:val="nil"/>
              <w:right w:val="nil"/>
            </w:tcBorders>
            <w:shd w:val="clear" w:color="auto" w:fill="auto"/>
            <w:vAlign w:val="center"/>
          </w:tcPr>
          <w:p w14:paraId="55E630B2">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16.2</w:t>
            </w:r>
          </w:p>
        </w:tc>
        <w:tc>
          <w:tcPr>
            <w:tcW w:w="1146" w:type="dxa"/>
            <w:tcBorders>
              <w:top w:val="nil"/>
              <w:left w:val="nil"/>
              <w:bottom w:val="nil"/>
              <w:right w:val="nil"/>
            </w:tcBorders>
            <w:shd w:val="clear" w:color="auto" w:fill="auto"/>
            <w:vAlign w:val="center"/>
          </w:tcPr>
          <w:p w14:paraId="145CE13C">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22</w:t>
            </w:r>
          </w:p>
        </w:tc>
        <w:tc>
          <w:tcPr>
            <w:tcW w:w="1146" w:type="dxa"/>
            <w:tcBorders>
              <w:top w:val="nil"/>
              <w:left w:val="nil"/>
              <w:bottom w:val="nil"/>
              <w:right w:val="nil"/>
            </w:tcBorders>
            <w:shd w:val="clear" w:color="auto" w:fill="auto"/>
            <w:vAlign w:val="center"/>
          </w:tcPr>
          <w:p w14:paraId="7E7430D7">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20.8</w:t>
            </w:r>
          </w:p>
        </w:tc>
      </w:tr>
      <w:tr w14:paraId="288EBBC1">
        <w:trPr>
          <w:trHeight w:val="0" w:hRule="atLeast"/>
          <w:jc w:val="center"/>
        </w:trPr>
        <w:tc>
          <w:tcPr>
            <w:tcW w:w="2790" w:type="dxa"/>
            <w:tcBorders>
              <w:top w:val="nil"/>
              <w:left w:val="nil"/>
              <w:bottom w:val="single" w:color="auto" w:sz="12" w:space="0"/>
              <w:right w:val="nil"/>
            </w:tcBorders>
            <w:shd w:val="clear" w:color="auto" w:fill="auto"/>
            <w:vAlign w:val="center"/>
          </w:tcPr>
          <w:p w14:paraId="7E6A9C35">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权益乘数</w:t>
            </w:r>
          </w:p>
        </w:tc>
        <w:tc>
          <w:tcPr>
            <w:tcW w:w="1145" w:type="dxa"/>
            <w:tcBorders>
              <w:top w:val="nil"/>
              <w:left w:val="nil"/>
              <w:bottom w:val="single" w:color="auto" w:sz="12" w:space="0"/>
              <w:right w:val="nil"/>
            </w:tcBorders>
            <w:shd w:val="clear" w:color="auto" w:fill="auto"/>
            <w:vAlign w:val="center"/>
          </w:tcPr>
          <w:p w14:paraId="5A940A61">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1.138</w:t>
            </w:r>
          </w:p>
        </w:tc>
        <w:tc>
          <w:tcPr>
            <w:tcW w:w="1146" w:type="dxa"/>
            <w:tcBorders>
              <w:top w:val="nil"/>
              <w:left w:val="nil"/>
              <w:bottom w:val="single" w:color="auto" w:sz="12" w:space="0"/>
              <w:right w:val="nil"/>
            </w:tcBorders>
            <w:shd w:val="clear" w:color="auto" w:fill="auto"/>
            <w:vAlign w:val="center"/>
          </w:tcPr>
          <w:p w14:paraId="28356BE9">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1.126</w:t>
            </w:r>
          </w:p>
        </w:tc>
        <w:tc>
          <w:tcPr>
            <w:tcW w:w="1146" w:type="dxa"/>
            <w:tcBorders>
              <w:top w:val="nil"/>
              <w:left w:val="nil"/>
              <w:bottom w:val="single" w:color="auto" w:sz="12" w:space="0"/>
              <w:right w:val="nil"/>
            </w:tcBorders>
            <w:shd w:val="clear" w:color="auto" w:fill="auto"/>
            <w:vAlign w:val="center"/>
          </w:tcPr>
          <w:p w14:paraId="3CAE80F5">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1.11</w:t>
            </w:r>
          </w:p>
        </w:tc>
        <w:tc>
          <w:tcPr>
            <w:tcW w:w="1146" w:type="dxa"/>
            <w:tcBorders>
              <w:top w:val="nil"/>
              <w:left w:val="nil"/>
              <w:bottom w:val="single" w:color="auto" w:sz="12" w:space="0"/>
              <w:right w:val="nil"/>
            </w:tcBorders>
            <w:shd w:val="clear" w:color="auto" w:fill="auto"/>
            <w:vAlign w:val="center"/>
          </w:tcPr>
          <w:p w14:paraId="6B915E6D">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1.14</w:t>
            </w:r>
          </w:p>
        </w:tc>
        <w:tc>
          <w:tcPr>
            <w:tcW w:w="1146" w:type="dxa"/>
            <w:tcBorders>
              <w:top w:val="nil"/>
              <w:left w:val="nil"/>
              <w:bottom w:val="single" w:color="auto" w:sz="12" w:space="0"/>
              <w:right w:val="nil"/>
            </w:tcBorders>
            <w:shd w:val="clear" w:color="auto" w:fill="auto"/>
            <w:vAlign w:val="center"/>
          </w:tcPr>
          <w:p w14:paraId="2306E069">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1.146</w:t>
            </w:r>
          </w:p>
        </w:tc>
      </w:tr>
    </w:tbl>
    <w:p w14:paraId="795EB204">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数据来源：</w:t>
      </w:r>
      <w:r>
        <w:rPr>
          <w:rFonts w:hint="default" w:ascii="Times New Roman" w:hAnsi="Times New Roman" w:eastAsia="宋体" w:cs="Times New Roman"/>
          <w:sz w:val="24"/>
          <w:szCs w:val="24"/>
          <w:lang w:val="en-US" w:eastAsia="zh-CN"/>
        </w:rPr>
        <w:t>finD</w:t>
      </w:r>
      <w:r>
        <w:rPr>
          <w:rFonts w:hint="default" w:ascii="Times New Roman" w:hAnsi="Times New Roman" w:eastAsia="宋体" w:cs="Times New Roman"/>
          <w:sz w:val="24"/>
          <w:szCs w:val="24"/>
        </w:rPr>
        <w:t>数据库整理</w:t>
      </w:r>
    </w:p>
    <w:p w14:paraId="6A4371FD">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巨人网络2020—2024年的ROE分别为11.7749%、9.9376%、7.5964%、9.2284%和11.6263%，整体维持在较高水平，并在2024年显著回升。杜邦分解显示，公司销售净利率长期处于高位，五年分别为46.94%、46.58%、40.92%、37.34%和48.96%；总资产周转率则较低，仅在</w:t>
      </w:r>
      <w:r>
        <w:rPr>
          <w:rFonts w:hint="eastAsia" w:ascii="Times New Roman" w:hAnsi="Times New Roman" w:eastAsia="宋体" w:cs="Times New Roman"/>
          <w:kern w:val="2"/>
          <w:sz w:val="24"/>
          <w:szCs w:val="24"/>
          <w:lang w:val="en-US" w:eastAsia="zh-CN" w:bidi="ar-SA"/>
        </w:rPr>
        <w:t>16.2%</w:t>
      </w:r>
      <w:r>
        <w:rPr>
          <w:rFonts w:hint="default" w:ascii="Times New Roman" w:hAnsi="Times New Roman" w:eastAsia="宋体"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22%</w:t>
      </w:r>
      <w:r>
        <w:rPr>
          <w:rFonts w:hint="default" w:ascii="Times New Roman" w:hAnsi="Times New Roman" w:eastAsia="宋体" w:cs="Times New Roman"/>
          <w:kern w:val="2"/>
          <w:sz w:val="24"/>
          <w:szCs w:val="24"/>
          <w:lang w:val="en-US" w:eastAsia="zh-CN" w:bidi="ar-SA"/>
        </w:rPr>
        <w:t>之间波动；权益乘数始终稳定在1.11—1.15之间。这说明，巨人网络的高ROE并非依赖高杠杆或高周转，而主要依赖极强的利润率水平。</w:t>
      </w:r>
    </w:p>
    <w:p w14:paraId="02F6DFA4">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这一点与其主业属性高度一致。巨人网络的AI应用主要体现在AI原生玩法、智能NPC、游戏AI大模型、AI美术生产平台和智能音频管理系统等方面，AI并非独立对外销售，而是深度嵌入游戏研发和运营流程。游戏业务本身属于高毛利行业，产品一旦形成成熟内容和付费生态，边际成本相对较低；AI进一步提升了美术生产、内容迭代、玩家运营和系统优化效率，从而强化原有主业盈利能力，而不是另起一条AI收入线。因此，巨人网络高ROE的根本来源不是AI独立变现，而是高利润主业</w:t>
      </w:r>
      <w:r>
        <w:rPr>
          <w:rFonts w:hint="eastAsia" w:ascii="Times New Roman" w:hAnsi="Times New Roman" w:eastAsia="宋体" w:cs="Times New Roman"/>
          <w:kern w:val="2"/>
          <w:sz w:val="24"/>
          <w:szCs w:val="24"/>
          <w:lang w:val="en-US" w:eastAsia="zh-CN" w:bidi="ar-SA"/>
        </w:rPr>
        <w:t>和</w:t>
      </w:r>
      <w:r>
        <w:rPr>
          <w:rFonts w:hint="default" w:ascii="Times New Roman" w:hAnsi="Times New Roman" w:eastAsia="宋体" w:cs="Times New Roman"/>
          <w:kern w:val="2"/>
          <w:sz w:val="24"/>
          <w:szCs w:val="24"/>
          <w:lang w:val="en-US" w:eastAsia="zh-CN" w:bidi="ar-SA"/>
        </w:rPr>
        <w:t>AI提效</w:t>
      </w:r>
      <w:r>
        <w:rPr>
          <w:rFonts w:hint="eastAsia" w:ascii="Times New Roman" w:hAnsi="Times New Roman" w:eastAsia="宋体" w:cs="Times New Roman"/>
          <w:kern w:val="2"/>
          <w:sz w:val="24"/>
          <w:szCs w:val="24"/>
          <w:lang w:val="en-US" w:eastAsia="zh-CN" w:bidi="ar-SA"/>
        </w:rPr>
        <w:t>并行</w:t>
      </w:r>
      <w:r>
        <w:rPr>
          <w:rFonts w:hint="default" w:ascii="Times New Roman" w:hAnsi="Times New Roman" w:eastAsia="宋体" w:cs="Times New Roman"/>
          <w:kern w:val="2"/>
          <w:sz w:val="24"/>
          <w:szCs w:val="24"/>
          <w:lang w:val="en-US" w:eastAsia="zh-CN" w:bidi="ar-SA"/>
        </w:rPr>
        <w:t>。这类企业的结论是</w:t>
      </w:r>
      <w:r>
        <w:rPr>
          <w:rFonts w:hint="eastAsia" w:ascii="Times New Roman" w:hAnsi="Times New Roman" w:eastAsia="宋体" w:cs="Times New Roman"/>
          <w:kern w:val="2"/>
          <w:sz w:val="24"/>
          <w:szCs w:val="24"/>
          <w:lang w:val="en-US" w:eastAsia="zh-CN" w:bidi="ar-SA"/>
        </w:rPr>
        <w:t>，</w:t>
      </w:r>
      <w:r>
        <w:rPr>
          <w:rFonts w:hint="default" w:ascii="Times New Roman" w:hAnsi="Times New Roman" w:eastAsia="宋体" w:cs="Times New Roman"/>
          <w:kern w:val="2"/>
          <w:sz w:val="24"/>
          <w:szCs w:val="24"/>
          <w:lang w:val="en-US" w:eastAsia="zh-CN" w:bidi="ar-SA"/>
        </w:rPr>
        <w:t>当AI赋能对象本身就具有较强盈利能力时，AI可以显著提高股东回报。</w:t>
      </w:r>
    </w:p>
    <w:p w14:paraId="54C5E343">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（2）世纪天鸿</w:t>
      </w:r>
    </w:p>
    <w:p w14:paraId="1F600E4B">
      <w:pPr>
        <w:widowControl/>
        <w:tabs>
          <w:tab w:val="left" w:pos="377"/>
        </w:tabs>
        <w:autoSpaceDE/>
        <w:autoSpaceDN/>
        <w:snapToGrid/>
        <w:spacing w:before="156" w:beforeLines="50"/>
        <w:jc w:val="center"/>
        <w:rPr>
          <w:rFonts w:hint="default" w:ascii="Times New Roman" w:hAnsi="Times New Roman" w:eastAsia="宋体" w:cs="Times New Roman"/>
          <w:spacing w:val="10"/>
          <w:kern w:val="0"/>
          <w:szCs w:val="20"/>
          <w:lang w:val="en-US" w:eastAsia="zh-CN"/>
        </w:rPr>
      </w:pPr>
      <w:r>
        <w:rPr>
          <w:rFonts w:hint="default" w:ascii="Times New Roman" w:hAnsi="Times New Roman" w:eastAsia="宋体" w:cs="Times New Roman"/>
          <w:spacing w:val="10"/>
          <w:kern w:val="0"/>
          <w:szCs w:val="20"/>
          <w:lang w:val="en-US" w:eastAsia="zh-CN"/>
        </w:rPr>
        <w:t>表4-38 世纪天鸿杜邦指标拆解表</w:t>
      </w:r>
    </w:p>
    <w:tbl>
      <w:tblPr>
        <w:tblStyle w:val="7"/>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790"/>
        <w:gridCol w:w="1145"/>
        <w:gridCol w:w="1146"/>
        <w:gridCol w:w="1146"/>
        <w:gridCol w:w="1146"/>
        <w:gridCol w:w="1146"/>
      </w:tblGrid>
      <w:tr w14:paraId="1098587B">
        <w:trPr>
          <w:trHeight w:val="0" w:hRule="atLeast"/>
          <w:tblHeader/>
          <w:jc w:val="center"/>
        </w:trPr>
        <w:tc>
          <w:tcPr>
            <w:tcW w:w="2790" w:type="dxa"/>
            <w:tcBorders>
              <w:top w:val="single" w:color="auto" w:sz="12" w:space="0"/>
              <w:left w:val="nil"/>
              <w:bottom w:val="single" w:color="auto" w:sz="4" w:space="0"/>
              <w:right w:val="nil"/>
            </w:tcBorders>
            <w:shd w:val="clear" w:color="auto" w:fill="auto"/>
            <w:vAlign w:val="center"/>
          </w:tcPr>
          <w:p w14:paraId="1B02DB04">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指标</w:t>
            </w:r>
          </w:p>
        </w:tc>
        <w:tc>
          <w:tcPr>
            <w:tcW w:w="1145" w:type="dxa"/>
            <w:tcBorders>
              <w:top w:val="single" w:color="auto" w:sz="12" w:space="0"/>
              <w:left w:val="nil"/>
              <w:bottom w:val="single" w:color="auto" w:sz="4" w:space="0"/>
              <w:right w:val="nil"/>
            </w:tcBorders>
            <w:shd w:val="clear" w:color="auto" w:fill="auto"/>
            <w:vAlign w:val="center"/>
          </w:tcPr>
          <w:p w14:paraId="530C5A7D">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2020</w:t>
            </w:r>
          </w:p>
        </w:tc>
        <w:tc>
          <w:tcPr>
            <w:tcW w:w="1146" w:type="dxa"/>
            <w:tcBorders>
              <w:top w:val="single" w:color="auto" w:sz="12" w:space="0"/>
              <w:left w:val="nil"/>
              <w:bottom w:val="single" w:color="auto" w:sz="4" w:space="0"/>
              <w:right w:val="nil"/>
            </w:tcBorders>
            <w:shd w:val="clear" w:color="auto" w:fill="auto"/>
            <w:vAlign w:val="center"/>
          </w:tcPr>
          <w:p w14:paraId="767B7295">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2021</w:t>
            </w:r>
          </w:p>
        </w:tc>
        <w:tc>
          <w:tcPr>
            <w:tcW w:w="1146" w:type="dxa"/>
            <w:tcBorders>
              <w:top w:val="single" w:color="auto" w:sz="12" w:space="0"/>
              <w:left w:val="nil"/>
              <w:bottom w:val="single" w:color="auto" w:sz="4" w:space="0"/>
              <w:right w:val="nil"/>
            </w:tcBorders>
            <w:shd w:val="clear" w:color="auto" w:fill="auto"/>
            <w:vAlign w:val="center"/>
          </w:tcPr>
          <w:p w14:paraId="194D8DF7">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2022</w:t>
            </w:r>
          </w:p>
        </w:tc>
        <w:tc>
          <w:tcPr>
            <w:tcW w:w="1146" w:type="dxa"/>
            <w:tcBorders>
              <w:top w:val="single" w:color="auto" w:sz="12" w:space="0"/>
              <w:left w:val="nil"/>
              <w:bottom w:val="single" w:color="auto" w:sz="4" w:space="0"/>
              <w:right w:val="nil"/>
            </w:tcBorders>
            <w:shd w:val="clear" w:color="auto" w:fill="auto"/>
            <w:vAlign w:val="center"/>
          </w:tcPr>
          <w:p w14:paraId="63DD5808">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2023</w:t>
            </w:r>
          </w:p>
        </w:tc>
        <w:tc>
          <w:tcPr>
            <w:tcW w:w="1146" w:type="dxa"/>
            <w:tcBorders>
              <w:top w:val="single" w:color="auto" w:sz="12" w:space="0"/>
              <w:left w:val="nil"/>
              <w:bottom w:val="single" w:color="auto" w:sz="4" w:space="0"/>
              <w:right w:val="nil"/>
            </w:tcBorders>
            <w:shd w:val="clear" w:color="auto" w:fill="auto"/>
            <w:vAlign w:val="center"/>
          </w:tcPr>
          <w:p w14:paraId="6CB0602D">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2024</w:t>
            </w:r>
          </w:p>
        </w:tc>
      </w:tr>
      <w:tr w14:paraId="48E8C6EF">
        <w:trPr>
          <w:trHeight w:val="0" w:hRule="atLeast"/>
          <w:jc w:val="center"/>
        </w:trPr>
        <w:tc>
          <w:tcPr>
            <w:tcW w:w="2790" w:type="dxa"/>
            <w:tcBorders>
              <w:top w:val="single" w:color="auto" w:sz="4" w:space="0"/>
              <w:left w:val="nil"/>
              <w:bottom w:val="nil"/>
              <w:right w:val="nil"/>
            </w:tcBorders>
            <w:shd w:val="clear" w:color="auto" w:fill="auto"/>
            <w:vAlign w:val="center"/>
          </w:tcPr>
          <w:p w14:paraId="1C7B1FD6">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ROE(%)</w:t>
            </w:r>
          </w:p>
        </w:tc>
        <w:tc>
          <w:tcPr>
            <w:tcW w:w="1145" w:type="dxa"/>
            <w:tcBorders>
              <w:top w:val="single" w:color="auto" w:sz="4" w:space="0"/>
              <w:left w:val="nil"/>
              <w:bottom w:val="nil"/>
              <w:right w:val="nil"/>
            </w:tcBorders>
            <w:shd w:val="clear" w:color="auto" w:fill="auto"/>
            <w:vAlign w:val="bottom"/>
          </w:tcPr>
          <w:p w14:paraId="44D9BCDC">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6.90</w:t>
            </w:r>
          </w:p>
        </w:tc>
        <w:tc>
          <w:tcPr>
            <w:tcW w:w="1146" w:type="dxa"/>
            <w:tcBorders>
              <w:top w:val="single" w:color="auto" w:sz="4" w:space="0"/>
              <w:left w:val="nil"/>
              <w:bottom w:val="nil"/>
              <w:right w:val="nil"/>
            </w:tcBorders>
            <w:shd w:val="clear" w:color="auto" w:fill="auto"/>
            <w:vAlign w:val="bottom"/>
          </w:tcPr>
          <w:p w14:paraId="365C4150">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6.89</w:t>
            </w:r>
          </w:p>
        </w:tc>
        <w:tc>
          <w:tcPr>
            <w:tcW w:w="1146" w:type="dxa"/>
            <w:tcBorders>
              <w:top w:val="single" w:color="auto" w:sz="4" w:space="0"/>
              <w:left w:val="nil"/>
              <w:bottom w:val="nil"/>
              <w:right w:val="nil"/>
            </w:tcBorders>
            <w:shd w:val="clear" w:color="auto" w:fill="auto"/>
            <w:vAlign w:val="bottom"/>
          </w:tcPr>
          <w:p w14:paraId="63EE0BF0">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5.52</w:t>
            </w:r>
          </w:p>
        </w:tc>
        <w:tc>
          <w:tcPr>
            <w:tcW w:w="1146" w:type="dxa"/>
            <w:tcBorders>
              <w:top w:val="single" w:color="auto" w:sz="4" w:space="0"/>
              <w:left w:val="nil"/>
              <w:bottom w:val="nil"/>
              <w:right w:val="nil"/>
            </w:tcBorders>
            <w:shd w:val="clear" w:color="auto" w:fill="auto"/>
            <w:vAlign w:val="bottom"/>
          </w:tcPr>
          <w:p w14:paraId="0C195C82">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5.30</w:t>
            </w:r>
          </w:p>
        </w:tc>
        <w:tc>
          <w:tcPr>
            <w:tcW w:w="1146" w:type="dxa"/>
            <w:tcBorders>
              <w:top w:val="single" w:color="auto" w:sz="4" w:space="0"/>
              <w:left w:val="nil"/>
              <w:bottom w:val="nil"/>
              <w:right w:val="nil"/>
            </w:tcBorders>
            <w:shd w:val="clear" w:color="auto" w:fill="auto"/>
            <w:vAlign w:val="bottom"/>
          </w:tcPr>
          <w:p w14:paraId="5243709C">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5.15</w:t>
            </w:r>
          </w:p>
        </w:tc>
      </w:tr>
      <w:tr w14:paraId="0C1E4AE8">
        <w:trPr>
          <w:trHeight w:val="0" w:hRule="atLeast"/>
          <w:jc w:val="center"/>
        </w:trPr>
        <w:tc>
          <w:tcPr>
            <w:tcW w:w="2790" w:type="dxa"/>
            <w:tcBorders>
              <w:top w:val="nil"/>
              <w:left w:val="nil"/>
              <w:bottom w:val="nil"/>
              <w:right w:val="nil"/>
            </w:tcBorders>
            <w:shd w:val="clear" w:color="auto" w:fill="auto"/>
            <w:vAlign w:val="center"/>
          </w:tcPr>
          <w:p w14:paraId="2AD2886A">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销售净利率(%)</w:t>
            </w:r>
          </w:p>
        </w:tc>
        <w:tc>
          <w:tcPr>
            <w:tcW w:w="1145" w:type="dxa"/>
            <w:tcBorders>
              <w:top w:val="nil"/>
              <w:left w:val="nil"/>
              <w:bottom w:val="nil"/>
              <w:right w:val="nil"/>
            </w:tcBorders>
            <w:shd w:val="clear" w:color="auto" w:fill="auto"/>
            <w:vAlign w:val="center"/>
          </w:tcPr>
          <w:p w14:paraId="3664948D">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9.32</w:t>
            </w:r>
          </w:p>
        </w:tc>
        <w:tc>
          <w:tcPr>
            <w:tcW w:w="1146" w:type="dxa"/>
            <w:tcBorders>
              <w:top w:val="nil"/>
              <w:left w:val="nil"/>
              <w:bottom w:val="nil"/>
              <w:right w:val="nil"/>
            </w:tcBorders>
            <w:shd w:val="clear" w:color="auto" w:fill="auto"/>
            <w:vAlign w:val="center"/>
          </w:tcPr>
          <w:p w14:paraId="01CC460C">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8.66</w:t>
            </w:r>
          </w:p>
        </w:tc>
        <w:tc>
          <w:tcPr>
            <w:tcW w:w="1146" w:type="dxa"/>
            <w:tcBorders>
              <w:top w:val="nil"/>
              <w:left w:val="nil"/>
              <w:bottom w:val="nil"/>
              <w:right w:val="nil"/>
            </w:tcBorders>
            <w:shd w:val="clear" w:color="auto" w:fill="auto"/>
            <w:vAlign w:val="center"/>
          </w:tcPr>
          <w:p w14:paraId="29F618F9">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8.47</w:t>
            </w:r>
          </w:p>
        </w:tc>
        <w:tc>
          <w:tcPr>
            <w:tcW w:w="1146" w:type="dxa"/>
            <w:tcBorders>
              <w:top w:val="nil"/>
              <w:left w:val="nil"/>
              <w:bottom w:val="nil"/>
              <w:right w:val="nil"/>
            </w:tcBorders>
            <w:shd w:val="clear" w:color="auto" w:fill="auto"/>
            <w:vAlign w:val="center"/>
          </w:tcPr>
          <w:p w14:paraId="54B3AACF">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8.55</w:t>
            </w:r>
          </w:p>
        </w:tc>
        <w:tc>
          <w:tcPr>
            <w:tcW w:w="1146" w:type="dxa"/>
            <w:tcBorders>
              <w:top w:val="nil"/>
              <w:left w:val="nil"/>
              <w:bottom w:val="nil"/>
              <w:right w:val="nil"/>
            </w:tcBorders>
            <w:shd w:val="clear" w:color="auto" w:fill="auto"/>
            <w:vAlign w:val="center"/>
          </w:tcPr>
          <w:p w14:paraId="75A74746">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8.38</w:t>
            </w:r>
          </w:p>
        </w:tc>
      </w:tr>
      <w:tr w14:paraId="46944620">
        <w:trPr>
          <w:trHeight w:val="0" w:hRule="atLeast"/>
          <w:jc w:val="center"/>
        </w:trPr>
        <w:tc>
          <w:tcPr>
            <w:tcW w:w="2790" w:type="dxa"/>
            <w:tcBorders>
              <w:top w:val="nil"/>
              <w:left w:val="nil"/>
              <w:bottom w:val="nil"/>
              <w:right w:val="nil"/>
            </w:tcBorders>
            <w:shd w:val="clear" w:color="auto" w:fill="auto"/>
            <w:vAlign w:val="center"/>
          </w:tcPr>
          <w:p w14:paraId="7B709D4A">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总资产周转率(%)</w:t>
            </w:r>
          </w:p>
        </w:tc>
        <w:tc>
          <w:tcPr>
            <w:tcW w:w="1145" w:type="dxa"/>
            <w:tcBorders>
              <w:top w:val="nil"/>
              <w:left w:val="nil"/>
              <w:bottom w:val="nil"/>
              <w:right w:val="nil"/>
            </w:tcBorders>
            <w:shd w:val="clear" w:color="auto" w:fill="auto"/>
            <w:vAlign w:val="center"/>
          </w:tcPr>
          <w:p w14:paraId="4CE93B24">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48.9</w:t>
            </w:r>
          </w:p>
        </w:tc>
        <w:tc>
          <w:tcPr>
            <w:tcW w:w="1146" w:type="dxa"/>
            <w:tcBorders>
              <w:top w:val="nil"/>
              <w:left w:val="nil"/>
              <w:bottom w:val="nil"/>
              <w:right w:val="nil"/>
            </w:tcBorders>
            <w:shd w:val="clear" w:color="auto" w:fill="auto"/>
            <w:vAlign w:val="center"/>
          </w:tcPr>
          <w:p w14:paraId="3752D5BE">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54.3</w:t>
            </w:r>
          </w:p>
        </w:tc>
        <w:tc>
          <w:tcPr>
            <w:tcW w:w="1146" w:type="dxa"/>
            <w:tcBorders>
              <w:top w:val="nil"/>
              <w:left w:val="nil"/>
              <w:bottom w:val="nil"/>
              <w:right w:val="nil"/>
            </w:tcBorders>
            <w:shd w:val="clear" w:color="auto" w:fill="auto"/>
            <w:vAlign w:val="center"/>
          </w:tcPr>
          <w:p w14:paraId="7E719332">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47.6</w:t>
            </w:r>
          </w:p>
        </w:tc>
        <w:tc>
          <w:tcPr>
            <w:tcW w:w="1146" w:type="dxa"/>
            <w:tcBorders>
              <w:top w:val="nil"/>
              <w:left w:val="nil"/>
              <w:bottom w:val="nil"/>
              <w:right w:val="nil"/>
            </w:tcBorders>
            <w:shd w:val="clear" w:color="auto" w:fill="auto"/>
            <w:vAlign w:val="center"/>
          </w:tcPr>
          <w:p w14:paraId="4F9D3225">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46.9</w:t>
            </w:r>
          </w:p>
        </w:tc>
        <w:tc>
          <w:tcPr>
            <w:tcW w:w="1146" w:type="dxa"/>
            <w:tcBorders>
              <w:top w:val="nil"/>
              <w:left w:val="nil"/>
              <w:bottom w:val="nil"/>
              <w:right w:val="nil"/>
            </w:tcBorders>
            <w:shd w:val="clear" w:color="auto" w:fill="auto"/>
            <w:vAlign w:val="center"/>
          </w:tcPr>
          <w:p w14:paraId="6801AB53">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47.2</w:t>
            </w:r>
          </w:p>
        </w:tc>
      </w:tr>
      <w:tr w14:paraId="263910BE">
        <w:trPr>
          <w:trHeight w:val="0" w:hRule="atLeast"/>
          <w:jc w:val="center"/>
        </w:trPr>
        <w:tc>
          <w:tcPr>
            <w:tcW w:w="2790" w:type="dxa"/>
            <w:tcBorders>
              <w:top w:val="nil"/>
              <w:left w:val="nil"/>
              <w:bottom w:val="single" w:color="auto" w:sz="12" w:space="0"/>
              <w:right w:val="nil"/>
            </w:tcBorders>
            <w:shd w:val="clear" w:color="auto" w:fill="auto"/>
            <w:vAlign w:val="center"/>
          </w:tcPr>
          <w:p w14:paraId="1FFA8157">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权益乘数</w:t>
            </w:r>
          </w:p>
        </w:tc>
        <w:tc>
          <w:tcPr>
            <w:tcW w:w="1145" w:type="dxa"/>
            <w:tcBorders>
              <w:top w:val="nil"/>
              <w:left w:val="nil"/>
              <w:bottom w:val="single" w:color="auto" w:sz="12" w:space="0"/>
              <w:right w:val="nil"/>
            </w:tcBorders>
            <w:shd w:val="clear" w:color="auto" w:fill="auto"/>
            <w:vAlign w:val="center"/>
          </w:tcPr>
          <w:p w14:paraId="34BEA693">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1.476</w:t>
            </w:r>
          </w:p>
        </w:tc>
        <w:tc>
          <w:tcPr>
            <w:tcW w:w="1146" w:type="dxa"/>
            <w:tcBorders>
              <w:top w:val="nil"/>
              <w:left w:val="nil"/>
              <w:bottom w:val="single" w:color="auto" w:sz="12" w:space="0"/>
              <w:right w:val="nil"/>
            </w:tcBorders>
            <w:shd w:val="clear" w:color="auto" w:fill="auto"/>
            <w:vAlign w:val="center"/>
          </w:tcPr>
          <w:p w14:paraId="39332288">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1.481</w:t>
            </w:r>
          </w:p>
        </w:tc>
        <w:tc>
          <w:tcPr>
            <w:tcW w:w="1146" w:type="dxa"/>
            <w:tcBorders>
              <w:top w:val="nil"/>
              <w:left w:val="nil"/>
              <w:bottom w:val="single" w:color="auto" w:sz="12" w:space="0"/>
              <w:right w:val="nil"/>
            </w:tcBorders>
            <w:shd w:val="clear" w:color="auto" w:fill="auto"/>
            <w:vAlign w:val="center"/>
          </w:tcPr>
          <w:p w14:paraId="3F091A89">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1.318</w:t>
            </w:r>
          </w:p>
        </w:tc>
        <w:tc>
          <w:tcPr>
            <w:tcW w:w="1146" w:type="dxa"/>
            <w:tcBorders>
              <w:top w:val="nil"/>
              <w:left w:val="nil"/>
              <w:bottom w:val="single" w:color="auto" w:sz="12" w:space="0"/>
              <w:right w:val="nil"/>
            </w:tcBorders>
            <w:shd w:val="clear" w:color="auto" w:fill="auto"/>
            <w:vAlign w:val="center"/>
          </w:tcPr>
          <w:p w14:paraId="252D17CD">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1.344</w:t>
            </w:r>
          </w:p>
        </w:tc>
        <w:tc>
          <w:tcPr>
            <w:tcW w:w="1146" w:type="dxa"/>
            <w:tcBorders>
              <w:top w:val="nil"/>
              <w:left w:val="nil"/>
              <w:bottom w:val="single" w:color="auto" w:sz="12" w:space="0"/>
              <w:right w:val="nil"/>
            </w:tcBorders>
            <w:shd w:val="clear" w:color="auto" w:fill="auto"/>
            <w:vAlign w:val="center"/>
          </w:tcPr>
          <w:p w14:paraId="0AD1EBFE">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1.307</w:t>
            </w:r>
          </w:p>
        </w:tc>
      </w:tr>
    </w:tbl>
    <w:p w14:paraId="59D6493F">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数据来源：</w:t>
      </w:r>
      <w:r>
        <w:rPr>
          <w:rFonts w:hint="default" w:ascii="Times New Roman" w:hAnsi="Times New Roman" w:eastAsia="宋体" w:cs="Times New Roman"/>
          <w:sz w:val="24"/>
          <w:szCs w:val="24"/>
          <w:lang w:val="en-US" w:eastAsia="zh-CN"/>
        </w:rPr>
        <w:t>finD</w:t>
      </w:r>
      <w:r>
        <w:rPr>
          <w:rFonts w:hint="default" w:ascii="Times New Roman" w:hAnsi="Times New Roman" w:eastAsia="宋体" w:cs="Times New Roman"/>
          <w:sz w:val="24"/>
          <w:szCs w:val="24"/>
        </w:rPr>
        <w:t>数据库整理</w:t>
      </w:r>
    </w:p>
    <w:p w14:paraId="56BC646B">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世纪天鸿2020—2024年的ROE分别为6.9035%、6.8890%、5.5220%、5.2976%和5.1451%，整体保持在5%—7%区间，波动较小。其销售净利率稳定在8.38%—9.32%之间，总资产周转率在46.9%—54.3%之间，权益乘数在1.31—1.48之间，三项指标均未出现剧烈变化。这说明，世纪天鸿ROE的主要特征不是某一指标特别突出，而是利润率、周转率和杠杆率都相对稳定，因此整体资本回报也表现为平稳。</w:t>
      </w:r>
    </w:p>
    <w:p w14:paraId="4BB144C9">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结合业务模式看，世纪天鸿属于典型的传统主业稳定,AI业务缓慢推进</w:t>
      </w:r>
      <w:r>
        <w:rPr>
          <w:rFonts w:hint="eastAsia" w:ascii="Times New Roman" w:hAnsi="Times New Roman" w:eastAsia="宋体" w:cs="Times New Roman"/>
          <w:kern w:val="2"/>
          <w:sz w:val="24"/>
          <w:szCs w:val="24"/>
          <w:lang w:val="en-US" w:eastAsia="zh-CN" w:bidi="ar-SA"/>
        </w:rPr>
        <w:t>的</w:t>
      </w:r>
      <w:r>
        <w:rPr>
          <w:rFonts w:hint="default" w:ascii="Times New Roman" w:hAnsi="Times New Roman" w:eastAsia="宋体" w:cs="Times New Roman"/>
          <w:kern w:val="2"/>
          <w:sz w:val="24"/>
          <w:szCs w:val="24"/>
          <w:lang w:val="en-US" w:eastAsia="zh-CN" w:bidi="ar-SA"/>
        </w:rPr>
        <w:t>企业。其主营业务仍是教辅图书策划、设计、制作与发行，AI应用则主要体现在小鸿助教、AI备课、课件生成、作文批改和笔神作文等教育工具上。教育数字化产品通常需要较长的试点、采购和区域推广周期，因此AI产品上线速度往往快于利润形成速度。教育部关于智慧教育发展的表述同样显示，AI教育应用的推广是渐进式过程，需要在资源、场景与教学体系之间持续磨合。由此，世纪天鸿ROE长期稳定但缺乏明显提升，更多说明其传统业务仍是利润基本盘，而AI教育业务尚未形成足以显著抬升股东回报的新增长曲线。</w:t>
      </w:r>
    </w:p>
    <w:p w14:paraId="6B81BD74">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（3）思美传媒</w:t>
      </w:r>
    </w:p>
    <w:p w14:paraId="4E35A06F">
      <w:pPr>
        <w:widowControl/>
        <w:tabs>
          <w:tab w:val="left" w:pos="377"/>
        </w:tabs>
        <w:autoSpaceDE/>
        <w:autoSpaceDN/>
        <w:snapToGrid/>
        <w:spacing w:before="156" w:beforeLines="50"/>
        <w:jc w:val="center"/>
        <w:rPr>
          <w:rFonts w:hint="default" w:ascii="Times New Roman" w:hAnsi="Times New Roman" w:eastAsia="宋体" w:cs="Times New Roman"/>
          <w:spacing w:val="10"/>
          <w:kern w:val="0"/>
          <w:szCs w:val="20"/>
          <w:lang w:val="en-US" w:eastAsia="zh-CN"/>
        </w:rPr>
      </w:pPr>
      <w:r>
        <w:rPr>
          <w:rFonts w:hint="default" w:ascii="Times New Roman" w:hAnsi="Times New Roman" w:eastAsia="宋体" w:cs="Times New Roman"/>
          <w:spacing w:val="10"/>
          <w:kern w:val="0"/>
          <w:szCs w:val="20"/>
          <w:lang w:val="en-US" w:eastAsia="zh-CN"/>
        </w:rPr>
        <w:t>表4-39 思美传媒杜邦指标拆解表</w:t>
      </w:r>
    </w:p>
    <w:tbl>
      <w:tblPr>
        <w:tblStyle w:val="7"/>
        <w:tblW w:w="851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688"/>
        <w:gridCol w:w="1261"/>
        <w:gridCol w:w="1101"/>
        <w:gridCol w:w="1261"/>
        <w:gridCol w:w="1103"/>
        <w:gridCol w:w="1103"/>
      </w:tblGrid>
      <w:tr w14:paraId="148A4C66">
        <w:trPr>
          <w:trHeight w:val="0" w:hRule="atLeast"/>
          <w:tblHeader/>
          <w:jc w:val="center"/>
        </w:trPr>
        <w:tc>
          <w:tcPr>
            <w:tcW w:w="2688" w:type="dxa"/>
            <w:tcBorders>
              <w:top w:val="single" w:color="auto" w:sz="12" w:space="0"/>
              <w:left w:val="nil"/>
              <w:bottom w:val="single" w:color="auto" w:sz="4" w:space="0"/>
              <w:right w:val="nil"/>
            </w:tcBorders>
            <w:shd w:val="clear" w:color="auto" w:fill="auto"/>
            <w:vAlign w:val="center"/>
          </w:tcPr>
          <w:p w14:paraId="587C7EF6">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指标</w:t>
            </w:r>
          </w:p>
        </w:tc>
        <w:tc>
          <w:tcPr>
            <w:tcW w:w="1261" w:type="dxa"/>
            <w:tcBorders>
              <w:top w:val="single" w:color="auto" w:sz="12" w:space="0"/>
              <w:left w:val="nil"/>
              <w:bottom w:val="single" w:color="auto" w:sz="4" w:space="0"/>
              <w:right w:val="nil"/>
            </w:tcBorders>
            <w:shd w:val="clear" w:color="auto" w:fill="auto"/>
            <w:vAlign w:val="center"/>
          </w:tcPr>
          <w:p w14:paraId="4B14CACA">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2020</w:t>
            </w:r>
          </w:p>
        </w:tc>
        <w:tc>
          <w:tcPr>
            <w:tcW w:w="1101" w:type="dxa"/>
            <w:tcBorders>
              <w:top w:val="single" w:color="auto" w:sz="12" w:space="0"/>
              <w:left w:val="nil"/>
              <w:bottom w:val="single" w:color="auto" w:sz="4" w:space="0"/>
              <w:right w:val="nil"/>
            </w:tcBorders>
            <w:shd w:val="clear" w:color="auto" w:fill="auto"/>
            <w:vAlign w:val="center"/>
          </w:tcPr>
          <w:p w14:paraId="468FB831">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2021</w:t>
            </w:r>
          </w:p>
        </w:tc>
        <w:tc>
          <w:tcPr>
            <w:tcW w:w="1261" w:type="dxa"/>
            <w:tcBorders>
              <w:top w:val="single" w:color="auto" w:sz="12" w:space="0"/>
              <w:left w:val="nil"/>
              <w:bottom w:val="single" w:color="auto" w:sz="4" w:space="0"/>
              <w:right w:val="nil"/>
            </w:tcBorders>
            <w:shd w:val="clear" w:color="auto" w:fill="auto"/>
            <w:vAlign w:val="center"/>
          </w:tcPr>
          <w:p w14:paraId="06426E5B">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2022</w:t>
            </w:r>
          </w:p>
        </w:tc>
        <w:tc>
          <w:tcPr>
            <w:tcW w:w="1103" w:type="dxa"/>
            <w:tcBorders>
              <w:top w:val="single" w:color="auto" w:sz="12" w:space="0"/>
              <w:left w:val="nil"/>
              <w:bottom w:val="single" w:color="auto" w:sz="4" w:space="0"/>
              <w:right w:val="nil"/>
            </w:tcBorders>
            <w:shd w:val="clear" w:color="auto" w:fill="auto"/>
            <w:vAlign w:val="center"/>
          </w:tcPr>
          <w:p w14:paraId="28CA97C7">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2023</w:t>
            </w:r>
          </w:p>
        </w:tc>
        <w:tc>
          <w:tcPr>
            <w:tcW w:w="1103" w:type="dxa"/>
            <w:tcBorders>
              <w:top w:val="single" w:color="auto" w:sz="12" w:space="0"/>
              <w:left w:val="nil"/>
              <w:bottom w:val="single" w:color="auto" w:sz="4" w:space="0"/>
              <w:right w:val="nil"/>
            </w:tcBorders>
            <w:shd w:val="clear" w:color="auto" w:fill="auto"/>
            <w:vAlign w:val="center"/>
          </w:tcPr>
          <w:p w14:paraId="3723A4A0">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2024</w:t>
            </w:r>
          </w:p>
        </w:tc>
      </w:tr>
      <w:tr w14:paraId="24183185">
        <w:trPr>
          <w:trHeight w:val="0" w:hRule="atLeast"/>
          <w:jc w:val="center"/>
        </w:trPr>
        <w:tc>
          <w:tcPr>
            <w:tcW w:w="2688" w:type="dxa"/>
            <w:tcBorders>
              <w:top w:val="single" w:color="auto" w:sz="4" w:space="0"/>
              <w:left w:val="nil"/>
              <w:bottom w:val="nil"/>
              <w:right w:val="nil"/>
            </w:tcBorders>
            <w:shd w:val="clear" w:color="auto" w:fill="auto"/>
            <w:vAlign w:val="center"/>
          </w:tcPr>
          <w:p w14:paraId="33B98C60">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ROE(%)</w:t>
            </w:r>
          </w:p>
        </w:tc>
        <w:tc>
          <w:tcPr>
            <w:tcW w:w="1261" w:type="dxa"/>
            <w:tcBorders>
              <w:top w:val="single" w:color="auto" w:sz="4" w:space="0"/>
              <w:left w:val="nil"/>
              <w:bottom w:val="nil"/>
              <w:right w:val="nil"/>
            </w:tcBorders>
            <w:shd w:val="clear" w:color="auto" w:fill="auto"/>
            <w:vAlign w:val="bottom"/>
          </w:tcPr>
          <w:p w14:paraId="0CAE9D36">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-45.65%</w:t>
            </w:r>
          </w:p>
        </w:tc>
        <w:tc>
          <w:tcPr>
            <w:tcW w:w="1101" w:type="dxa"/>
            <w:tcBorders>
              <w:top w:val="single" w:color="auto" w:sz="4" w:space="0"/>
              <w:left w:val="nil"/>
              <w:bottom w:val="nil"/>
              <w:right w:val="nil"/>
            </w:tcBorders>
            <w:shd w:val="clear" w:color="auto" w:fill="auto"/>
            <w:vAlign w:val="bottom"/>
          </w:tcPr>
          <w:p w14:paraId="47511A2F">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3.03%</w:t>
            </w:r>
          </w:p>
        </w:tc>
        <w:tc>
          <w:tcPr>
            <w:tcW w:w="1261" w:type="dxa"/>
            <w:tcBorders>
              <w:top w:val="single" w:color="auto" w:sz="4" w:space="0"/>
              <w:left w:val="nil"/>
              <w:bottom w:val="nil"/>
              <w:right w:val="nil"/>
            </w:tcBorders>
            <w:shd w:val="clear" w:color="auto" w:fill="auto"/>
            <w:vAlign w:val="bottom"/>
          </w:tcPr>
          <w:p w14:paraId="777F42D0">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-23.19%</w:t>
            </w:r>
          </w:p>
        </w:tc>
        <w:tc>
          <w:tcPr>
            <w:tcW w:w="1103" w:type="dxa"/>
            <w:tcBorders>
              <w:top w:val="single" w:color="auto" w:sz="4" w:space="0"/>
              <w:left w:val="nil"/>
              <w:bottom w:val="nil"/>
              <w:right w:val="nil"/>
            </w:tcBorders>
            <w:shd w:val="clear" w:color="auto" w:fill="auto"/>
            <w:vAlign w:val="bottom"/>
          </w:tcPr>
          <w:p w14:paraId="2E3CB005">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-9.03%</w:t>
            </w:r>
          </w:p>
        </w:tc>
        <w:tc>
          <w:tcPr>
            <w:tcW w:w="1103" w:type="dxa"/>
            <w:tcBorders>
              <w:top w:val="single" w:color="auto" w:sz="4" w:space="0"/>
              <w:left w:val="nil"/>
              <w:bottom w:val="nil"/>
              <w:right w:val="nil"/>
            </w:tcBorders>
            <w:shd w:val="clear" w:color="auto" w:fill="auto"/>
            <w:vAlign w:val="bottom"/>
          </w:tcPr>
          <w:p w14:paraId="31DC4653">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eastAsia" w:ascii="Times New Roman" w:hAnsi="Times New Roman" w:eastAsia="宋体" w:cs="Times New Roman"/>
                <w:b w:val="0"/>
                <w:bCs w:val="0"/>
                <w:i w:val="0"/>
                <w:iCs w:val="0"/>
                <w:color w:val="000000"/>
                <w:kern w:val="0"/>
                <w:sz w:val="21"/>
                <w:szCs w:val="21"/>
                <w:u w:val="none"/>
                <w:lang w:val="en-US" w:eastAsia="zh-CN" w:bidi="ar"/>
              </w:rPr>
              <w:t>-2.44%</w:t>
            </w:r>
          </w:p>
        </w:tc>
      </w:tr>
      <w:tr w14:paraId="7585BF5B">
        <w:trPr>
          <w:trHeight w:val="0" w:hRule="atLeast"/>
          <w:jc w:val="center"/>
        </w:trPr>
        <w:tc>
          <w:tcPr>
            <w:tcW w:w="2688" w:type="dxa"/>
            <w:tcBorders>
              <w:top w:val="nil"/>
              <w:left w:val="nil"/>
              <w:bottom w:val="nil"/>
              <w:right w:val="nil"/>
            </w:tcBorders>
            <w:shd w:val="clear" w:color="auto" w:fill="auto"/>
            <w:vAlign w:val="center"/>
          </w:tcPr>
          <w:p w14:paraId="0755EBCF">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销售净利率(%)</w:t>
            </w:r>
          </w:p>
        </w:tc>
        <w:tc>
          <w:tcPr>
            <w:tcW w:w="1261" w:type="dxa"/>
            <w:tcBorders>
              <w:top w:val="nil"/>
              <w:left w:val="nil"/>
              <w:bottom w:val="nil"/>
              <w:right w:val="nil"/>
            </w:tcBorders>
            <w:shd w:val="clear" w:color="auto" w:fill="auto"/>
            <w:vAlign w:val="center"/>
          </w:tcPr>
          <w:p w14:paraId="3696C74A">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-28.95</w:t>
            </w:r>
          </w:p>
        </w:tc>
        <w:tc>
          <w:tcPr>
            <w:tcW w:w="1101" w:type="dxa"/>
            <w:tcBorders>
              <w:top w:val="nil"/>
              <w:left w:val="nil"/>
              <w:bottom w:val="nil"/>
              <w:right w:val="nil"/>
            </w:tcBorders>
            <w:shd w:val="clear" w:color="auto" w:fill="auto"/>
            <w:vAlign w:val="center"/>
          </w:tcPr>
          <w:p w14:paraId="2A954488">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1.45</w:t>
            </w:r>
          </w:p>
        </w:tc>
        <w:tc>
          <w:tcPr>
            <w:tcW w:w="1261" w:type="dxa"/>
            <w:tcBorders>
              <w:top w:val="nil"/>
              <w:left w:val="nil"/>
              <w:bottom w:val="nil"/>
              <w:right w:val="nil"/>
            </w:tcBorders>
            <w:shd w:val="clear" w:color="auto" w:fill="auto"/>
            <w:vAlign w:val="center"/>
          </w:tcPr>
          <w:p w14:paraId="4486C1FF">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-9.72</w:t>
            </w:r>
          </w:p>
        </w:tc>
        <w:tc>
          <w:tcPr>
            <w:tcW w:w="1103" w:type="dxa"/>
            <w:tcBorders>
              <w:top w:val="nil"/>
              <w:left w:val="nil"/>
              <w:bottom w:val="nil"/>
              <w:right w:val="nil"/>
            </w:tcBorders>
            <w:shd w:val="clear" w:color="auto" w:fill="auto"/>
            <w:vAlign w:val="center"/>
          </w:tcPr>
          <w:p w14:paraId="61B7CC9A">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-2.37</w:t>
            </w:r>
          </w:p>
        </w:tc>
        <w:tc>
          <w:tcPr>
            <w:tcW w:w="1103" w:type="dxa"/>
            <w:tcBorders>
              <w:top w:val="nil"/>
              <w:left w:val="nil"/>
              <w:bottom w:val="nil"/>
              <w:right w:val="nil"/>
            </w:tcBorders>
            <w:shd w:val="clear" w:color="auto" w:fill="auto"/>
            <w:vAlign w:val="center"/>
          </w:tcPr>
          <w:p w14:paraId="7D2F61C2">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-0.58</w:t>
            </w:r>
          </w:p>
        </w:tc>
      </w:tr>
      <w:tr w14:paraId="324CBA3C">
        <w:trPr>
          <w:trHeight w:val="0" w:hRule="atLeast"/>
          <w:jc w:val="center"/>
        </w:trPr>
        <w:tc>
          <w:tcPr>
            <w:tcW w:w="2688" w:type="dxa"/>
            <w:tcBorders>
              <w:top w:val="nil"/>
              <w:left w:val="nil"/>
              <w:bottom w:val="nil"/>
              <w:right w:val="nil"/>
            </w:tcBorders>
            <w:shd w:val="clear" w:color="auto" w:fill="auto"/>
            <w:vAlign w:val="center"/>
          </w:tcPr>
          <w:p w14:paraId="53408FCF">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总资产周转率(%)</w:t>
            </w:r>
          </w:p>
        </w:tc>
        <w:tc>
          <w:tcPr>
            <w:tcW w:w="1261" w:type="dxa"/>
            <w:tcBorders>
              <w:top w:val="nil"/>
              <w:left w:val="nil"/>
              <w:bottom w:val="nil"/>
              <w:right w:val="nil"/>
            </w:tcBorders>
            <w:shd w:val="clear" w:color="auto" w:fill="auto"/>
            <w:vAlign w:val="center"/>
          </w:tcPr>
          <w:p w14:paraId="39AC6C77">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108.3</w:t>
            </w:r>
          </w:p>
        </w:tc>
        <w:tc>
          <w:tcPr>
            <w:tcW w:w="1101" w:type="dxa"/>
            <w:tcBorders>
              <w:top w:val="nil"/>
              <w:left w:val="nil"/>
              <w:bottom w:val="nil"/>
              <w:right w:val="nil"/>
            </w:tcBorders>
            <w:shd w:val="clear" w:color="auto" w:fill="auto"/>
            <w:vAlign w:val="center"/>
          </w:tcPr>
          <w:p w14:paraId="09DE3D7C">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156.2</w:t>
            </w:r>
          </w:p>
        </w:tc>
        <w:tc>
          <w:tcPr>
            <w:tcW w:w="1261" w:type="dxa"/>
            <w:tcBorders>
              <w:top w:val="nil"/>
              <w:left w:val="nil"/>
              <w:bottom w:val="nil"/>
              <w:right w:val="nil"/>
            </w:tcBorders>
            <w:shd w:val="clear" w:color="auto" w:fill="auto"/>
            <w:vAlign w:val="center"/>
          </w:tcPr>
          <w:p w14:paraId="07BBF1C9">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155.8</w:t>
            </w:r>
          </w:p>
        </w:tc>
        <w:tc>
          <w:tcPr>
            <w:tcW w:w="1103" w:type="dxa"/>
            <w:tcBorders>
              <w:top w:val="nil"/>
              <w:left w:val="nil"/>
              <w:bottom w:val="nil"/>
              <w:right w:val="nil"/>
            </w:tcBorders>
            <w:shd w:val="clear" w:color="auto" w:fill="auto"/>
            <w:vAlign w:val="center"/>
          </w:tcPr>
          <w:p w14:paraId="41C5B189">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225.9</w:t>
            </w:r>
          </w:p>
        </w:tc>
        <w:tc>
          <w:tcPr>
            <w:tcW w:w="1103" w:type="dxa"/>
            <w:tcBorders>
              <w:top w:val="nil"/>
              <w:left w:val="nil"/>
              <w:bottom w:val="nil"/>
              <w:right w:val="nil"/>
            </w:tcBorders>
            <w:shd w:val="clear" w:color="auto" w:fill="auto"/>
            <w:vAlign w:val="center"/>
          </w:tcPr>
          <w:p w14:paraId="3213CF03">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230.1</w:t>
            </w:r>
          </w:p>
        </w:tc>
      </w:tr>
      <w:tr w14:paraId="256CB7B4">
        <w:trPr>
          <w:trHeight w:val="0" w:hRule="atLeast"/>
          <w:jc w:val="center"/>
        </w:trPr>
        <w:tc>
          <w:tcPr>
            <w:tcW w:w="2688" w:type="dxa"/>
            <w:tcBorders>
              <w:top w:val="nil"/>
              <w:left w:val="nil"/>
              <w:bottom w:val="single" w:color="auto" w:sz="12" w:space="0"/>
              <w:right w:val="nil"/>
            </w:tcBorders>
            <w:shd w:val="clear" w:color="auto" w:fill="auto"/>
            <w:vAlign w:val="center"/>
          </w:tcPr>
          <w:p w14:paraId="30C4FC22">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权益乘数</w:t>
            </w:r>
          </w:p>
        </w:tc>
        <w:tc>
          <w:tcPr>
            <w:tcW w:w="1261" w:type="dxa"/>
            <w:tcBorders>
              <w:top w:val="nil"/>
              <w:left w:val="nil"/>
              <w:bottom w:val="single" w:color="auto" w:sz="12" w:space="0"/>
              <w:right w:val="nil"/>
            </w:tcBorders>
            <w:shd w:val="clear" w:color="auto" w:fill="auto"/>
            <w:vAlign w:val="center"/>
          </w:tcPr>
          <w:p w14:paraId="5C9DF542">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1.373</w:t>
            </w:r>
          </w:p>
        </w:tc>
        <w:tc>
          <w:tcPr>
            <w:tcW w:w="1101" w:type="dxa"/>
            <w:tcBorders>
              <w:top w:val="nil"/>
              <w:left w:val="nil"/>
              <w:bottom w:val="single" w:color="auto" w:sz="12" w:space="0"/>
              <w:right w:val="nil"/>
            </w:tcBorders>
            <w:shd w:val="clear" w:color="auto" w:fill="auto"/>
            <w:vAlign w:val="center"/>
          </w:tcPr>
          <w:p w14:paraId="0A7D315C">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1.47</w:t>
            </w:r>
          </w:p>
        </w:tc>
        <w:tc>
          <w:tcPr>
            <w:tcW w:w="1261" w:type="dxa"/>
            <w:tcBorders>
              <w:top w:val="nil"/>
              <w:left w:val="nil"/>
              <w:bottom w:val="single" w:color="auto" w:sz="12" w:space="0"/>
              <w:right w:val="nil"/>
            </w:tcBorders>
            <w:shd w:val="clear" w:color="auto" w:fill="auto"/>
            <w:vAlign w:val="center"/>
          </w:tcPr>
          <w:p w14:paraId="1BA6BEF2">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1.511</w:t>
            </w:r>
          </w:p>
        </w:tc>
        <w:tc>
          <w:tcPr>
            <w:tcW w:w="1103" w:type="dxa"/>
            <w:tcBorders>
              <w:top w:val="nil"/>
              <w:left w:val="nil"/>
              <w:bottom w:val="single" w:color="auto" w:sz="12" w:space="0"/>
              <w:right w:val="nil"/>
            </w:tcBorders>
            <w:shd w:val="clear" w:color="auto" w:fill="auto"/>
            <w:vAlign w:val="center"/>
          </w:tcPr>
          <w:p w14:paraId="0E844E96">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1.704</w:t>
            </w:r>
          </w:p>
        </w:tc>
        <w:tc>
          <w:tcPr>
            <w:tcW w:w="1103" w:type="dxa"/>
            <w:tcBorders>
              <w:top w:val="nil"/>
              <w:left w:val="nil"/>
              <w:bottom w:val="single" w:color="auto" w:sz="12" w:space="0"/>
              <w:right w:val="nil"/>
            </w:tcBorders>
            <w:shd w:val="clear" w:color="auto" w:fill="auto"/>
            <w:vAlign w:val="center"/>
          </w:tcPr>
          <w:p w14:paraId="02647A13">
            <w:pPr>
              <w:keepNext w:val="0"/>
              <w:keepLines w:val="0"/>
              <w:widowControl/>
              <w:suppressLineNumbers w:val="0"/>
              <w:snapToGrid w:val="0"/>
              <w:ind w:left="0" w:leftChars="0" w:right="0" w:rightChars="0" w:firstLine="0" w:firstLineChars="0"/>
              <w:jc w:val="center"/>
              <w:textAlignment w:val="bottom"/>
              <w:rPr>
                <w:rFonts w:hint="default" w:ascii="Times New Roman" w:hAnsi="Times New Roman" w:eastAsia="宋体" w:cs="Times New Roman"/>
                <w:b w:val="0"/>
                <w:bCs w:val="0"/>
                <w:i w:val="0"/>
                <w:iCs w:val="0"/>
                <w:color w:val="000000"/>
                <w:kern w:val="0"/>
                <w:sz w:val="21"/>
                <w:szCs w:val="21"/>
                <w:u w:val="none"/>
                <w:lang w:val="en-US" w:eastAsia="zh-CN" w:bidi="ar"/>
              </w:rPr>
            </w:pPr>
            <w:r>
              <w:rPr>
                <w:rFonts w:hint="default" w:ascii="Times New Roman" w:hAnsi="Times New Roman" w:eastAsia="宋体" w:cs="Times New Roman"/>
                <w:b w:val="0"/>
                <w:bCs w:val="0"/>
                <w:i w:val="0"/>
                <w:iCs w:val="0"/>
                <w:color w:val="000000"/>
                <w:kern w:val="0"/>
                <w:sz w:val="21"/>
                <w:szCs w:val="21"/>
                <w:u w:val="none"/>
                <w:lang w:val="en-US" w:eastAsia="zh-CN" w:bidi="ar"/>
              </w:rPr>
              <w:t>2.013</w:t>
            </w:r>
          </w:p>
        </w:tc>
      </w:tr>
    </w:tbl>
    <w:p w14:paraId="3EC9C30A">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sz w:val="24"/>
          <w:szCs w:val="24"/>
          <w:lang w:eastAsia="zh-CN"/>
        </w:rPr>
      </w:pPr>
      <w:r>
        <w:rPr>
          <w:rFonts w:hint="default" w:ascii="Times New Roman" w:hAnsi="Times New Roman" w:eastAsia="宋体" w:cs="Times New Roman"/>
          <w:sz w:val="24"/>
          <w:szCs w:val="24"/>
        </w:rPr>
        <w:t>数据来源：</w:t>
      </w:r>
      <w:r>
        <w:rPr>
          <w:rFonts w:hint="default" w:ascii="Times New Roman" w:hAnsi="Times New Roman" w:eastAsia="宋体" w:cs="Times New Roman"/>
          <w:sz w:val="24"/>
          <w:szCs w:val="24"/>
          <w:lang w:val="en-US" w:eastAsia="zh-CN"/>
        </w:rPr>
        <w:t>finD</w:t>
      </w:r>
      <w:r>
        <w:rPr>
          <w:rFonts w:hint="default" w:ascii="Times New Roman" w:hAnsi="Times New Roman" w:eastAsia="宋体" w:cs="Times New Roman"/>
          <w:sz w:val="24"/>
          <w:szCs w:val="24"/>
        </w:rPr>
        <w:t>数据库整理</w:t>
      </w:r>
    </w:p>
    <w:p w14:paraId="714AE5E5">
      <w:pPr>
        <w:autoSpaceDE/>
        <w:autoSpaceDN/>
        <w:snapToGrid/>
        <w:spacing w:before="156" w:beforeLines="50" w:after="156" w:afterLines="50" w:line="420" w:lineRule="exact"/>
        <w:ind w:firstLine="420" w:firstLineChars="0"/>
        <w:jc w:val="left"/>
        <w:outlineLvl w:val="2"/>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思美传媒2020—2024年的ROE分别为-45.6474%、3.0264%、-23.1942%、-9.0312%和-2.4414%，波动剧烈且多数年份为负。杜邦分解结果显示，公司总资产周转率反而处于六家样本中的高位；权益乘数则由1.3731升至2.013，杠杆水平呈上升趋势；真正导致ROE长期偏弱的核心变量，是销售净利率持续为低值甚至负值，五年分别为-28.95%、1.45%、-9.72%、-2.37%和-0.58%。换言之，思美传媒并不是做不出收入，也不是资产运转不起来，而是收入转不成利润，且杠杆上升反而放大了这一负面效应。</w:t>
      </w:r>
    </w:p>
    <w:p w14:paraId="7EB1545C">
      <w:pPr>
        <w:autoSpaceDE/>
        <w:autoSpaceDN/>
        <w:snapToGrid/>
        <w:spacing w:before="156" w:beforeLines="50" w:after="156" w:afterLines="50" w:line="420" w:lineRule="exact"/>
        <w:ind w:firstLine="420" w:firstLineChars="0"/>
        <w:jc w:val="left"/>
        <w:outlineLvl w:val="2"/>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从业务属性看，思美传媒的AI应用主要集中在AI创意广告生成、智能投放和AIGC内容生产等方向，本质上仍然服务于整合营销传播链条。QuestMobile关于营销市场的研究指出，当前内容营销和精准投放持续强化，但营销行业竞争也在同步加剧，AI被广泛用于内容创作和投放优化，效率提升正在成为行业共识。在这样的行业环境中，AI更容易成为行业通用效率工具，而不是独立形成高溢价的差异化产品。对思美传媒而言，这意味着即使AI提升了内容生成和投放效率，企业仍然难以明显提升服务定价能力。再加上公司业务链条较长、板块较多，内部协调成本和管理成本较高，最终形成了高周转、低利润、杠杆放大亏损的ROE表现。</w:t>
      </w:r>
    </w:p>
    <w:p w14:paraId="2C13DCB6">
      <w:pPr>
        <w:autoSpaceDE/>
        <w:autoSpaceDN/>
        <w:snapToGrid/>
        <w:spacing w:before="156" w:beforeLines="50" w:after="156" w:afterLines="50" w:line="420" w:lineRule="exact"/>
        <w:ind w:firstLine="420" w:firstLineChars="0"/>
        <w:jc w:val="left"/>
        <w:outlineLvl w:val="2"/>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综合来看，AI业务赋能型企业的ROE分化更强烈地取决于原有主业属性。巨人网络的高ROE来自高利润游戏主业与AI提效协同，世纪天鸿的稳定ROE来自传统教辅业务的稳态支撑，思美传媒的低ROE则说明在低利润营销传播赛道中，AI提升效率并不等于能够重塑股东回报。也就是说，赋能型企业的关键不在于是否使用AI，而在于AI所赋能的原有主业是否本身具备足够高的利润空间。</w:t>
      </w:r>
    </w:p>
    <w:p w14:paraId="7C1E4EE7">
      <w:pPr>
        <w:autoSpaceDE/>
        <w:autoSpaceDN/>
        <w:snapToGrid/>
        <w:spacing w:before="156" w:beforeLines="50" w:after="156" w:afterLines="50" w:line="420" w:lineRule="exact"/>
        <w:ind w:firstLine="420" w:firstLineChars="0"/>
        <w:jc w:val="left"/>
        <w:outlineLvl w:val="2"/>
        <w:rPr>
          <w:rFonts w:hint="default" w:ascii="Times New Roman" w:hAnsi="Times New Roman" w:eastAsia="黑体" w:cs="Times New Roman"/>
          <w:color w:val="000000"/>
          <w:kern w:val="0"/>
          <w:sz w:val="28"/>
          <w:szCs w:val="28"/>
          <w:lang w:val="en-US" w:eastAsia="zh-CN"/>
        </w:rPr>
      </w:pPr>
      <w:r>
        <w:rPr>
          <w:rFonts w:hint="default" w:ascii="Times New Roman" w:hAnsi="Times New Roman" w:eastAsia="黑体" w:cs="Times New Roman"/>
          <w:color w:val="000000"/>
          <w:kern w:val="0"/>
          <w:sz w:val="28"/>
          <w:szCs w:val="28"/>
          <w:lang w:val="en-US" w:eastAsia="zh-CN"/>
        </w:rPr>
        <w:t>4.2.4.3 本节小结</w:t>
      </w:r>
    </w:p>
    <w:p w14:paraId="44720C4D">
      <w:pPr>
        <w:autoSpaceDE/>
        <w:autoSpaceDN/>
        <w:snapToGrid/>
        <w:spacing w:before="156" w:beforeLines="50" w:after="156" w:afterLines="50" w:line="420" w:lineRule="exact"/>
        <w:ind w:firstLine="420" w:firstLineChars="0"/>
        <w:jc w:val="left"/>
        <w:outlineLvl w:val="2"/>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从ROE视角看，样本企业盈利能力的分化并非单纯取决于是否布局AI，而主要取决于AI嵌入业务后的利润转化路径是否清晰。具体而言，AI独立产品型企业的主要矛盾在于</w:t>
      </w:r>
      <w:r>
        <w:rPr>
          <w:rFonts w:hint="default" w:ascii="Times New Roman" w:hAnsi="Times New Roman" w:eastAsia="宋体" w:cs="Times New Roman"/>
          <w:sz w:val="24"/>
          <w:szCs w:val="24"/>
          <w:lang w:val="en-US"/>
        </w:rPr>
        <w:t>,</w:t>
      </w:r>
      <w:r>
        <w:rPr>
          <w:rFonts w:hint="default" w:ascii="Times New Roman" w:hAnsi="Times New Roman" w:eastAsia="宋体" w:cs="Times New Roman"/>
          <w:sz w:val="24"/>
          <w:szCs w:val="24"/>
        </w:rPr>
        <w:t>即便具备较高毛利率和一定技术壁垒，若市场推广周期较长、项目交付节奏较慢或新业务尚未形成规模收益，ROE依然可能偏低；AI业务赋能型企业的主要矛盾则在于</w:t>
      </w:r>
      <w:r>
        <w:rPr>
          <w:rFonts w:hint="default" w:ascii="Times New Roman" w:hAnsi="Times New Roman" w:eastAsia="宋体" w:cs="Times New Roman"/>
          <w:sz w:val="24"/>
          <w:szCs w:val="24"/>
          <w:lang w:val="en-US"/>
        </w:rPr>
        <w:t>,</w:t>
      </w:r>
      <w:r>
        <w:rPr>
          <w:rFonts w:hint="default" w:ascii="Times New Roman" w:hAnsi="Times New Roman" w:eastAsia="宋体" w:cs="Times New Roman"/>
          <w:sz w:val="24"/>
          <w:szCs w:val="24"/>
        </w:rPr>
        <w:t>AI通常只能放大原有主业的盈利特征，若主业本身高毛利、高附加值，则AI有助于进一步提高ROE；若主业本身利润率较低，则AI更多只能改善效率，而难以根本改变资本回报水平。</w:t>
      </w:r>
    </w:p>
    <w:p w14:paraId="6FB76D46">
      <w:pPr>
        <w:autoSpaceDE/>
        <w:autoSpaceDN/>
        <w:snapToGrid/>
        <w:spacing w:before="156" w:beforeLines="50" w:after="156" w:afterLines="50" w:line="420" w:lineRule="exact"/>
        <w:ind w:firstLine="420" w:firstLineChars="0"/>
        <w:jc w:val="left"/>
        <w:outlineLvl w:val="2"/>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因此，ROE分析表明，人工智能应用层中小企业的盈利分化至少受到两类因素共同作用：一类是企业自身业务模式决定的利润率和周转率基础，另一类是AI能力与既有业务结合后能否形成可持续商业闭环。</w:t>
      </w:r>
    </w:p>
    <w:p w14:paraId="330B652C">
      <w:pPr>
        <w:autoSpaceDE/>
        <w:autoSpaceDN/>
        <w:snapToGrid/>
        <w:spacing w:before="156" w:beforeLines="50" w:after="156" w:afterLines="50" w:line="420" w:lineRule="exact"/>
        <w:jc w:val="left"/>
        <w:outlineLvl w:val="2"/>
        <w:rPr>
          <w:rFonts w:hint="eastAsia" w:ascii="Times New Roman" w:hAnsi="Times New Roman" w:eastAsia="黑体" w:cs="Times New Roman"/>
          <w:color w:val="000000"/>
          <w:kern w:val="0"/>
          <w:sz w:val="28"/>
          <w:szCs w:val="28"/>
          <w:lang w:val="en-US" w:eastAsia="zh-CN"/>
        </w:rPr>
      </w:pPr>
      <w:r>
        <w:rPr>
          <w:rFonts w:hint="eastAsia" w:ascii="Times New Roman" w:hAnsi="Times New Roman" w:eastAsia="黑体" w:cs="Times New Roman"/>
          <w:color w:val="000000"/>
          <w:kern w:val="0"/>
          <w:sz w:val="28"/>
          <w:szCs w:val="28"/>
          <w:lang w:val="en-US" w:eastAsia="zh-CN"/>
        </w:rPr>
        <w:t>4.2.5 评价结果分析</w:t>
      </w:r>
    </w:p>
    <w:p w14:paraId="5FF43F52">
      <w:pPr>
        <w:autoSpaceDE/>
        <w:autoSpaceDN/>
        <w:snapToGrid/>
        <w:spacing w:before="156" w:beforeLines="50" w:after="156" w:afterLines="50" w:line="420" w:lineRule="exact"/>
        <w:ind w:firstLine="420" w:firstLineChars="0"/>
        <w:jc w:val="left"/>
        <w:outlineLvl w:val="2"/>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通过对六家典型样本企业2020—2024年的净资产收益率、销售净利率、总资产周转率和权益乘数进行系统拆解，可以更清晰地看到：A股人工智能应用层中小企业盈利能力分化的核心，并不在于是否做AI，而在于AI嵌入既有业务之后，究竟改变了利润率、周转效率，还是仅停留在效率改善而未形成实质性盈利增量。</w:t>
      </w:r>
    </w:p>
    <w:p w14:paraId="48A407DE">
      <w:pPr>
        <w:autoSpaceDE/>
        <w:autoSpaceDN/>
        <w:snapToGrid/>
        <w:spacing w:before="156" w:beforeLines="50" w:after="156" w:afterLines="50" w:line="420" w:lineRule="exact"/>
        <w:ind w:firstLine="420" w:firstLineChars="0"/>
        <w:jc w:val="left"/>
        <w:outlineLvl w:val="2"/>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首先，从主导变量看，销售净利率是六家样本ROE差异最直接、最稳定的解释变量。巨人网络长期维持40%以上的销售净利率，即便总资产周转率并不高、权益乘数也维持低位，仍能保持高ROE；思美传媒虽然总资产周转率长期处于高位，但净利率多数年份为负，ROE因而长期偏弱甚至为负；天地在线则在净利率由正转负的同时出现ROE同步坠落。这说明，对于人工智能应用层企业而言，真正决定资本回报能否成立的，不是收入规模本身，而是收入能否有效转化为利润。</w:t>
      </w:r>
    </w:p>
    <w:p w14:paraId="68523C07">
      <w:pPr>
        <w:autoSpaceDE/>
        <w:autoSpaceDN/>
        <w:snapToGrid/>
        <w:spacing w:before="156" w:beforeLines="50" w:after="156" w:afterLines="50" w:line="420" w:lineRule="exact"/>
        <w:ind w:firstLine="420" w:firstLineChars="0"/>
        <w:jc w:val="left"/>
        <w:outlineLvl w:val="2"/>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其次，总资产周转率体现的是业务模式差异，而不是盈利优劣本身。方直科技和巨人网络分别代表教育数字化产品与内容型游戏主业两种高附加值模式，其周转率并不高，但依靠较强毛利空间仍可维持正向甚至较高回报；天地在线和思美传媒则代表营销传播和代运营类服务业务，周转率显著更高，但由于毛利率偏低，高周转并未带来高盈利。这意味着，周转效率只有在与利润空间相匹配时才有经济意义。若主营业务附加值不足，单纯依赖高周转并不能构成可持续的盈利优势。</w:t>
      </w:r>
    </w:p>
    <w:p w14:paraId="3D82C05A">
      <w:pPr>
        <w:autoSpaceDE/>
        <w:autoSpaceDN/>
        <w:snapToGrid/>
        <w:spacing w:before="156" w:beforeLines="50" w:after="156" w:afterLines="50" w:line="420" w:lineRule="exact"/>
        <w:ind w:firstLine="420" w:firstLineChars="0"/>
        <w:jc w:val="left"/>
        <w:outlineLvl w:val="2"/>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再次，权益乘数在样本企业中总体不是主导因素。除思美传媒在后期出现杠杆明显抬升外，其余五家企业的权益乘数均处于1.03—1.58之间，整体较为稳健。换言之，本章典型样本的ROE分化，主要不是谁更敢加杠杆造成的，而是谁的利润结构更健康、谁的经营效率更匹配业务模式造成的。对思美传媒而言，杠杆上升反而放大了低利润经营模式的脆弱性，进一步说明资本结构只能在次级层面放大结果，而不能替代主营业务盈利能力本身。</w:t>
      </w:r>
    </w:p>
    <w:p w14:paraId="44A0C57F">
      <w:pPr>
        <w:autoSpaceDE/>
        <w:autoSpaceDN/>
        <w:snapToGrid/>
        <w:spacing w:before="156" w:beforeLines="50" w:after="156" w:afterLines="50" w:line="420" w:lineRule="exact"/>
        <w:ind w:firstLine="420" w:firstLineChars="0"/>
        <w:jc w:val="left"/>
        <w:outlineLvl w:val="2"/>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从两类业务模式对比看，AI独立产品型企业的核心矛盾集中在高附加值能力如何转化为稳定回报。方直科技毛利率和净利率较高，但受制于教育产品推广周期长、销售与研发费用高企，呈现高毛利、低周转的结构；佳讯飞鸿具有较稳定的总资产周转率和适度杠杆，但项目制交付和研发投入使净利率难以回到高位；天地在线则显示出当AI新业务尚未规模化、传统主业利润率又较低时，产品化标签本身并不能自动带来高盈利。因此，AI独立产品型企业的优势在于更容易形成技术溢价，但其难点在于商业化节奏和费用吸收能力。</w:t>
      </w:r>
    </w:p>
    <w:p w14:paraId="6B55AFDD">
      <w:pPr>
        <w:autoSpaceDE/>
        <w:autoSpaceDN/>
        <w:snapToGrid/>
        <w:spacing w:before="156" w:beforeLines="50" w:after="156" w:afterLines="50" w:line="420" w:lineRule="exact"/>
        <w:ind w:firstLine="420" w:firstLineChars="0"/>
        <w:jc w:val="left"/>
        <w:outlineLvl w:val="2"/>
        <w:rPr>
          <w:rFonts w:hint="default" w:ascii="Times New Roman" w:hAnsi="Times New Roman" w:eastAsia="宋体" w:cs="Times New Roman"/>
          <w:sz w:val="24"/>
          <w:szCs w:val="24"/>
        </w:rPr>
      </w:pPr>
      <w:r>
        <w:rPr>
          <w:rFonts w:hint="default" w:ascii="Times New Roman" w:hAnsi="Times New Roman" w:eastAsia="宋体" w:cs="Times New Roman"/>
          <w:sz w:val="24"/>
          <w:szCs w:val="24"/>
        </w:rPr>
        <w:t>AI业务赋能型企业的核心矛盾则集中在AI能否突破原有主业的利润天花板。巨人网络的高盈利本质上建立在高毛利游戏主业基础上，AI进一步发挥研发和运营提效作用，从而形成</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强主业+强赋能”的理想状态；世纪天鸿则体现出传统主业提供利润底盘</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AI教育作为第二曲线缓慢推进的稳态结构，其问题不是盈利失效，而是增长弹性不足；思美传媒则证明，若原有行业利润率本就偏低，AI更多只能改善执行效率，而难以显著提升服务定价和利润空间。因此，AI业务赋能型企业的盈利上限，仍然在很大程度上取决于被赋能主业自身的盈利质量。</w:t>
      </w:r>
    </w:p>
    <w:p w14:paraId="74E427A1">
      <w:pPr>
        <w:autoSpaceDE/>
        <w:autoSpaceDN/>
        <w:snapToGrid/>
        <w:spacing w:before="156" w:beforeLines="50" w:after="156" w:afterLines="50" w:line="420" w:lineRule="exact"/>
        <w:ind w:firstLine="420" w:firstLineChars="0"/>
        <w:jc w:val="left"/>
        <w:outlineLvl w:val="2"/>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进一步归纳，本节杜邦分析可以提炼出三条具有普遍性的结论。第一，人工智能应用层企业盈利分化的第一来源是利润率分化，而利润率分化的背后是业务附加值、成本结构和费用投入强度的差异。第二，AI商业化并非单一路径，产品化模式和赋能模式各有优势与约束，前者更容易形成高毛利，但更受商业化周期和投入强度制约；后者更依赖原有主业基础，AI本身未必构成新的独立利润源。第三，在样本企业中，财务杠杆普遍不是盈利改善的主要抓手，盲目依赖杠杆反而可能放大低利润模式的风险。</w:t>
      </w:r>
    </w:p>
    <w:p w14:paraId="008738DD">
      <w:pPr>
        <w:autoSpaceDE/>
        <w:autoSpaceDN/>
        <w:snapToGrid/>
        <w:spacing w:before="156" w:beforeLines="50" w:after="156" w:afterLines="50" w:line="420" w:lineRule="exact"/>
        <w:ind w:firstLine="420" w:firstLineChars="0"/>
        <w:jc w:val="left"/>
        <w:outlineLvl w:val="2"/>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因此，前文全样本熵权法所揭示的AI独立产品型企业整体得分更高</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AI业务赋能型企业内部离散度更大的结论，在典型样本层面得到了进一步验证。前者的优势主要来自更高毛利率和更强经营利润创造能力，但其内部同样存在商业化进度慢、投入压力大的结构性问题；后者则呈现出更强的主业决定论特征，即原有主业若足够高毛利，AI能够放大利润优势；原有主业若利润率偏低，AI则很难在短期内重塑盈利结构。</w:t>
      </w:r>
    </w:p>
    <w:p w14:paraId="15AF44EA">
      <w:pPr>
        <w:autoSpaceDE/>
        <w:autoSpaceDN/>
        <w:snapToGrid/>
        <w:spacing w:before="156" w:beforeLines="50" w:after="156" w:afterLines="50" w:line="420" w:lineRule="exact"/>
        <w:ind w:firstLine="420" w:firstLineChars="0"/>
        <w:jc w:val="left"/>
        <w:outlineLvl w:val="2"/>
        <w:rPr>
          <w:rFonts w:hint="default" w:ascii="Times New Roman" w:hAnsi="Times New Roman" w:eastAsia="黑体" w:cs="Times New Roman"/>
          <w:color w:val="000000"/>
          <w:kern w:val="0"/>
          <w:sz w:val="28"/>
          <w:szCs w:val="28"/>
          <w:lang w:val="en-US" w:eastAsia="zh-CN"/>
        </w:rPr>
      </w:pPr>
      <w:r>
        <w:rPr>
          <w:rFonts w:hint="default" w:ascii="Times New Roman" w:hAnsi="Times New Roman" w:eastAsia="宋体" w:cs="Times New Roman"/>
          <w:sz w:val="24"/>
          <w:szCs w:val="24"/>
        </w:rPr>
        <w:t>基于上述判断，下一节将进一步从问题归纳层面出发，分别梳理AI独立产品型企业与AI业务赋能型企业的主要盈利瓶颈。</w:t>
      </w:r>
    </w:p>
    <w:p w14:paraId="28FDF119">
      <w:pPr>
        <w:pStyle w:val="3"/>
        <w:autoSpaceDE/>
        <w:autoSpaceDN/>
        <w:snapToGrid/>
        <w:spacing w:before="156" w:beforeLines="50" w:after="156" w:afterLines="50" w:line="420" w:lineRule="exact"/>
        <w:rPr>
          <w:rFonts w:hint="default" w:ascii="Times New Roman" w:hAnsi="Times New Roman" w:eastAsia="黑体" w:cs="Times New Roman"/>
          <w:b w:val="0"/>
          <w:bCs w:val="0"/>
          <w:color w:val="000000"/>
          <w:kern w:val="0"/>
          <w:sz w:val="30"/>
          <w:szCs w:val="30"/>
          <w:lang w:val="en-US" w:eastAsia="zh-CN"/>
        </w:rPr>
      </w:pPr>
      <w:r>
        <w:rPr>
          <w:rFonts w:hint="default" w:ascii="Times New Roman" w:hAnsi="Times New Roman" w:eastAsia="黑体" w:cs="Times New Roman"/>
          <w:b w:val="0"/>
          <w:bCs w:val="0"/>
          <w:color w:val="000000"/>
          <w:kern w:val="0"/>
          <w:sz w:val="30"/>
          <w:szCs w:val="30"/>
          <w:lang w:val="en-US" w:eastAsia="zh-CN"/>
        </w:rPr>
        <w:t>4.3 A股人工智能应用层中小企业</w:t>
      </w:r>
      <w:r>
        <w:rPr>
          <w:rFonts w:hint="eastAsia" w:ascii="Times New Roman" w:hAnsi="Times New Roman" w:eastAsia="黑体" w:cs="Times New Roman"/>
          <w:b w:val="0"/>
          <w:bCs w:val="0"/>
          <w:color w:val="000000"/>
          <w:kern w:val="0"/>
          <w:sz w:val="30"/>
          <w:szCs w:val="30"/>
          <w:lang w:val="en-US" w:eastAsia="zh-CN"/>
        </w:rPr>
        <w:t>的</w:t>
      </w:r>
      <w:r>
        <w:rPr>
          <w:rFonts w:hint="default" w:ascii="Times New Roman" w:hAnsi="Times New Roman" w:eastAsia="黑体" w:cs="Times New Roman"/>
          <w:b w:val="0"/>
          <w:bCs w:val="0"/>
          <w:color w:val="000000"/>
          <w:kern w:val="0"/>
          <w:sz w:val="30"/>
          <w:szCs w:val="30"/>
          <w:lang w:val="en-US" w:eastAsia="zh-CN"/>
        </w:rPr>
        <w:t>盈利</w:t>
      </w:r>
      <w:r>
        <w:rPr>
          <w:rFonts w:hint="eastAsia" w:ascii="Times New Roman" w:hAnsi="Times New Roman" w:eastAsia="黑体" w:cs="Times New Roman"/>
          <w:b w:val="0"/>
          <w:bCs w:val="0"/>
          <w:color w:val="000000"/>
          <w:kern w:val="0"/>
          <w:sz w:val="30"/>
          <w:szCs w:val="30"/>
          <w:lang w:val="en-US" w:eastAsia="zh-CN"/>
        </w:rPr>
        <w:t>瓶颈</w:t>
      </w:r>
    </w:p>
    <w:p w14:paraId="4A1A65F9">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通过前文基于杜邦分析法对典型样本企业盈利能力的纵向比较可以发现，不同类型企业在盈利模式和业务结构上存在明显差异，</w:t>
      </w:r>
      <w:r>
        <w:rPr>
          <w:rFonts w:hint="default" w:ascii="Times New Roman" w:hAnsi="Times New Roman" w:eastAsia="宋体" w:cs="Times New Roman"/>
          <w:sz w:val="24"/>
          <w:szCs w:val="24"/>
        </w:rPr>
        <w:t>AI独立产品型企业主要依靠人工智能产品本身实现收入增长，而AI业务赋能型企业则更多借助人工智能技术优化原有业务流程、提升经营效率</w:t>
      </w:r>
      <w:r>
        <w:rPr>
          <w:rFonts w:hint="default" w:ascii="Times New Roman" w:hAnsi="Times New Roman" w:eastAsia="宋体" w:cs="Times New Roman"/>
          <w:kern w:val="2"/>
          <w:sz w:val="24"/>
          <w:szCs w:val="24"/>
          <w:lang w:val="en-US" w:eastAsia="zh-CN" w:bidi="ar-SA"/>
        </w:rPr>
        <w:t>。</w:t>
      </w:r>
      <w:r>
        <w:rPr>
          <w:rFonts w:hint="default" w:ascii="Times New Roman" w:hAnsi="Times New Roman" w:eastAsia="宋体" w:cs="Times New Roman"/>
          <w:sz w:val="24"/>
          <w:szCs w:val="24"/>
        </w:rPr>
        <w:t>正因如此，两类企业在盈利能力的形成机制及其面临的现实问题上，也表现出不同特点。基于此，本文进一步从AI独立产品型企业和AI业务赋能型企业两个维度，对A股人工智能应用层中小企业盈利能力存在的</w:t>
      </w:r>
      <w:r>
        <w:rPr>
          <w:rFonts w:hint="eastAsia" w:ascii="Times New Roman" w:hAnsi="Times New Roman" w:eastAsia="宋体" w:cs="Times New Roman"/>
          <w:sz w:val="24"/>
          <w:szCs w:val="24"/>
          <w:lang w:val="en-US" w:eastAsia="zh-CN"/>
        </w:rPr>
        <w:t>问题进行归纳总结</w:t>
      </w:r>
      <w:r>
        <w:rPr>
          <w:rFonts w:hint="default" w:ascii="Times New Roman" w:hAnsi="Times New Roman" w:eastAsia="宋体" w:cs="Times New Roman"/>
          <w:kern w:val="2"/>
          <w:sz w:val="24"/>
          <w:szCs w:val="24"/>
          <w:lang w:val="en-US" w:eastAsia="zh-CN" w:bidi="ar-SA"/>
        </w:rPr>
        <w:t>。</w:t>
      </w:r>
    </w:p>
    <w:p w14:paraId="3EE13F17">
      <w:pPr>
        <w:autoSpaceDE/>
        <w:autoSpaceDN/>
        <w:snapToGrid/>
        <w:spacing w:before="156" w:beforeLines="50" w:after="156" w:afterLines="50" w:line="420" w:lineRule="exact"/>
        <w:jc w:val="left"/>
        <w:outlineLvl w:val="2"/>
        <w:rPr>
          <w:rFonts w:hint="default" w:ascii="Times New Roman" w:hAnsi="Times New Roman" w:eastAsia="黑体" w:cs="Times New Roman"/>
          <w:color w:val="000000"/>
          <w:kern w:val="0"/>
          <w:sz w:val="28"/>
          <w:szCs w:val="28"/>
          <w:lang w:val="en-US" w:eastAsia="zh-CN"/>
        </w:rPr>
      </w:pPr>
      <w:r>
        <w:rPr>
          <w:rFonts w:hint="default" w:ascii="Times New Roman" w:hAnsi="Times New Roman" w:eastAsia="黑体" w:cs="Times New Roman"/>
          <w:color w:val="000000"/>
          <w:kern w:val="0"/>
          <w:sz w:val="28"/>
          <w:szCs w:val="28"/>
          <w:lang w:val="en-US" w:eastAsia="zh-CN"/>
        </w:rPr>
        <w:t>4.3.1 AI独立产品型企业</w:t>
      </w:r>
      <w:r>
        <w:rPr>
          <w:rFonts w:hint="eastAsia" w:ascii="Times New Roman" w:hAnsi="Times New Roman" w:eastAsia="黑体" w:cs="Times New Roman"/>
          <w:color w:val="000000"/>
          <w:kern w:val="0"/>
          <w:sz w:val="28"/>
          <w:szCs w:val="28"/>
          <w:lang w:val="en-US" w:eastAsia="zh-CN"/>
        </w:rPr>
        <w:t>盈利瓶颈</w:t>
      </w:r>
    </w:p>
    <w:p w14:paraId="32F40AE0">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AI独立产品型企业是指其人工智能能力已经形成可对外独立交付、可单独定价或可在主营业务中被清晰识别的产品与服务的企业。</w:t>
      </w:r>
      <w:r>
        <w:rPr>
          <w:rFonts w:hint="eastAsia" w:ascii="Times New Roman" w:hAnsi="Times New Roman" w:eastAsia="宋体" w:cs="Times New Roman"/>
          <w:kern w:val="2"/>
          <w:sz w:val="24"/>
          <w:szCs w:val="24"/>
          <w:lang w:val="en-US" w:eastAsia="zh-CN" w:bidi="ar-SA"/>
        </w:rPr>
        <w:t>从前文对其典型样本的深入分析得出，</w:t>
      </w:r>
      <w:r>
        <w:rPr>
          <w:rFonts w:hint="default" w:ascii="Times New Roman" w:hAnsi="Times New Roman" w:eastAsia="宋体" w:cs="Times New Roman"/>
          <w:kern w:val="2"/>
          <w:sz w:val="24"/>
          <w:szCs w:val="24"/>
          <w:lang w:val="en-US" w:eastAsia="zh-CN" w:bidi="ar-SA"/>
        </w:rPr>
        <w:t>AI独立产品型企业主要面临三类共性问题。</w:t>
      </w:r>
    </w:p>
    <w:p w14:paraId="1F4FD3F2">
      <w:pPr>
        <w:pStyle w:val="6"/>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AI产品商业化周期偏长，尤其在教育和垂直行业解决方案场景中，产品从研发、试点到规模化采购存在明显时滞。</w:t>
      </w:r>
    </w:p>
    <w:p w14:paraId="68B921FF">
      <w:pPr>
        <w:pStyle w:val="6"/>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持续研发与市场投入对利润形成刚性挤压，企业往往在投入期内难以同步实现回报抬升。</w:t>
      </w:r>
    </w:p>
    <w:p w14:paraId="071C451F">
      <w:pPr>
        <w:pStyle w:val="6"/>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部分企业虽已布局AI新产品，但原有低毛利主业尚未有效剥离，导致AI增量不足以覆盖传统存量压力。</w:t>
      </w:r>
    </w:p>
    <w:p w14:paraId="64B370DC">
      <w:pPr>
        <w:pStyle w:val="6"/>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Autospacing="0" w:line="420" w:lineRule="exact"/>
        <w:ind w:right="0" w:rightChars="0" w:firstLine="420" w:firstLineChars="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由此可见，AI独立产品型企业的盈利瓶颈主要不在技术能力本身，而在于技术能力向规模收入和稳定利润的转化效率。</w:t>
      </w:r>
    </w:p>
    <w:p w14:paraId="0289E532">
      <w:pPr>
        <w:autoSpaceDE/>
        <w:autoSpaceDN/>
        <w:snapToGrid/>
        <w:spacing w:before="156" w:beforeLines="50" w:after="156" w:afterLines="50" w:line="420" w:lineRule="exact"/>
        <w:jc w:val="left"/>
        <w:outlineLvl w:val="2"/>
        <w:rPr>
          <w:rFonts w:hint="default" w:ascii="Times New Roman" w:hAnsi="Times New Roman" w:eastAsia="黑体" w:cs="Times New Roman"/>
          <w:color w:val="000000"/>
          <w:kern w:val="0"/>
          <w:sz w:val="28"/>
          <w:szCs w:val="28"/>
          <w:lang w:val="en-US" w:eastAsia="zh-CN"/>
        </w:rPr>
      </w:pPr>
      <w:r>
        <w:rPr>
          <w:rFonts w:hint="default" w:ascii="Times New Roman" w:hAnsi="Times New Roman" w:eastAsia="黑体" w:cs="Times New Roman"/>
          <w:color w:val="000000"/>
          <w:kern w:val="0"/>
          <w:sz w:val="28"/>
          <w:szCs w:val="28"/>
          <w:lang w:val="en-US" w:eastAsia="zh-CN"/>
        </w:rPr>
        <w:t>4.3.2 AI业务赋能型企业</w:t>
      </w:r>
      <w:r>
        <w:rPr>
          <w:rFonts w:hint="eastAsia" w:ascii="Times New Roman" w:hAnsi="Times New Roman" w:eastAsia="黑体" w:cs="Times New Roman"/>
          <w:color w:val="000000"/>
          <w:kern w:val="0"/>
          <w:sz w:val="28"/>
          <w:szCs w:val="28"/>
          <w:lang w:val="en-US" w:eastAsia="zh-CN"/>
        </w:rPr>
        <w:t>盈利瓶颈</w:t>
      </w:r>
    </w:p>
    <w:p w14:paraId="236874D4">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AI业务赋能型企业是指将人工智能技术应用于现有主营业务，通过AI技术提升业务效率、优化产品服务或拓展业务场景，从而实现企业价值提升的企业。这类企业通常并不以人工智能产品本身作为主要收入来源，而是通过人工智能技术对原有业务进行赋能，实现降本增效或</w:t>
      </w:r>
      <w:r>
        <w:rPr>
          <w:rFonts w:hint="eastAsia" w:ascii="Times New Roman" w:hAnsi="Times New Roman" w:eastAsia="宋体" w:cs="Times New Roman"/>
          <w:kern w:val="2"/>
          <w:sz w:val="24"/>
          <w:szCs w:val="24"/>
          <w:lang w:val="en-US" w:eastAsia="zh-CN" w:bidi="ar-SA"/>
        </w:rPr>
        <w:t>产品</w:t>
      </w:r>
      <w:r>
        <w:rPr>
          <w:rFonts w:hint="default" w:ascii="Times New Roman" w:hAnsi="Times New Roman" w:eastAsia="宋体" w:cs="Times New Roman"/>
          <w:kern w:val="2"/>
          <w:sz w:val="24"/>
          <w:szCs w:val="24"/>
          <w:lang w:val="en-US" w:eastAsia="zh-CN" w:bidi="ar-SA"/>
        </w:rPr>
        <w:t>服务升级。因此，其盈利能力不仅取决于AI技术应用程度，也与原有主营业务的行业特征和盈利模式密切相关。</w:t>
      </w:r>
      <w:r>
        <w:rPr>
          <w:rFonts w:hint="eastAsia" w:ascii="Times New Roman" w:hAnsi="Times New Roman" w:eastAsia="宋体" w:cs="Times New Roman"/>
          <w:kern w:val="2"/>
          <w:sz w:val="24"/>
          <w:szCs w:val="24"/>
          <w:lang w:val="en-US" w:eastAsia="zh-CN" w:bidi="ar-SA"/>
        </w:rPr>
        <w:tab/>
      </w:r>
      <w:r>
        <w:rPr>
          <w:rFonts w:hint="default" w:ascii="Times New Roman" w:hAnsi="Times New Roman" w:eastAsia="宋体" w:cs="Times New Roman"/>
          <w:kern w:val="2"/>
          <w:sz w:val="24"/>
          <w:szCs w:val="24"/>
          <w:lang w:val="en-US" w:eastAsia="zh-CN" w:bidi="ar-SA"/>
        </w:rPr>
        <w:t>总体来看，AI业务赋能型企业主要面临三类共性问题。</w:t>
      </w:r>
    </w:p>
    <w:p w14:paraId="3D51015F">
      <w:pPr>
        <w:pStyle w:val="6"/>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AI赋能效果高度依赖原有主业的利润质量，若主业本身具备高毛利和强现金流，AI更容易放大收益；反之则效果有限。</w:t>
      </w:r>
    </w:p>
    <w:p w14:paraId="18D4BE0D">
      <w:pPr>
        <w:pStyle w:val="6"/>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AI在赋能模式下往往首先表现为降本增效，而非独立收入，因此其利润贡献具有间接性和滞后性。</w:t>
      </w:r>
    </w:p>
    <w:p w14:paraId="35FBE3AC">
      <w:pPr>
        <w:pStyle w:val="6"/>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line="420" w:lineRule="exact"/>
        <w:ind w:left="0" w:leftChars="0" w:right="0" w:rightChars="0"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部分企业在低利润行业中尝试通过AI提效改善经营，但由于主业利润空间过薄，AI难以根本改变盈利结构。</w:t>
      </w:r>
    </w:p>
    <w:p w14:paraId="2436F186">
      <w:pPr>
        <w:pStyle w:val="6"/>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Autospacing="0" w:line="420" w:lineRule="exact"/>
        <w:ind w:right="0" w:rightChars="0" w:firstLine="420" w:firstLineChars="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kern w:val="2"/>
          <w:sz w:val="24"/>
          <w:szCs w:val="24"/>
          <w:lang w:val="en-US" w:eastAsia="zh-CN" w:bidi="ar-SA"/>
        </w:rPr>
        <w:t>由此可见，AI业务赋能型企业的盈利瓶颈，主要在于AI能提升效率，但未必能重塑定价与利润。</w:t>
      </w:r>
    </w:p>
    <w:p w14:paraId="31DA437C">
      <w:pPr>
        <w:autoSpaceDE/>
        <w:autoSpaceDN/>
        <w:snapToGrid/>
        <w:spacing w:before="156" w:beforeLines="50" w:after="156" w:afterLines="50" w:line="420" w:lineRule="exact"/>
        <w:jc w:val="left"/>
        <w:outlineLvl w:val="2"/>
        <w:rPr>
          <w:rFonts w:hint="default" w:ascii="Times New Roman" w:hAnsi="Times New Roman" w:eastAsia="黑体" w:cs="Times New Roman"/>
          <w:color w:val="000000"/>
          <w:kern w:val="0"/>
          <w:sz w:val="28"/>
          <w:szCs w:val="28"/>
          <w:lang w:val="en-US" w:eastAsia="zh-CN"/>
        </w:rPr>
      </w:pPr>
      <w:r>
        <w:rPr>
          <w:rFonts w:hint="default" w:ascii="Times New Roman" w:hAnsi="Times New Roman" w:eastAsia="黑体" w:cs="Times New Roman"/>
          <w:color w:val="000000"/>
          <w:kern w:val="0"/>
          <w:sz w:val="28"/>
          <w:szCs w:val="28"/>
          <w:lang w:val="en-US" w:eastAsia="zh-CN"/>
        </w:rPr>
        <w:t>4.3.3 本节小结</w:t>
      </w:r>
    </w:p>
    <w:p w14:paraId="37F14B09">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综合前述分析，可以将A股人工智能应用层中小企业的盈利瓶颈概括为“商业化转化效率不足、费用与成本压力偏高、主业利润结构约束较强”三条主线。为更加清晰地总结两类企业盈利能力的主要制约因素，本文对其盈利瓶颈进行归纳整理，如表4-42所示。</w:t>
      </w:r>
    </w:p>
    <w:p w14:paraId="3D06764C">
      <w:pPr>
        <w:widowControl/>
        <w:tabs>
          <w:tab w:val="left" w:pos="377"/>
        </w:tabs>
        <w:autoSpaceDE/>
        <w:autoSpaceDN/>
        <w:snapToGrid/>
        <w:spacing w:before="156" w:beforeLines="50"/>
        <w:jc w:val="center"/>
        <w:rPr>
          <w:rFonts w:hint="default" w:ascii="Times New Roman" w:hAnsi="Times New Roman" w:eastAsia="宋体" w:cs="Times New Roman"/>
          <w:spacing w:val="10"/>
          <w:kern w:val="0"/>
          <w:szCs w:val="20"/>
          <w:lang w:val="en-US" w:eastAsia="zh-CN"/>
        </w:rPr>
      </w:pPr>
      <w:r>
        <w:rPr>
          <w:rFonts w:hint="default" w:ascii="Times New Roman" w:hAnsi="Times New Roman" w:eastAsia="宋体" w:cs="Times New Roman"/>
          <w:spacing w:val="10"/>
          <w:kern w:val="0"/>
          <w:szCs w:val="20"/>
          <w:lang w:val="en-US" w:eastAsia="zh-CN"/>
        </w:rPr>
        <w:t>表4-42 人工智能应用层中小企业盈利能力瓶颈归纳表</w:t>
      </w:r>
    </w:p>
    <w:tbl>
      <w:tblPr>
        <w:tblStyle w:val="7"/>
        <w:tblW w:w="957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1219"/>
        <w:gridCol w:w="2600"/>
        <w:gridCol w:w="2323"/>
        <w:gridCol w:w="2099"/>
      </w:tblGrid>
      <w:tr w14:paraId="0E74385F">
        <w:trPr>
          <w:trHeight w:val="0" w:hRule="atLeast"/>
          <w:tblHeader/>
          <w:jc w:val="center"/>
        </w:trPr>
        <w:tc>
          <w:tcPr>
            <w:tcW w:w="1336" w:type="dxa"/>
            <w:tcBorders>
              <w:top w:val="single" w:color="auto" w:sz="12" w:space="0"/>
              <w:left w:val="nil"/>
              <w:bottom w:val="single" w:color="auto" w:sz="4" w:space="0"/>
              <w:right w:val="nil"/>
            </w:tcBorders>
            <w:shd w:val="clear" w:color="auto" w:fill="auto"/>
            <w:vAlign w:val="center"/>
          </w:tcPr>
          <w:p w14:paraId="70575765">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企业类型</w:t>
            </w:r>
          </w:p>
        </w:tc>
        <w:tc>
          <w:tcPr>
            <w:tcW w:w="1219" w:type="dxa"/>
            <w:tcBorders>
              <w:top w:val="single" w:color="auto" w:sz="12" w:space="0"/>
              <w:left w:val="nil"/>
              <w:bottom w:val="single" w:color="auto" w:sz="4" w:space="0"/>
              <w:right w:val="nil"/>
            </w:tcBorders>
            <w:shd w:val="clear" w:color="auto" w:fill="auto"/>
            <w:vAlign w:val="center"/>
          </w:tcPr>
          <w:p w14:paraId="0206E657">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代表企业</w:t>
            </w:r>
          </w:p>
        </w:tc>
        <w:tc>
          <w:tcPr>
            <w:tcW w:w="2600" w:type="dxa"/>
            <w:tcBorders>
              <w:top w:val="single" w:color="auto" w:sz="12" w:space="0"/>
              <w:left w:val="nil"/>
              <w:bottom w:val="single" w:color="auto" w:sz="4" w:space="0"/>
              <w:right w:val="nil"/>
            </w:tcBorders>
            <w:shd w:val="clear" w:color="auto" w:fill="auto"/>
            <w:vAlign w:val="center"/>
          </w:tcPr>
          <w:p w14:paraId="36EEA7A4">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AI商业化转化效率不足</w:t>
            </w:r>
          </w:p>
        </w:tc>
        <w:tc>
          <w:tcPr>
            <w:tcW w:w="2323" w:type="dxa"/>
            <w:tcBorders>
              <w:top w:val="single" w:color="auto" w:sz="12" w:space="0"/>
              <w:left w:val="nil"/>
              <w:bottom w:val="single" w:color="auto" w:sz="4" w:space="0"/>
              <w:right w:val="nil"/>
            </w:tcBorders>
            <w:shd w:val="clear" w:color="auto" w:fill="auto"/>
            <w:vAlign w:val="center"/>
          </w:tcPr>
          <w:p w14:paraId="430D2B06">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成本与费用刚性增长</w:t>
            </w:r>
          </w:p>
        </w:tc>
        <w:tc>
          <w:tcPr>
            <w:tcW w:w="2099" w:type="dxa"/>
            <w:tcBorders>
              <w:top w:val="single" w:color="auto" w:sz="12" w:space="0"/>
              <w:left w:val="nil"/>
              <w:bottom w:val="single" w:color="auto" w:sz="4" w:space="0"/>
              <w:right w:val="nil"/>
            </w:tcBorders>
            <w:shd w:val="clear" w:color="auto" w:fill="auto"/>
            <w:vAlign w:val="center"/>
          </w:tcPr>
          <w:p w14:paraId="7F32D4A8">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b/>
                <w:bCs/>
                <w:i w:val="0"/>
                <w:iCs w:val="0"/>
                <w:color w:val="000000"/>
                <w:sz w:val="22"/>
                <w:szCs w:val="22"/>
                <w:u w:val="none"/>
              </w:rPr>
            </w:pPr>
            <w:r>
              <w:rPr>
                <w:rFonts w:hint="default" w:ascii="Times New Roman" w:hAnsi="Times New Roman" w:eastAsia="宋体" w:cs="Times New Roman"/>
                <w:b/>
                <w:bCs/>
                <w:i w:val="0"/>
                <w:iCs w:val="0"/>
                <w:color w:val="000000"/>
                <w:kern w:val="0"/>
                <w:sz w:val="22"/>
                <w:szCs w:val="22"/>
                <w:u w:val="none"/>
                <w:lang w:val="en-US" w:eastAsia="zh-CN" w:bidi="ar"/>
              </w:rPr>
              <w:t>行业盈利结构约束</w:t>
            </w:r>
          </w:p>
        </w:tc>
      </w:tr>
      <w:tr w14:paraId="7F56FA43">
        <w:trPr>
          <w:trHeight w:val="0" w:hRule="atLeast"/>
          <w:jc w:val="center"/>
        </w:trPr>
        <w:tc>
          <w:tcPr>
            <w:tcW w:w="1336" w:type="dxa"/>
            <w:tcBorders>
              <w:top w:val="single" w:color="auto" w:sz="4" w:space="0"/>
              <w:left w:val="nil"/>
              <w:bottom w:val="nil"/>
              <w:right w:val="nil"/>
            </w:tcBorders>
            <w:shd w:val="clear" w:color="auto" w:fill="auto"/>
            <w:vAlign w:val="center"/>
          </w:tcPr>
          <w:p w14:paraId="17B30E10">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AI独立产品型企业</w:t>
            </w:r>
          </w:p>
        </w:tc>
        <w:tc>
          <w:tcPr>
            <w:tcW w:w="1219" w:type="dxa"/>
            <w:tcBorders>
              <w:top w:val="single" w:color="auto" w:sz="4" w:space="0"/>
              <w:left w:val="nil"/>
              <w:bottom w:val="nil"/>
              <w:right w:val="nil"/>
            </w:tcBorders>
            <w:shd w:val="clear" w:color="auto" w:fill="auto"/>
            <w:vAlign w:val="center"/>
          </w:tcPr>
          <w:p w14:paraId="257A38D5">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方直科技</w:t>
            </w:r>
          </w:p>
        </w:tc>
        <w:tc>
          <w:tcPr>
            <w:tcW w:w="2600" w:type="dxa"/>
            <w:tcBorders>
              <w:top w:val="single" w:color="auto" w:sz="4" w:space="0"/>
              <w:left w:val="nil"/>
              <w:bottom w:val="nil"/>
              <w:right w:val="nil"/>
            </w:tcBorders>
            <w:shd w:val="clear" w:color="auto" w:fill="auto"/>
            <w:vAlign w:val="center"/>
          </w:tcPr>
          <w:p w14:paraId="60706103">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AI教育产品市场推广周期长</w:t>
            </w:r>
          </w:p>
        </w:tc>
        <w:tc>
          <w:tcPr>
            <w:tcW w:w="2323" w:type="dxa"/>
            <w:tcBorders>
              <w:top w:val="single" w:color="auto" w:sz="4" w:space="0"/>
              <w:left w:val="nil"/>
              <w:bottom w:val="nil"/>
              <w:right w:val="nil"/>
            </w:tcBorders>
            <w:shd w:val="clear" w:color="auto" w:fill="auto"/>
            <w:vAlign w:val="center"/>
          </w:tcPr>
          <w:p w14:paraId="0EB3760A">
            <w:pPr>
              <w:keepNext w:val="0"/>
              <w:keepLines w:val="0"/>
              <w:widowControl/>
              <w:suppressLineNumbers w:val="0"/>
              <w:snapToGrid w:val="0"/>
              <w:ind w:left="0" w:leftChars="0" w:right="0" w:rightChars="0" w:firstLine="0" w:firstLineChars="0"/>
              <w:jc w:val="lef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研发投入持续增加</w:t>
            </w:r>
          </w:p>
        </w:tc>
        <w:tc>
          <w:tcPr>
            <w:tcW w:w="2099" w:type="dxa"/>
            <w:tcBorders>
              <w:top w:val="single" w:color="auto" w:sz="4" w:space="0"/>
              <w:left w:val="nil"/>
              <w:bottom w:val="nil"/>
              <w:right w:val="nil"/>
            </w:tcBorders>
            <w:shd w:val="clear" w:color="auto" w:fill="auto"/>
            <w:vAlign w:val="center"/>
          </w:tcPr>
          <w:p w14:paraId="06BD4720">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教育数字化市场商业化节奏较慢</w:t>
            </w:r>
          </w:p>
        </w:tc>
      </w:tr>
      <w:tr w14:paraId="69454ADC">
        <w:trPr>
          <w:trHeight w:val="0" w:hRule="atLeast"/>
          <w:jc w:val="center"/>
        </w:trPr>
        <w:tc>
          <w:tcPr>
            <w:tcW w:w="1336" w:type="dxa"/>
            <w:tcBorders>
              <w:top w:val="nil"/>
              <w:left w:val="nil"/>
              <w:bottom w:val="nil"/>
              <w:right w:val="nil"/>
            </w:tcBorders>
            <w:shd w:val="clear" w:color="auto" w:fill="auto"/>
            <w:vAlign w:val="center"/>
          </w:tcPr>
          <w:p w14:paraId="6F90E25B">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AI独立产品型企业</w:t>
            </w:r>
          </w:p>
        </w:tc>
        <w:tc>
          <w:tcPr>
            <w:tcW w:w="1219" w:type="dxa"/>
            <w:tcBorders>
              <w:top w:val="nil"/>
              <w:left w:val="nil"/>
              <w:bottom w:val="nil"/>
              <w:right w:val="nil"/>
            </w:tcBorders>
            <w:shd w:val="clear" w:color="auto" w:fill="auto"/>
            <w:vAlign w:val="center"/>
          </w:tcPr>
          <w:p w14:paraId="0D265D89">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佳讯飞鸿</w:t>
            </w:r>
          </w:p>
        </w:tc>
        <w:tc>
          <w:tcPr>
            <w:tcW w:w="2600" w:type="dxa"/>
            <w:tcBorders>
              <w:top w:val="nil"/>
              <w:left w:val="nil"/>
              <w:bottom w:val="nil"/>
              <w:right w:val="nil"/>
            </w:tcBorders>
            <w:shd w:val="clear" w:color="auto" w:fill="auto"/>
            <w:vAlign w:val="center"/>
          </w:tcPr>
          <w:p w14:paraId="53B86205">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行业大模型应用仍依赖项目落地</w:t>
            </w:r>
          </w:p>
        </w:tc>
        <w:tc>
          <w:tcPr>
            <w:tcW w:w="2323" w:type="dxa"/>
            <w:tcBorders>
              <w:top w:val="nil"/>
              <w:left w:val="nil"/>
              <w:bottom w:val="nil"/>
              <w:right w:val="nil"/>
            </w:tcBorders>
            <w:shd w:val="clear" w:color="auto" w:fill="auto"/>
            <w:vAlign w:val="center"/>
          </w:tcPr>
          <w:p w14:paraId="0440A364">
            <w:pPr>
              <w:keepNext w:val="0"/>
              <w:keepLines w:val="0"/>
              <w:widowControl/>
              <w:suppressLineNumbers w:val="0"/>
              <w:snapToGrid w:val="0"/>
              <w:ind w:left="0" w:leftChars="0" w:right="0" w:rightChars="0" w:firstLine="0" w:firstLineChars="0"/>
              <w:jc w:val="lef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项目实施与研发成本较高</w:t>
            </w:r>
          </w:p>
        </w:tc>
        <w:tc>
          <w:tcPr>
            <w:tcW w:w="2099" w:type="dxa"/>
            <w:tcBorders>
              <w:top w:val="nil"/>
              <w:left w:val="nil"/>
              <w:bottom w:val="nil"/>
              <w:right w:val="nil"/>
            </w:tcBorders>
            <w:shd w:val="clear" w:color="auto" w:fill="auto"/>
            <w:vAlign w:val="center"/>
          </w:tcPr>
          <w:p w14:paraId="018F3B95">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行业解决方案利润释放周期长</w:t>
            </w:r>
          </w:p>
        </w:tc>
      </w:tr>
      <w:tr w14:paraId="374C2A1B">
        <w:trPr>
          <w:trHeight w:val="0" w:hRule="atLeast"/>
          <w:jc w:val="center"/>
        </w:trPr>
        <w:tc>
          <w:tcPr>
            <w:tcW w:w="1336" w:type="dxa"/>
            <w:tcBorders>
              <w:top w:val="nil"/>
              <w:left w:val="nil"/>
              <w:bottom w:val="nil"/>
              <w:right w:val="nil"/>
            </w:tcBorders>
            <w:shd w:val="clear" w:color="auto" w:fill="auto"/>
            <w:vAlign w:val="center"/>
          </w:tcPr>
          <w:p w14:paraId="18D77435">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AI独立产品型企业</w:t>
            </w:r>
          </w:p>
        </w:tc>
        <w:tc>
          <w:tcPr>
            <w:tcW w:w="1219" w:type="dxa"/>
            <w:tcBorders>
              <w:top w:val="nil"/>
              <w:left w:val="nil"/>
              <w:bottom w:val="nil"/>
              <w:right w:val="nil"/>
            </w:tcBorders>
            <w:shd w:val="clear" w:color="auto" w:fill="auto"/>
            <w:vAlign w:val="center"/>
          </w:tcPr>
          <w:p w14:paraId="347977B0">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天地在线</w:t>
            </w:r>
          </w:p>
        </w:tc>
        <w:tc>
          <w:tcPr>
            <w:tcW w:w="2600" w:type="dxa"/>
            <w:tcBorders>
              <w:top w:val="nil"/>
              <w:left w:val="nil"/>
              <w:bottom w:val="nil"/>
              <w:right w:val="nil"/>
            </w:tcBorders>
            <w:shd w:val="clear" w:color="auto" w:fill="auto"/>
            <w:vAlign w:val="center"/>
          </w:tcPr>
          <w:p w14:paraId="5DDC6956">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AI新业务尚未形成规模收入</w:t>
            </w:r>
          </w:p>
        </w:tc>
        <w:tc>
          <w:tcPr>
            <w:tcW w:w="2323" w:type="dxa"/>
            <w:tcBorders>
              <w:top w:val="nil"/>
              <w:left w:val="nil"/>
              <w:bottom w:val="nil"/>
              <w:right w:val="nil"/>
            </w:tcBorders>
            <w:shd w:val="clear" w:color="auto" w:fill="auto"/>
            <w:vAlign w:val="center"/>
          </w:tcPr>
          <w:p w14:paraId="20D73DD2">
            <w:pPr>
              <w:keepNext w:val="0"/>
              <w:keepLines w:val="0"/>
              <w:widowControl/>
              <w:suppressLineNumbers w:val="0"/>
              <w:snapToGrid w:val="0"/>
              <w:ind w:left="0" w:leftChars="0" w:right="0" w:rightChars="0" w:firstLine="0" w:firstLineChars="0"/>
              <w:jc w:val="lef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数智化业务投入与营销费用增加</w:t>
            </w:r>
          </w:p>
        </w:tc>
        <w:tc>
          <w:tcPr>
            <w:tcW w:w="2099" w:type="dxa"/>
            <w:tcBorders>
              <w:top w:val="nil"/>
              <w:left w:val="nil"/>
              <w:bottom w:val="nil"/>
              <w:right w:val="nil"/>
            </w:tcBorders>
            <w:shd w:val="clear" w:color="auto" w:fill="auto"/>
            <w:vAlign w:val="center"/>
          </w:tcPr>
          <w:p w14:paraId="0639C91D">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数字营销行业利润率较低</w:t>
            </w:r>
          </w:p>
        </w:tc>
      </w:tr>
      <w:tr w14:paraId="758C5757">
        <w:trPr>
          <w:trHeight w:val="0" w:hRule="atLeast"/>
          <w:jc w:val="center"/>
        </w:trPr>
        <w:tc>
          <w:tcPr>
            <w:tcW w:w="1336" w:type="dxa"/>
            <w:tcBorders>
              <w:top w:val="nil"/>
              <w:left w:val="nil"/>
              <w:bottom w:val="nil"/>
              <w:right w:val="nil"/>
            </w:tcBorders>
            <w:shd w:val="clear" w:color="auto" w:fill="auto"/>
            <w:vAlign w:val="center"/>
          </w:tcPr>
          <w:p w14:paraId="62109471">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AI业务赋能型企业</w:t>
            </w:r>
          </w:p>
        </w:tc>
        <w:tc>
          <w:tcPr>
            <w:tcW w:w="1219" w:type="dxa"/>
            <w:tcBorders>
              <w:top w:val="nil"/>
              <w:left w:val="nil"/>
              <w:bottom w:val="nil"/>
              <w:right w:val="nil"/>
            </w:tcBorders>
            <w:shd w:val="clear" w:color="auto" w:fill="auto"/>
            <w:vAlign w:val="center"/>
          </w:tcPr>
          <w:p w14:paraId="62DAA322">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巨人网络</w:t>
            </w:r>
          </w:p>
        </w:tc>
        <w:tc>
          <w:tcPr>
            <w:tcW w:w="2600" w:type="dxa"/>
            <w:tcBorders>
              <w:top w:val="nil"/>
              <w:left w:val="nil"/>
              <w:bottom w:val="nil"/>
              <w:right w:val="nil"/>
            </w:tcBorders>
            <w:shd w:val="clear" w:color="auto" w:fill="auto"/>
            <w:vAlign w:val="center"/>
          </w:tcPr>
          <w:p w14:paraId="43033AB6">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AI主要用于提升研发与运营效率</w:t>
            </w:r>
          </w:p>
        </w:tc>
        <w:tc>
          <w:tcPr>
            <w:tcW w:w="2323" w:type="dxa"/>
            <w:tcBorders>
              <w:top w:val="nil"/>
              <w:left w:val="nil"/>
              <w:bottom w:val="nil"/>
              <w:right w:val="nil"/>
            </w:tcBorders>
            <w:shd w:val="clear" w:color="auto" w:fill="auto"/>
            <w:vAlign w:val="center"/>
          </w:tcPr>
          <w:p w14:paraId="72BB4307">
            <w:pPr>
              <w:keepNext w:val="0"/>
              <w:keepLines w:val="0"/>
              <w:widowControl/>
              <w:suppressLineNumbers w:val="0"/>
              <w:snapToGrid w:val="0"/>
              <w:ind w:left="0" w:leftChars="0" w:right="0" w:rightChars="0" w:firstLine="0" w:firstLineChars="0"/>
              <w:jc w:val="lef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AI研发持续投入</w:t>
            </w:r>
          </w:p>
        </w:tc>
        <w:tc>
          <w:tcPr>
            <w:tcW w:w="2099" w:type="dxa"/>
            <w:tcBorders>
              <w:top w:val="nil"/>
              <w:left w:val="nil"/>
              <w:bottom w:val="nil"/>
              <w:right w:val="nil"/>
            </w:tcBorders>
            <w:shd w:val="clear" w:color="auto" w:fill="auto"/>
            <w:vAlign w:val="center"/>
          </w:tcPr>
          <w:p w14:paraId="6E96F9B0">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盈利仍主要依赖原有游戏业务</w:t>
            </w:r>
          </w:p>
        </w:tc>
      </w:tr>
      <w:tr w14:paraId="3CF8D9BC">
        <w:trPr>
          <w:trHeight w:val="0" w:hRule="atLeast"/>
          <w:jc w:val="center"/>
        </w:trPr>
        <w:tc>
          <w:tcPr>
            <w:tcW w:w="1336" w:type="dxa"/>
            <w:tcBorders>
              <w:top w:val="nil"/>
              <w:left w:val="nil"/>
              <w:bottom w:val="nil"/>
              <w:right w:val="nil"/>
            </w:tcBorders>
            <w:shd w:val="clear" w:color="auto" w:fill="auto"/>
            <w:vAlign w:val="center"/>
          </w:tcPr>
          <w:p w14:paraId="437C991C">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AI业务赋能型企业</w:t>
            </w:r>
          </w:p>
        </w:tc>
        <w:tc>
          <w:tcPr>
            <w:tcW w:w="1219" w:type="dxa"/>
            <w:tcBorders>
              <w:top w:val="nil"/>
              <w:left w:val="nil"/>
              <w:bottom w:val="nil"/>
              <w:right w:val="nil"/>
            </w:tcBorders>
            <w:shd w:val="clear" w:color="auto" w:fill="auto"/>
            <w:vAlign w:val="center"/>
          </w:tcPr>
          <w:p w14:paraId="3EE47867">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世纪天鸿</w:t>
            </w:r>
          </w:p>
        </w:tc>
        <w:tc>
          <w:tcPr>
            <w:tcW w:w="2600" w:type="dxa"/>
            <w:tcBorders>
              <w:top w:val="nil"/>
              <w:left w:val="nil"/>
              <w:bottom w:val="nil"/>
              <w:right w:val="nil"/>
            </w:tcBorders>
            <w:shd w:val="clear" w:color="auto" w:fill="auto"/>
            <w:vAlign w:val="center"/>
          </w:tcPr>
          <w:p w14:paraId="330E7477">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AI教育产品商业化进程较慢</w:t>
            </w:r>
          </w:p>
        </w:tc>
        <w:tc>
          <w:tcPr>
            <w:tcW w:w="2323" w:type="dxa"/>
            <w:tcBorders>
              <w:top w:val="nil"/>
              <w:left w:val="nil"/>
              <w:bottom w:val="nil"/>
              <w:right w:val="nil"/>
            </w:tcBorders>
            <w:shd w:val="clear" w:color="auto" w:fill="auto"/>
            <w:vAlign w:val="center"/>
          </w:tcPr>
          <w:p w14:paraId="3B4E48F4">
            <w:pPr>
              <w:keepNext w:val="0"/>
              <w:keepLines w:val="0"/>
              <w:widowControl/>
              <w:suppressLineNumbers w:val="0"/>
              <w:snapToGrid w:val="0"/>
              <w:ind w:left="0" w:leftChars="0" w:right="0" w:rightChars="0" w:firstLine="0" w:firstLineChars="0"/>
              <w:jc w:val="lef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AI产品研发与推广成本增加</w:t>
            </w:r>
          </w:p>
        </w:tc>
        <w:tc>
          <w:tcPr>
            <w:tcW w:w="2099" w:type="dxa"/>
            <w:tcBorders>
              <w:top w:val="nil"/>
              <w:left w:val="nil"/>
              <w:bottom w:val="nil"/>
              <w:right w:val="nil"/>
            </w:tcBorders>
            <w:shd w:val="clear" w:color="auto" w:fill="auto"/>
            <w:vAlign w:val="center"/>
          </w:tcPr>
          <w:p w14:paraId="6F5818CF">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教辅出版行业增长空间有限</w:t>
            </w:r>
          </w:p>
        </w:tc>
      </w:tr>
      <w:tr w14:paraId="0E6D4A8F">
        <w:trPr>
          <w:trHeight w:val="0" w:hRule="atLeast"/>
          <w:jc w:val="center"/>
        </w:trPr>
        <w:tc>
          <w:tcPr>
            <w:tcW w:w="1336" w:type="dxa"/>
            <w:tcBorders>
              <w:top w:val="nil"/>
              <w:left w:val="nil"/>
              <w:bottom w:val="single" w:color="auto" w:sz="12" w:space="0"/>
              <w:right w:val="nil"/>
            </w:tcBorders>
            <w:shd w:val="clear" w:color="auto" w:fill="auto"/>
            <w:vAlign w:val="center"/>
          </w:tcPr>
          <w:p w14:paraId="76238241">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AI业务赋能型企业</w:t>
            </w:r>
          </w:p>
        </w:tc>
        <w:tc>
          <w:tcPr>
            <w:tcW w:w="1219" w:type="dxa"/>
            <w:tcBorders>
              <w:top w:val="nil"/>
              <w:left w:val="nil"/>
              <w:bottom w:val="single" w:color="auto" w:sz="12" w:space="0"/>
              <w:right w:val="nil"/>
            </w:tcBorders>
            <w:shd w:val="clear" w:color="auto" w:fill="auto"/>
            <w:vAlign w:val="center"/>
          </w:tcPr>
          <w:p w14:paraId="55F27617">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思美传媒</w:t>
            </w:r>
          </w:p>
        </w:tc>
        <w:tc>
          <w:tcPr>
            <w:tcW w:w="2600" w:type="dxa"/>
            <w:tcBorders>
              <w:top w:val="nil"/>
              <w:left w:val="nil"/>
              <w:bottom w:val="single" w:color="auto" w:sz="12" w:space="0"/>
              <w:right w:val="nil"/>
            </w:tcBorders>
            <w:shd w:val="clear" w:color="auto" w:fill="auto"/>
            <w:vAlign w:val="center"/>
          </w:tcPr>
          <w:p w14:paraId="43326BFE">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AI营销工具难以形成独立收入</w:t>
            </w:r>
          </w:p>
        </w:tc>
        <w:tc>
          <w:tcPr>
            <w:tcW w:w="2323" w:type="dxa"/>
            <w:tcBorders>
              <w:top w:val="nil"/>
              <w:left w:val="nil"/>
              <w:bottom w:val="single" w:color="auto" w:sz="12" w:space="0"/>
              <w:right w:val="nil"/>
            </w:tcBorders>
            <w:shd w:val="clear" w:color="auto" w:fill="auto"/>
            <w:vAlign w:val="center"/>
          </w:tcPr>
          <w:p w14:paraId="6263CFD9">
            <w:pPr>
              <w:keepNext w:val="0"/>
              <w:keepLines w:val="0"/>
              <w:widowControl/>
              <w:suppressLineNumbers w:val="0"/>
              <w:snapToGrid w:val="0"/>
              <w:ind w:left="0" w:leftChars="0" w:right="0" w:rightChars="0" w:firstLine="0" w:firstLineChars="0"/>
              <w:jc w:val="lef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营销运营成本与推广费用较高</w:t>
            </w:r>
          </w:p>
        </w:tc>
        <w:tc>
          <w:tcPr>
            <w:tcW w:w="2099" w:type="dxa"/>
            <w:tcBorders>
              <w:top w:val="nil"/>
              <w:left w:val="nil"/>
              <w:bottom w:val="single" w:color="auto" w:sz="12" w:space="0"/>
              <w:right w:val="nil"/>
            </w:tcBorders>
            <w:shd w:val="clear" w:color="auto" w:fill="auto"/>
            <w:vAlign w:val="center"/>
          </w:tcPr>
          <w:p w14:paraId="375C80C4">
            <w:pPr>
              <w:keepNext w:val="0"/>
              <w:keepLines w:val="0"/>
              <w:widowControl/>
              <w:suppressLineNumbers w:val="0"/>
              <w:snapToGrid w:val="0"/>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营销服务行业整体利润率偏低</w:t>
            </w:r>
          </w:p>
        </w:tc>
      </w:tr>
    </w:tbl>
    <w:p w14:paraId="1D98A256">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42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p>
    <w:p w14:paraId="7C8A3AD6">
      <w:pPr>
        <w:autoSpaceDE/>
        <w:autoSpaceDN/>
        <w:snapToGrid/>
        <w:spacing w:before="156" w:beforeLines="50" w:after="156" w:afterLines="50" w:line="420" w:lineRule="exact"/>
        <w:jc w:val="left"/>
        <w:outlineLvl w:val="2"/>
        <w:rPr>
          <w:rFonts w:hint="default" w:ascii="Times New Roman" w:hAnsi="Times New Roman" w:eastAsia="黑体" w:cs="Times New Roman"/>
          <w:color w:val="000000"/>
          <w:kern w:val="0"/>
          <w:sz w:val="28"/>
          <w:szCs w:val="28"/>
          <w:lang w:val="en-US" w:eastAsia="zh-CN"/>
        </w:rPr>
      </w:pPr>
      <w:r>
        <w:rPr>
          <w:rFonts w:hint="default" w:ascii="Times New Roman" w:hAnsi="Times New Roman" w:eastAsia="黑体" w:cs="Times New Roman"/>
          <w:color w:val="000000"/>
          <w:kern w:val="0"/>
          <w:sz w:val="28"/>
          <w:szCs w:val="28"/>
          <w:lang w:val="en-US" w:eastAsia="zh-CN"/>
        </w:rPr>
        <w:t>4.4 本章小结</w:t>
      </w:r>
    </w:p>
    <w:p w14:paraId="1ADEA6C0">
      <w:pPr>
        <w:spacing w:line="360" w:lineRule="auto"/>
        <w:ind w:firstLine="420"/>
      </w:pPr>
      <w:r>
        <w:t>本章围绕A股人工智能应用层中小企业的盈利能力展开系统分析，依次采用熵权法进行全样本横向比较，并结合杜邦分析法对典型样本进行纵向拆解，进一步归纳不同业务模式企业的主要盈利问题。整体来看，本章研究结论可以概括为以下四点。</w:t>
      </w:r>
    </w:p>
    <w:p w14:paraId="0049CB02">
      <w:pPr>
        <w:spacing w:line="360" w:lineRule="auto"/>
        <w:ind w:firstLine="420"/>
      </w:pPr>
      <w:r>
        <w:t>第一，从全样本横向比较结果看，AI独立产品型企业在2020—2024年样本期内的综合盈利得分整体高于AI业务赋能型企业，且内部波动相对更小。主模型下，AI独立产品型企业平均得分为</w:t>
      </w:r>
      <w:r>
        <w:rPr>
          <w:rFonts w:hint="eastAsia"/>
        </w:rPr>
        <w:t>0.3214</w:t>
      </w:r>
      <w:r>
        <w:t>，高于AI业务赋能型企业的0.2</w:t>
      </w:r>
      <w:r>
        <w:rPr>
          <w:rFonts w:hint="eastAsia"/>
          <w:lang w:val="en-US" w:eastAsia="zh-CN"/>
        </w:rPr>
        <w:t>589。</w:t>
      </w:r>
      <w:r>
        <w:t>这表明，能够将人工智能能力直接产品化并形成独立交付对象的企业，更容易在毛利率、经营利润率和成本结构方面形成相对优势。</w:t>
      </w:r>
    </w:p>
    <w:p w14:paraId="5AFAB293">
      <w:pPr>
        <w:spacing w:line="360" w:lineRule="auto"/>
        <w:ind w:firstLine="420"/>
      </w:pPr>
      <w:r>
        <w:t>第二，从样本期盈利演进看，行业整体盈利</w:t>
      </w:r>
      <w:r>
        <w:rPr>
          <w:rFonts w:hint="eastAsia"/>
          <w:lang w:val="en-US" w:eastAsia="zh-CN"/>
        </w:rPr>
        <w:t>盈利能力明显下降</w:t>
      </w:r>
      <w:r>
        <w:t>。全样本口径下，ROA中位数由2020年的5.3</w:t>
      </w:r>
      <w:r>
        <w:rPr>
          <w:rFonts w:hint="eastAsia"/>
          <w:lang w:val="en-US" w:eastAsia="zh-CN"/>
        </w:rPr>
        <w:t>3</w:t>
      </w:r>
      <w:r>
        <w:t>%下降至2024年的0.7</w:t>
      </w:r>
      <w:r>
        <w:rPr>
          <w:rFonts w:hint="eastAsia"/>
          <w:lang w:val="en-US" w:eastAsia="zh-CN"/>
        </w:rPr>
        <w:t>7</w:t>
      </w:r>
      <w:r>
        <w:t>%，ROE中位数由9.04%下降至1.43%，营业净利率中位数由9.99</w:t>
      </w:r>
      <w:r>
        <w:rPr>
          <w:rFonts w:hint="eastAsia"/>
          <w:lang w:val="en-US" w:eastAsia="zh-CN"/>
        </w:rPr>
        <w:t>7</w:t>
      </w:r>
      <w:r>
        <w:t>%下降至1.0</w:t>
      </w:r>
      <w:r>
        <w:rPr>
          <w:rFonts w:hint="eastAsia"/>
          <w:lang w:val="en-US" w:eastAsia="zh-CN"/>
        </w:rPr>
        <w:t>9</w:t>
      </w:r>
      <w:r>
        <w:t>%。这一变化说明，A股人工智能应用层中小企业在样本期后段普遍面临利润空间收窄和资本回报走弱的问题。进一步结合收入、成本和费用结构可以判断，盈利能力下滑并非由单一因素导致，而是收入增长趋弱、营业成本率抬升和期间费用率刚性上升共同作用的结果。</w:t>
      </w:r>
    </w:p>
    <w:p w14:paraId="2D654547">
      <w:pPr>
        <w:spacing w:line="360" w:lineRule="auto"/>
        <w:ind w:firstLine="420"/>
      </w:pPr>
      <w:r>
        <w:t>第三，从典型样本的杜邦分析结果看，销售净利率是解释ROE差异的第一变量，总资产周转率用于刻画业务模式差异，权益乘数则主要发挥放大器作用而非决定性作用。对方直科技和巨人网络而言，尽管总资产周转率较低，但凭借较高净利率仍能维持正向甚至较高回报；对天地在线和思美传媒而言，即使总资产周转率较高，只要净利率偏低或持续转负，资本回报依然会明显恶化；对思美传媒而言，杠杆上升还会进一步放大低利润模式的脆弱性。由此可见，人工智能应用层企业盈利优劣的根本分野，不在于有没有收入规模或杠杆高不高，而在于收入最终能否有效转化为利润。</w:t>
      </w:r>
    </w:p>
    <w:p w14:paraId="1A577B03">
      <w:pPr>
        <w:spacing w:line="360" w:lineRule="auto"/>
        <w:ind w:firstLine="420"/>
      </w:pPr>
      <w:r>
        <w:t>第四，从问题归纳结果看，两类业务模式的盈利瓶颈具有明显差异。AI独立产品型企业的核心问题在于AI产品商业化周期偏长、销售与研发投入较高、传统业务与新业务之间存在结构性挤压；AI业务赋能型企业的核心问题则在于盈利高度依赖原有主业质量，AI更容易提升效率，却未必能够突破原行业利润率和定价能力的约束。也就是说，产品型企业更多面临高附加值如何变成稳定利润的问题，赋能型企业更多面临AI提效如何真正转化为利润的问题。</w:t>
      </w:r>
    </w:p>
    <w:p w14:paraId="281F065C">
      <w:pPr>
        <w:autoSpaceDE/>
        <w:autoSpaceDN/>
        <w:snapToGrid/>
        <w:spacing w:before="156" w:beforeLines="50" w:after="156" w:afterLines="50" w:line="420" w:lineRule="exact"/>
        <w:ind w:firstLine="420" w:firstLineChars="0"/>
        <w:jc w:val="left"/>
        <w:outlineLvl w:val="2"/>
      </w:pPr>
      <w:r>
        <w:t>综上，本章的实证分析已经较为清晰地回答了本研究关于模式差异</w:t>
      </w:r>
      <w:r>
        <w:rPr>
          <w:rFonts w:hint="eastAsia"/>
          <w:lang w:eastAsia="zh-CN"/>
        </w:rPr>
        <w:t>、</w:t>
      </w:r>
      <w:r>
        <w:t>成因机制</w:t>
      </w:r>
      <w:r>
        <w:rPr>
          <w:rFonts w:hint="eastAsia"/>
          <w:lang w:eastAsia="zh-CN"/>
        </w:rPr>
        <w:t>、</w:t>
      </w:r>
      <w:r>
        <w:rPr>
          <w:rFonts w:hint="eastAsia"/>
          <w:lang w:val="en-US" w:eastAsia="zh-CN"/>
        </w:rPr>
        <w:t>盈利瓶颈等</w:t>
      </w:r>
      <w:r>
        <w:t>核心问题，也为下一章提出有针对性的盈利能力提升对策奠定了基础。后续对策设计应紧扣本章所识别的三类关键约束，即商业化转化效率、成本费用吸收能力以及原有主业利润结构，分别针对AI独立产品型企业与AI业务赋能型企业提出差异化改进路径。</w:t>
      </w:r>
    </w:p>
    <w:p w14:paraId="27400724">
      <w:pPr>
        <w:autoSpaceDE/>
        <w:autoSpaceDN/>
        <w:snapToGrid/>
        <w:spacing w:before="156" w:beforeLines="50" w:after="156" w:afterLines="50" w:line="420" w:lineRule="exact"/>
        <w:ind w:firstLine="420" w:firstLineChars="0"/>
        <w:jc w:val="left"/>
        <w:outlineLvl w:val="2"/>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参考文献：</w:t>
      </w:r>
    </w:p>
    <w:p w14:paraId="767E2433">
      <w:pPr>
        <w:keepNext w:val="0"/>
        <w:keepLines w:val="0"/>
        <w:pageBreakBefore w:val="0"/>
        <w:widowControl w:val="0"/>
        <w:numPr>
          <w:ilvl w:val="0"/>
          <w:numId w:val="3"/>
        </w:numPr>
        <w:kinsoku/>
        <w:wordWrap/>
        <w:overflowPunct/>
        <w:topLinePunct w:val="0"/>
        <w:autoSpaceDE/>
        <w:autoSpaceDN/>
        <w:bidi w:val="0"/>
        <w:adjustRightInd/>
        <w:snapToGrid/>
        <w:spacing w:line="420" w:lineRule="exact"/>
        <w:ind w:left="425" w:leftChars="0" w:hanging="425" w:firstLineChars="0"/>
        <w:textAlignment w:val="auto"/>
        <w:rPr>
          <w:rFonts w:hint="default" w:ascii="Times New Roman" w:hAnsi="Times New Roman" w:cs="Times New Roman"/>
          <w:szCs w:val="22"/>
        </w:rPr>
      </w:pPr>
      <w:r>
        <w:rPr>
          <w:rFonts w:hint="default" w:ascii="Times New Roman" w:hAnsi="Times New Roman" w:cs="Times New Roman"/>
          <w:szCs w:val="22"/>
        </w:rPr>
        <w:t>Yi Y U N. Entropy method for determination of weight of evaluating indicators in fuzzy synthetic evaluation for water quality assessment[J]. Journal of Environmental sciences, 2006, 18(5): 1020-1023.</w:t>
      </w:r>
    </w:p>
    <w:p w14:paraId="49E47E72">
      <w:pPr>
        <w:keepNext w:val="0"/>
        <w:keepLines w:val="0"/>
        <w:pageBreakBefore w:val="0"/>
        <w:widowControl w:val="0"/>
        <w:numPr>
          <w:ilvl w:val="0"/>
          <w:numId w:val="3"/>
        </w:numPr>
        <w:kinsoku/>
        <w:wordWrap/>
        <w:overflowPunct/>
        <w:topLinePunct w:val="0"/>
        <w:autoSpaceDE/>
        <w:autoSpaceDN/>
        <w:bidi w:val="0"/>
        <w:adjustRightInd/>
        <w:snapToGrid/>
        <w:spacing w:line="420" w:lineRule="exact"/>
        <w:ind w:left="425" w:leftChars="0" w:hanging="425" w:firstLineChars="0"/>
        <w:textAlignment w:val="auto"/>
        <w:rPr>
          <w:rFonts w:hint="default" w:ascii="Times New Roman" w:hAnsi="Times New Roman" w:cs="Times New Roman"/>
          <w:szCs w:val="22"/>
          <w:lang w:val="en-US" w:eastAsia="zh-CN"/>
        </w:rPr>
      </w:pPr>
      <w:r>
        <w:rPr>
          <w:rFonts w:hint="default" w:ascii="Times New Roman" w:hAnsi="Times New Roman" w:cs="Times New Roman"/>
          <w:szCs w:val="22"/>
        </w:rPr>
        <w:t>徐志勇，张娜，张绍勇，等. 资产结构配置与企业高质量发展：营商环境机制研究[J]. 管理科学学报，2024，32(10): 286-300.</w:t>
      </w:r>
    </w:p>
    <w:p w14:paraId="523ED5EF">
      <w:pPr>
        <w:keepNext w:val="0"/>
        <w:keepLines w:val="0"/>
        <w:pageBreakBefore w:val="0"/>
        <w:widowControl w:val="0"/>
        <w:numPr>
          <w:ilvl w:val="0"/>
          <w:numId w:val="3"/>
        </w:numPr>
        <w:kinsoku/>
        <w:wordWrap/>
        <w:overflowPunct/>
        <w:topLinePunct w:val="0"/>
        <w:autoSpaceDE/>
        <w:autoSpaceDN/>
        <w:bidi w:val="0"/>
        <w:adjustRightInd/>
        <w:snapToGrid/>
        <w:spacing w:line="420" w:lineRule="exact"/>
        <w:ind w:left="425" w:leftChars="0" w:hanging="425" w:firstLineChars="0"/>
        <w:textAlignment w:val="auto"/>
        <w:rPr>
          <w:rFonts w:hint="default" w:ascii="Times New Roman" w:hAnsi="Times New Roman" w:cs="Times New Roman"/>
          <w:szCs w:val="22"/>
          <w:lang w:val="en-US" w:eastAsia="zh-CN"/>
        </w:rPr>
      </w:pPr>
      <w:r>
        <w:rPr>
          <w:rFonts w:hint="default" w:ascii="Times New Roman" w:hAnsi="Times New Roman" w:cs="Times New Roman"/>
          <w:szCs w:val="22"/>
          <w:lang w:val="en-US" w:eastAsia="zh-CN"/>
        </w:rPr>
        <w:t>孙晓华,翟钰.盈利能力影响企业研发决策吗?——来自中国制造业上市公司的经验证据[J].管理评论,2021,33(07):68-80.DOI:10.14120/j.cnki.cn11-5057/f.2021.07.006.</w:t>
      </w:r>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EF" w:usb1="C0007841" w:usb2="00000009" w:usb3="00000000" w:csb0="400001FF" w:csb1="FFFF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libri Light">
    <w:altName w:val="Helvetica Neue"/>
    <w:panose1 w:val="020F0302020204030204"/>
    <w:charset w:val="00"/>
    <w:family w:val="auto"/>
    <w:pitch w:val="default"/>
    <w:sig w:usb0="00000000" w:usb1="00000000" w:usb2="00000009" w:usb3="00000000" w:csb0="200001FF" w:csb1="00000000"/>
  </w:font>
  <w:font w:name="Cambria Math">
    <w:altName w:val="Kingsoft Math"/>
    <w:panose1 w:val="02040503050406030204"/>
    <w:charset w:val="00"/>
    <w:family w:val="roman"/>
    <w:pitch w:val="default"/>
    <w:sig w:usb0="00000000" w:usb1="00000000" w:usb2="02000000" w:usb3="00000000" w:csb0="2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Math">
    <w:panose1 w:val="02040503050406030204"/>
    <w:charset w:val="00"/>
    <w:family w:val="auto"/>
    <w:pitch w:val="default"/>
    <w:sig w:usb0="80000087" w:usb1="00002068" w:usb2="00000000" w:usb3="00000000" w:csb0="2000019F" w:csb1="00000000"/>
  </w:font>
  <w:font w:name="宋体-简">
    <w:panose1 w:val="02010800040101010101"/>
    <w:charset w:val="86"/>
    <w:family w:val="auto"/>
    <w:pitch w:val="default"/>
    <w:sig w:usb0="00000001" w:usb1="080F0000" w:usb2="00000000" w:usb3="00000000" w:csb0="00040000" w:csb1="00000000"/>
  </w:font>
  <w:font w:name="黑体-简">
    <w:panose1 w:val="00000000000000000000"/>
    <w:charset w:val="86"/>
    <w:family w:val="auto"/>
    <w:pitch w:val="default"/>
    <w:sig w:usb0="8000002F" w:usb1="0800004A" w:usb2="00000000" w:usb3="00000000" w:csb0="203E0000" w:csb1="00000000"/>
  </w:font>
  <w:font w:name="Arial Unicode MS">
    <w:panose1 w:val="020B0604020202020204"/>
    <w:charset w:val="86"/>
    <w:family w:val="auto"/>
    <w:pitch w:val="default"/>
    <w:sig w:usb0="FFFFFFFF" w:usb1="E9FFFFFF" w:usb2="0000003F" w:usb3="00000000" w:csb0="603F01FF" w:csb1="FFFF0000"/>
  </w:font>
  <w:font w:name="DejaVu Math TeX Gyre">
    <w:panose1 w:val="02000503000000000000"/>
    <w:charset w:val="00"/>
    <w:family w:val="auto"/>
    <w:pitch w:val="default"/>
    <w:sig w:usb0="A10000EF" w:usb1="4201F9EE" w:usb2="02000000" w:usb3="00000000" w:csb0="60000193" w:csb1="0DD40000"/>
  </w:font>
  <w:font w:name="Apple Symbols">
    <w:panose1 w:val="02000000000000000000"/>
    <w:charset w:val="00"/>
    <w:family w:val="auto"/>
    <w:pitch w:val="default"/>
    <w:sig w:usb0="800000A3" w:usb1="08007BEB" w:usb2="01840034" w:usb3="0000A268" w:csb0="200001FB" w:csb1="DDFF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C5FDD65"/>
    <w:multiLevelType w:val="singleLevel"/>
    <w:tmpl w:val="FC5FDD65"/>
    <w:lvl w:ilvl="0" w:tentative="0">
      <w:start w:val="1"/>
      <w:numFmt w:val="chineseCounting"/>
      <w:suff w:val="nothing"/>
      <w:lvlText w:val="第%1，"/>
      <w:lvlJc w:val="left"/>
      <w:rPr>
        <w:rFonts w:hint="eastAsia"/>
      </w:rPr>
    </w:lvl>
  </w:abstractNum>
  <w:abstractNum w:abstractNumId="1">
    <w:nsid w:val="270612C5"/>
    <w:multiLevelType w:val="singleLevel"/>
    <w:tmpl w:val="270612C5"/>
    <w:lvl w:ilvl="0" w:tentative="0">
      <w:start w:val="1"/>
      <w:numFmt w:val="decimal"/>
      <w:lvlText w:val="[%1]"/>
      <w:lvlJc w:val="left"/>
      <w:pPr>
        <w:tabs>
          <w:tab w:val="left" w:pos="420"/>
        </w:tabs>
        <w:ind w:left="425" w:leftChars="0" w:hanging="425" w:firstLineChars="0"/>
      </w:pPr>
      <w:rPr>
        <w:rFonts w:hint="default"/>
      </w:rPr>
    </w:lvl>
  </w:abstractNum>
  <w:abstractNum w:abstractNumId="2">
    <w:nsid w:val="39260770"/>
    <w:multiLevelType w:val="singleLevel"/>
    <w:tmpl w:val="39260770"/>
    <w:lvl w:ilvl="0" w:tentative="0">
      <w:start w:val="1"/>
      <w:numFmt w:val="chineseCounting"/>
      <w:suff w:val="nothing"/>
      <w:lvlText w:val="第%1，"/>
      <w:lvlJc w:val="left"/>
      <w:rPr>
        <w:rFonts w:hint="eastAsia"/>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D7D0A7E"/>
    <w:rsid w:val="019F61B0"/>
    <w:rsid w:val="049E1686"/>
    <w:rsid w:val="137F4687"/>
    <w:rsid w:val="17C24812"/>
    <w:rsid w:val="1B504B5D"/>
    <w:rsid w:val="22AD72BA"/>
    <w:rsid w:val="23A31551"/>
    <w:rsid w:val="2814263E"/>
    <w:rsid w:val="29416119"/>
    <w:rsid w:val="2E253E96"/>
    <w:rsid w:val="2ED022C0"/>
    <w:rsid w:val="30203BAC"/>
    <w:rsid w:val="343C604B"/>
    <w:rsid w:val="3A332590"/>
    <w:rsid w:val="3C0C4588"/>
    <w:rsid w:val="461E4B57"/>
    <w:rsid w:val="46A26BC0"/>
    <w:rsid w:val="53E67D0C"/>
    <w:rsid w:val="58527C84"/>
    <w:rsid w:val="5C8426E4"/>
    <w:rsid w:val="5D7D0A7E"/>
    <w:rsid w:val="630C3481"/>
    <w:rsid w:val="63C8713B"/>
    <w:rsid w:val="651C6824"/>
    <w:rsid w:val="6A165A20"/>
    <w:rsid w:val="6F9206D0"/>
    <w:rsid w:val="73CA09B8"/>
    <w:rsid w:val="745555A5"/>
    <w:rsid w:val="7A772253"/>
    <w:rsid w:val="DF774997"/>
    <w:rsid w:val="FF6E5028"/>
    <w:rsid w:val="FF7F02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9"/>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5">
    <w:name w:val="annotation text"/>
    <w:basedOn w:val="1"/>
    <w:uiPriority w:val="0"/>
    <w:pPr>
      <w:jc w:val="left"/>
    </w:pPr>
  </w:style>
  <w:style w:type="paragraph" w:styleId="6">
    <w:name w:val="Normal (Web)"/>
    <w:basedOn w:val="1"/>
    <w:qFormat/>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 w:type="character" w:customStyle="1" w:styleId="10">
    <w:name w:val="font31"/>
    <w:basedOn w:val="8"/>
    <w:uiPriority w:val="0"/>
    <w:rPr>
      <w:rFonts w:hint="eastAsia" w:ascii="宋体" w:hAnsi="宋体" w:eastAsia="宋体" w:cs="宋体"/>
      <w:color w:val="50505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hart" Target="charts/chart4.xml"/><Relationship Id="rId7" Type="http://schemas.openxmlformats.org/officeDocument/2006/relationships/chart" Target="charts/chart3.xml"/><Relationship Id="rId6" Type="http://schemas.openxmlformats.org/officeDocument/2006/relationships/chart" Target="charts/chart2.xml"/><Relationship Id="rId5" Type="http://schemas.openxmlformats.org/officeDocument/2006/relationships/chart" Target="charts/chart1.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microsoft.com/office/2011/relationships/chartColorStyle" Target="colors4.xml"/><Relationship Id="rId2" Type="http://schemas.microsoft.com/office/2011/relationships/chartStyle" Target="style4.xml"/><Relationship Id="rId1" Type="http://schemas.openxmlformats.org/officeDocument/2006/relationships/oleObject" Target="&#24037;&#20316;&#31807;1" TargetMode="External"/></Relationships>
</file>

<file path=word/charts/_rels/chart2.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24037;&#20316;&#31807;1" TargetMode="External"/></Relationships>
</file>

<file path=word/charts/_rels/chart3.xml.rels><?xml version="1.0" encoding="UTF-8" standalone="yes"?>
<Relationships xmlns="http://schemas.openxmlformats.org/package/2006/relationships"><Relationship Id="rId3" Type="http://schemas.microsoft.com/office/2011/relationships/chartColorStyle" Target="colors3.xml"/><Relationship Id="rId2" Type="http://schemas.microsoft.com/office/2011/relationships/chartStyle" Target="style3.xml"/><Relationship Id="rId1" Type="http://schemas.openxmlformats.org/officeDocument/2006/relationships/oleObject" Target="&#24037;&#20316;&#31807;1" TargetMode="External"/></Relationships>
</file>

<file path=word/charts/_rels/chart4.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24037;&#20316;&#31807;1"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1"/>
          <c:order val="1"/>
          <c:tx>
            <c:strRef>
              <c:f>[工作簿1]Sheet1!$B$16</c:f>
              <c:strCache>
                <c:ptCount val="1"/>
                <c:pt idx="0">
                  <c:v>方直科技</c:v>
                </c:pt>
              </c:strCache>
            </c:strRef>
          </c:tx>
          <c:spPr>
            <a:ln w="28575" cap="rnd">
              <a:solidFill>
                <a:schemeClr val="accent2"/>
              </a:solidFill>
              <a:round/>
            </a:ln>
            <a:effectLst/>
          </c:spPr>
          <c:marker>
            <c:symbol val="none"/>
          </c:marker>
          <c:dLbls>
            <c:delete val="1"/>
          </c:dLbls>
          <c:cat>
            <c:numRef>
              <c:f>[工作簿1]Sheet1!$C$15:$H$15</c:f>
              <c:numCache>
                <c:formatCode>General</c:formatCode>
                <c:ptCount val="6"/>
                <c:pt idx="0">
                  <c:v>2020</c:v>
                </c:pt>
                <c:pt idx="1">
                  <c:v>2021</c:v>
                </c:pt>
                <c:pt idx="2">
                  <c:v>2022</c:v>
                </c:pt>
                <c:pt idx="3">
                  <c:v>2023</c:v>
                </c:pt>
                <c:pt idx="4">
                  <c:v>2024</c:v>
                </c:pt>
              </c:numCache>
            </c:numRef>
          </c:cat>
          <c:val>
            <c:numRef>
              <c:f>[工作簿1]Sheet1!$C$16:$G$16</c:f>
              <c:numCache>
                <c:formatCode>General</c:formatCode>
                <c:ptCount val="5"/>
                <c:pt idx="0">
                  <c:v>0.2544</c:v>
                </c:pt>
                <c:pt idx="1">
                  <c:v>0.2037</c:v>
                </c:pt>
                <c:pt idx="2">
                  <c:v>0.2165</c:v>
                </c:pt>
                <c:pt idx="3">
                  <c:v>0.3133</c:v>
                </c:pt>
                <c:pt idx="4">
                  <c:v>0.188</c:v>
                </c:pt>
              </c:numCache>
            </c:numRef>
          </c:val>
          <c:smooth val="0"/>
        </c:ser>
        <c:ser>
          <c:idx val="2"/>
          <c:order val="2"/>
          <c:tx>
            <c:strRef>
              <c:f>[工作簿1]Sheet1!$B$17</c:f>
              <c:strCache>
                <c:ptCount val="1"/>
                <c:pt idx="0">
                  <c:v>佳讯飞鸿</c:v>
                </c:pt>
              </c:strCache>
            </c:strRef>
          </c:tx>
          <c:spPr>
            <a:ln w="28575" cap="rnd">
              <a:solidFill>
                <a:schemeClr val="accent3"/>
              </a:solidFill>
              <a:round/>
            </a:ln>
            <a:effectLst/>
          </c:spPr>
          <c:marker>
            <c:symbol val="none"/>
          </c:marker>
          <c:dLbls>
            <c:delete val="1"/>
          </c:dLbls>
          <c:cat>
            <c:numRef>
              <c:f>[工作簿1]Sheet1!$C$15:$H$15</c:f>
              <c:numCache>
                <c:formatCode>General</c:formatCode>
                <c:ptCount val="6"/>
                <c:pt idx="0">
                  <c:v>2020</c:v>
                </c:pt>
                <c:pt idx="1">
                  <c:v>2021</c:v>
                </c:pt>
                <c:pt idx="2">
                  <c:v>2022</c:v>
                </c:pt>
                <c:pt idx="3">
                  <c:v>2023</c:v>
                </c:pt>
                <c:pt idx="4">
                  <c:v>2024</c:v>
                </c:pt>
              </c:numCache>
            </c:numRef>
          </c:cat>
          <c:val>
            <c:numRef>
              <c:f>[工作簿1]Sheet1!$C$17:$G$17</c:f>
              <c:numCache>
                <c:formatCode>General</c:formatCode>
                <c:ptCount val="5"/>
                <c:pt idx="0">
                  <c:v>0.1215</c:v>
                </c:pt>
                <c:pt idx="1">
                  <c:v>0.1145</c:v>
                </c:pt>
                <c:pt idx="2">
                  <c:v>0.0533</c:v>
                </c:pt>
                <c:pt idx="3">
                  <c:v>0.0565</c:v>
                </c:pt>
                <c:pt idx="4">
                  <c:v>0.0597</c:v>
                </c:pt>
              </c:numCache>
            </c:numRef>
          </c:val>
          <c:smooth val="0"/>
        </c:ser>
        <c:ser>
          <c:idx val="3"/>
          <c:order val="3"/>
          <c:tx>
            <c:strRef>
              <c:f>[工作簿1]Sheet1!$B$18</c:f>
              <c:strCache>
                <c:ptCount val="1"/>
                <c:pt idx="0">
                  <c:v>天地在线</c:v>
                </c:pt>
              </c:strCache>
            </c:strRef>
          </c:tx>
          <c:spPr>
            <a:ln w="28575" cap="rnd">
              <a:solidFill>
                <a:schemeClr val="accent4"/>
              </a:solidFill>
              <a:round/>
            </a:ln>
            <a:effectLst/>
          </c:spPr>
          <c:marker>
            <c:symbol val="none"/>
          </c:marker>
          <c:dLbls>
            <c:delete val="1"/>
          </c:dLbls>
          <c:cat>
            <c:numRef>
              <c:f>[工作簿1]Sheet1!$C$15:$H$15</c:f>
              <c:numCache>
                <c:formatCode>General</c:formatCode>
                <c:ptCount val="6"/>
                <c:pt idx="0">
                  <c:v>2020</c:v>
                </c:pt>
                <c:pt idx="1">
                  <c:v>2021</c:v>
                </c:pt>
                <c:pt idx="2">
                  <c:v>2022</c:v>
                </c:pt>
                <c:pt idx="3">
                  <c:v>2023</c:v>
                </c:pt>
                <c:pt idx="4">
                  <c:v>2024</c:v>
                </c:pt>
              </c:numCache>
            </c:numRef>
          </c:cat>
          <c:val>
            <c:numRef>
              <c:f>[工作簿1]Sheet1!$C$18:$G$18</c:f>
              <c:numCache>
                <c:formatCode>General</c:formatCode>
                <c:ptCount val="5"/>
                <c:pt idx="0">
                  <c:v>0.0321</c:v>
                </c:pt>
                <c:pt idx="1">
                  <c:v>0.0137</c:v>
                </c:pt>
                <c:pt idx="2">
                  <c:v>0.0016</c:v>
                </c:pt>
                <c:pt idx="3">
                  <c:v>-0.0141</c:v>
                </c:pt>
                <c:pt idx="4">
                  <c:v>-0.05</c:v>
                </c:pt>
              </c:numCache>
            </c:numRef>
          </c:val>
          <c:smooth val="0"/>
        </c:ser>
        <c:ser>
          <c:idx val="4"/>
          <c:order val="4"/>
          <c:tx>
            <c:strRef>
              <c:f>[工作簿1]Sheet1!$B$19</c:f>
              <c:strCache>
                <c:ptCount val="1"/>
                <c:pt idx="0">
                  <c:v>巨人网络</c:v>
                </c:pt>
              </c:strCache>
            </c:strRef>
          </c:tx>
          <c:spPr>
            <a:ln w="28575" cap="rnd">
              <a:solidFill>
                <a:schemeClr val="accent5"/>
              </a:solidFill>
              <a:round/>
            </a:ln>
            <a:effectLst/>
          </c:spPr>
          <c:marker>
            <c:symbol val="none"/>
          </c:marker>
          <c:dLbls>
            <c:delete val="1"/>
          </c:dLbls>
          <c:cat>
            <c:numRef>
              <c:f>[工作簿1]Sheet1!$C$15:$H$15</c:f>
              <c:numCache>
                <c:formatCode>General</c:formatCode>
                <c:ptCount val="6"/>
                <c:pt idx="0">
                  <c:v>2020</c:v>
                </c:pt>
                <c:pt idx="1">
                  <c:v>2021</c:v>
                </c:pt>
                <c:pt idx="2">
                  <c:v>2022</c:v>
                </c:pt>
                <c:pt idx="3">
                  <c:v>2023</c:v>
                </c:pt>
                <c:pt idx="4">
                  <c:v>2024</c:v>
                </c:pt>
              </c:numCache>
            </c:numRef>
          </c:cat>
          <c:val>
            <c:numRef>
              <c:f>[工作簿1]Sheet1!$C$19:$G$19</c:f>
              <c:numCache>
                <c:formatCode>General</c:formatCode>
                <c:ptCount val="5"/>
                <c:pt idx="0">
                  <c:v>0.4694</c:v>
                </c:pt>
                <c:pt idx="1">
                  <c:v>0.4658</c:v>
                </c:pt>
                <c:pt idx="2">
                  <c:v>0.4092</c:v>
                </c:pt>
                <c:pt idx="3">
                  <c:v>0.3734</c:v>
                </c:pt>
                <c:pt idx="4">
                  <c:v>0.4896</c:v>
                </c:pt>
              </c:numCache>
            </c:numRef>
          </c:val>
          <c:smooth val="0"/>
        </c:ser>
        <c:ser>
          <c:idx val="5"/>
          <c:order val="5"/>
          <c:tx>
            <c:strRef>
              <c:f>[工作簿1]Sheet1!$B$20</c:f>
              <c:strCache>
                <c:ptCount val="1"/>
                <c:pt idx="0">
                  <c:v>世纪天鸿</c:v>
                </c:pt>
              </c:strCache>
            </c:strRef>
          </c:tx>
          <c:spPr>
            <a:ln w="28575" cap="rnd">
              <a:solidFill>
                <a:schemeClr val="accent6"/>
              </a:solidFill>
              <a:round/>
            </a:ln>
            <a:effectLst/>
          </c:spPr>
          <c:marker>
            <c:symbol val="none"/>
          </c:marker>
          <c:dLbls>
            <c:delete val="1"/>
          </c:dLbls>
          <c:cat>
            <c:numRef>
              <c:f>[工作簿1]Sheet1!$C$15:$H$15</c:f>
              <c:numCache>
                <c:formatCode>General</c:formatCode>
                <c:ptCount val="6"/>
                <c:pt idx="0">
                  <c:v>2020</c:v>
                </c:pt>
                <c:pt idx="1">
                  <c:v>2021</c:v>
                </c:pt>
                <c:pt idx="2">
                  <c:v>2022</c:v>
                </c:pt>
                <c:pt idx="3">
                  <c:v>2023</c:v>
                </c:pt>
                <c:pt idx="4">
                  <c:v>2024</c:v>
                </c:pt>
              </c:numCache>
            </c:numRef>
          </c:cat>
          <c:val>
            <c:numRef>
              <c:f>[工作簿1]Sheet1!$C$20:$G$20</c:f>
              <c:numCache>
                <c:formatCode>General</c:formatCode>
                <c:ptCount val="5"/>
                <c:pt idx="0">
                  <c:v>0.0932</c:v>
                </c:pt>
                <c:pt idx="1">
                  <c:v>0.0866</c:v>
                </c:pt>
                <c:pt idx="2">
                  <c:v>0.0847</c:v>
                </c:pt>
                <c:pt idx="3">
                  <c:v>0.0855</c:v>
                </c:pt>
                <c:pt idx="4">
                  <c:v>0.0838</c:v>
                </c:pt>
              </c:numCache>
            </c:numRef>
          </c:val>
          <c:smooth val="0"/>
        </c:ser>
        <c:ser>
          <c:idx val="6"/>
          <c:order val="6"/>
          <c:tx>
            <c:strRef>
              <c:f>[工作簿1]Sheet1!$B$21</c:f>
              <c:strCache>
                <c:ptCount val="1"/>
                <c:pt idx="0">
                  <c:v>思美传媒</c:v>
                </c:pt>
              </c:strCache>
            </c:strRef>
          </c:tx>
          <c:spPr>
            <a:ln w="28575" cap="rnd">
              <a:solidFill>
                <a:schemeClr val="accent1">
                  <a:lumMod val="60000"/>
                </a:schemeClr>
              </a:solidFill>
              <a:round/>
            </a:ln>
            <a:effectLst/>
          </c:spPr>
          <c:marker>
            <c:symbol val="none"/>
          </c:marker>
          <c:dLbls>
            <c:delete val="1"/>
          </c:dLbls>
          <c:cat>
            <c:numRef>
              <c:f>[工作簿1]Sheet1!$C$15:$H$15</c:f>
              <c:numCache>
                <c:formatCode>General</c:formatCode>
                <c:ptCount val="6"/>
                <c:pt idx="0">
                  <c:v>2020</c:v>
                </c:pt>
                <c:pt idx="1">
                  <c:v>2021</c:v>
                </c:pt>
                <c:pt idx="2">
                  <c:v>2022</c:v>
                </c:pt>
                <c:pt idx="3">
                  <c:v>2023</c:v>
                </c:pt>
                <c:pt idx="4">
                  <c:v>2024</c:v>
                </c:pt>
              </c:numCache>
            </c:numRef>
          </c:cat>
          <c:val>
            <c:numRef>
              <c:f>[工作簿1]Sheet1!$C$21:$G$21</c:f>
              <c:numCache>
                <c:formatCode>General</c:formatCode>
                <c:ptCount val="5"/>
                <c:pt idx="0">
                  <c:v>-0.2895</c:v>
                </c:pt>
                <c:pt idx="1">
                  <c:v>0.0145</c:v>
                </c:pt>
                <c:pt idx="2">
                  <c:v>-0.0972</c:v>
                </c:pt>
                <c:pt idx="3">
                  <c:v>-0.0237</c:v>
                </c:pt>
                <c:pt idx="4">
                  <c:v>-0.0058</c:v>
                </c:pt>
              </c:numCache>
            </c:numRef>
          </c:val>
          <c:smooth val="0"/>
        </c:ser>
        <c:dLbls>
          <c:showLegendKey val="0"/>
          <c:showVal val="0"/>
          <c:showCatName val="0"/>
          <c:showSerName val="0"/>
          <c:showPercent val="0"/>
          <c:showBubbleSize val="0"/>
        </c:dLbls>
        <c:marker val="0"/>
        <c:smooth val="0"/>
        <c:axId val="47991722"/>
        <c:axId val="411550600"/>
        <c:extLst>
          <c:ext xmlns:c15="http://schemas.microsoft.com/office/drawing/2012/chart" uri="{02D57815-91ED-43cb-92C2-25804820EDAC}">
            <c15:filteredLineSeries>
              <c15:ser>
                <c:idx val="0"/>
                <c:order val="0"/>
                <c:tx>
                  <c:strRef>
                    <c:extLst>
                      <c:ext uri="{02D57815-91ED-43cb-92C2-25804820EDAC}">
                        <c15:formulaRef>
                          <c15:sqref>[工作簿1]Sheet1!$B$15</c15:sqref>
                        </c15:formulaRef>
                      </c:ext>
                    </c:extLst>
                    <c:strCache>
                      <c:ptCount val="1"/>
                      <c:pt idx="0">
                        <c:v>企业</c:v>
                      </c:pt>
                    </c:strCache>
                  </c:strRef>
                </c:tx>
                <c:spPr>
                  <a:ln w="28575" cap="rnd">
                    <a:solidFill>
                      <a:schemeClr val="accent1"/>
                    </a:solidFill>
                    <a:round/>
                  </a:ln>
                  <a:effectLst/>
                </c:spPr>
                <c:marker>
                  <c:symbol val="none"/>
                </c:marker>
                <c:dLbls>
                  <c:delete val="1"/>
                </c:dLbls>
                <c:cat>
                  <c:numRef>
                    <c:extLst>
                      <c:ext uri="{02D57815-91ED-43cb-92C2-25804820EDAC}">
                        <c15:fullRef>
                          <c15:sqref/>
                        </c15:fullRef>
                        <c15:formulaRef>
                          <c15:sqref>[工作簿1]Sheet1!$C$15:$H$15</c15:sqref>
                        </c15:formulaRef>
                      </c:ext>
                    </c:extLst>
                    <c:numCache>
                      <c:formatCode>General</c:formatCode>
                      <c:ptCount val="6"/>
                      <c:pt idx="0">
                        <c:v>2020</c:v>
                      </c:pt>
                      <c:pt idx="1">
                        <c:v>2021</c:v>
                      </c:pt>
                      <c:pt idx="2">
                        <c:v>2022</c:v>
                      </c:pt>
                      <c:pt idx="3">
                        <c:v>2023</c:v>
                      </c:pt>
                      <c:pt idx="4">
                        <c:v>2024</c:v>
                      </c:pt>
                    </c:numCache>
                  </c:numRef>
                </c:cat>
                <c:val>
                  <c:numRef>
                    <c:extLst>
                      <c:ext uri="{02D57815-91ED-43cb-92C2-25804820EDAC}">
                        <c15:formulaRef>
                          <c15:sqref>{2020,2021,2022,2023,2024}</c15:sqref>
                        </c15:formulaRef>
                      </c:ext>
                    </c:extLst>
                    <c:numCache>
                      <c:formatCode>General</c:formatCode>
                      <c:ptCount val="5"/>
                      <c:pt idx="0">
                        <c:v>2020</c:v>
                      </c:pt>
                      <c:pt idx="1">
                        <c:v>2021</c:v>
                      </c:pt>
                      <c:pt idx="2">
                        <c:v>2022</c:v>
                      </c:pt>
                      <c:pt idx="3">
                        <c:v>2023</c:v>
                      </c:pt>
                      <c:pt idx="4">
                        <c:v>2024</c:v>
                      </c:pt>
                    </c:numCache>
                  </c:numRef>
                </c:val>
                <c:smooth val="0"/>
              </c15:ser>
            </c15:filteredLineSeries>
          </c:ext>
        </c:extLst>
      </c:lineChart>
      <c:catAx>
        <c:axId val="47991722"/>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11550600"/>
        <c:crosses val="autoZero"/>
        <c:auto val="1"/>
        <c:lblAlgn val="ctr"/>
        <c:lblOffset val="100"/>
        <c:noMultiLvlLbl val="0"/>
      </c:catAx>
      <c:valAx>
        <c:axId val="411550600"/>
        <c:scaling>
          <c:orientation val="minMax"/>
        </c:scaling>
        <c:delete val="0"/>
        <c:axPos val="l"/>
        <c:majorGridlines>
          <c:spPr>
            <a:ln w="9525" cap="flat" cmpd="sng" algn="ctr">
              <a:solidFill>
                <a:schemeClr val="lt1">
                  <a:lumMod val="902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7991722"/>
        <c:crosses val="autoZero"/>
        <c:crossBetween val="between"/>
      </c:valAx>
      <c:spPr>
        <a:noFill/>
        <a:ln>
          <a:noFill/>
        </a:ln>
        <a:effectLst/>
      </c:spPr>
    </c:plotArea>
    <c:legend>
      <c:legendPos val="b"/>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33f449ed-0860-49a6-891c-96c506c0f32c}"/>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1"/>
          <c:order val="1"/>
          <c:tx>
            <c:strRef>
              <c:f>[工作簿1]Sheet1!$B$26</c:f>
              <c:strCache>
                <c:ptCount val="1"/>
                <c:pt idx="0">
                  <c:v>方直科技</c:v>
                </c:pt>
              </c:strCache>
            </c:strRef>
          </c:tx>
          <c:spPr>
            <a:ln w="28575" cap="rnd">
              <a:solidFill>
                <a:schemeClr val="accent2"/>
              </a:solidFill>
              <a:round/>
            </a:ln>
            <a:effectLst/>
          </c:spPr>
          <c:marker>
            <c:symbol val="none"/>
          </c:marker>
          <c:dLbls>
            <c:delete val="1"/>
          </c:dLbls>
          <c:cat>
            <c:numRef>
              <c:f>[工作簿1]Sheet1!$C$25:$G$25</c:f>
              <c:numCache>
                <c:formatCode>General</c:formatCode>
                <c:ptCount val="5"/>
                <c:pt idx="0">
                  <c:v>2020</c:v>
                </c:pt>
                <c:pt idx="1">
                  <c:v>2021</c:v>
                </c:pt>
                <c:pt idx="2">
                  <c:v>2022</c:v>
                </c:pt>
                <c:pt idx="3">
                  <c:v>2023</c:v>
                </c:pt>
                <c:pt idx="4">
                  <c:v>2024</c:v>
                </c:pt>
              </c:numCache>
            </c:numRef>
          </c:cat>
          <c:val>
            <c:numRef>
              <c:f>[工作簿1]Sheet1!$C$26:$G$26</c:f>
              <c:numCache>
                <c:formatCode>General</c:formatCode>
                <c:ptCount val="5"/>
                <c:pt idx="0">
                  <c:v>0.183</c:v>
                </c:pt>
                <c:pt idx="1">
                  <c:v>0.163</c:v>
                </c:pt>
                <c:pt idx="2">
                  <c:v>0.155</c:v>
                </c:pt>
                <c:pt idx="3">
                  <c:v>0.142</c:v>
                </c:pt>
                <c:pt idx="4">
                  <c:v>0.127</c:v>
                </c:pt>
              </c:numCache>
            </c:numRef>
          </c:val>
          <c:smooth val="0"/>
        </c:ser>
        <c:ser>
          <c:idx val="2"/>
          <c:order val="2"/>
          <c:tx>
            <c:strRef>
              <c:f>[工作簿1]Sheet1!$B$27</c:f>
              <c:strCache>
                <c:ptCount val="1"/>
                <c:pt idx="0">
                  <c:v>佳讯飞鸿</c:v>
                </c:pt>
              </c:strCache>
            </c:strRef>
          </c:tx>
          <c:spPr>
            <a:ln w="28575" cap="rnd">
              <a:solidFill>
                <a:schemeClr val="accent3"/>
              </a:solidFill>
              <a:round/>
            </a:ln>
            <a:effectLst/>
          </c:spPr>
          <c:marker>
            <c:symbol val="none"/>
          </c:marker>
          <c:dLbls>
            <c:delete val="1"/>
          </c:dLbls>
          <c:cat>
            <c:numRef>
              <c:f>[工作簿1]Sheet1!$C$25:$G$25</c:f>
              <c:numCache>
                <c:formatCode>General</c:formatCode>
                <c:ptCount val="5"/>
                <c:pt idx="0">
                  <c:v>2020</c:v>
                </c:pt>
                <c:pt idx="1">
                  <c:v>2021</c:v>
                </c:pt>
                <c:pt idx="2">
                  <c:v>2022</c:v>
                </c:pt>
                <c:pt idx="3">
                  <c:v>2023</c:v>
                </c:pt>
                <c:pt idx="4">
                  <c:v>2024</c:v>
                </c:pt>
              </c:numCache>
            </c:numRef>
          </c:cat>
          <c:val>
            <c:numRef>
              <c:f>[工作簿1]Sheet1!$C$27:$G$27</c:f>
              <c:numCache>
                <c:formatCode>General</c:formatCode>
                <c:ptCount val="5"/>
                <c:pt idx="0">
                  <c:v>0.311</c:v>
                </c:pt>
                <c:pt idx="1">
                  <c:v>0.34</c:v>
                </c:pt>
                <c:pt idx="2">
                  <c:v>0.377</c:v>
                </c:pt>
                <c:pt idx="3">
                  <c:v>0.362</c:v>
                </c:pt>
                <c:pt idx="4">
                  <c:v>0.366</c:v>
                </c:pt>
              </c:numCache>
            </c:numRef>
          </c:val>
          <c:smooth val="0"/>
        </c:ser>
        <c:ser>
          <c:idx val="3"/>
          <c:order val="3"/>
          <c:tx>
            <c:strRef>
              <c:f>[工作簿1]Sheet1!$B$28</c:f>
              <c:strCache>
                <c:ptCount val="1"/>
                <c:pt idx="0">
                  <c:v>天地在线</c:v>
                </c:pt>
              </c:strCache>
            </c:strRef>
          </c:tx>
          <c:spPr>
            <a:ln w="28575" cap="rnd">
              <a:solidFill>
                <a:schemeClr val="accent4"/>
              </a:solidFill>
              <a:round/>
            </a:ln>
            <a:effectLst/>
          </c:spPr>
          <c:marker>
            <c:symbol val="none"/>
          </c:marker>
          <c:dLbls>
            <c:delete val="1"/>
          </c:dLbls>
          <c:cat>
            <c:numRef>
              <c:f>[工作簿1]Sheet1!$C$25:$G$25</c:f>
              <c:numCache>
                <c:formatCode>General</c:formatCode>
                <c:ptCount val="5"/>
                <c:pt idx="0">
                  <c:v>2020</c:v>
                </c:pt>
                <c:pt idx="1">
                  <c:v>2021</c:v>
                </c:pt>
                <c:pt idx="2">
                  <c:v>2022</c:v>
                </c:pt>
                <c:pt idx="3">
                  <c:v>2023</c:v>
                </c:pt>
                <c:pt idx="4">
                  <c:v>2024</c:v>
                </c:pt>
              </c:numCache>
            </c:numRef>
          </c:cat>
          <c:val>
            <c:numRef>
              <c:f>[工作簿1]Sheet1!$C$28:$G$28</c:f>
              <c:numCache>
                <c:formatCode>General</c:formatCode>
                <c:ptCount val="5"/>
                <c:pt idx="0">
                  <c:v>2.681</c:v>
                </c:pt>
                <c:pt idx="1">
                  <c:v>2.464</c:v>
                </c:pt>
                <c:pt idx="2">
                  <c:v>1.969</c:v>
                </c:pt>
                <c:pt idx="3">
                  <c:v>1.354</c:v>
                </c:pt>
                <c:pt idx="4">
                  <c:v>1.062</c:v>
                </c:pt>
              </c:numCache>
            </c:numRef>
          </c:val>
          <c:smooth val="0"/>
        </c:ser>
        <c:ser>
          <c:idx val="4"/>
          <c:order val="4"/>
          <c:tx>
            <c:strRef>
              <c:f>[工作簿1]Sheet1!$B$29</c:f>
              <c:strCache>
                <c:ptCount val="1"/>
                <c:pt idx="0">
                  <c:v>巨人网络</c:v>
                </c:pt>
              </c:strCache>
            </c:strRef>
          </c:tx>
          <c:spPr>
            <a:ln w="28575" cap="rnd">
              <a:solidFill>
                <a:schemeClr val="accent5"/>
              </a:solidFill>
              <a:round/>
            </a:ln>
            <a:effectLst/>
          </c:spPr>
          <c:marker>
            <c:symbol val="none"/>
          </c:marker>
          <c:dLbls>
            <c:delete val="1"/>
          </c:dLbls>
          <c:cat>
            <c:numRef>
              <c:f>[工作簿1]Sheet1!$C$25:$G$25</c:f>
              <c:numCache>
                <c:formatCode>General</c:formatCode>
                <c:ptCount val="5"/>
                <c:pt idx="0">
                  <c:v>2020</c:v>
                </c:pt>
                <c:pt idx="1">
                  <c:v>2021</c:v>
                </c:pt>
                <c:pt idx="2">
                  <c:v>2022</c:v>
                </c:pt>
                <c:pt idx="3">
                  <c:v>2023</c:v>
                </c:pt>
                <c:pt idx="4">
                  <c:v>2024</c:v>
                </c:pt>
              </c:numCache>
            </c:numRef>
          </c:cat>
          <c:val>
            <c:numRef>
              <c:f>[工作簿1]Sheet1!$C$29:$G$29</c:f>
              <c:numCache>
                <c:formatCode>General</c:formatCode>
                <c:ptCount val="5"/>
                <c:pt idx="0">
                  <c:v>0.213</c:v>
                </c:pt>
                <c:pt idx="1">
                  <c:v>0.187</c:v>
                </c:pt>
                <c:pt idx="2">
                  <c:v>0.162</c:v>
                </c:pt>
                <c:pt idx="3">
                  <c:v>0.22</c:v>
                </c:pt>
                <c:pt idx="4">
                  <c:v>0.208</c:v>
                </c:pt>
              </c:numCache>
            </c:numRef>
          </c:val>
          <c:smooth val="0"/>
        </c:ser>
        <c:ser>
          <c:idx val="5"/>
          <c:order val="5"/>
          <c:tx>
            <c:strRef>
              <c:f>[工作簿1]Sheet1!$B$30</c:f>
              <c:strCache>
                <c:ptCount val="1"/>
                <c:pt idx="0">
                  <c:v>世纪天鸿</c:v>
                </c:pt>
              </c:strCache>
            </c:strRef>
          </c:tx>
          <c:spPr>
            <a:ln w="28575" cap="rnd">
              <a:solidFill>
                <a:schemeClr val="accent6"/>
              </a:solidFill>
              <a:round/>
            </a:ln>
            <a:effectLst/>
          </c:spPr>
          <c:marker>
            <c:symbol val="none"/>
          </c:marker>
          <c:dLbls>
            <c:delete val="1"/>
          </c:dLbls>
          <c:cat>
            <c:numRef>
              <c:f>[工作簿1]Sheet1!$C$25:$G$25</c:f>
              <c:numCache>
                <c:formatCode>General</c:formatCode>
                <c:ptCount val="5"/>
                <c:pt idx="0">
                  <c:v>2020</c:v>
                </c:pt>
                <c:pt idx="1">
                  <c:v>2021</c:v>
                </c:pt>
                <c:pt idx="2">
                  <c:v>2022</c:v>
                </c:pt>
                <c:pt idx="3">
                  <c:v>2023</c:v>
                </c:pt>
                <c:pt idx="4">
                  <c:v>2024</c:v>
                </c:pt>
              </c:numCache>
            </c:numRef>
          </c:cat>
          <c:val>
            <c:numRef>
              <c:f>[工作簿1]Sheet1!$C$30:$G$30</c:f>
              <c:numCache>
                <c:formatCode>General</c:formatCode>
                <c:ptCount val="5"/>
                <c:pt idx="0">
                  <c:v>0.489</c:v>
                </c:pt>
                <c:pt idx="1">
                  <c:v>0.543</c:v>
                </c:pt>
                <c:pt idx="2">
                  <c:v>0.476</c:v>
                </c:pt>
                <c:pt idx="3">
                  <c:v>0.469</c:v>
                </c:pt>
                <c:pt idx="4">
                  <c:v>0.472</c:v>
                </c:pt>
              </c:numCache>
            </c:numRef>
          </c:val>
          <c:smooth val="0"/>
        </c:ser>
        <c:ser>
          <c:idx val="6"/>
          <c:order val="6"/>
          <c:tx>
            <c:strRef>
              <c:f>[工作簿1]Sheet1!$B$31</c:f>
              <c:strCache>
                <c:ptCount val="1"/>
                <c:pt idx="0">
                  <c:v>思美传媒</c:v>
                </c:pt>
              </c:strCache>
            </c:strRef>
          </c:tx>
          <c:spPr>
            <a:ln w="28575" cap="rnd">
              <a:solidFill>
                <a:schemeClr val="accent1">
                  <a:lumMod val="60000"/>
                </a:schemeClr>
              </a:solidFill>
              <a:round/>
            </a:ln>
            <a:effectLst/>
          </c:spPr>
          <c:marker>
            <c:symbol val="none"/>
          </c:marker>
          <c:dLbls>
            <c:delete val="1"/>
          </c:dLbls>
          <c:cat>
            <c:numRef>
              <c:f>[工作簿1]Sheet1!$C$25:$G$25</c:f>
              <c:numCache>
                <c:formatCode>General</c:formatCode>
                <c:ptCount val="5"/>
                <c:pt idx="0">
                  <c:v>2020</c:v>
                </c:pt>
                <c:pt idx="1">
                  <c:v>2021</c:v>
                </c:pt>
                <c:pt idx="2">
                  <c:v>2022</c:v>
                </c:pt>
                <c:pt idx="3">
                  <c:v>2023</c:v>
                </c:pt>
                <c:pt idx="4">
                  <c:v>2024</c:v>
                </c:pt>
              </c:numCache>
            </c:numRef>
          </c:cat>
          <c:val>
            <c:numRef>
              <c:f>[工作簿1]Sheet1!$C$31:$G$31</c:f>
              <c:numCache>
                <c:formatCode>General</c:formatCode>
                <c:ptCount val="5"/>
                <c:pt idx="0">
                  <c:v>1.083</c:v>
                </c:pt>
                <c:pt idx="1">
                  <c:v>1.562</c:v>
                </c:pt>
                <c:pt idx="2">
                  <c:v>1.558</c:v>
                </c:pt>
                <c:pt idx="3">
                  <c:v>2.259</c:v>
                </c:pt>
                <c:pt idx="4">
                  <c:v>2.301</c:v>
                </c:pt>
              </c:numCache>
            </c:numRef>
          </c:val>
          <c:smooth val="0"/>
        </c:ser>
        <c:dLbls>
          <c:showLegendKey val="0"/>
          <c:showVal val="0"/>
          <c:showCatName val="0"/>
          <c:showSerName val="0"/>
          <c:showPercent val="0"/>
          <c:showBubbleSize val="0"/>
        </c:dLbls>
        <c:marker val="0"/>
        <c:smooth val="0"/>
        <c:axId val="164741870"/>
        <c:axId val="120673161"/>
        <c:extLst>
          <c:ext xmlns:c15="http://schemas.microsoft.com/office/drawing/2012/chart" uri="{02D57815-91ED-43cb-92C2-25804820EDAC}">
            <c15:filteredLineSeries>
              <c15:ser>
                <c:idx val="0"/>
                <c:order val="0"/>
                <c:tx>
                  <c:strRef>
                    <c:extLst>
                      <c:ext uri="{02D57815-91ED-43cb-92C2-25804820EDAC}">
                        <c15:formulaRef>
                          <c15:sqref>[工作簿1]Sheet1!$B$25</c15:sqref>
                        </c15:formulaRef>
                      </c:ext>
                    </c:extLst>
                    <c:strCache>
                      <c:ptCount val="1"/>
                      <c:pt idx="0">
                        <c:v>企业</c:v>
                      </c:pt>
                    </c:strCache>
                  </c:strRef>
                </c:tx>
                <c:spPr>
                  <a:ln w="28575" cap="rnd">
                    <a:solidFill>
                      <a:schemeClr val="accent1"/>
                    </a:solidFill>
                    <a:round/>
                  </a:ln>
                  <a:effectLst/>
                </c:spPr>
                <c:marker>
                  <c:symbol val="none"/>
                </c:marker>
                <c:dLbls>
                  <c:delete val="1"/>
                </c:dLbls>
                <c:cat>
                  <c:numRef>
                    <c:extLst>
                      <c:ext uri="{02D57815-91ED-43cb-92C2-25804820EDAC}">
                        <c15:fullRef>
                          <c15:sqref/>
                        </c15:fullRef>
                        <c15:formulaRef>
                          <c15:sqref>[工作簿1]Sheet1!$C$25:$G$25</c15:sqref>
                        </c15:formulaRef>
                      </c:ext>
                    </c:extLst>
                    <c:numCache>
                      <c:formatCode>General</c:formatCode>
                      <c:ptCount val="5"/>
                      <c:pt idx="0">
                        <c:v>2020</c:v>
                      </c:pt>
                      <c:pt idx="1">
                        <c:v>2021</c:v>
                      </c:pt>
                      <c:pt idx="2">
                        <c:v>2022</c:v>
                      </c:pt>
                      <c:pt idx="3">
                        <c:v>2023</c:v>
                      </c:pt>
                      <c:pt idx="4">
                        <c:v>2024</c:v>
                      </c:pt>
                    </c:numCache>
                  </c:numRef>
                </c:cat>
                <c:val>
                  <c:numRef>
                    <c:extLst>
                      <c:ext uri="{02D57815-91ED-43cb-92C2-25804820EDAC}">
                        <c15:formulaRef>
                          <c15:sqref>{2020,2021,2022,2023,2024}</c15:sqref>
                        </c15:formulaRef>
                      </c:ext>
                    </c:extLst>
                    <c:numCache>
                      <c:formatCode>General</c:formatCode>
                      <c:ptCount val="5"/>
                      <c:pt idx="0">
                        <c:v>2020</c:v>
                      </c:pt>
                      <c:pt idx="1">
                        <c:v>2021</c:v>
                      </c:pt>
                      <c:pt idx="2">
                        <c:v>2022</c:v>
                      </c:pt>
                      <c:pt idx="3">
                        <c:v>2023</c:v>
                      </c:pt>
                      <c:pt idx="4">
                        <c:v>2024</c:v>
                      </c:pt>
                    </c:numCache>
                  </c:numRef>
                </c:val>
                <c:smooth val="0"/>
              </c15:ser>
            </c15:filteredLineSeries>
          </c:ext>
        </c:extLst>
      </c:lineChart>
      <c:catAx>
        <c:axId val="164741870"/>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20673161"/>
        <c:crosses val="autoZero"/>
        <c:auto val="1"/>
        <c:lblAlgn val="ctr"/>
        <c:lblOffset val="100"/>
        <c:noMultiLvlLbl val="0"/>
      </c:catAx>
      <c:valAx>
        <c:axId val="120673161"/>
        <c:scaling>
          <c:orientation val="minMax"/>
        </c:scaling>
        <c:delete val="0"/>
        <c:axPos val="l"/>
        <c:majorGridlines>
          <c:spPr>
            <a:ln w="9525" cap="flat" cmpd="sng" algn="ctr">
              <a:solidFill>
                <a:schemeClr val="lt1">
                  <a:lumMod val="902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64741870"/>
        <c:crosses val="autoZero"/>
        <c:crossBetween val="between"/>
      </c:valAx>
      <c:spPr>
        <a:noFill/>
        <a:ln>
          <a:noFill/>
        </a:ln>
        <a:effectLst/>
      </c:spPr>
    </c:plotArea>
    <c:legend>
      <c:legendPos val="b"/>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0a6fcb4f-e6a9-4c7c-a841-1572526dcf0e}"/>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1"/>
          <c:order val="1"/>
          <c:tx>
            <c:strRef>
              <c:f>[工作簿1]Sheet1!$B$36</c:f>
              <c:strCache>
                <c:ptCount val="1"/>
                <c:pt idx="0">
                  <c:v>方直科技</c:v>
                </c:pt>
              </c:strCache>
            </c:strRef>
          </c:tx>
          <c:spPr>
            <a:ln w="28575" cap="rnd">
              <a:solidFill>
                <a:schemeClr val="accent2"/>
              </a:solidFill>
              <a:round/>
            </a:ln>
            <a:effectLst/>
          </c:spPr>
          <c:marker>
            <c:symbol val="none"/>
          </c:marker>
          <c:dLbls>
            <c:delete val="1"/>
          </c:dLbls>
          <c:cat>
            <c:numRef>
              <c:f>[工作簿1]Sheet1!$C$35:$G$35</c:f>
              <c:numCache>
                <c:formatCode>General</c:formatCode>
                <c:ptCount val="5"/>
                <c:pt idx="0">
                  <c:v>2020</c:v>
                </c:pt>
                <c:pt idx="1">
                  <c:v>2021</c:v>
                </c:pt>
                <c:pt idx="2">
                  <c:v>2022</c:v>
                </c:pt>
                <c:pt idx="3">
                  <c:v>2023</c:v>
                </c:pt>
                <c:pt idx="4">
                  <c:v>2024</c:v>
                </c:pt>
              </c:numCache>
            </c:numRef>
          </c:cat>
          <c:val>
            <c:numRef>
              <c:f>[工作簿1]Sheet1!$C$36:$G$36</c:f>
              <c:numCache>
                <c:formatCode>General</c:formatCode>
                <c:ptCount val="5"/>
                <c:pt idx="0">
                  <c:v>1.045</c:v>
                </c:pt>
                <c:pt idx="1">
                  <c:v>1.033</c:v>
                </c:pt>
                <c:pt idx="2">
                  <c:v>1.032</c:v>
                </c:pt>
                <c:pt idx="3">
                  <c:v>1.022</c:v>
                </c:pt>
                <c:pt idx="4">
                  <c:v>1.032</c:v>
                </c:pt>
              </c:numCache>
            </c:numRef>
          </c:val>
          <c:smooth val="0"/>
        </c:ser>
        <c:ser>
          <c:idx val="2"/>
          <c:order val="2"/>
          <c:tx>
            <c:strRef>
              <c:f>[工作簿1]Sheet1!$B$37</c:f>
              <c:strCache>
                <c:ptCount val="1"/>
                <c:pt idx="0">
                  <c:v>佳讯飞鸿</c:v>
                </c:pt>
              </c:strCache>
            </c:strRef>
          </c:tx>
          <c:spPr>
            <a:ln w="28575" cap="rnd">
              <a:solidFill>
                <a:schemeClr val="accent3"/>
              </a:solidFill>
              <a:round/>
            </a:ln>
            <a:effectLst/>
          </c:spPr>
          <c:marker>
            <c:symbol val="none"/>
          </c:marker>
          <c:dLbls>
            <c:delete val="1"/>
          </c:dLbls>
          <c:cat>
            <c:numRef>
              <c:f>[工作簿1]Sheet1!$C$35:$G$35</c:f>
              <c:numCache>
                <c:formatCode>General</c:formatCode>
                <c:ptCount val="5"/>
                <c:pt idx="0">
                  <c:v>2020</c:v>
                </c:pt>
                <c:pt idx="1">
                  <c:v>2021</c:v>
                </c:pt>
                <c:pt idx="2">
                  <c:v>2022</c:v>
                </c:pt>
                <c:pt idx="3">
                  <c:v>2023</c:v>
                </c:pt>
                <c:pt idx="4">
                  <c:v>2024</c:v>
                </c:pt>
              </c:numCache>
            </c:numRef>
          </c:cat>
          <c:val>
            <c:numRef>
              <c:f>[工作簿1]Sheet1!$C$37:$G$37</c:f>
              <c:numCache>
                <c:formatCode>General</c:formatCode>
                <c:ptCount val="5"/>
                <c:pt idx="0">
                  <c:v>1.415</c:v>
                </c:pt>
                <c:pt idx="1">
                  <c:v>1.39</c:v>
                </c:pt>
                <c:pt idx="2">
                  <c:v>1.358</c:v>
                </c:pt>
                <c:pt idx="3">
                  <c:v>1.424</c:v>
                </c:pt>
                <c:pt idx="4">
                  <c:v>1.407</c:v>
                </c:pt>
              </c:numCache>
            </c:numRef>
          </c:val>
          <c:smooth val="0"/>
        </c:ser>
        <c:ser>
          <c:idx val="3"/>
          <c:order val="3"/>
          <c:tx>
            <c:strRef>
              <c:f>[工作簿1]Sheet1!$B$38</c:f>
              <c:strCache>
                <c:ptCount val="1"/>
                <c:pt idx="0">
                  <c:v>天地在线</c:v>
                </c:pt>
              </c:strCache>
            </c:strRef>
          </c:tx>
          <c:spPr>
            <a:ln w="28575" cap="rnd">
              <a:solidFill>
                <a:schemeClr val="accent4"/>
              </a:solidFill>
              <a:round/>
            </a:ln>
            <a:effectLst/>
          </c:spPr>
          <c:marker>
            <c:symbol val="none"/>
          </c:marker>
          <c:dLbls>
            <c:delete val="1"/>
          </c:dLbls>
          <c:cat>
            <c:numRef>
              <c:f>[工作簿1]Sheet1!$C$35:$G$35</c:f>
              <c:numCache>
                <c:formatCode>General</c:formatCode>
                <c:ptCount val="5"/>
                <c:pt idx="0">
                  <c:v>2020</c:v>
                </c:pt>
                <c:pt idx="1">
                  <c:v>2021</c:v>
                </c:pt>
                <c:pt idx="2">
                  <c:v>2022</c:v>
                </c:pt>
                <c:pt idx="3">
                  <c:v>2023</c:v>
                </c:pt>
                <c:pt idx="4">
                  <c:v>2024</c:v>
                </c:pt>
              </c:numCache>
            </c:numRef>
          </c:cat>
          <c:val>
            <c:numRef>
              <c:f>[工作簿1]Sheet1!$C$38:$G$38</c:f>
              <c:numCache>
                <c:formatCode>General</c:formatCode>
                <c:ptCount val="5"/>
                <c:pt idx="0">
                  <c:v>1.577</c:v>
                </c:pt>
                <c:pt idx="1">
                  <c:v>1.565</c:v>
                </c:pt>
                <c:pt idx="2">
                  <c:v>1.368</c:v>
                </c:pt>
                <c:pt idx="3">
                  <c:v>1.294</c:v>
                </c:pt>
                <c:pt idx="4">
                  <c:v>1.31</c:v>
                </c:pt>
              </c:numCache>
            </c:numRef>
          </c:val>
          <c:smooth val="0"/>
        </c:ser>
        <c:ser>
          <c:idx val="4"/>
          <c:order val="4"/>
          <c:tx>
            <c:strRef>
              <c:f>[工作簿1]Sheet1!$B$39</c:f>
              <c:strCache>
                <c:ptCount val="1"/>
                <c:pt idx="0">
                  <c:v>巨人网络</c:v>
                </c:pt>
              </c:strCache>
            </c:strRef>
          </c:tx>
          <c:spPr>
            <a:ln w="28575" cap="rnd">
              <a:solidFill>
                <a:schemeClr val="accent5"/>
              </a:solidFill>
              <a:round/>
            </a:ln>
            <a:effectLst/>
          </c:spPr>
          <c:marker>
            <c:symbol val="none"/>
          </c:marker>
          <c:dLbls>
            <c:delete val="1"/>
          </c:dLbls>
          <c:cat>
            <c:numRef>
              <c:f>[工作簿1]Sheet1!$C$35:$G$35</c:f>
              <c:numCache>
                <c:formatCode>General</c:formatCode>
                <c:ptCount val="5"/>
                <c:pt idx="0">
                  <c:v>2020</c:v>
                </c:pt>
                <c:pt idx="1">
                  <c:v>2021</c:v>
                </c:pt>
                <c:pt idx="2">
                  <c:v>2022</c:v>
                </c:pt>
                <c:pt idx="3">
                  <c:v>2023</c:v>
                </c:pt>
                <c:pt idx="4">
                  <c:v>2024</c:v>
                </c:pt>
              </c:numCache>
            </c:numRef>
          </c:cat>
          <c:val>
            <c:numRef>
              <c:f>[工作簿1]Sheet1!$C$39:$G$39</c:f>
              <c:numCache>
                <c:formatCode>General</c:formatCode>
                <c:ptCount val="5"/>
                <c:pt idx="0">
                  <c:v>1.138</c:v>
                </c:pt>
                <c:pt idx="1">
                  <c:v>1.126</c:v>
                </c:pt>
                <c:pt idx="2">
                  <c:v>1.11</c:v>
                </c:pt>
                <c:pt idx="3">
                  <c:v>1.14</c:v>
                </c:pt>
                <c:pt idx="4">
                  <c:v>1.146</c:v>
                </c:pt>
              </c:numCache>
            </c:numRef>
          </c:val>
          <c:smooth val="0"/>
        </c:ser>
        <c:ser>
          <c:idx val="5"/>
          <c:order val="5"/>
          <c:tx>
            <c:strRef>
              <c:f>[工作簿1]Sheet1!$B$40</c:f>
              <c:strCache>
                <c:ptCount val="1"/>
                <c:pt idx="0">
                  <c:v>世纪天鸿</c:v>
                </c:pt>
              </c:strCache>
            </c:strRef>
          </c:tx>
          <c:spPr>
            <a:ln w="28575" cap="rnd">
              <a:solidFill>
                <a:schemeClr val="accent6"/>
              </a:solidFill>
              <a:round/>
            </a:ln>
            <a:effectLst/>
          </c:spPr>
          <c:marker>
            <c:symbol val="none"/>
          </c:marker>
          <c:dLbls>
            <c:delete val="1"/>
          </c:dLbls>
          <c:cat>
            <c:numRef>
              <c:f>[工作簿1]Sheet1!$C$35:$G$35</c:f>
              <c:numCache>
                <c:formatCode>General</c:formatCode>
                <c:ptCount val="5"/>
                <c:pt idx="0">
                  <c:v>2020</c:v>
                </c:pt>
                <c:pt idx="1">
                  <c:v>2021</c:v>
                </c:pt>
                <c:pt idx="2">
                  <c:v>2022</c:v>
                </c:pt>
                <c:pt idx="3">
                  <c:v>2023</c:v>
                </c:pt>
                <c:pt idx="4">
                  <c:v>2024</c:v>
                </c:pt>
              </c:numCache>
            </c:numRef>
          </c:cat>
          <c:val>
            <c:numRef>
              <c:f>[工作簿1]Sheet1!$C$40:$G$40</c:f>
              <c:numCache>
                <c:formatCode>General</c:formatCode>
                <c:ptCount val="5"/>
                <c:pt idx="0">
                  <c:v>1.476</c:v>
                </c:pt>
                <c:pt idx="1">
                  <c:v>1.481</c:v>
                </c:pt>
                <c:pt idx="2">
                  <c:v>1.318</c:v>
                </c:pt>
                <c:pt idx="3">
                  <c:v>1.344</c:v>
                </c:pt>
                <c:pt idx="4">
                  <c:v>1.307</c:v>
                </c:pt>
              </c:numCache>
            </c:numRef>
          </c:val>
          <c:smooth val="0"/>
        </c:ser>
        <c:ser>
          <c:idx val="6"/>
          <c:order val="6"/>
          <c:tx>
            <c:strRef>
              <c:f>[工作簿1]Sheet1!$B$41</c:f>
              <c:strCache>
                <c:ptCount val="1"/>
                <c:pt idx="0">
                  <c:v>思美传媒</c:v>
                </c:pt>
              </c:strCache>
            </c:strRef>
          </c:tx>
          <c:spPr>
            <a:ln w="28575" cap="rnd">
              <a:solidFill>
                <a:schemeClr val="accent1">
                  <a:lumMod val="60000"/>
                </a:schemeClr>
              </a:solidFill>
              <a:round/>
            </a:ln>
            <a:effectLst/>
          </c:spPr>
          <c:marker>
            <c:symbol val="none"/>
          </c:marker>
          <c:dLbls>
            <c:delete val="1"/>
          </c:dLbls>
          <c:cat>
            <c:numRef>
              <c:f>[工作簿1]Sheet1!$C$35:$G$35</c:f>
              <c:numCache>
                <c:formatCode>General</c:formatCode>
                <c:ptCount val="5"/>
                <c:pt idx="0">
                  <c:v>2020</c:v>
                </c:pt>
                <c:pt idx="1">
                  <c:v>2021</c:v>
                </c:pt>
                <c:pt idx="2">
                  <c:v>2022</c:v>
                </c:pt>
                <c:pt idx="3">
                  <c:v>2023</c:v>
                </c:pt>
                <c:pt idx="4">
                  <c:v>2024</c:v>
                </c:pt>
              </c:numCache>
            </c:numRef>
          </c:cat>
          <c:val>
            <c:numRef>
              <c:f>[工作簿1]Sheet1!$C$41:$G$41</c:f>
              <c:numCache>
                <c:formatCode>General</c:formatCode>
                <c:ptCount val="5"/>
                <c:pt idx="0">
                  <c:v>1.373</c:v>
                </c:pt>
                <c:pt idx="1">
                  <c:v>1.47</c:v>
                </c:pt>
                <c:pt idx="2">
                  <c:v>1.511</c:v>
                </c:pt>
                <c:pt idx="3">
                  <c:v>1.704</c:v>
                </c:pt>
                <c:pt idx="4">
                  <c:v>2.013</c:v>
                </c:pt>
              </c:numCache>
            </c:numRef>
          </c:val>
          <c:smooth val="0"/>
        </c:ser>
        <c:dLbls>
          <c:showLegendKey val="0"/>
          <c:showVal val="0"/>
          <c:showCatName val="0"/>
          <c:showSerName val="0"/>
          <c:showPercent val="0"/>
          <c:showBubbleSize val="0"/>
        </c:dLbls>
        <c:marker val="0"/>
        <c:smooth val="0"/>
        <c:axId val="94178600"/>
        <c:axId val="218960789"/>
        <c:extLst>
          <c:ext xmlns:c15="http://schemas.microsoft.com/office/drawing/2012/chart" uri="{02D57815-91ED-43cb-92C2-25804820EDAC}">
            <c15:filteredLineSeries>
              <c15:ser>
                <c:idx val="0"/>
                <c:order val="0"/>
                <c:tx>
                  <c:strRef>
                    <c:extLst>
                      <c:ext uri="{02D57815-91ED-43cb-92C2-25804820EDAC}">
                        <c15:formulaRef>
                          <c15:sqref>[工作簿1]Sheet1!$B$35</c15:sqref>
                        </c15:formulaRef>
                      </c:ext>
                    </c:extLst>
                    <c:strCache>
                      <c:ptCount val="1"/>
                      <c:pt idx="0">
                        <c:v>企业名称</c:v>
                      </c:pt>
                    </c:strCache>
                  </c:strRef>
                </c:tx>
                <c:spPr>
                  <a:ln w="28575" cap="rnd">
                    <a:solidFill>
                      <a:schemeClr val="accent1"/>
                    </a:solidFill>
                    <a:round/>
                  </a:ln>
                  <a:effectLst/>
                </c:spPr>
                <c:marker>
                  <c:symbol val="none"/>
                </c:marker>
                <c:dLbls>
                  <c:delete val="1"/>
                </c:dLbls>
                <c:cat>
                  <c:numRef>
                    <c:extLst>
                      <c:ext uri="{02D57815-91ED-43cb-92C2-25804820EDAC}">
                        <c15:fullRef>
                          <c15:sqref/>
                        </c15:fullRef>
                        <c15:formulaRef>
                          <c15:sqref>[工作簿1]Sheet1!$C$35:$G$35</c15:sqref>
                        </c15:formulaRef>
                      </c:ext>
                    </c:extLst>
                    <c:numCache>
                      <c:formatCode>General</c:formatCode>
                      <c:ptCount val="5"/>
                      <c:pt idx="0">
                        <c:v>2020</c:v>
                      </c:pt>
                      <c:pt idx="1">
                        <c:v>2021</c:v>
                      </c:pt>
                      <c:pt idx="2">
                        <c:v>2022</c:v>
                      </c:pt>
                      <c:pt idx="3">
                        <c:v>2023</c:v>
                      </c:pt>
                      <c:pt idx="4">
                        <c:v>2024</c:v>
                      </c:pt>
                    </c:numCache>
                  </c:numRef>
                </c:cat>
                <c:val>
                  <c:numRef>
                    <c:extLst>
                      <c:ext uri="{02D57815-91ED-43cb-92C2-25804820EDAC}">
                        <c15:formulaRef>
                          <c15:sqref>{2020,2021,2022,2023,2024}</c15:sqref>
                        </c15:formulaRef>
                      </c:ext>
                    </c:extLst>
                    <c:numCache>
                      <c:formatCode>General</c:formatCode>
                      <c:ptCount val="5"/>
                      <c:pt idx="0">
                        <c:v>2020</c:v>
                      </c:pt>
                      <c:pt idx="1">
                        <c:v>2021</c:v>
                      </c:pt>
                      <c:pt idx="2">
                        <c:v>2022</c:v>
                      </c:pt>
                      <c:pt idx="3">
                        <c:v>2023</c:v>
                      </c:pt>
                      <c:pt idx="4">
                        <c:v>2024</c:v>
                      </c:pt>
                    </c:numCache>
                  </c:numRef>
                </c:val>
                <c:smooth val="0"/>
              </c15:ser>
            </c15:filteredLineSeries>
          </c:ext>
        </c:extLst>
      </c:lineChart>
      <c:catAx>
        <c:axId val="94178600"/>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218960789"/>
        <c:crosses val="autoZero"/>
        <c:auto val="1"/>
        <c:lblAlgn val="ctr"/>
        <c:lblOffset val="100"/>
        <c:noMultiLvlLbl val="0"/>
      </c:catAx>
      <c:valAx>
        <c:axId val="218960789"/>
        <c:scaling>
          <c:orientation val="minMax"/>
        </c:scaling>
        <c:delete val="0"/>
        <c:axPos val="l"/>
        <c:majorGridlines>
          <c:spPr>
            <a:ln w="9525" cap="flat" cmpd="sng" algn="ctr">
              <a:solidFill>
                <a:schemeClr val="lt1">
                  <a:lumMod val="902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94178600"/>
        <c:crosses val="autoZero"/>
        <c:crossBetween val="between"/>
      </c:valAx>
      <c:spPr>
        <a:noFill/>
        <a:ln>
          <a:noFill/>
        </a:ln>
        <a:effectLst/>
      </c:spPr>
    </c:plotArea>
    <c:legend>
      <c:legendPos val="b"/>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f032c5ee-a60b-4b21-a0c5-50bacc778498}"/>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1"/>
          <c:order val="1"/>
          <c:tx>
            <c:strRef>
              <c:f>[工作簿1]Sheet1!$B$3</c:f>
              <c:strCache>
                <c:ptCount val="1"/>
                <c:pt idx="0">
                  <c:v>方直科技</c:v>
                </c:pt>
              </c:strCache>
            </c:strRef>
          </c:tx>
          <c:spPr>
            <a:ln w="28575" cap="rnd">
              <a:solidFill>
                <a:schemeClr val="accent2"/>
              </a:solidFill>
              <a:round/>
            </a:ln>
            <a:effectLst/>
          </c:spPr>
          <c:marker>
            <c:symbol val="none"/>
          </c:marker>
          <c:dLbls>
            <c:delete val="1"/>
          </c:dLbls>
          <c:cat>
            <c:numRef>
              <c:f>[工作簿1]Sheet1!$C$2:$G$2</c:f>
              <c:numCache>
                <c:formatCode>General</c:formatCode>
                <c:ptCount val="5"/>
                <c:pt idx="0">
                  <c:v>2020</c:v>
                </c:pt>
                <c:pt idx="1">
                  <c:v>2021</c:v>
                </c:pt>
                <c:pt idx="2">
                  <c:v>2022</c:v>
                </c:pt>
                <c:pt idx="3">
                  <c:v>2023</c:v>
                </c:pt>
                <c:pt idx="4">
                  <c:v>2024</c:v>
                </c:pt>
              </c:numCache>
            </c:numRef>
          </c:cat>
          <c:val>
            <c:numRef>
              <c:f>[工作簿1]Sheet1!$C$3:$G$3</c:f>
              <c:numCache>
                <c:formatCode>General</c:formatCode>
                <c:ptCount val="5"/>
                <c:pt idx="0">
                  <c:v>0.0489</c:v>
                </c:pt>
                <c:pt idx="1">
                  <c:v>0.0348</c:v>
                </c:pt>
                <c:pt idx="2">
                  <c:v>0.0347</c:v>
                </c:pt>
                <c:pt idx="3">
                  <c:v>0.0459</c:v>
                </c:pt>
                <c:pt idx="4">
                  <c:v>0.0248</c:v>
                </c:pt>
              </c:numCache>
            </c:numRef>
          </c:val>
          <c:smooth val="0"/>
        </c:ser>
        <c:ser>
          <c:idx val="2"/>
          <c:order val="2"/>
          <c:tx>
            <c:strRef>
              <c:f>[工作簿1]Sheet1!$B$4</c:f>
              <c:strCache>
                <c:ptCount val="1"/>
                <c:pt idx="0">
                  <c:v>佳讯飞鸿</c:v>
                </c:pt>
              </c:strCache>
            </c:strRef>
          </c:tx>
          <c:spPr>
            <a:ln w="28575" cap="rnd">
              <a:solidFill>
                <a:schemeClr val="accent3"/>
              </a:solidFill>
              <a:round/>
            </a:ln>
            <a:effectLst/>
          </c:spPr>
          <c:marker>
            <c:symbol val="none"/>
          </c:marker>
          <c:dLbls>
            <c:delete val="1"/>
          </c:dLbls>
          <c:cat>
            <c:numRef>
              <c:f>[工作簿1]Sheet1!$C$2:$G$2</c:f>
              <c:numCache>
                <c:formatCode>General</c:formatCode>
                <c:ptCount val="5"/>
                <c:pt idx="0">
                  <c:v>2020</c:v>
                </c:pt>
                <c:pt idx="1">
                  <c:v>2021</c:v>
                </c:pt>
                <c:pt idx="2">
                  <c:v>2022</c:v>
                </c:pt>
                <c:pt idx="3">
                  <c:v>2023</c:v>
                </c:pt>
                <c:pt idx="4">
                  <c:v>2024</c:v>
                </c:pt>
              </c:numCache>
            </c:numRef>
          </c:cat>
          <c:val>
            <c:numRef>
              <c:f>[工作簿1]Sheet1!$C$4:$G$4</c:f>
              <c:numCache>
                <c:formatCode>General</c:formatCode>
                <c:ptCount val="5"/>
                <c:pt idx="0">
                  <c:v>0.0549</c:v>
                </c:pt>
                <c:pt idx="1">
                  <c:v>0.0545</c:v>
                </c:pt>
                <c:pt idx="2">
                  <c:v>0.0284</c:v>
                </c:pt>
                <c:pt idx="3">
                  <c:v>0.0302</c:v>
                </c:pt>
                <c:pt idx="4">
                  <c:v>0.0335</c:v>
                </c:pt>
              </c:numCache>
            </c:numRef>
          </c:val>
          <c:smooth val="0"/>
        </c:ser>
        <c:ser>
          <c:idx val="3"/>
          <c:order val="3"/>
          <c:tx>
            <c:strRef>
              <c:f>[工作簿1]Sheet1!$B$5</c:f>
              <c:strCache>
                <c:ptCount val="1"/>
                <c:pt idx="0">
                  <c:v>天地在线</c:v>
                </c:pt>
              </c:strCache>
            </c:strRef>
          </c:tx>
          <c:spPr>
            <a:ln w="28575" cap="rnd">
              <a:solidFill>
                <a:schemeClr val="accent4"/>
              </a:solidFill>
              <a:round/>
            </a:ln>
            <a:effectLst/>
          </c:spPr>
          <c:marker>
            <c:symbol val="none"/>
          </c:marker>
          <c:dLbls>
            <c:delete val="1"/>
          </c:dLbls>
          <c:cat>
            <c:numRef>
              <c:f>[工作簿1]Sheet1!$C$2:$G$2</c:f>
              <c:numCache>
                <c:formatCode>General</c:formatCode>
                <c:ptCount val="5"/>
                <c:pt idx="0">
                  <c:v>2020</c:v>
                </c:pt>
                <c:pt idx="1">
                  <c:v>2021</c:v>
                </c:pt>
                <c:pt idx="2">
                  <c:v>2022</c:v>
                </c:pt>
                <c:pt idx="3">
                  <c:v>2023</c:v>
                </c:pt>
                <c:pt idx="4">
                  <c:v>2024</c:v>
                </c:pt>
              </c:numCache>
            </c:numRef>
          </c:cat>
          <c:val>
            <c:numRef>
              <c:f>[工作簿1]Sheet1!$C$5:$G$5</c:f>
              <c:numCache>
                <c:formatCode>General</c:formatCode>
                <c:ptCount val="5"/>
                <c:pt idx="0">
                  <c:v>0.1583</c:v>
                </c:pt>
                <c:pt idx="1">
                  <c:v>0.0512</c:v>
                </c:pt>
                <c:pt idx="2">
                  <c:v>0.003</c:v>
                </c:pt>
                <c:pt idx="3">
                  <c:v>-0.0256</c:v>
                </c:pt>
                <c:pt idx="4">
                  <c:v>-0.0699</c:v>
                </c:pt>
              </c:numCache>
            </c:numRef>
          </c:val>
          <c:smooth val="0"/>
        </c:ser>
        <c:ser>
          <c:idx val="4"/>
          <c:order val="4"/>
          <c:tx>
            <c:strRef>
              <c:f>[工作簿1]Sheet1!$B$6</c:f>
              <c:strCache>
                <c:ptCount val="1"/>
                <c:pt idx="0">
                  <c:v>巨人网络</c:v>
                </c:pt>
              </c:strCache>
            </c:strRef>
          </c:tx>
          <c:spPr>
            <a:ln w="28575" cap="rnd">
              <a:solidFill>
                <a:schemeClr val="accent5"/>
              </a:solidFill>
              <a:round/>
            </a:ln>
            <a:effectLst/>
          </c:spPr>
          <c:marker>
            <c:symbol val="none"/>
          </c:marker>
          <c:dLbls>
            <c:delete val="1"/>
          </c:dLbls>
          <c:cat>
            <c:numRef>
              <c:f>[工作簿1]Sheet1!$C$2:$G$2</c:f>
              <c:numCache>
                <c:formatCode>General</c:formatCode>
                <c:ptCount val="5"/>
                <c:pt idx="0">
                  <c:v>2020</c:v>
                </c:pt>
                <c:pt idx="1">
                  <c:v>2021</c:v>
                </c:pt>
                <c:pt idx="2">
                  <c:v>2022</c:v>
                </c:pt>
                <c:pt idx="3">
                  <c:v>2023</c:v>
                </c:pt>
                <c:pt idx="4">
                  <c:v>2024</c:v>
                </c:pt>
              </c:numCache>
            </c:numRef>
          </c:cat>
          <c:val>
            <c:numRef>
              <c:f>[工作簿1]Sheet1!$C$6:$G$6</c:f>
              <c:numCache>
                <c:formatCode>General</c:formatCode>
                <c:ptCount val="5"/>
                <c:pt idx="0">
                  <c:v>0.1082</c:v>
                </c:pt>
                <c:pt idx="1">
                  <c:v>0.0997</c:v>
                </c:pt>
                <c:pt idx="2">
                  <c:v>0.0758</c:v>
                </c:pt>
                <c:pt idx="3">
                  <c:v>0.0893</c:v>
                </c:pt>
                <c:pt idx="4">
                  <c:v>0.1156</c:v>
                </c:pt>
              </c:numCache>
            </c:numRef>
          </c:val>
          <c:smooth val="0"/>
        </c:ser>
        <c:ser>
          <c:idx val="5"/>
          <c:order val="5"/>
          <c:tx>
            <c:strRef>
              <c:f>[工作簿1]Sheet1!$B$7</c:f>
              <c:strCache>
                <c:ptCount val="1"/>
                <c:pt idx="0">
                  <c:v>世纪天鸿</c:v>
                </c:pt>
              </c:strCache>
            </c:strRef>
          </c:tx>
          <c:spPr>
            <a:ln w="28575" cap="rnd">
              <a:solidFill>
                <a:schemeClr val="accent6"/>
              </a:solidFill>
              <a:round/>
            </a:ln>
            <a:effectLst/>
          </c:spPr>
          <c:marker>
            <c:symbol val="none"/>
          </c:marker>
          <c:dLbls>
            <c:delete val="1"/>
          </c:dLbls>
          <c:cat>
            <c:numRef>
              <c:f>[工作簿1]Sheet1!$C$2:$G$2</c:f>
              <c:numCache>
                <c:formatCode>General</c:formatCode>
                <c:ptCount val="5"/>
                <c:pt idx="0">
                  <c:v>2020</c:v>
                </c:pt>
                <c:pt idx="1">
                  <c:v>2021</c:v>
                </c:pt>
                <c:pt idx="2">
                  <c:v>2022</c:v>
                </c:pt>
                <c:pt idx="3">
                  <c:v>2023</c:v>
                </c:pt>
                <c:pt idx="4">
                  <c:v>2024</c:v>
                </c:pt>
              </c:numCache>
            </c:numRef>
          </c:cat>
          <c:val>
            <c:numRef>
              <c:f>[工作簿1]Sheet1!$C$7:$G$7</c:f>
              <c:numCache>
                <c:formatCode>General</c:formatCode>
                <c:ptCount val="5"/>
                <c:pt idx="0">
                  <c:v>0.069</c:v>
                </c:pt>
                <c:pt idx="1">
                  <c:v>0.0689</c:v>
                </c:pt>
                <c:pt idx="2">
                  <c:v>0.0506</c:v>
                </c:pt>
                <c:pt idx="3">
                  <c:v>0.0533</c:v>
                </c:pt>
                <c:pt idx="4">
                  <c:v>0.0517</c:v>
                </c:pt>
              </c:numCache>
            </c:numRef>
          </c:val>
          <c:smooth val="0"/>
        </c:ser>
        <c:ser>
          <c:idx val="6"/>
          <c:order val="6"/>
          <c:tx>
            <c:strRef>
              <c:f>[工作簿1]Sheet1!$B$8</c:f>
              <c:strCache>
                <c:ptCount val="1"/>
                <c:pt idx="0">
                  <c:v>思美传媒</c:v>
                </c:pt>
              </c:strCache>
            </c:strRef>
          </c:tx>
          <c:spPr>
            <a:ln w="28575" cap="rnd">
              <a:solidFill>
                <a:schemeClr val="accent1">
                  <a:lumMod val="60000"/>
                </a:schemeClr>
              </a:solidFill>
              <a:round/>
            </a:ln>
            <a:effectLst/>
          </c:spPr>
          <c:marker>
            <c:symbol val="none"/>
          </c:marker>
          <c:dLbls>
            <c:delete val="1"/>
          </c:dLbls>
          <c:cat>
            <c:numRef>
              <c:f>[工作簿1]Sheet1!$C$2:$G$2</c:f>
              <c:numCache>
                <c:formatCode>General</c:formatCode>
                <c:ptCount val="5"/>
                <c:pt idx="0">
                  <c:v>2020</c:v>
                </c:pt>
                <c:pt idx="1">
                  <c:v>2021</c:v>
                </c:pt>
                <c:pt idx="2">
                  <c:v>2022</c:v>
                </c:pt>
                <c:pt idx="3">
                  <c:v>2023</c:v>
                </c:pt>
                <c:pt idx="4">
                  <c:v>2024</c:v>
                </c:pt>
              </c:numCache>
            </c:numRef>
          </c:cat>
          <c:val>
            <c:numRef>
              <c:f>[工作簿1]Sheet1!$C$8:$G$8</c:f>
              <c:numCache>
                <c:formatCode>General</c:formatCode>
                <c:ptCount val="5"/>
                <c:pt idx="0">
                  <c:v>-0.4563</c:v>
                </c:pt>
                <c:pt idx="1">
                  <c:v>0.03</c:v>
                </c:pt>
                <c:pt idx="2">
                  <c:v>-0.2316</c:v>
                </c:pt>
                <c:pt idx="3">
                  <c:v>-0.0901</c:v>
                </c:pt>
                <c:pt idx="4">
                  <c:v>-0.0244</c:v>
                </c:pt>
              </c:numCache>
            </c:numRef>
          </c:val>
          <c:smooth val="0"/>
        </c:ser>
        <c:dLbls>
          <c:showLegendKey val="0"/>
          <c:showVal val="0"/>
          <c:showCatName val="0"/>
          <c:showSerName val="0"/>
          <c:showPercent val="0"/>
          <c:showBubbleSize val="0"/>
        </c:dLbls>
        <c:marker val="0"/>
        <c:smooth val="0"/>
        <c:axId val="966301305"/>
        <c:axId val="39886715"/>
        <c:extLst>
          <c:ext xmlns:c15="http://schemas.microsoft.com/office/drawing/2012/chart" uri="{02D57815-91ED-43cb-92C2-25804820EDAC}">
            <c15:filteredLineSeries>
              <c15:ser>
                <c:idx val="0"/>
                <c:order val="0"/>
                <c:tx>
                  <c:strRef>
                    <c:extLst>
                      <c:ext uri="{02D57815-91ED-43cb-92C2-25804820EDAC}">
                        <c15:formulaRef>
                          <c15:sqref>[工作簿1]Sheet1!$B$2</c15:sqref>
                        </c15:formulaRef>
                      </c:ext>
                    </c:extLst>
                    <c:strCache>
                      <c:ptCount val="1"/>
                      <c:pt idx="0">
                        <c:v>企业名称</c:v>
                      </c:pt>
                    </c:strCache>
                  </c:strRef>
                </c:tx>
                <c:spPr>
                  <a:ln w="28575" cap="rnd">
                    <a:solidFill>
                      <a:schemeClr val="accent1"/>
                    </a:solidFill>
                    <a:round/>
                  </a:ln>
                  <a:effectLst/>
                </c:spPr>
                <c:marker>
                  <c:symbol val="none"/>
                </c:marker>
                <c:dLbls>
                  <c:delete val="1"/>
                </c:dLbls>
                <c:cat>
                  <c:numRef>
                    <c:extLst>
                      <c:ext uri="{02D57815-91ED-43cb-92C2-25804820EDAC}">
                        <c15:fullRef>
                          <c15:sqref/>
                        </c15:fullRef>
                        <c15:formulaRef>
                          <c15:sqref>[工作簿1]Sheet1!$C$2:$G$2</c15:sqref>
                        </c15:formulaRef>
                      </c:ext>
                    </c:extLst>
                    <c:numCache>
                      <c:formatCode>General</c:formatCode>
                      <c:ptCount val="5"/>
                      <c:pt idx="0">
                        <c:v>2020</c:v>
                      </c:pt>
                      <c:pt idx="1">
                        <c:v>2021</c:v>
                      </c:pt>
                      <c:pt idx="2">
                        <c:v>2022</c:v>
                      </c:pt>
                      <c:pt idx="3">
                        <c:v>2023</c:v>
                      </c:pt>
                      <c:pt idx="4">
                        <c:v>2024</c:v>
                      </c:pt>
                    </c:numCache>
                  </c:numRef>
                </c:cat>
                <c:val>
                  <c:numRef>
                    <c:extLst>
                      <c:ext uri="{02D57815-91ED-43cb-92C2-25804820EDAC}">
                        <c15:formulaRef>
                          <c15:sqref>{2020,2021,2022,2023,2024}</c15:sqref>
                        </c15:formulaRef>
                      </c:ext>
                    </c:extLst>
                    <c:numCache>
                      <c:formatCode>General</c:formatCode>
                      <c:ptCount val="5"/>
                      <c:pt idx="0">
                        <c:v>2020</c:v>
                      </c:pt>
                      <c:pt idx="1">
                        <c:v>2021</c:v>
                      </c:pt>
                      <c:pt idx="2">
                        <c:v>2022</c:v>
                      </c:pt>
                      <c:pt idx="3">
                        <c:v>2023</c:v>
                      </c:pt>
                      <c:pt idx="4">
                        <c:v>2024</c:v>
                      </c:pt>
                    </c:numCache>
                  </c:numRef>
                </c:val>
                <c:smooth val="0"/>
              </c15:ser>
            </c15:filteredLineSeries>
          </c:ext>
        </c:extLst>
      </c:lineChart>
      <c:catAx>
        <c:axId val="966301305"/>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39886715"/>
        <c:crosses val="autoZero"/>
        <c:auto val="1"/>
        <c:lblAlgn val="ctr"/>
        <c:lblOffset val="100"/>
        <c:noMultiLvlLbl val="0"/>
      </c:catAx>
      <c:valAx>
        <c:axId val="39886715"/>
        <c:scaling>
          <c:orientation val="minMax"/>
        </c:scaling>
        <c:delete val="0"/>
        <c:axPos val="l"/>
        <c:majorGridlines>
          <c:spPr>
            <a:ln w="9525" cap="flat" cmpd="sng" algn="ctr">
              <a:solidFill>
                <a:schemeClr val="lt1">
                  <a:lumMod val="902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966301305"/>
        <c:crosses val="autoZero"/>
        <c:crossBetween val="between"/>
      </c:valAx>
      <c:spPr>
        <a:noFill/>
        <a:ln>
          <a:noFill/>
        </a:ln>
        <a:effectLst/>
      </c:spPr>
    </c:plotArea>
    <c:legend>
      <c:legendPos val="b"/>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8f0c8568-edbb-49ce-aec9-50a03ddd73f4}"/>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1002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0">
      <cs:styleClr val="auto"/>
    </cs:fillRef>
    <cs:effectRef idx="0"/>
    <cs:fontRef idx="minor">
      <a:schemeClr val="dk1"/>
    </cs:fontRef>
    <cs:spPr>
      <a:ln w="28575" cap="rnd">
        <a:solidFill>
          <a:schemeClr val="phClr"/>
        </a:solidFill>
        <a:round/>
      </a:ln>
      <a:effectLst/>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1002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0">
      <cs:styleClr val="auto"/>
    </cs:fillRef>
    <cs:effectRef idx="0"/>
    <cs:fontRef idx="minor">
      <a:schemeClr val="dk1"/>
    </cs:fontRef>
    <cs:spPr>
      <a:ln w="28575" cap="rnd">
        <a:solidFill>
          <a:schemeClr val="phClr"/>
        </a:solidFill>
        <a:round/>
      </a:ln>
      <a:effectLst/>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1002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0">
      <cs:styleClr val="auto"/>
    </cs:fillRef>
    <cs:effectRef idx="0"/>
    <cs:fontRef idx="minor">
      <a:schemeClr val="dk1"/>
    </cs:fontRef>
    <cs:spPr>
      <a:ln w="28575" cap="rnd">
        <a:solidFill>
          <a:schemeClr val="phClr"/>
        </a:solidFill>
        <a:round/>
      </a:ln>
      <a:effectLst/>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1002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0">
      <cs:styleClr val="auto"/>
    </cs:fillRef>
    <cs:effectRef idx="0"/>
    <cs:fontRef idx="minor">
      <a:schemeClr val="dk1"/>
    </cs:fontRef>
    <cs:spPr>
      <a:ln w="28575" cap="rnd">
        <a:solidFill>
          <a:schemeClr val="phClr"/>
        </a:solidFill>
        <a:round/>
      </a:ln>
      <a:effectLst/>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42</Pages>
  <Words>1574</Words>
  <Characters>1734</Characters>
  <Lines>0</Lines>
  <Paragraphs>0</Paragraphs>
  <TotalTime>4</TotalTime>
  <ScaleCrop>false</ScaleCrop>
  <LinksUpToDate>false</LinksUpToDate>
  <CharactersWithSpaces>1736</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2026-03-04T17:05:00Z</dcterms:created>
  <dc:creator>哔哔哔</dc:creator>
  <cp:lastModifiedBy>xxx</cp:lastModifiedBy>
  <dcterms:modified xsi:type="dcterms:W3CDTF">2026-03-08T18:01:35Z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521D6237FD62F0CFC8D5AC6927B7D75D_43</vt:lpwstr>
  </property>
  <property fmtid="{D5CDD505-2E9C-101B-9397-08002B2CF9AE}" pid="4" name="KSOTemplateDocerSaveRecord">
    <vt:lpwstr>eyJoZGlkIjoiMmQ1MDI4MGI2ZTUwMDA2NWExMGRiOTkxMmM2ZmUzYzIiLCJ1c2VySWQiOiI0MDY4MDkxODIifQ==</vt:lpwstr>
  </property>
</Properties>
</file>