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13D40"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上海市经济和信息化委员会关于开展2024年度第二批 《上海市创新产品推荐目录》编制申报工作的通知</w:t>
      </w:r>
    </w:p>
    <w:p w14:paraId="4FE77CDE"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沪经信技〔2024〕679号</w:t>
      </w:r>
    </w:p>
    <w:p w14:paraId="64C8070B"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有关单位：</w:t>
      </w:r>
    </w:p>
    <w:p w14:paraId="68C32283"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为促进创新产品的市场化、产业化，强化高端产业引领功能，推动研发活动产业化，全力打响“上海制造”品牌，支撑上海产业高质量发展，根据《上海市经济信息化委、市科委、上海科创办关于印发〈上海市创新产品推荐目录编制办法〉的通知》（沪经信规范〔2022〕13号）要求，现就开展2024年度第二批《上海市创新产品推荐目录》编制申报工作的有关事项通知如下：</w:t>
      </w:r>
    </w:p>
    <w:p w14:paraId="210FDC8D"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    一、申报条件</w:t>
      </w:r>
    </w:p>
    <w:p w14:paraId="788CC258"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    申请列入《推荐目录》的产品，应当同时符合以下条件：</w:t>
      </w:r>
    </w:p>
    <w:p w14:paraId="4B08A1DB"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    （一）申请单位依法在本市登记注册，财务会计制度健全；</w:t>
      </w:r>
    </w:p>
    <w:p w14:paraId="25361A03"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    （二）产品由申请单位研制，符合国家和本市战略性新兴产业发展导向。</w:t>
      </w:r>
    </w:p>
    <w:p w14:paraId="2790BB8F"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三）产品在三年内（2021年9月29日至2024年9月29日）取得发明专利权或集成电路布图设计专有权，其权利人为申请单位且权益状况明确；或者药品、医疗器械类产品、高端装备产品在五年内（2019年9月29日至2024年9月29日）取得发明专利权，其权利人为申请单位且权益状况明确。</w:t>
      </w:r>
    </w:p>
    <w:p w14:paraId="767827F3"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（四）软件类产品应具有软件著作权，其权利人为申请单位且权益状况明确。</w:t>
      </w:r>
    </w:p>
    <w:p w14:paraId="7AA18EA8"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（五）产品符合国家及本市有关的产品质量标准要求和相关的生产、销售规定及特定要求；药品、医疗器械类产品的申请单位应具有该产品的药品注册证书或医疗器械注册（备案）证。</w:t>
      </w:r>
    </w:p>
    <w:p w14:paraId="22EACD20"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（六）申请单位信用良好，未纳入严重失信主体名单或无不良信用记录。</w:t>
      </w:r>
    </w:p>
    <w:p w14:paraId="24CC157A"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二、重点领域</w:t>
      </w:r>
    </w:p>
    <w:p w14:paraId="44609C6C"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b/>
          <w:bCs/>
          <w:sz w:val="24"/>
        </w:rPr>
        <w:t>（一）集成电路。</w:t>
      </w:r>
      <w:r w:rsidRPr="005C385D">
        <w:rPr>
          <w:rFonts w:ascii="宋体" w:eastAsia="宋体" w:hAnsi="宋体" w:hint="eastAsia"/>
          <w:sz w:val="24"/>
        </w:rPr>
        <w:t>重点为高端芯片，包括全系列处理器芯片、存储器芯片、通</w:t>
      </w:r>
      <w:r w:rsidRPr="005C385D">
        <w:rPr>
          <w:rFonts w:ascii="宋体" w:eastAsia="宋体" w:hAnsi="宋体" w:hint="eastAsia"/>
          <w:sz w:val="24"/>
        </w:rPr>
        <w:lastRenderedPageBreak/>
        <w:t>信芯片、模拟或数模混合芯片等；高端集成电路装备，包括光刻设备、刻蚀设备、薄膜设备、湿法设备、扩散设备、离子注入设备、抛光设备、检测量测设备等；高端集成电路材料，包括大硅片、光刻胶、掩膜版、抛光液、其他电子级高纯试剂、电子特气等；集成电路EDA工具，包括数字电路设计EDA工具、模拟及混合电路设计EDA工具、晶圆制造EDA工具、先进封装测试EDA工具等。</w:t>
      </w:r>
    </w:p>
    <w:p w14:paraId="495DB06D"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b/>
          <w:bCs/>
          <w:sz w:val="24"/>
        </w:rPr>
        <w:t>（二）人工智能。</w:t>
      </w:r>
      <w:r w:rsidRPr="005C385D">
        <w:rPr>
          <w:rFonts w:ascii="宋体" w:eastAsia="宋体" w:hAnsi="宋体" w:hint="eastAsia"/>
          <w:sz w:val="24"/>
        </w:rPr>
        <w:t>重点为通用人工智能，包括高算力训练芯片、终端智能芯片、类脑芯片、存算一体芯片、大模型创新产品、高质量语料集、人工智能风险管控软件产品等；智能机器人，包括人形机器人原型机、智能服务机器人等；人形机器人核心零部件，包括小体积高功率执行器、柔性高响应力控关节、高精度环境感知模块等；科学智能，包括人工智能赋能的新药研发、智能医疗器械、高端装备、新材料和工业软件等。</w:t>
      </w:r>
    </w:p>
    <w:p w14:paraId="2A463398"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b/>
          <w:bCs/>
          <w:sz w:val="24"/>
        </w:rPr>
        <w:t>（三）生物医药。</w:t>
      </w:r>
      <w:r w:rsidRPr="005C385D">
        <w:rPr>
          <w:rFonts w:ascii="宋体" w:eastAsia="宋体" w:hAnsi="宋体" w:hint="eastAsia"/>
          <w:sz w:val="24"/>
        </w:rPr>
        <w:t>重点为药品，包括抗体药物、新型疫苗等高端生物制品、创新化学药及高端制剂、现代中药等；高端医疗器械，包括体外诊断仪器和试剂、生物医用材料、高端影像设备、高端植介入器械及耗材、手术治疗、生命支持设备、高端康复辅具、智慧医疗器械等；生物医药相关先进装备及原辅料，包括生命科学领域精密科研仪器、制药装备和高端原辅料等。</w:t>
      </w:r>
    </w:p>
    <w:p w14:paraId="62361A92"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b/>
          <w:bCs/>
          <w:sz w:val="24"/>
        </w:rPr>
        <w:t>（四）电子信息。</w:t>
      </w:r>
      <w:r w:rsidRPr="005C385D">
        <w:rPr>
          <w:rFonts w:ascii="宋体" w:eastAsia="宋体" w:hAnsi="宋体" w:hint="eastAsia"/>
          <w:sz w:val="24"/>
        </w:rPr>
        <w:t>重点为智能终端，包括面向消费类终端，智能手机、高端PC、高端服务器、虚拟现实终端、可穿戴终端、智能家居终端、智能物联终端、超高清视听终端、智慧健康养老终端、工业终端、商业终端等；通信产品，包括新一代通信设备、光通信设备、光通信模组、移动通信模组等；新型显示，包括高端LCD显示、AM-OLED显示、mini-LED显示、micro-LED显示、micro-OLED显示、全息显示、三维显示、显示装备、显示材料等。</w:t>
      </w:r>
    </w:p>
    <w:p w14:paraId="50A63066"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b/>
          <w:bCs/>
          <w:sz w:val="24"/>
        </w:rPr>
        <w:t>（五）绿色低碳。</w:t>
      </w:r>
      <w:r w:rsidRPr="005C385D">
        <w:rPr>
          <w:rFonts w:ascii="宋体" w:eastAsia="宋体" w:hAnsi="宋体" w:hint="eastAsia"/>
          <w:sz w:val="24"/>
        </w:rPr>
        <w:t>重点为新能源产品，包括新能源终端、智能电网、氢能制备及利用、高效光伏/光热技术等；工业节能产品，包括储能、中低品位余能利用、高效设备、高温超导等；通信业节能产品，包括数据中心液冷、新一代储能UPS等；环保产品，包括VOCs治理、臭氧治理、飞灰处置、绿色材料等；碳中和产品，包括低碳产品、二氧化碳捕集、二氧化碳转化、二氧化碳封存等。</w:t>
      </w:r>
    </w:p>
    <w:p w14:paraId="129B9F56"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b/>
          <w:bCs/>
          <w:sz w:val="24"/>
        </w:rPr>
        <w:lastRenderedPageBreak/>
        <w:t>（六）软件和信息服务。</w:t>
      </w:r>
      <w:r w:rsidRPr="005C385D">
        <w:rPr>
          <w:rFonts w:ascii="宋体" w:eastAsia="宋体" w:hAnsi="宋体" w:hint="eastAsia"/>
          <w:sz w:val="24"/>
        </w:rPr>
        <w:t>重点为元宇宙，包括数字人、三维图形图像引擎、数字建模等元宇宙关键生产力工具，空间计算、VR/AR等新型交互技术；在线新经济，包括云原生、5G+应用、边缘计算、金融科技等；工业软件，包括CAD、CAE、PLM、流程仿真等研发设计类软件，DCS、SCADA、PLC、嵌入式软件、SIS等工业操作系统，CIM、APS等生产控制软件；基础软件，包括操作系统、数据库和中间件等；开源软件（自主根技术）；制造业数字化转型（工业互联网），包括产品数字护照、工业大模型、工业数据建模与分析、工业数据空间、轻量化组件、数字孪生、碳计量模组等；网络安全软件，包括新一代数字身份认证、隐私计算、安全服务边缘等基础技术，web3.0安全、智能工控安全、车联网安全等应用技术，网络安全保险、网络安全监管与合规智能化等新型服务。</w:t>
      </w:r>
    </w:p>
    <w:p w14:paraId="773C5764"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b/>
          <w:bCs/>
          <w:sz w:val="24"/>
        </w:rPr>
        <w:t>（七）高端装备。</w:t>
      </w:r>
      <w:r w:rsidRPr="005C385D">
        <w:rPr>
          <w:rFonts w:ascii="宋体" w:eastAsia="宋体" w:hAnsi="宋体" w:hint="eastAsia"/>
          <w:sz w:val="24"/>
        </w:rPr>
        <w:t>重点为船舶与海洋工程装备，包括大型LNG运输船低温液货围护与输运装备、大型邮轮综合电力、甲板轮机、动力推进等核心系统及装备、船用双燃料发动机、大功率吊舱推进器、通信导航设备、深海作业装备、水下生产系统装备等；民用航天装备及空间信息，包括商业卫星、商业火箭整机及配套核心载荷、结构部件、推进系统、能源系统、综合电子系统等单机（部件），地面通信系统设备、室内导航信号装置、北斗卫星智能终端、卫星通信终端、VDES通信终端、遥感数据终端等；民用航空装备，包括民用航空发动机、结构大部段、内饰内设产品、复材加工设备、检测检验设备、智能化总装产线、新型工装设备、飞控、航电、液压、环控、电源、辅助动力装置、燃油、起落架等机载系统、低空无人驾驶航空器、飞行模拟器、新能源航空动力系统、航空电机、航空电池等；先进核能装备，包括大型先进压水堆、钍基熔盐堆、高温气冷堆、同位素研究生产堆、高温超导托卡马克等；智能制造装备，包括智能检测仪器仪表、高端数控机床、增材制造装备、四大工艺装备；其他高端装备，包括轨道交通装备、应急救援装备、农业机械装备等。</w:t>
      </w:r>
    </w:p>
    <w:p w14:paraId="60F19D86"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b/>
          <w:bCs/>
          <w:sz w:val="24"/>
        </w:rPr>
        <w:t>（八）先进材料。</w:t>
      </w:r>
      <w:r w:rsidRPr="005C385D">
        <w:rPr>
          <w:rFonts w:ascii="宋体" w:eastAsia="宋体" w:hAnsi="宋体" w:hint="eastAsia"/>
          <w:sz w:val="24"/>
        </w:rPr>
        <w:t>重点为先进基础材料、前沿新材料和面向新一代信息技术、生物医用、航空航天、新能源、高端装备等应用领域的关键战略材料产品，包括先进化工材料：特种功能化学品、高端工程塑料、有机膜材料及原料、功能纤维、合成生物材料；先进金属材料：特种合金、高端稀土功能材料产品；高性能纤维及其复合材料；先进无机材料：先进陶瓷、人工晶体、特种玻璃、无</w:t>
      </w:r>
      <w:r w:rsidRPr="005C385D">
        <w:rPr>
          <w:rFonts w:ascii="宋体" w:eastAsia="宋体" w:hAnsi="宋体" w:hint="eastAsia"/>
          <w:sz w:val="24"/>
        </w:rPr>
        <w:lastRenderedPageBreak/>
        <w:t>机膜材料；前沿新材料：高温超导带材、石墨烯材料产品、新型催化剂、增材制造材料、气凝胶等。</w:t>
      </w:r>
    </w:p>
    <w:p w14:paraId="303503CF"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b/>
          <w:bCs/>
          <w:sz w:val="24"/>
        </w:rPr>
        <w:t>（九）未来产业。</w:t>
      </w:r>
      <w:r w:rsidRPr="005C385D">
        <w:rPr>
          <w:rFonts w:ascii="宋体" w:eastAsia="宋体" w:hAnsi="宋体" w:hint="eastAsia"/>
          <w:sz w:val="24"/>
        </w:rPr>
        <w:t>重点为未来制造、未来智能、未来能源、未来空间、未来材料、未来健康等方向，包括未来制造装备、人形机器人、半导体装备和零部件、量子信息产品、XR装备、6G通信网络设备、超大规模新型智算中心、第三代互联网产品、深海探采装备、低空智能装备、商业航天装备、绿色低碳能源装备、高端膜材料、脑机接口装备等未来产业的标志性产品。</w:t>
      </w:r>
    </w:p>
    <w:p w14:paraId="7CDFE5C7"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b/>
          <w:bCs/>
          <w:sz w:val="24"/>
        </w:rPr>
        <w:t>（十）除上述重点领域外的其他战略性新兴产业领域产品。</w:t>
      </w:r>
    </w:p>
    <w:p w14:paraId="347EEB5F"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三、申报材料</w:t>
      </w:r>
    </w:p>
    <w:p w14:paraId="04185A88"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    （一）在线填写《上海市创新产品推荐目录申请表》；</w:t>
      </w:r>
    </w:p>
    <w:p w14:paraId="3555BDAB"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    （二）营业执照；</w:t>
      </w:r>
    </w:p>
    <w:p w14:paraId="355A0DAE"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（三）产品拥有知识产权（含专利授权、集成电路布图设计专有权、软件著作权等）的证明文件，以及专利产品备案等相关性说明；</w:t>
      </w:r>
    </w:p>
    <w:p w14:paraId="5ACBADC4"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（四）国家及本市对该类产品有生产、销售相关规定及特定要求的，应当提供产品符合规定及要求的证明文件；</w:t>
      </w:r>
    </w:p>
    <w:p w14:paraId="52D62513"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（五）首次投放市场的产品，应提供产品首次实现销售的销售合同；未实现销售的，应提供用户使用（试用）报告；</w:t>
      </w:r>
    </w:p>
    <w:p w14:paraId="7C5920D1"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（六）具有完整产品标识信息的外观图片；</w:t>
      </w:r>
    </w:p>
    <w:p w14:paraId="024CE6BE"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（七）具有资质的第三方机构出具的产品创新性查询报告（申请年度）和企业财务审计报告（上一年度）；</w:t>
      </w:r>
    </w:p>
    <w:p w14:paraId="5B3CC164"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（八）三年内（自申请截止日起前三年）获批的，符合基本条件（除发明专利授予时间要求外）的1类创新药以及经国家和本市创新医疗器械特别审查程序获批的创新医疗器械，应当提供相应证明材料；</w:t>
      </w:r>
    </w:p>
    <w:p w14:paraId="44D40647"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（九）其他有关材料，包括具有资质的第三方检测认证机构出具的检验报告或者相关证书等、行业协会或者行业专家推荐意见、区级相关部门的推荐意见</w:t>
      </w:r>
      <w:r w:rsidRPr="005C385D">
        <w:rPr>
          <w:rFonts w:ascii="宋体" w:eastAsia="宋体" w:hAnsi="宋体" w:hint="eastAsia"/>
          <w:sz w:val="24"/>
        </w:rPr>
        <w:lastRenderedPageBreak/>
        <w:t>等；</w:t>
      </w:r>
    </w:p>
    <w:p w14:paraId="1501A052"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（十）所提供材料的真实性承诺书。</w:t>
      </w:r>
    </w:p>
    <w:p w14:paraId="7A702B0C"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四、申报程序</w:t>
      </w:r>
    </w:p>
    <w:p w14:paraId="3C307394"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一）申报单位需访问“上海市经济和信息化委员会官网”（https://www.sheitc.sh.gov.cn/）后，使用“法人一证通”数字证书登录，点击“办事大厅-专项资金”进行在线填报，按要求上传相关电子文档并加盖电子签章。（操作说明详见附件1、2）</w:t>
      </w:r>
    </w:p>
    <w:p w14:paraId="29CED74C"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    （二）网上申报时间10月11日10:00-11月11日24:00，过时不予受理。（以系统显示时间为准。临近截止时间系统拥堵，建议尽早提交）。</w:t>
      </w:r>
    </w:p>
    <w:p w14:paraId="7F2652FA"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    （三）在线提交的电子材料须为PDF格式，单个文件不超过5M，可提交多个文件。</w:t>
      </w:r>
    </w:p>
    <w:p w14:paraId="7C4A2EE3"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五、联系方式</w:t>
      </w:r>
    </w:p>
    <w:p w14:paraId="44F5B439"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    材料申报：</w:t>
      </w:r>
    </w:p>
    <w:p w14:paraId="210FCEFE"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    上海市经济和信息化发展研究中心：</w:t>
      </w:r>
    </w:p>
    <w:p w14:paraId="7684A968"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张治平18121388283      </w:t>
      </w:r>
    </w:p>
    <w:p w14:paraId="5A63F164"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网上填报技术支持：60801111-2-1</w:t>
      </w:r>
    </w:p>
    <w:p w14:paraId="473077D9"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政策咨询：</w:t>
      </w:r>
    </w:p>
    <w:p w14:paraId="2972969A"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市经济信息化委员会：于伟翔23117642（综合）、周乃文23117651（集成电路）、俞晨昊23112787（人工智能）、杜陈惠23112645（生物医药）、虞启亮23170719（电子信息）、朱海23112700（绿色低碳）、华宇涵23112657（软件和信息服务）、张世亨23117638（高端装备）、程泉60801182（高端装备）、金叶23112655（先进材料）、金智献23117641（未来产业）。</w:t>
      </w:r>
    </w:p>
    <w:p w14:paraId="2C085276"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 </w:t>
      </w:r>
    </w:p>
    <w:p w14:paraId="56503B67"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附件：1.市经济信息化委“一网通办”专项资金企业用户服务操作说明</w:t>
      </w:r>
    </w:p>
    <w:p w14:paraId="5F03C3A5"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lastRenderedPageBreak/>
        <w:t>2.关于关联“法人一证通”及加盖电子印章的事项说明</w:t>
      </w:r>
    </w:p>
    <w:p w14:paraId="2E7579FE"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 </w:t>
      </w:r>
    </w:p>
    <w:p w14:paraId="6BD5D213"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 </w:t>
      </w:r>
    </w:p>
    <w:p w14:paraId="04E903B7"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 </w:t>
      </w:r>
    </w:p>
    <w:p w14:paraId="7A402AAA"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上海市经济和信息化委员会</w:t>
      </w:r>
    </w:p>
    <w:p w14:paraId="0AB1BBE4"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                                      2024年9月29日</w:t>
      </w:r>
    </w:p>
    <w:p w14:paraId="5F81BE51" w14:textId="77777777" w:rsidR="005C385D" w:rsidRPr="005C385D" w:rsidRDefault="005C385D" w:rsidP="005C385D">
      <w:pPr>
        <w:spacing w:line="360" w:lineRule="auto"/>
        <w:rPr>
          <w:rFonts w:ascii="宋体" w:eastAsia="宋体" w:hAnsi="宋体"/>
          <w:sz w:val="24"/>
        </w:rPr>
      </w:pPr>
      <w:hyperlink r:id="rId4" w:tooltip="附件：技 679 附件.doc" w:history="1">
        <w:r w:rsidRPr="005C385D">
          <w:rPr>
            <w:rStyle w:val="ae"/>
            <w:rFonts w:ascii="宋体" w:eastAsia="宋体" w:hAnsi="宋体" w:hint="eastAsia"/>
            <w:sz w:val="24"/>
          </w:rPr>
          <w:t>附件：技 679 附件.doc</w:t>
        </w:r>
      </w:hyperlink>
    </w:p>
    <w:p w14:paraId="62804C56"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附件1</w:t>
      </w:r>
    </w:p>
    <w:p w14:paraId="6EFD690A" w14:textId="77777777" w:rsidR="005C385D" w:rsidRPr="005C385D" w:rsidRDefault="005C385D" w:rsidP="005C385D">
      <w:pPr>
        <w:spacing w:line="360" w:lineRule="auto"/>
        <w:rPr>
          <w:rFonts w:ascii="宋体" w:eastAsia="宋体" w:hAnsi="宋体" w:hint="eastAsia"/>
          <w:sz w:val="24"/>
        </w:rPr>
      </w:pPr>
      <w:bookmarkStart w:id="0" w:name="_Hlk26437411"/>
      <w:bookmarkEnd w:id="0"/>
      <w:r w:rsidRPr="005C385D">
        <w:rPr>
          <w:rFonts w:ascii="宋体" w:eastAsia="宋体" w:hAnsi="宋体"/>
          <w:sz w:val="24"/>
        </w:rPr>
        <w:t>市经济信息化委“一网通办”专项资金</w:t>
      </w:r>
    </w:p>
    <w:p w14:paraId="0AB390C2" w14:textId="77777777" w:rsidR="005C385D" w:rsidRPr="005C385D" w:rsidRDefault="005C385D" w:rsidP="005C385D">
      <w:pPr>
        <w:spacing w:line="360" w:lineRule="auto"/>
        <w:rPr>
          <w:rFonts w:ascii="宋体" w:eastAsia="宋体" w:hAnsi="宋体"/>
          <w:sz w:val="24"/>
        </w:rPr>
      </w:pPr>
      <w:r w:rsidRPr="005C385D">
        <w:rPr>
          <w:rFonts w:ascii="宋体" w:eastAsia="宋体" w:hAnsi="宋体"/>
          <w:sz w:val="24"/>
        </w:rPr>
        <w:t>企业用户服务操作说明</w:t>
      </w:r>
    </w:p>
    <w:p w14:paraId="25C51A26" w14:textId="77777777" w:rsidR="005C385D" w:rsidRPr="005C385D" w:rsidRDefault="005C385D" w:rsidP="005C385D">
      <w:pPr>
        <w:spacing w:line="360" w:lineRule="auto"/>
        <w:rPr>
          <w:rFonts w:ascii="宋体" w:eastAsia="宋体" w:hAnsi="宋体"/>
          <w:sz w:val="24"/>
        </w:rPr>
      </w:pPr>
      <w:r w:rsidRPr="005C385D">
        <w:rPr>
          <w:rFonts w:ascii="宋体" w:eastAsia="宋体" w:hAnsi="宋体"/>
          <w:sz w:val="24"/>
        </w:rPr>
        <w:t xml:space="preserve"> </w:t>
      </w:r>
    </w:p>
    <w:p w14:paraId="1588FC13"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1、访问http://</w:t>
      </w:r>
      <w:r w:rsidRPr="005C385D">
        <w:rPr>
          <w:rFonts w:ascii="宋体" w:eastAsia="宋体" w:hAnsi="宋体" w:hint="eastAsia"/>
          <w:b/>
          <w:sz w:val="24"/>
        </w:rPr>
        <w:t>www.sheitc.sh.gov.cn</w:t>
      </w:r>
      <w:r w:rsidRPr="005C385D">
        <w:rPr>
          <w:rFonts w:ascii="宋体" w:eastAsia="宋体" w:hAnsi="宋体" w:hint="eastAsia"/>
          <w:sz w:val="24"/>
        </w:rPr>
        <w:t>，点击“办事大厅-专项资金”,如下图所示。</w:t>
      </w:r>
    </w:p>
    <w:p w14:paraId="433B1754" w14:textId="1E56170E" w:rsidR="005C385D" w:rsidRPr="005C385D" w:rsidRDefault="005C385D" w:rsidP="005C385D">
      <w:pPr>
        <w:spacing w:line="360" w:lineRule="auto"/>
        <w:rPr>
          <w:rFonts w:ascii="宋体" w:eastAsia="宋体" w:hAnsi="宋体" w:hint="eastAsia"/>
          <w:sz w:val="24"/>
        </w:rPr>
      </w:pPr>
      <w:r w:rsidRPr="005C385D">
        <w:rPr>
          <w:rFonts w:ascii="宋体" w:eastAsia="宋体" w:hAnsi="宋体"/>
          <w:sz w:val="24"/>
        </w:rPr>
        <w:drawing>
          <wp:inline distT="0" distB="0" distL="0" distR="0" wp14:anchorId="24F4E0BF" wp14:editId="66E29AB6">
            <wp:extent cx="4676775" cy="2971800"/>
            <wp:effectExtent l="0" t="0" r="9525" b="0"/>
            <wp:docPr id="14275235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76775" cy="2971800"/>
                    </a:xfrm>
                    <a:prstGeom prst="rect">
                      <a:avLst/>
                    </a:prstGeom>
                    <a:noFill/>
                    <a:ln>
                      <a:noFill/>
                    </a:ln>
                  </pic:spPr>
                </pic:pic>
              </a:graphicData>
            </a:graphic>
          </wp:inline>
        </w:drawing>
      </w:r>
      <w:r w:rsidRPr="005C385D">
        <w:rPr>
          <w:rFonts w:ascii="宋体" w:eastAsia="宋体" w:hAnsi="宋体" w:hint="eastAsia"/>
          <w:sz w:val="24"/>
        </w:rPr>
        <w:t xml:space="preserve"> </w:t>
      </w:r>
    </w:p>
    <w:p w14:paraId="4CFAD4B8"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lastRenderedPageBreak/>
        <w:t>2、点击“企业用户”或“用户登录”，如下图所示。</w:t>
      </w:r>
    </w:p>
    <w:p w14:paraId="4DBF8390" w14:textId="2952A332" w:rsidR="005C385D" w:rsidRPr="005C385D" w:rsidRDefault="005C385D" w:rsidP="005C385D">
      <w:pPr>
        <w:spacing w:line="360" w:lineRule="auto"/>
        <w:rPr>
          <w:rFonts w:ascii="宋体" w:eastAsia="宋体" w:hAnsi="宋体" w:hint="eastAsia"/>
          <w:sz w:val="24"/>
        </w:rPr>
      </w:pPr>
      <w:r w:rsidRPr="005C385D">
        <w:rPr>
          <w:rFonts w:ascii="宋体" w:eastAsia="宋体" w:hAnsi="宋体"/>
          <w:sz w:val="24"/>
        </w:rPr>
        <w:drawing>
          <wp:inline distT="0" distB="0" distL="0" distR="0" wp14:anchorId="615EB34F" wp14:editId="3082E9DD">
            <wp:extent cx="4857750" cy="2371725"/>
            <wp:effectExtent l="0" t="0" r="0" b="9525"/>
            <wp:docPr id="7463813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57750" cy="2371725"/>
                    </a:xfrm>
                    <a:prstGeom prst="rect">
                      <a:avLst/>
                    </a:prstGeom>
                    <a:noFill/>
                    <a:ln>
                      <a:noFill/>
                    </a:ln>
                  </pic:spPr>
                </pic:pic>
              </a:graphicData>
            </a:graphic>
          </wp:inline>
        </w:drawing>
      </w:r>
      <w:r w:rsidRPr="005C385D">
        <w:rPr>
          <w:rFonts w:ascii="宋体" w:eastAsia="宋体" w:hAnsi="宋体" w:hint="eastAsia"/>
          <w:sz w:val="24"/>
        </w:rPr>
        <w:t xml:space="preserve"> </w:t>
      </w:r>
    </w:p>
    <w:p w14:paraId="47271AA8"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3、选择“法人用户登录”页签，点击“登录”，如下图所示。</w:t>
      </w:r>
    </w:p>
    <w:p w14:paraId="423675B9" w14:textId="6DDEC549" w:rsidR="005C385D" w:rsidRPr="005C385D" w:rsidRDefault="005C385D" w:rsidP="005C385D">
      <w:pPr>
        <w:spacing w:line="360" w:lineRule="auto"/>
        <w:rPr>
          <w:rFonts w:ascii="宋体" w:eastAsia="宋体" w:hAnsi="宋体" w:hint="eastAsia"/>
          <w:sz w:val="24"/>
        </w:rPr>
      </w:pPr>
      <w:r w:rsidRPr="005C385D">
        <w:rPr>
          <w:rFonts w:ascii="宋体" w:eastAsia="宋体" w:hAnsi="宋体"/>
          <w:sz w:val="24"/>
        </w:rPr>
        <w:drawing>
          <wp:inline distT="0" distB="0" distL="0" distR="0" wp14:anchorId="0911D92F" wp14:editId="077D52D1">
            <wp:extent cx="5238750" cy="2924175"/>
            <wp:effectExtent l="0" t="0" r="0" b="9525"/>
            <wp:docPr id="13235536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2924175"/>
                    </a:xfrm>
                    <a:prstGeom prst="rect">
                      <a:avLst/>
                    </a:prstGeom>
                    <a:noFill/>
                    <a:ln>
                      <a:noFill/>
                    </a:ln>
                  </pic:spPr>
                </pic:pic>
              </a:graphicData>
            </a:graphic>
          </wp:inline>
        </w:drawing>
      </w:r>
      <w:r w:rsidRPr="005C385D">
        <w:rPr>
          <w:rFonts w:ascii="宋体" w:eastAsia="宋体" w:hAnsi="宋体" w:hint="eastAsia"/>
          <w:sz w:val="24"/>
        </w:rPr>
        <w:t xml:space="preserve"> </w:t>
      </w:r>
    </w:p>
    <w:p w14:paraId="3E4F1A1E"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注：请确认“法人一证通”数学证书已连接电脑且运行正常。如遇问题请咨询“法人一证通”客服电话:021-962600。</w:t>
      </w:r>
    </w:p>
    <w:p w14:paraId="7BA9B78D"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4、输入“法人一证通”数字证书密码，完成登录，点击“企业用户”，如下图所示。</w:t>
      </w:r>
    </w:p>
    <w:p w14:paraId="38F3A771" w14:textId="706D588B" w:rsidR="005C385D" w:rsidRPr="005C385D" w:rsidRDefault="005C385D" w:rsidP="005C385D">
      <w:pPr>
        <w:spacing w:line="360" w:lineRule="auto"/>
        <w:rPr>
          <w:rFonts w:ascii="宋体" w:eastAsia="宋体" w:hAnsi="宋体" w:hint="eastAsia"/>
          <w:sz w:val="24"/>
        </w:rPr>
      </w:pPr>
      <w:r w:rsidRPr="005C385D">
        <w:rPr>
          <w:rFonts w:ascii="宋体" w:eastAsia="宋体" w:hAnsi="宋体"/>
          <w:sz w:val="24"/>
        </w:rPr>
        <w:lastRenderedPageBreak/>
        <w:drawing>
          <wp:inline distT="0" distB="0" distL="0" distR="0" wp14:anchorId="0CC5A0BE" wp14:editId="759857CD">
            <wp:extent cx="4924425" cy="2819400"/>
            <wp:effectExtent l="0" t="0" r="9525" b="0"/>
            <wp:docPr id="6098907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4425" cy="2819400"/>
                    </a:xfrm>
                    <a:prstGeom prst="rect">
                      <a:avLst/>
                    </a:prstGeom>
                    <a:noFill/>
                    <a:ln>
                      <a:noFill/>
                    </a:ln>
                  </pic:spPr>
                </pic:pic>
              </a:graphicData>
            </a:graphic>
          </wp:inline>
        </w:drawing>
      </w:r>
      <w:r w:rsidRPr="005C385D">
        <w:rPr>
          <w:rFonts w:ascii="宋体" w:eastAsia="宋体" w:hAnsi="宋体" w:hint="eastAsia"/>
          <w:sz w:val="24"/>
        </w:rPr>
        <w:t xml:space="preserve"> </w:t>
      </w:r>
    </w:p>
    <w:p w14:paraId="766B6068"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5、企业进入专项资金平台进行相关业务操作，如下图所示。</w:t>
      </w:r>
    </w:p>
    <w:p w14:paraId="105E6521" w14:textId="06C8C6EE" w:rsidR="005C385D" w:rsidRPr="005C385D" w:rsidRDefault="005C385D" w:rsidP="005C385D">
      <w:pPr>
        <w:spacing w:line="360" w:lineRule="auto"/>
        <w:rPr>
          <w:rFonts w:ascii="宋体" w:eastAsia="宋体" w:hAnsi="宋体" w:hint="eastAsia"/>
          <w:sz w:val="24"/>
        </w:rPr>
      </w:pPr>
      <w:r w:rsidRPr="005C385D">
        <w:rPr>
          <w:rFonts w:ascii="宋体" w:eastAsia="宋体" w:hAnsi="宋体"/>
          <w:sz w:val="24"/>
        </w:rPr>
        <w:drawing>
          <wp:inline distT="0" distB="0" distL="0" distR="0" wp14:anchorId="14B44323" wp14:editId="4BEE0F2B">
            <wp:extent cx="5274310" cy="2294255"/>
            <wp:effectExtent l="0" t="0" r="2540" b="0"/>
            <wp:docPr id="7058295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294255"/>
                    </a:xfrm>
                    <a:prstGeom prst="rect">
                      <a:avLst/>
                    </a:prstGeom>
                    <a:noFill/>
                    <a:ln>
                      <a:noFill/>
                    </a:ln>
                  </pic:spPr>
                </pic:pic>
              </a:graphicData>
            </a:graphic>
          </wp:inline>
        </w:drawing>
      </w:r>
      <w:r w:rsidRPr="005C385D">
        <w:rPr>
          <w:rFonts w:ascii="宋体" w:eastAsia="宋体" w:hAnsi="宋体" w:hint="eastAsia"/>
          <w:sz w:val="24"/>
        </w:rPr>
        <w:t xml:space="preserve"> </w:t>
      </w:r>
    </w:p>
    <w:p w14:paraId="105A5378"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6、企业“单位名称”变更</w:t>
      </w:r>
    </w:p>
    <w:p w14:paraId="7440EA13"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如企业“单位名称”发生变更，请及时更新“法人一证通”数字证书中的信息，专项资金平台系统会在每次企业登录时同步更新。请务必确保在项目填写编辑时，“法人一证通”数字证书中的单位基本信息正确，项目上报成功后，单位名称将无法修改。</w:t>
      </w:r>
    </w:p>
    <w:p w14:paraId="7960BFAD"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7、企业“忘记用户名和密码”</w:t>
      </w:r>
    </w:p>
    <w:p w14:paraId="0FA65BE4"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企业用户服务接入委“一网通办”后，使用“法人一证通”数字证书登录，数学证书忘记密码请联系“法人一证通”客户服务（021-962600）咨询解决。</w:t>
      </w:r>
    </w:p>
    <w:p w14:paraId="7C200008"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lastRenderedPageBreak/>
        <w:t xml:space="preserve"> </w:t>
      </w:r>
    </w:p>
    <w:p w14:paraId="72AE3AAC"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sz w:val="24"/>
        </w:rPr>
        <w:t xml:space="preserve"> </w:t>
      </w:r>
    </w:p>
    <w:p w14:paraId="210DDDC9"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 xml:space="preserve"> </w:t>
      </w:r>
    </w:p>
    <w:p w14:paraId="2C0220E4"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 xml:space="preserve"> </w:t>
      </w:r>
    </w:p>
    <w:p w14:paraId="68B49F7F"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附件2</w:t>
      </w:r>
    </w:p>
    <w:p w14:paraId="7457AEB7"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sz w:val="24"/>
        </w:rPr>
        <w:t>关于关联“法人一证通”及加盖电子印章的事项说明</w:t>
      </w:r>
    </w:p>
    <w:p w14:paraId="62D68BAE" w14:textId="77777777" w:rsidR="005C385D" w:rsidRPr="005C385D" w:rsidRDefault="005C385D" w:rsidP="005C385D">
      <w:pPr>
        <w:spacing w:line="360" w:lineRule="auto"/>
        <w:rPr>
          <w:rFonts w:ascii="宋体" w:eastAsia="宋体" w:hAnsi="宋体"/>
          <w:sz w:val="24"/>
        </w:rPr>
      </w:pPr>
      <w:r w:rsidRPr="005C385D">
        <w:rPr>
          <w:rFonts w:ascii="宋体" w:eastAsia="宋体" w:hAnsi="宋体"/>
          <w:sz w:val="24"/>
        </w:rPr>
        <w:t xml:space="preserve"> </w:t>
      </w:r>
    </w:p>
    <w:p w14:paraId="5BB96CF3"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1、企业在项目申报时，提交的项目申报书及附件均需加盖“法人一证通”数字证书中的电子印章。加盖完成后项目申报成功，未加盖的项目视为申报不成功。（每一个上传的附件均需加盖“法人一证通”中的电子印章，一个电子文件只需加盖一个电子印章）</w:t>
      </w:r>
    </w:p>
    <w:p w14:paraId="73957ED7"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2、如企业无“法人一证通”数字证书或“法人一证通”数学证书内无电子印章的，可前往法人一证通服务网点办理。“法人一证通”客服热线：021-962600，网址：</w:t>
      </w:r>
      <w:hyperlink r:id="rId10" w:history="1">
        <w:r w:rsidRPr="005C385D">
          <w:rPr>
            <w:rStyle w:val="ae"/>
            <w:rFonts w:ascii="宋体" w:eastAsia="宋体" w:hAnsi="宋体" w:hint="eastAsia"/>
            <w:sz w:val="24"/>
          </w:rPr>
          <w:t>https://www.962600.com</w:t>
        </w:r>
      </w:hyperlink>
    </w:p>
    <w:p w14:paraId="492FF2C5"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去往网点办理时需携带如下材料：</w:t>
      </w:r>
    </w:p>
    <w:p w14:paraId="4F81425D"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（1）企业的营业执照原件和复印件</w:t>
      </w:r>
    </w:p>
    <w:p w14:paraId="2CDBB89C"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（2）经办人的身份证原件和复印件</w:t>
      </w:r>
    </w:p>
    <w:p w14:paraId="044615D0"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（3）申请表（https://www.962600.com下载）</w:t>
      </w:r>
    </w:p>
    <w:p w14:paraId="0FBF7793"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（4）法人代表的身份证复印件</w:t>
      </w:r>
    </w:p>
    <w:p w14:paraId="3F5AFFEB"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所有提交的材料都需要加盖公章。</w:t>
      </w:r>
    </w:p>
    <w:p w14:paraId="2118B915"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sz w:val="24"/>
        </w:rPr>
        <w:t xml:space="preserve"> </w:t>
      </w:r>
    </w:p>
    <w:p w14:paraId="4C8124E2"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t xml:space="preserve"> </w:t>
      </w:r>
    </w:p>
    <w:p w14:paraId="1170CC2B"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sz w:val="24"/>
        </w:rPr>
        <w:t xml:space="preserve"> </w:t>
      </w:r>
    </w:p>
    <w:p w14:paraId="2F554DD6" w14:textId="77777777" w:rsidR="005C385D" w:rsidRPr="005C385D" w:rsidRDefault="005C385D" w:rsidP="005C385D">
      <w:pPr>
        <w:spacing w:line="360" w:lineRule="auto"/>
        <w:rPr>
          <w:rFonts w:ascii="宋体" w:eastAsia="宋体" w:hAnsi="宋体"/>
          <w:sz w:val="24"/>
        </w:rPr>
      </w:pPr>
      <w:r w:rsidRPr="005C385D">
        <w:rPr>
          <w:rFonts w:ascii="宋体" w:eastAsia="宋体" w:hAnsi="宋体" w:hint="eastAsia"/>
          <w:sz w:val="24"/>
        </w:rPr>
        <w:lastRenderedPageBreak/>
        <w:t xml:space="preserve"> </w:t>
      </w:r>
    </w:p>
    <w:p w14:paraId="7697D7C4"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 xml:space="preserve"> </w:t>
      </w:r>
    </w:p>
    <w:p w14:paraId="3A3D6FEB"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 xml:space="preserve"> </w:t>
      </w:r>
    </w:p>
    <w:p w14:paraId="61FB4BA2"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 xml:space="preserve"> </w:t>
      </w:r>
    </w:p>
    <w:p w14:paraId="009167B6"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 xml:space="preserve"> </w:t>
      </w:r>
    </w:p>
    <w:p w14:paraId="65446D22"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 xml:space="preserve"> </w:t>
      </w:r>
    </w:p>
    <w:tbl>
      <w:tblPr>
        <w:tblW w:w="0" w:type="auto"/>
        <w:tblInd w:w="136" w:type="dxa"/>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240"/>
        <w:gridCol w:w="3951"/>
        <w:gridCol w:w="3653"/>
      </w:tblGrid>
      <w:tr w:rsidR="005C385D" w:rsidRPr="005C385D" w14:paraId="421575E6" w14:textId="77777777" w:rsidTr="005C385D">
        <w:tc>
          <w:tcPr>
            <w:tcW w:w="1240" w:type="dxa"/>
            <w:tcBorders>
              <w:top w:val="single" w:sz="8" w:space="0" w:color="auto"/>
              <w:left w:val="nil"/>
              <w:bottom w:val="single" w:sz="6" w:space="0" w:color="auto"/>
              <w:right w:val="nil"/>
            </w:tcBorders>
            <w:tcMar>
              <w:top w:w="0" w:type="dxa"/>
              <w:left w:w="108" w:type="dxa"/>
              <w:bottom w:w="0" w:type="dxa"/>
              <w:right w:w="0" w:type="dxa"/>
            </w:tcMar>
            <w:hideMark/>
          </w:tcPr>
          <w:p w14:paraId="0D1B9E27"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抄送：</w:t>
            </w:r>
          </w:p>
        </w:tc>
        <w:tc>
          <w:tcPr>
            <w:tcW w:w="7604" w:type="dxa"/>
            <w:gridSpan w:val="2"/>
            <w:tcBorders>
              <w:top w:val="single" w:sz="8" w:space="0" w:color="auto"/>
              <w:left w:val="nil"/>
              <w:bottom w:val="single" w:sz="6" w:space="0" w:color="auto"/>
              <w:right w:val="nil"/>
            </w:tcBorders>
            <w:tcMar>
              <w:top w:w="0" w:type="dxa"/>
              <w:left w:w="0" w:type="dxa"/>
              <w:bottom w:w="0" w:type="dxa"/>
              <w:right w:w="108" w:type="dxa"/>
            </w:tcMar>
            <w:hideMark/>
          </w:tcPr>
          <w:p w14:paraId="778EF337"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市科委。</w:t>
            </w:r>
          </w:p>
        </w:tc>
      </w:tr>
      <w:tr w:rsidR="005C385D" w:rsidRPr="005C385D" w14:paraId="37D90E0C" w14:textId="77777777" w:rsidTr="005C385D">
        <w:tc>
          <w:tcPr>
            <w:tcW w:w="5191" w:type="dxa"/>
            <w:gridSpan w:val="2"/>
            <w:tcBorders>
              <w:top w:val="single" w:sz="6" w:space="0" w:color="auto"/>
              <w:left w:val="nil"/>
              <w:bottom w:val="single" w:sz="8" w:space="0" w:color="auto"/>
              <w:right w:val="nil"/>
            </w:tcBorders>
            <w:vAlign w:val="center"/>
            <w:hideMark/>
          </w:tcPr>
          <w:p w14:paraId="4C58C834"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上海市经济和信息化委员会办公室</w:t>
            </w:r>
          </w:p>
        </w:tc>
        <w:tc>
          <w:tcPr>
            <w:tcW w:w="3653" w:type="dxa"/>
            <w:tcBorders>
              <w:top w:val="single" w:sz="6" w:space="0" w:color="auto"/>
              <w:left w:val="nil"/>
              <w:bottom w:val="single" w:sz="8" w:space="0" w:color="auto"/>
              <w:right w:val="nil"/>
            </w:tcBorders>
            <w:vAlign w:val="center"/>
            <w:hideMark/>
          </w:tcPr>
          <w:p w14:paraId="05054FF5"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2024年9月29日印发</w:t>
            </w:r>
          </w:p>
        </w:tc>
      </w:tr>
      <w:tr w:rsidR="005C385D" w:rsidRPr="005C385D" w14:paraId="32E48F1B" w14:textId="77777777" w:rsidTr="005C385D">
        <w:trPr>
          <w:trHeight w:val="79"/>
        </w:trPr>
        <w:tc>
          <w:tcPr>
            <w:tcW w:w="5191" w:type="dxa"/>
            <w:gridSpan w:val="2"/>
            <w:tcBorders>
              <w:top w:val="single" w:sz="8" w:space="0" w:color="auto"/>
              <w:left w:val="nil"/>
              <w:bottom w:val="nil"/>
              <w:right w:val="nil"/>
            </w:tcBorders>
          </w:tcPr>
          <w:p w14:paraId="1CFCA400" w14:textId="77777777" w:rsidR="005C385D" w:rsidRPr="005C385D" w:rsidRDefault="005C385D" w:rsidP="005C385D">
            <w:pPr>
              <w:spacing w:line="360" w:lineRule="auto"/>
              <w:rPr>
                <w:rFonts w:ascii="宋体" w:eastAsia="宋体" w:hAnsi="宋体" w:hint="eastAsia"/>
                <w:sz w:val="24"/>
              </w:rPr>
            </w:pPr>
          </w:p>
        </w:tc>
        <w:tc>
          <w:tcPr>
            <w:tcW w:w="3653" w:type="dxa"/>
            <w:tcBorders>
              <w:top w:val="single" w:sz="8" w:space="0" w:color="auto"/>
              <w:left w:val="nil"/>
              <w:bottom w:val="nil"/>
              <w:right w:val="nil"/>
            </w:tcBorders>
          </w:tcPr>
          <w:p w14:paraId="232C4BF9" w14:textId="77777777" w:rsidR="005C385D" w:rsidRPr="005C385D" w:rsidRDefault="005C385D" w:rsidP="005C385D">
            <w:pPr>
              <w:spacing w:line="360" w:lineRule="auto"/>
              <w:rPr>
                <w:rFonts w:ascii="宋体" w:eastAsia="宋体" w:hAnsi="宋体" w:hint="eastAsia"/>
                <w:sz w:val="24"/>
              </w:rPr>
            </w:pPr>
          </w:p>
          <w:p w14:paraId="756B5D3B" w14:textId="77777777" w:rsidR="005C385D" w:rsidRPr="005C385D" w:rsidRDefault="005C385D" w:rsidP="005C385D">
            <w:pPr>
              <w:spacing w:line="360" w:lineRule="auto"/>
              <w:rPr>
                <w:rFonts w:ascii="宋体" w:eastAsia="宋体" w:hAnsi="宋体" w:hint="eastAsia"/>
                <w:sz w:val="24"/>
              </w:rPr>
            </w:pPr>
          </w:p>
        </w:tc>
      </w:tr>
    </w:tbl>
    <w:p w14:paraId="0552BD3A" w14:textId="77777777" w:rsidR="005C385D" w:rsidRPr="005C385D" w:rsidRDefault="005C385D" w:rsidP="005C385D">
      <w:pPr>
        <w:spacing w:line="360" w:lineRule="auto"/>
        <w:rPr>
          <w:rFonts w:ascii="宋体" w:eastAsia="宋体" w:hAnsi="宋体" w:hint="eastAsia"/>
          <w:sz w:val="24"/>
        </w:rPr>
      </w:pPr>
      <w:r w:rsidRPr="005C385D">
        <w:rPr>
          <w:rFonts w:ascii="宋体" w:eastAsia="宋体" w:hAnsi="宋体" w:hint="eastAsia"/>
          <w:sz w:val="24"/>
        </w:rPr>
        <w:t xml:space="preserve"> </w:t>
      </w:r>
    </w:p>
    <w:p w14:paraId="7DD6AD62" w14:textId="77777777" w:rsidR="005C385D" w:rsidRPr="005C385D" w:rsidRDefault="005C385D" w:rsidP="005C385D">
      <w:pPr>
        <w:spacing w:line="360" w:lineRule="auto"/>
        <w:rPr>
          <w:rFonts w:ascii="宋体" w:eastAsia="宋体" w:hAnsi="宋体"/>
          <w:sz w:val="24"/>
        </w:rPr>
      </w:pPr>
    </w:p>
    <w:sectPr w:rsidR="005C385D" w:rsidRPr="005C38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85D"/>
    <w:rsid w:val="0047599F"/>
    <w:rsid w:val="005C385D"/>
    <w:rsid w:val="00866E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A25F7"/>
  <w15:chartTrackingRefBased/>
  <w15:docId w15:val="{AC8A59DC-2EC6-4AC8-A40E-472AC1DF2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385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C385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C385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C385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C385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C385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C385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385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385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385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C385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C385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C385D"/>
    <w:rPr>
      <w:rFonts w:cstheme="majorBidi"/>
      <w:color w:val="2F5496" w:themeColor="accent1" w:themeShade="BF"/>
      <w:sz w:val="28"/>
      <w:szCs w:val="28"/>
    </w:rPr>
  </w:style>
  <w:style w:type="character" w:customStyle="1" w:styleId="50">
    <w:name w:val="标题 5 字符"/>
    <w:basedOn w:val="a0"/>
    <w:link w:val="5"/>
    <w:uiPriority w:val="9"/>
    <w:semiHidden/>
    <w:rsid w:val="005C385D"/>
    <w:rPr>
      <w:rFonts w:cstheme="majorBidi"/>
      <w:color w:val="2F5496" w:themeColor="accent1" w:themeShade="BF"/>
      <w:sz w:val="24"/>
    </w:rPr>
  </w:style>
  <w:style w:type="character" w:customStyle="1" w:styleId="60">
    <w:name w:val="标题 6 字符"/>
    <w:basedOn w:val="a0"/>
    <w:link w:val="6"/>
    <w:uiPriority w:val="9"/>
    <w:semiHidden/>
    <w:rsid w:val="005C385D"/>
    <w:rPr>
      <w:rFonts w:cstheme="majorBidi"/>
      <w:b/>
      <w:bCs/>
      <w:color w:val="2F5496" w:themeColor="accent1" w:themeShade="BF"/>
    </w:rPr>
  </w:style>
  <w:style w:type="character" w:customStyle="1" w:styleId="70">
    <w:name w:val="标题 7 字符"/>
    <w:basedOn w:val="a0"/>
    <w:link w:val="7"/>
    <w:uiPriority w:val="9"/>
    <w:semiHidden/>
    <w:rsid w:val="005C385D"/>
    <w:rPr>
      <w:rFonts w:cstheme="majorBidi"/>
      <w:b/>
      <w:bCs/>
      <w:color w:val="595959" w:themeColor="text1" w:themeTint="A6"/>
    </w:rPr>
  </w:style>
  <w:style w:type="character" w:customStyle="1" w:styleId="80">
    <w:name w:val="标题 8 字符"/>
    <w:basedOn w:val="a0"/>
    <w:link w:val="8"/>
    <w:uiPriority w:val="9"/>
    <w:semiHidden/>
    <w:rsid w:val="005C385D"/>
    <w:rPr>
      <w:rFonts w:cstheme="majorBidi"/>
      <w:color w:val="595959" w:themeColor="text1" w:themeTint="A6"/>
    </w:rPr>
  </w:style>
  <w:style w:type="character" w:customStyle="1" w:styleId="90">
    <w:name w:val="标题 9 字符"/>
    <w:basedOn w:val="a0"/>
    <w:link w:val="9"/>
    <w:uiPriority w:val="9"/>
    <w:semiHidden/>
    <w:rsid w:val="005C385D"/>
    <w:rPr>
      <w:rFonts w:eastAsiaTheme="majorEastAsia" w:cstheme="majorBidi"/>
      <w:color w:val="595959" w:themeColor="text1" w:themeTint="A6"/>
    </w:rPr>
  </w:style>
  <w:style w:type="paragraph" w:styleId="a3">
    <w:name w:val="Title"/>
    <w:basedOn w:val="a"/>
    <w:next w:val="a"/>
    <w:link w:val="a4"/>
    <w:uiPriority w:val="10"/>
    <w:qFormat/>
    <w:rsid w:val="005C38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3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38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38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385D"/>
    <w:pPr>
      <w:spacing w:before="160"/>
      <w:jc w:val="center"/>
    </w:pPr>
    <w:rPr>
      <w:i/>
      <w:iCs/>
      <w:color w:val="404040" w:themeColor="text1" w:themeTint="BF"/>
    </w:rPr>
  </w:style>
  <w:style w:type="character" w:customStyle="1" w:styleId="a8">
    <w:name w:val="引用 字符"/>
    <w:basedOn w:val="a0"/>
    <w:link w:val="a7"/>
    <w:uiPriority w:val="29"/>
    <w:rsid w:val="005C385D"/>
    <w:rPr>
      <w:i/>
      <w:iCs/>
      <w:color w:val="404040" w:themeColor="text1" w:themeTint="BF"/>
    </w:rPr>
  </w:style>
  <w:style w:type="paragraph" w:styleId="a9">
    <w:name w:val="List Paragraph"/>
    <w:basedOn w:val="a"/>
    <w:uiPriority w:val="34"/>
    <w:qFormat/>
    <w:rsid w:val="005C385D"/>
    <w:pPr>
      <w:ind w:left="720"/>
      <w:contextualSpacing/>
    </w:pPr>
  </w:style>
  <w:style w:type="character" w:styleId="aa">
    <w:name w:val="Intense Emphasis"/>
    <w:basedOn w:val="a0"/>
    <w:uiPriority w:val="21"/>
    <w:qFormat/>
    <w:rsid w:val="005C385D"/>
    <w:rPr>
      <w:i/>
      <w:iCs/>
      <w:color w:val="2F5496" w:themeColor="accent1" w:themeShade="BF"/>
    </w:rPr>
  </w:style>
  <w:style w:type="paragraph" w:styleId="ab">
    <w:name w:val="Intense Quote"/>
    <w:basedOn w:val="a"/>
    <w:next w:val="a"/>
    <w:link w:val="ac"/>
    <w:uiPriority w:val="30"/>
    <w:qFormat/>
    <w:rsid w:val="005C38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C385D"/>
    <w:rPr>
      <w:i/>
      <w:iCs/>
      <w:color w:val="2F5496" w:themeColor="accent1" w:themeShade="BF"/>
    </w:rPr>
  </w:style>
  <w:style w:type="character" w:styleId="ad">
    <w:name w:val="Intense Reference"/>
    <w:basedOn w:val="a0"/>
    <w:uiPriority w:val="32"/>
    <w:qFormat/>
    <w:rsid w:val="005C385D"/>
    <w:rPr>
      <w:b/>
      <w:bCs/>
      <w:smallCaps/>
      <w:color w:val="2F5496" w:themeColor="accent1" w:themeShade="BF"/>
      <w:spacing w:val="5"/>
    </w:rPr>
  </w:style>
  <w:style w:type="character" w:styleId="ae">
    <w:name w:val="Hyperlink"/>
    <w:basedOn w:val="a0"/>
    <w:uiPriority w:val="99"/>
    <w:unhideWhenUsed/>
    <w:rsid w:val="005C385D"/>
    <w:rPr>
      <w:color w:val="0563C1" w:themeColor="hyperlink"/>
      <w:u w:val="single"/>
    </w:rPr>
  </w:style>
  <w:style w:type="character" w:styleId="af">
    <w:name w:val="Unresolved Mention"/>
    <w:basedOn w:val="a0"/>
    <w:uiPriority w:val="99"/>
    <w:semiHidden/>
    <w:unhideWhenUsed/>
    <w:rsid w:val="005C38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648426">
      <w:bodyDiv w:val="1"/>
      <w:marLeft w:val="0"/>
      <w:marRight w:val="0"/>
      <w:marTop w:val="0"/>
      <w:marBottom w:val="0"/>
      <w:divBdr>
        <w:top w:val="none" w:sz="0" w:space="0" w:color="auto"/>
        <w:left w:val="none" w:sz="0" w:space="0" w:color="auto"/>
        <w:bottom w:val="none" w:sz="0" w:space="0" w:color="auto"/>
        <w:right w:val="none" w:sz="0" w:space="0" w:color="auto"/>
      </w:divBdr>
      <w:divsChild>
        <w:div w:id="1175455316">
          <w:marLeft w:val="0"/>
          <w:marRight w:val="0"/>
          <w:marTop w:val="0"/>
          <w:marBottom w:val="450"/>
          <w:divBdr>
            <w:top w:val="none" w:sz="0" w:space="0" w:color="auto"/>
            <w:left w:val="none" w:sz="0" w:space="0" w:color="auto"/>
            <w:bottom w:val="single" w:sz="6" w:space="0" w:color="E1E1E1"/>
            <w:right w:val="none" w:sz="0" w:space="0" w:color="auto"/>
          </w:divBdr>
          <w:divsChild>
            <w:div w:id="1155100715">
              <w:marLeft w:val="0"/>
              <w:marRight w:val="0"/>
              <w:marTop w:val="0"/>
              <w:marBottom w:val="0"/>
              <w:divBdr>
                <w:top w:val="none" w:sz="0" w:space="0" w:color="auto"/>
                <w:left w:val="none" w:sz="0" w:space="0" w:color="auto"/>
                <w:bottom w:val="none" w:sz="0" w:space="0" w:color="auto"/>
                <w:right w:val="none" w:sz="0" w:space="0" w:color="auto"/>
              </w:divBdr>
            </w:div>
            <w:div w:id="1199389718">
              <w:marLeft w:val="0"/>
              <w:marRight w:val="0"/>
              <w:marTop w:val="210"/>
              <w:marBottom w:val="0"/>
              <w:divBdr>
                <w:top w:val="none" w:sz="0" w:space="0" w:color="auto"/>
                <w:left w:val="none" w:sz="0" w:space="0" w:color="auto"/>
                <w:bottom w:val="none" w:sz="0" w:space="0" w:color="auto"/>
                <w:right w:val="none" w:sz="0" w:space="0" w:color="auto"/>
              </w:divBdr>
            </w:div>
            <w:div w:id="1023359909">
              <w:marLeft w:val="0"/>
              <w:marRight w:val="0"/>
              <w:marTop w:val="120"/>
              <w:marBottom w:val="210"/>
              <w:divBdr>
                <w:top w:val="none" w:sz="0" w:space="0" w:color="auto"/>
                <w:left w:val="none" w:sz="0" w:space="0" w:color="auto"/>
                <w:bottom w:val="none" w:sz="0" w:space="0" w:color="auto"/>
                <w:right w:val="none" w:sz="0" w:space="0" w:color="auto"/>
              </w:divBdr>
            </w:div>
          </w:divsChild>
        </w:div>
        <w:div w:id="1059354366">
          <w:marLeft w:val="0"/>
          <w:marRight w:val="0"/>
          <w:marTop w:val="0"/>
          <w:marBottom w:val="0"/>
          <w:divBdr>
            <w:top w:val="none" w:sz="0" w:space="0" w:color="auto"/>
            <w:left w:val="none" w:sz="0" w:space="0" w:color="auto"/>
            <w:bottom w:val="single" w:sz="6" w:space="0" w:color="E1E1E1"/>
            <w:right w:val="none" w:sz="0" w:space="0" w:color="auto"/>
          </w:divBdr>
        </w:div>
      </w:divsChild>
    </w:div>
    <w:div w:id="1395591306">
      <w:bodyDiv w:val="1"/>
      <w:marLeft w:val="0"/>
      <w:marRight w:val="0"/>
      <w:marTop w:val="0"/>
      <w:marBottom w:val="0"/>
      <w:divBdr>
        <w:top w:val="none" w:sz="0" w:space="0" w:color="auto"/>
        <w:left w:val="none" w:sz="0" w:space="0" w:color="auto"/>
        <w:bottom w:val="none" w:sz="0" w:space="0" w:color="auto"/>
        <w:right w:val="none" w:sz="0" w:space="0" w:color="auto"/>
      </w:divBdr>
    </w:div>
    <w:div w:id="1576166893">
      <w:bodyDiv w:val="1"/>
      <w:marLeft w:val="0"/>
      <w:marRight w:val="0"/>
      <w:marTop w:val="0"/>
      <w:marBottom w:val="0"/>
      <w:divBdr>
        <w:top w:val="none" w:sz="0" w:space="0" w:color="auto"/>
        <w:left w:val="none" w:sz="0" w:space="0" w:color="auto"/>
        <w:bottom w:val="none" w:sz="0" w:space="0" w:color="auto"/>
        <w:right w:val="none" w:sz="0" w:space="0" w:color="auto"/>
      </w:divBdr>
    </w:div>
    <w:div w:id="1851992007">
      <w:bodyDiv w:val="1"/>
      <w:marLeft w:val="0"/>
      <w:marRight w:val="0"/>
      <w:marTop w:val="0"/>
      <w:marBottom w:val="0"/>
      <w:divBdr>
        <w:top w:val="none" w:sz="0" w:space="0" w:color="auto"/>
        <w:left w:val="none" w:sz="0" w:space="0" w:color="auto"/>
        <w:bottom w:val="none" w:sz="0" w:space="0" w:color="auto"/>
        <w:right w:val="none" w:sz="0" w:space="0" w:color="auto"/>
      </w:divBdr>
      <w:divsChild>
        <w:div w:id="1157263063">
          <w:marLeft w:val="0"/>
          <w:marRight w:val="0"/>
          <w:marTop w:val="0"/>
          <w:marBottom w:val="450"/>
          <w:divBdr>
            <w:top w:val="none" w:sz="0" w:space="0" w:color="auto"/>
            <w:left w:val="none" w:sz="0" w:space="0" w:color="auto"/>
            <w:bottom w:val="single" w:sz="6" w:space="0" w:color="E1E1E1"/>
            <w:right w:val="none" w:sz="0" w:space="0" w:color="auto"/>
          </w:divBdr>
          <w:divsChild>
            <w:div w:id="1363869886">
              <w:marLeft w:val="0"/>
              <w:marRight w:val="0"/>
              <w:marTop w:val="0"/>
              <w:marBottom w:val="0"/>
              <w:divBdr>
                <w:top w:val="none" w:sz="0" w:space="0" w:color="auto"/>
                <w:left w:val="none" w:sz="0" w:space="0" w:color="auto"/>
                <w:bottom w:val="none" w:sz="0" w:space="0" w:color="auto"/>
                <w:right w:val="none" w:sz="0" w:space="0" w:color="auto"/>
              </w:divBdr>
            </w:div>
            <w:div w:id="329333980">
              <w:marLeft w:val="0"/>
              <w:marRight w:val="0"/>
              <w:marTop w:val="210"/>
              <w:marBottom w:val="0"/>
              <w:divBdr>
                <w:top w:val="none" w:sz="0" w:space="0" w:color="auto"/>
                <w:left w:val="none" w:sz="0" w:space="0" w:color="auto"/>
                <w:bottom w:val="none" w:sz="0" w:space="0" w:color="auto"/>
                <w:right w:val="none" w:sz="0" w:space="0" w:color="auto"/>
              </w:divBdr>
            </w:div>
            <w:div w:id="1636593930">
              <w:marLeft w:val="0"/>
              <w:marRight w:val="0"/>
              <w:marTop w:val="120"/>
              <w:marBottom w:val="210"/>
              <w:divBdr>
                <w:top w:val="none" w:sz="0" w:space="0" w:color="auto"/>
                <w:left w:val="none" w:sz="0" w:space="0" w:color="auto"/>
                <w:bottom w:val="none" w:sz="0" w:space="0" w:color="auto"/>
                <w:right w:val="none" w:sz="0" w:space="0" w:color="auto"/>
              </w:divBdr>
            </w:div>
          </w:divsChild>
        </w:div>
        <w:div w:id="1247305644">
          <w:marLeft w:val="0"/>
          <w:marRight w:val="0"/>
          <w:marTop w:val="0"/>
          <w:marBottom w:val="0"/>
          <w:divBdr>
            <w:top w:val="none" w:sz="0" w:space="0" w:color="auto"/>
            <w:left w:val="none" w:sz="0" w:space="0" w:color="auto"/>
            <w:bottom w:val="single" w:sz="6" w:space="0" w:color="E1E1E1"/>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962600.com" TargetMode="External"/><Relationship Id="rId4" Type="http://schemas.openxmlformats.org/officeDocument/2006/relationships/hyperlink" Target="https://sheitc.sh.gov.cn/cmsres/81/81de900a4e5440fea606650107c0494d/534abee9b0b27e742ec92dba73faa953.doc" TargetMode="Externa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鑫炎 罗</dc:creator>
  <cp:keywords/>
  <dc:description/>
  <cp:lastModifiedBy>鑫炎 罗</cp:lastModifiedBy>
  <cp:revision>2</cp:revision>
  <dcterms:created xsi:type="dcterms:W3CDTF">2025-02-03T02:15:00Z</dcterms:created>
  <dcterms:modified xsi:type="dcterms:W3CDTF">2025-02-03T02:22:00Z</dcterms:modified>
</cp:coreProperties>
</file>