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7D490" w14:textId="77777777" w:rsidR="00355DB1" w:rsidRPr="00355DB1" w:rsidRDefault="00355DB1" w:rsidP="00355DB1">
      <w:pPr>
        <w:spacing w:line="360" w:lineRule="auto"/>
        <w:rPr>
          <w:rFonts w:ascii="宋体" w:eastAsia="宋体" w:hAnsi="宋体"/>
          <w:b/>
          <w:bCs/>
          <w:sz w:val="24"/>
        </w:rPr>
      </w:pPr>
      <w:r w:rsidRPr="00355DB1">
        <w:rPr>
          <w:rFonts w:ascii="宋体" w:eastAsia="宋体" w:hAnsi="宋体" w:hint="eastAsia"/>
          <w:b/>
          <w:bCs/>
          <w:sz w:val="24"/>
        </w:rPr>
        <w:t>广东省人民政府办公厅印发广东省关于人工智能赋能千行百业若干措施的通知</w:t>
      </w:r>
    </w:p>
    <w:p w14:paraId="4B125DEC"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sz w:val="24"/>
        </w:rPr>
        <w:t>发布时间 ： 2024-07-11 发布单位 ： 江门市人民政府</w:t>
      </w:r>
    </w:p>
    <w:p w14:paraId="1AA9F6C3"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广东省人民政府办公厅印发广东省关于人工</w:t>
      </w:r>
    </w:p>
    <w:p w14:paraId="056C4A05"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智能赋能千行百业若干措施的通知</w:t>
      </w:r>
    </w:p>
    <w:p w14:paraId="2660579E"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sz w:val="24"/>
        </w:rPr>
        <w:t>粤办函〔2024〕88号</w:t>
      </w:r>
    </w:p>
    <w:p w14:paraId="590E0BE8"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sz w:val="24"/>
        </w:rPr>
        <w:t>各地级以上市人民政府，省政府各部门、各直属机构：</w:t>
      </w:r>
    </w:p>
    <w:p w14:paraId="0AEBB660"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sz w:val="24"/>
        </w:rPr>
        <w:t>《广东省关于人工智能赋能千行百业的若干措施》已经省人民政府同意，现印发给你们，请认真贯彻执行。执行过程中遇到的问题，请</w:t>
      </w:r>
      <w:proofErr w:type="gramStart"/>
      <w:r w:rsidRPr="00355DB1">
        <w:rPr>
          <w:rFonts w:ascii="宋体" w:eastAsia="宋体" w:hAnsi="宋体" w:hint="eastAsia"/>
          <w:sz w:val="24"/>
        </w:rPr>
        <w:t>径向省</w:t>
      </w:r>
      <w:proofErr w:type="gramEnd"/>
      <w:r w:rsidRPr="00355DB1">
        <w:rPr>
          <w:rFonts w:ascii="宋体" w:eastAsia="宋体" w:hAnsi="宋体" w:hint="eastAsia"/>
          <w:sz w:val="24"/>
        </w:rPr>
        <w:t>工业和信息化厅反映。</w:t>
      </w:r>
    </w:p>
    <w:p w14:paraId="0FC0345B"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sz w:val="24"/>
        </w:rPr>
        <w:t>省政府办公厅</w:t>
      </w:r>
    </w:p>
    <w:p w14:paraId="5BA5325E"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sz w:val="24"/>
        </w:rPr>
        <w:t>2024年5月26日</w:t>
      </w:r>
    </w:p>
    <w:p w14:paraId="6B8A1989"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广东省关于人工智能赋能千行百业</w:t>
      </w:r>
    </w:p>
    <w:p w14:paraId="2C02915C"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的若干措施</w:t>
      </w:r>
    </w:p>
    <w:p w14:paraId="798F422C"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sz w:val="24"/>
        </w:rPr>
        <w:t>为贯彻落实党中央、国务院关于推动人工智能发展的决策部署，促进我省人工智能产业高质量发展，加速形成新质生产力，构建现代化产业体系，赋能千行百业提质增效，创造智能时代的经济新模式、生活新体验、治理新方式，制定本措施。</w:t>
      </w:r>
    </w:p>
    <w:p w14:paraId="07EA8454"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一、总体目标</w:t>
      </w:r>
    </w:p>
    <w:p w14:paraId="4AE3452F"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sz w:val="24"/>
        </w:rPr>
        <w:t>到2025年，全省</w:t>
      </w:r>
      <w:proofErr w:type="gramStart"/>
      <w:r w:rsidRPr="00355DB1">
        <w:rPr>
          <w:rFonts w:ascii="宋体" w:eastAsia="宋体" w:hAnsi="宋体" w:hint="eastAsia"/>
          <w:sz w:val="24"/>
        </w:rPr>
        <w:t>算力规模</w:t>
      </w:r>
      <w:proofErr w:type="gramEnd"/>
      <w:r w:rsidRPr="00355DB1">
        <w:rPr>
          <w:rFonts w:ascii="宋体" w:eastAsia="宋体" w:hAnsi="宋体" w:hint="eastAsia"/>
          <w:sz w:val="24"/>
        </w:rPr>
        <w:t>超过40EFLOPS，人工智能核心产业规模超过3000亿元。到2027年，全省人工智能产业底座进一步夯实，</w:t>
      </w:r>
      <w:proofErr w:type="gramStart"/>
      <w:r w:rsidRPr="00355DB1">
        <w:rPr>
          <w:rFonts w:ascii="宋体" w:eastAsia="宋体" w:hAnsi="宋体" w:hint="eastAsia"/>
          <w:sz w:val="24"/>
        </w:rPr>
        <w:t>算力规模</w:t>
      </w:r>
      <w:proofErr w:type="gramEnd"/>
      <w:r w:rsidRPr="00355DB1">
        <w:rPr>
          <w:rFonts w:ascii="宋体" w:eastAsia="宋体" w:hAnsi="宋体" w:hint="eastAsia"/>
          <w:sz w:val="24"/>
        </w:rPr>
        <w:t>超过60EFLOPS，全国领先的算法体系和</w:t>
      </w:r>
      <w:proofErr w:type="gramStart"/>
      <w:r w:rsidRPr="00355DB1">
        <w:rPr>
          <w:rFonts w:ascii="宋体" w:eastAsia="宋体" w:hAnsi="宋体" w:hint="eastAsia"/>
          <w:sz w:val="24"/>
        </w:rPr>
        <w:t>算力网络</w:t>
      </w:r>
      <w:proofErr w:type="gramEnd"/>
      <w:r w:rsidRPr="00355DB1">
        <w:rPr>
          <w:rFonts w:ascii="宋体" w:eastAsia="宋体" w:hAnsi="宋体" w:hint="eastAsia"/>
          <w:sz w:val="24"/>
        </w:rPr>
        <w:t>体系基本形成；智能终端产品供给丰富，在手机、计算机、家居、机器人等8大门类，打造100款以上大规模使用的智能终端产品，人工智能核心产业规模超过4400亿元；聚焦制造、教育、养老等领域，打造500个以上应用场景，各行各业劳动生产率显著提升。</w:t>
      </w:r>
    </w:p>
    <w:p w14:paraId="0BE1FE89"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二、夯实人工智能产业底座，加快形成新质生产力</w:t>
      </w:r>
    </w:p>
    <w:p w14:paraId="77EE74CE"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lastRenderedPageBreak/>
        <w:t>（一）加大人工智能核心芯片器件供给。</w:t>
      </w:r>
    </w:p>
    <w:p w14:paraId="1203F508"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1. 建立人工智能芯片生态体系。</w:t>
      </w:r>
      <w:r w:rsidRPr="00355DB1">
        <w:rPr>
          <w:rFonts w:ascii="宋体" w:eastAsia="宋体" w:hAnsi="宋体" w:hint="eastAsia"/>
          <w:sz w:val="24"/>
        </w:rPr>
        <w:t>建设适配芯片的开发生态，面向家电家居、安防监控、医疗设备等，加大高性能、低功耗</w:t>
      </w:r>
      <w:proofErr w:type="gramStart"/>
      <w:r w:rsidRPr="00355DB1">
        <w:rPr>
          <w:rFonts w:ascii="宋体" w:eastAsia="宋体" w:hAnsi="宋体" w:hint="eastAsia"/>
          <w:sz w:val="24"/>
        </w:rPr>
        <w:t>的端侧芯片</w:t>
      </w:r>
      <w:proofErr w:type="gramEnd"/>
      <w:r w:rsidRPr="00355DB1">
        <w:rPr>
          <w:rFonts w:ascii="宋体" w:eastAsia="宋体" w:hAnsi="宋体" w:hint="eastAsia"/>
          <w:sz w:val="24"/>
        </w:rPr>
        <w:t>开发生产。鼓励企业通过集成处理器、射频通信、智能传感器、存储器等，推进通信、显示、音频等模组研发。培育芯片创新发展生态，</w:t>
      </w:r>
      <w:proofErr w:type="gramStart"/>
      <w:r w:rsidRPr="00355DB1">
        <w:rPr>
          <w:rFonts w:ascii="宋体" w:eastAsia="宋体" w:hAnsi="宋体" w:hint="eastAsia"/>
          <w:sz w:val="24"/>
        </w:rPr>
        <w:t>探索存算一体</w:t>
      </w:r>
      <w:proofErr w:type="gramEnd"/>
      <w:r w:rsidRPr="00355DB1">
        <w:rPr>
          <w:rFonts w:ascii="宋体" w:eastAsia="宋体" w:hAnsi="宋体" w:hint="eastAsia"/>
          <w:sz w:val="24"/>
        </w:rPr>
        <w:t>、类脑计算、芯粒、指令集等芯片研发与应用，推动面向云端和终端的芯片应用，推广高性能云端智能服务器。到2027年，人工智能芯片生态体系初步建成。</w:t>
      </w:r>
    </w:p>
    <w:p w14:paraId="3CDBE07D"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2. 打造智能感知产业体系。</w:t>
      </w:r>
      <w:r w:rsidRPr="00355DB1">
        <w:rPr>
          <w:rFonts w:ascii="宋体" w:eastAsia="宋体" w:hAnsi="宋体" w:hint="eastAsia"/>
          <w:sz w:val="24"/>
        </w:rPr>
        <w:t>建设智能传感器产业集群和特色产业园，推动图像、声音、触控等传感器开发与产业化，加快消费类电子、家电家居等领域中生物特征识别、图像感知等传感器开发和规模化生产。推动加工制造、集成封装、计量检测等产业生态协同。到2027年，实现高端智能传感器产业规模倍增。</w:t>
      </w:r>
    </w:p>
    <w:p w14:paraId="5A3FF82C"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（二）推进人工智能软件迭代升级。</w:t>
      </w:r>
    </w:p>
    <w:p w14:paraId="632084E0"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3. 加强智能软件研发创新。</w:t>
      </w:r>
      <w:r w:rsidRPr="00355DB1">
        <w:rPr>
          <w:rFonts w:ascii="宋体" w:eastAsia="宋体" w:hAnsi="宋体" w:hint="eastAsia"/>
          <w:sz w:val="24"/>
        </w:rPr>
        <w:t>研制引擎框架工具体系，开发面向推理加速引擎、超大规模深度学习的高性能分布式并行计算框架和平台。发展智能操作系统，加快研发具有自主知识产权的服务器级智能操作系统、智能终端操作系统等。鼓励企业深挖制造、医疗、教育等重点行业需求，强化人工智能框架软件和硬件相互适配、性能优化和应用推广，打造软硬件一体化生态体系。到2027年，智能软件产业规模达到270亿元。</w:t>
      </w:r>
    </w:p>
    <w:p w14:paraId="71967DDB"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4. 拓宽智能软件应用广度。</w:t>
      </w:r>
      <w:r w:rsidRPr="00355DB1">
        <w:rPr>
          <w:rFonts w:ascii="宋体" w:eastAsia="宋体" w:hAnsi="宋体" w:hint="eastAsia"/>
          <w:sz w:val="24"/>
        </w:rPr>
        <w:t>实施工业软件增效工程，利用人工智能提升三维建模、参数化设计、实体分割等工业软件底层技术的研发效率。实施应用软件提质工程，集成各行业场景数据、技术、工艺，提供专业行业软件解决方案。实施终端软件推广工程，支持软件企业开发面向人工智能的各类商用APP、办公软件等终端软件。到2027年，人工智能自主软件覆盖率达到50%。</w:t>
      </w:r>
    </w:p>
    <w:p w14:paraId="35673DC2"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（三）系统构建算法产业矩阵。</w:t>
      </w:r>
    </w:p>
    <w:p w14:paraId="54B9176A"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5. 建设高质量中文数据集。</w:t>
      </w:r>
      <w:r w:rsidRPr="00355DB1">
        <w:rPr>
          <w:rFonts w:ascii="宋体" w:eastAsia="宋体" w:hAnsi="宋体" w:hint="eastAsia"/>
          <w:sz w:val="24"/>
        </w:rPr>
        <w:t>加强政务信息系统数据资源整合，基于政务网络构建公共性、公益性可信数据空间和公共数据集。支持各地基于人工智能的能</w:t>
      </w:r>
      <w:r w:rsidRPr="00355DB1">
        <w:rPr>
          <w:rFonts w:ascii="宋体" w:eastAsia="宋体" w:hAnsi="宋体" w:hint="eastAsia"/>
          <w:sz w:val="24"/>
        </w:rPr>
        <w:lastRenderedPageBreak/>
        <w:t>力，遴选优势产业领域开展公共数据运营探索，推动公共数据与社会数据高效融合利用。鼓励企业建设面向行业的高质量中文语料数据库，推动典型行业数据汇集、共享和使用。到2027年，建设50个以上高质量行业数据集。</w:t>
      </w:r>
    </w:p>
    <w:p w14:paraId="5BC4127A"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6. 加快算法产品供给。</w:t>
      </w:r>
      <w:r w:rsidRPr="00355DB1">
        <w:rPr>
          <w:rFonts w:ascii="宋体" w:eastAsia="宋体" w:hAnsi="宋体" w:hint="eastAsia"/>
          <w:sz w:val="24"/>
        </w:rPr>
        <w:t>围绕国产主流人工智能开发框架，研发专业算法产品和工具。鼓励企业加大算法应用，打造一批算法产品和应用示范项目。加快研发迭代通用大模型、垂直领域行业大模型，做精细分场景专用模型，支持轻量、高效、易于部署的中小型模型。支持研发自主可控的大模型产品，发布产品和服务目录。到2027年，打造具有示范推广效应的100个算法产品。</w:t>
      </w:r>
    </w:p>
    <w:p w14:paraId="0C05AB6A"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7. 建设大模型开源社区。</w:t>
      </w:r>
      <w:r w:rsidRPr="00355DB1">
        <w:rPr>
          <w:rFonts w:ascii="宋体" w:eastAsia="宋体" w:hAnsi="宋体" w:hint="eastAsia"/>
          <w:sz w:val="24"/>
        </w:rPr>
        <w:t>建设原创性基础大模型资源池，鼓励组建大模型开源社区，支持大模型及其衍生品的自由开放访问、参数调整、应用开发。优化大模型发展环境，降低非技术因素阻碍。面向社区成员开展培训、知识普及等活动，培育大模型开发人才。到2027年，基本建成一站式研究、开发、协作、部署和落地展示人工智能的开源服务体系。</w:t>
      </w:r>
    </w:p>
    <w:p w14:paraId="508DB3DC"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（四）适度超前部署</w:t>
      </w:r>
      <w:proofErr w:type="gramStart"/>
      <w:r w:rsidRPr="00355DB1">
        <w:rPr>
          <w:rFonts w:ascii="宋体" w:eastAsia="宋体" w:hAnsi="宋体" w:hint="eastAsia"/>
          <w:b/>
          <w:bCs/>
          <w:sz w:val="24"/>
        </w:rPr>
        <w:t>算力网络</w:t>
      </w:r>
      <w:proofErr w:type="gramEnd"/>
      <w:r w:rsidRPr="00355DB1">
        <w:rPr>
          <w:rFonts w:ascii="宋体" w:eastAsia="宋体" w:hAnsi="宋体" w:hint="eastAsia"/>
          <w:b/>
          <w:bCs/>
          <w:sz w:val="24"/>
        </w:rPr>
        <w:t>建设。</w:t>
      </w:r>
    </w:p>
    <w:p w14:paraId="6739DB28"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8. 加快智能</w:t>
      </w:r>
      <w:proofErr w:type="gramStart"/>
      <w:r w:rsidRPr="00355DB1">
        <w:rPr>
          <w:rFonts w:ascii="宋体" w:eastAsia="宋体" w:hAnsi="宋体" w:hint="eastAsia"/>
          <w:b/>
          <w:bCs/>
          <w:sz w:val="24"/>
        </w:rPr>
        <w:t>算力基础</w:t>
      </w:r>
      <w:proofErr w:type="gramEnd"/>
      <w:r w:rsidRPr="00355DB1">
        <w:rPr>
          <w:rFonts w:ascii="宋体" w:eastAsia="宋体" w:hAnsi="宋体" w:hint="eastAsia"/>
          <w:b/>
          <w:bCs/>
          <w:sz w:val="24"/>
        </w:rPr>
        <w:t>设施建设。</w:t>
      </w:r>
      <w:r w:rsidRPr="00355DB1">
        <w:rPr>
          <w:rFonts w:ascii="宋体" w:eastAsia="宋体" w:hAnsi="宋体" w:hint="eastAsia"/>
          <w:sz w:val="24"/>
        </w:rPr>
        <w:t>出台实施加快我省</w:t>
      </w:r>
      <w:proofErr w:type="gramStart"/>
      <w:r w:rsidRPr="00355DB1">
        <w:rPr>
          <w:rFonts w:ascii="宋体" w:eastAsia="宋体" w:hAnsi="宋体" w:hint="eastAsia"/>
          <w:sz w:val="24"/>
        </w:rPr>
        <w:t>算力基础</w:t>
      </w:r>
      <w:proofErr w:type="gramEnd"/>
      <w:r w:rsidRPr="00355DB1">
        <w:rPr>
          <w:rFonts w:ascii="宋体" w:eastAsia="宋体" w:hAnsi="宋体" w:hint="eastAsia"/>
          <w:sz w:val="24"/>
        </w:rPr>
        <w:t>设施发展的政策措施，促进珠三角和粤东粤西粤北高效互补和协同联动。加快国家枢纽节点数据中心建设，围绕重点应用场景做强</w:t>
      </w:r>
      <w:proofErr w:type="gramStart"/>
      <w:r w:rsidRPr="00355DB1">
        <w:rPr>
          <w:rFonts w:ascii="宋体" w:eastAsia="宋体" w:hAnsi="宋体" w:hint="eastAsia"/>
          <w:sz w:val="24"/>
        </w:rPr>
        <w:t>城市边缘智算中心</w:t>
      </w:r>
      <w:proofErr w:type="gramEnd"/>
      <w:r w:rsidRPr="00355DB1">
        <w:rPr>
          <w:rFonts w:ascii="宋体" w:eastAsia="宋体" w:hAnsi="宋体" w:hint="eastAsia"/>
          <w:sz w:val="24"/>
        </w:rPr>
        <w:t>。加强政企合作，加快归集现有训练算力，增强可共享算力。到2027年，重点行业</w:t>
      </w:r>
      <w:proofErr w:type="gramStart"/>
      <w:r w:rsidRPr="00355DB1">
        <w:rPr>
          <w:rFonts w:ascii="宋体" w:eastAsia="宋体" w:hAnsi="宋体" w:hint="eastAsia"/>
          <w:sz w:val="24"/>
        </w:rPr>
        <w:t>的智算覆盖</w:t>
      </w:r>
      <w:proofErr w:type="gramEnd"/>
      <w:r w:rsidRPr="00355DB1">
        <w:rPr>
          <w:rFonts w:ascii="宋体" w:eastAsia="宋体" w:hAnsi="宋体" w:hint="eastAsia"/>
          <w:sz w:val="24"/>
        </w:rPr>
        <w:t>能力显著提升。</w:t>
      </w:r>
    </w:p>
    <w:p w14:paraId="31997E60"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 xml:space="preserve">9. </w:t>
      </w:r>
      <w:proofErr w:type="gramStart"/>
      <w:r w:rsidRPr="00355DB1">
        <w:rPr>
          <w:rFonts w:ascii="宋体" w:eastAsia="宋体" w:hAnsi="宋体" w:hint="eastAsia"/>
          <w:b/>
          <w:bCs/>
          <w:sz w:val="24"/>
        </w:rPr>
        <w:t>强化算力集约</w:t>
      </w:r>
      <w:proofErr w:type="gramEnd"/>
      <w:r w:rsidRPr="00355DB1">
        <w:rPr>
          <w:rFonts w:ascii="宋体" w:eastAsia="宋体" w:hAnsi="宋体" w:hint="eastAsia"/>
          <w:b/>
          <w:bCs/>
          <w:sz w:val="24"/>
        </w:rPr>
        <w:t>供给。</w:t>
      </w:r>
      <w:r w:rsidRPr="00355DB1">
        <w:rPr>
          <w:rFonts w:ascii="宋体" w:eastAsia="宋体" w:hAnsi="宋体" w:hint="eastAsia"/>
          <w:sz w:val="24"/>
        </w:rPr>
        <w:t>推动运营商、</w:t>
      </w:r>
      <w:proofErr w:type="gramStart"/>
      <w:r w:rsidRPr="00355DB1">
        <w:rPr>
          <w:rFonts w:ascii="宋体" w:eastAsia="宋体" w:hAnsi="宋体" w:hint="eastAsia"/>
          <w:sz w:val="24"/>
        </w:rPr>
        <w:t>云服务</w:t>
      </w:r>
      <w:proofErr w:type="gramEnd"/>
      <w:r w:rsidRPr="00355DB1">
        <w:rPr>
          <w:rFonts w:ascii="宋体" w:eastAsia="宋体" w:hAnsi="宋体" w:hint="eastAsia"/>
          <w:sz w:val="24"/>
        </w:rPr>
        <w:t>商和各</w:t>
      </w:r>
      <w:proofErr w:type="gramStart"/>
      <w:r w:rsidRPr="00355DB1">
        <w:rPr>
          <w:rFonts w:ascii="宋体" w:eastAsia="宋体" w:hAnsi="宋体" w:hint="eastAsia"/>
          <w:sz w:val="24"/>
        </w:rPr>
        <w:t>类算力</w:t>
      </w:r>
      <w:proofErr w:type="gramEnd"/>
      <w:r w:rsidRPr="00355DB1">
        <w:rPr>
          <w:rFonts w:ascii="宋体" w:eastAsia="宋体" w:hAnsi="宋体" w:hint="eastAsia"/>
          <w:sz w:val="24"/>
        </w:rPr>
        <w:t>平台等</w:t>
      </w:r>
      <w:proofErr w:type="gramStart"/>
      <w:r w:rsidRPr="00355DB1">
        <w:rPr>
          <w:rFonts w:ascii="宋体" w:eastAsia="宋体" w:hAnsi="宋体" w:hint="eastAsia"/>
          <w:sz w:val="24"/>
        </w:rPr>
        <w:t>智能算力与通用算力协同</w:t>
      </w:r>
      <w:proofErr w:type="gramEnd"/>
      <w:r w:rsidRPr="00355DB1">
        <w:rPr>
          <w:rFonts w:ascii="宋体" w:eastAsia="宋体" w:hAnsi="宋体" w:hint="eastAsia"/>
          <w:sz w:val="24"/>
        </w:rPr>
        <w:t>发展，满足均衡型、计算和存储密集型等各类</w:t>
      </w:r>
      <w:proofErr w:type="gramStart"/>
      <w:r w:rsidRPr="00355DB1">
        <w:rPr>
          <w:rFonts w:ascii="宋体" w:eastAsia="宋体" w:hAnsi="宋体" w:hint="eastAsia"/>
          <w:sz w:val="24"/>
        </w:rPr>
        <w:t>业务算力需求</w:t>
      </w:r>
      <w:proofErr w:type="gramEnd"/>
      <w:r w:rsidRPr="00355DB1">
        <w:rPr>
          <w:rFonts w:ascii="宋体" w:eastAsia="宋体" w:hAnsi="宋体" w:hint="eastAsia"/>
          <w:sz w:val="24"/>
        </w:rPr>
        <w:t>。加快广州人工智能</w:t>
      </w:r>
      <w:proofErr w:type="gramStart"/>
      <w:r w:rsidRPr="00355DB1">
        <w:rPr>
          <w:rFonts w:ascii="宋体" w:eastAsia="宋体" w:hAnsi="宋体" w:hint="eastAsia"/>
          <w:sz w:val="24"/>
        </w:rPr>
        <w:t>公共算力中心</w:t>
      </w:r>
      <w:proofErr w:type="gramEnd"/>
      <w:r w:rsidRPr="00355DB1">
        <w:rPr>
          <w:rFonts w:ascii="宋体" w:eastAsia="宋体" w:hAnsi="宋体" w:hint="eastAsia"/>
          <w:sz w:val="24"/>
        </w:rPr>
        <w:t>、鹏</w:t>
      </w:r>
      <w:proofErr w:type="gramStart"/>
      <w:r w:rsidRPr="00355DB1">
        <w:rPr>
          <w:rFonts w:ascii="宋体" w:eastAsia="宋体" w:hAnsi="宋体" w:hint="eastAsia"/>
          <w:sz w:val="24"/>
        </w:rPr>
        <w:t>城云脑</w:t>
      </w:r>
      <w:proofErr w:type="gramEnd"/>
      <w:r w:rsidRPr="00355DB1">
        <w:rPr>
          <w:rFonts w:ascii="宋体" w:eastAsia="宋体" w:hAnsi="宋体" w:hint="eastAsia"/>
          <w:sz w:val="24"/>
        </w:rPr>
        <w:t>、横琴先进智能计算中心</w:t>
      </w:r>
      <w:proofErr w:type="gramStart"/>
      <w:r w:rsidRPr="00355DB1">
        <w:rPr>
          <w:rFonts w:ascii="宋体" w:eastAsia="宋体" w:hAnsi="宋体" w:hint="eastAsia"/>
          <w:sz w:val="24"/>
        </w:rPr>
        <w:t>等算力公共</w:t>
      </w:r>
      <w:proofErr w:type="gramEnd"/>
      <w:r w:rsidRPr="00355DB1">
        <w:rPr>
          <w:rFonts w:ascii="宋体" w:eastAsia="宋体" w:hAnsi="宋体" w:hint="eastAsia"/>
          <w:sz w:val="24"/>
        </w:rPr>
        <w:t>平台建设，支持鹏城实验室“中国算力网”研发建设。探索建设多</w:t>
      </w:r>
      <w:proofErr w:type="gramStart"/>
      <w:r w:rsidRPr="00355DB1">
        <w:rPr>
          <w:rFonts w:ascii="宋体" w:eastAsia="宋体" w:hAnsi="宋体" w:hint="eastAsia"/>
          <w:sz w:val="24"/>
        </w:rPr>
        <w:t>层级算力弹性</w:t>
      </w:r>
      <w:proofErr w:type="gramEnd"/>
      <w:r w:rsidRPr="00355DB1">
        <w:rPr>
          <w:rFonts w:ascii="宋体" w:eastAsia="宋体" w:hAnsi="宋体" w:hint="eastAsia"/>
          <w:sz w:val="24"/>
        </w:rPr>
        <w:t>调度平台，以</w:t>
      </w:r>
      <w:proofErr w:type="gramStart"/>
      <w:r w:rsidRPr="00355DB1">
        <w:rPr>
          <w:rFonts w:ascii="宋体" w:eastAsia="宋体" w:hAnsi="宋体" w:hint="eastAsia"/>
          <w:sz w:val="24"/>
        </w:rPr>
        <w:t>云服务</w:t>
      </w:r>
      <w:proofErr w:type="gramEnd"/>
      <w:r w:rsidRPr="00355DB1">
        <w:rPr>
          <w:rFonts w:ascii="宋体" w:eastAsia="宋体" w:hAnsi="宋体" w:hint="eastAsia"/>
          <w:sz w:val="24"/>
        </w:rPr>
        <w:t>方式</w:t>
      </w:r>
      <w:proofErr w:type="gramStart"/>
      <w:r w:rsidRPr="00355DB1">
        <w:rPr>
          <w:rFonts w:ascii="宋体" w:eastAsia="宋体" w:hAnsi="宋体" w:hint="eastAsia"/>
          <w:sz w:val="24"/>
        </w:rPr>
        <w:t>整合算力资源</w:t>
      </w:r>
      <w:proofErr w:type="gramEnd"/>
      <w:r w:rsidRPr="00355DB1">
        <w:rPr>
          <w:rFonts w:ascii="宋体" w:eastAsia="宋体" w:hAnsi="宋体" w:hint="eastAsia"/>
          <w:sz w:val="24"/>
        </w:rPr>
        <w:t>，实现多元</w:t>
      </w:r>
      <w:proofErr w:type="gramStart"/>
      <w:r w:rsidRPr="00355DB1">
        <w:rPr>
          <w:rFonts w:ascii="宋体" w:eastAsia="宋体" w:hAnsi="宋体" w:hint="eastAsia"/>
          <w:sz w:val="24"/>
        </w:rPr>
        <w:t>异构算力跨域</w:t>
      </w:r>
      <w:proofErr w:type="gramEnd"/>
      <w:r w:rsidRPr="00355DB1">
        <w:rPr>
          <w:rFonts w:ascii="宋体" w:eastAsia="宋体" w:hAnsi="宋体" w:hint="eastAsia"/>
          <w:sz w:val="24"/>
        </w:rPr>
        <w:t>调度编排。到2027年，基本</w:t>
      </w:r>
      <w:proofErr w:type="gramStart"/>
      <w:r w:rsidRPr="00355DB1">
        <w:rPr>
          <w:rFonts w:ascii="宋体" w:eastAsia="宋体" w:hAnsi="宋体" w:hint="eastAsia"/>
          <w:sz w:val="24"/>
        </w:rPr>
        <w:t>实现算力资源</w:t>
      </w:r>
      <w:proofErr w:type="gramEnd"/>
      <w:r w:rsidRPr="00355DB1">
        <w:rPr>
          <w:rFonts w:ascii="宋体" w:eastAsia="宋体" w:hAnsi="宋体" w:hint="eastAsia"/>
          <w:sz w:val="24"/>
        </w:rPr>
        <w:t>高效共享、自主协作与统一服务。</w:t>
      </w:r>
    </w:p>
    <w:p w14:paraId="6891F17A"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10. 推进</w:t>
      </w:r>
      <w:proofErr w:type="gramStart"/>
      <w:r w:rsidRPr="00355DB1">
        <w:rPr>
          <w:rFonts w:ascii="宋体" w:eastAsia="宋体" w:hAnsi="宋体" w:hint="eastAsia"/>
          <w:b/>
          <w:bCs/>
          <w:sz w:val="24"/>
        </w:rPr>
        <w:t>算力网络</w:t>
      </w:r>
      <w:proofErr w:type="gramEnd"/>
      <w:r w:rsidRPr="00355DB1">
        <w:rPr>
          <w:rFonts w:ascii="宋体" w:eastAsia="宋体" w:hAnsi="宋体" w:hint="eastAsia"/>
          <w:b/>
          <w:bCs/>
          <w:sz w:val="24"/>
        </w:rPr>
        <w:t>布局优化。</w:t>
      </w:r>
      <w:r w:rsidRPr="00355DB1">
        <w:rPr>
          <w:rFonts w:ascii="宋体" w:eastAsia="宋体" w:hAnsi="宋体" w:hint="eastAsia"/>
          <w:sz w:val="24"/>
        </w:rPr>
        <w:t>支持光通信产品和设备研发，打造400G/800G全光高速低时延运力网。</w:t>
      </w:r>
      <w:proofErr w:type="gramStart"/>
      <w:r w:rsidRPr="00355DB1">
        <w:rPr>
          <w:rFonts w:ascii="宋体" w:eastAsia="宋体" w:hAnsi="宋体" w:hint="eastAsia"/>
          <w:sz w:val="24"/>
        </w:rPr>
        <w:t>推动城域光</w:t>
      </w:r>
      <w:proofErr w:type="gramEnd"/>
      <w:r w:rsidRPr="00355DB1">
        <w:rPr>
          <w:rFonts w:ascii="宋体" w:eastAsia="宋体" w:hAnsi="宋体" w:hint="eastAsia"/>
          <w:sz w:val="24"/>
        </w:rPr>
        <w:t>传输设备向综合接入节点和用户侧部署，城</w:t>
      </w:r>
      <w:r w:rsidRPr="00355DB1">
        <w:rPr>
          <w:rFonts w:ascii="宋体" w:eastAsia="宋体" w:hAnsi="宋体" w:hint="eastAsia"/>
          <w:sz w:val="24"/>
        </w:rPr>
        <w:lastRenderedPageBreak/>
        <w:t>区重要</w:t>
      </w:r>
      <w:proofErr w:type="gramStart"/>
      <w:r w:rsidRPr="00355DB1">
        <w:rPr>
          <w:rFonts w:ascii="宋体" w:eastAsia="宋体" w:hAnsi="宋体" w:hint="eastAsia"/>
          <w:sz w:val="24"/>
        </w:rPr>
        <w:t>算力基础</w:t>
      </w:r>
      <w:proofErr w:type="gramEnd"/>
      <w:r w:rsidRPr="00355DB1">
        <w:rPr>
          <w:rFonts w:ascii="宋体" w:eastAsia="宋体" w:hAnsi="宋体" w:hint="eastAsia"/>
          <w:sz w:val="24"/>
        </w:rPr>
        <w:t>设施间时延不高于1ms。支持重点场所光纤链路改造，提升运力网络的服务能力和调度能力。到2027年，全省高带宽、低延迟</w:t>
      </w:r>
      <w:proofErr w:type="gramStart"/>
      <w:r w:rsidRPr="00355DB1">
        <w:rPr>
          <w:rFonts w:ascii="宋体" w:eastAsia="宋体" w:hAnsi="宋体" w:hint="eastAsia"/>
          <w:sz w:val="24"/>
        </w:rPr>
        <w:t>算力网络</w:t>
      </w:r>
      <w:proofErr w:type="gramEnd"/>
      <w:r w:rsidRPr="00355DB1">
        <w:rPr>
          <w:rFonts w:ascii="宋体" w:eastAsia="宋体" w:hAnsi="宋体" w:hint="eastAsia"/>
          <w:sz w:val="24"/>
        </w:rPr>
        <w:t>支撑能力大幅提升。</w:t>
      </w:r>
    </w:p>
    <w:p w14:paraId="41E9D5E6"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三、构筑智能终端产品新高地，塑造广东品牌新形象</w:t>
      </w:r>
    </w:p>
    <w:p w14:paraId="42BFA6B4"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（一）</w:t>
      </w:r>
      <w:proofErr w:type="gramStart"/>
      <w:r w:rsidRPr="00355DB1">
        <w:rPr>
          <w:rFonts w:ascii="宋体" w:eastAsia="宋体" w:hAnsi="宋体" w:hint="eastAsia"/>
          <w:b/>
          <w:bCs/>
          <w:sz w:val="24"/>
        </w:rPr>
        <w:t>提智做</w:t>
      </w:r>
      <w:proofErr w:type="gramEnd"/>
      <w:r w:rsidRPr="00355DB1">
        <w:rPr>
          <w:rFonts w:ascii="宋体" w:eastAsia="宋体" w:hAnsi="宋体" w:hint="eastAsia"/>
          <w:b/>
          <w:bCs/>
          <w:sz w:val="24"/>
        </w:rPr>
        <w:t>强高端装备。</w:t>
      </w:r>
    </w:p>
    <w:p w14:paraId="4D6B328A"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11. 推进智能机器人创新发展。</w:t>
      </w:r>
      <w:r w:rsidRPr="00355DB1">
        <w:rPr>
          <w:rFonts w:ascii="宋体" w:eastAsia="宋体" w:hAnsi="宋体" w:hint="eastAsia"/>
          <w:sz w:val="24"/>
        </w:rPr>
        <w:t>加快机器脑、机器肢、机器体、通用产品等产品研发生产，推动人形机器人</w:t>
      </w:r>
      <w:proofErr w:type="gramStart"/>
      <w:r w:rsidRPr="00355DB1">
        <w:rPr>
          <w:rFonts w:ascii="宋体" w:eastAsia="宋体" w:hAnsi="宋体" w:hint="eastAsia"/>
          <w:sz w:val="24"/>
        </w:rPr>
        <w:t>等具身智能机器人</w:t>
      </w:r>
      <w:proofErr w:type="gramEnd"/>
      <w:r w:rsidRPr="00355DB1">
        <w:rPr>
          <w:rFonts w:ascii="宋体" w:eastAsia="宋体" w:hAnsi="宋体" w:hint="eastAsia"/>
          <w:sz w:val="24"/>
        </w:rPr>
        <w:t>研制和应用。发展柔性交互、动态规划路径的协作机器人与自适应机器人等高精度工业机器人，加快智能人机交互、多自由度精准控制的服务机器人应用推广。到2027年，智能机器人产业营业收入达到900亿元。</w:t>
      </w:r>
    </w:p>
    <w:p w14:paraId="247EA83C"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12. 加快高端装备智能化升级。</w:t>
      </w:r>
      <w:r w:rsidRPr="00355DB1">
        <w:rPr>
          <w:rFonts w:ascii="宋体" w:eastAsia="宋体" w:hAnsi="宋体" w:hint="eastAsia"/>
          <w:sz w:val="24"/>
        </w:rPr>
        <w:t>推动高端数控机床、海洋工程装备、航空装备、卫星及应用、轨道交通装备等高端装备智能化改造。支持研制高自主性、高适航性、高可靠性无人艇和无人潜航器。加强深地资源探采、城市地下空间开发利用、极地探测与作业等领域装备研制和产业化。到2027年，高端装备制造业营业收入达到3800亿元。</w:t>
      </w:r>
    </w:p>
    <w:p w14:paraId="2A08BFF1"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13. 智能网联支撑新能源汽车。</w:t>
      </w:r>
      <w:r w:rsidRPr="00355DB1">
        <w:rPr>
          <w:rFonts w:ascii="宋体" w:eastAsia="宋体" w:hAnsi="宋体" w:hint="eastAsia"/>
          <w:sz w:val="24"/>
        </w:rPr>
        <w:t>打造集安全出行、智慧生活、移动办公等功能于一体的智能网联汽车终端。发展无人出租车、智能公交、</w:t>
      </w:r>
      <w:proofErr w:type="gramStart"/>
      <w:r w:rsidRPr="00355DB1">
        <w:rPr>
          <w:rFonts w:ascii="宋体" w:eastAsia="宋体" w:hAnsi="宋体" w:hint="eastAsia"/>
          <w:sz w:val="24"/>
        </w:rPr>
        <w:t>智能重卡等</w:t>
      </w:r>
      <w:proofErr w:type="gramEnd"/>
      <w:r w:rsidRPr="00355DB1">
        <w:rPr>
          <w:rFonts w:ascii="宋体" w:eastAsia="宋体" w:hAnsi="宋体" w:hint="eastAsia"/>
          <w:sz w:val="24"/>
        </w:rPr>
        <w:t>智能网联终端，鼓励智能化、一站</w:t>
      </w:r>
      <w:proofErr w:type="gramStart"/>
      <w:r w:rsidRPr="00355DB1">
        <w:rPr>
          <w:rFonts w:ascii="宋体" w:eastAsia="宋体" w:hAnsi="宋体" w:hint="eastAsia"/>
          <w:sz w:val="24"/>
        </w:rPr>
        <w:t>式交通</w:t>
      </w:r>
      <w:proofErr w:type="gramEnd"/>
      <w:r w:rsidRPr="00355DB1">
        <w:rPr>
          <w:rFonts w:ascii="宋体" w:eastAsia="宋体" w:hAnsi="宋体" w:hint="eastAsia"/>
          <w:sz w:val="24"/>
        </w:rPr>
        <w:t>出行服务应用。到2027年，新能源汽车年产量达到350万辆以上。</w:t>
      </w:r>
    </w:p>
    <w:p w14:paraId="2CB85898"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（二）</w:t>
      </w:r>
      <w:proofErr w:type="gramStart"/>
      <w:r w:rsidRPr="00355DB1">
        <w:rPr>
          <w:rFonts w:ascii="宋体" w:eastAsia="宋体" w:hAnsi="宋体" w:hint="eastAsia"/>
          <w:b/>
          <w:bCs/>
          <w:sz w:val="24"/>
        </w:rPr>
        <w:t>赋智壮大</w:t>
      </w:r>
      <w:proofErr w:type="gramEnd"/>
      <w:r w:rsidRPr="00355DB1">
        <w:rPr>
          <w:rFonts w:ascii="宋体" w:eastAsia="宋体" w:hAnsi="宋体" w:hint="eastAsia"/>
          <w:b/>
          <w:bCs/>
          <w:sz w:val="24"/>
        </w:rPr>
        <w:t>消费终端。</w:t>
      </w:r>
    </w:p>
    <w:p w14:paraId="372B831B"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14. 创新操作系统打造人工智能手机。</w:t>
      </w:r>
      <w:r w:rsidRPr="00355DB1">
        <w:rPr>
          <w:rFonts w:ascii="宋体" w:eastAsia="宋体" w:hAnsi="宋体" w:hint="eastAsia"/>
          <w:sz w:val="24"/>
        </w:rPr>
        <w:t>支持操作系统深度融合高效低损的轻量化大模型，</w:t>
      </w:r>
      <w:proofErr w:type="gramStart"/>
      <w:r w:rsidRPr="00355DB1">
        <w:rPr>
          <w:rFonts w:ascii="宋体" w:eastAsia="宋体" w:hAnsi="宋体" w:hint="eastAsia"/>
          <w:sz w:val="24"/>
        </w:rPr>
        <w:t>推动端侧模型</w:t>
      </w:r>
      <w:proofErr w:type="gramEnd"/>
      <w:r w:rsidRPr="00355DB1">
        <w:rPr>
          <w:rFonts w:ascii="宋体" w:eastAsia="宋体" w:hAnsi="宋体" w:hint="eastAsia"/>
          <w:sz w:val="24"/>
        </w:rPr>
        <w:t>算法与架构的应用和创新。支持企业在AI OS上结合多模态自然交互技术，增强实时交互能力、拓展手机应用场景，打造个人专</w:t>
      </w:r>
      <w:proofErr w:type="gramStart"/>
      <w:r w:rsidRPr="00355DB1">
        <w:rPr>
          <w:rFonts w:ascii="宋体" w:eastAsia="宋体" w:hAnsi="宋体" w:hint="eastAsia"/>
          <w:sz w:val="24"/>
        </w:rPr>
        <w:t>属数字</w:t>
      </w:r>
      <w:proofErr w:type="gramEnd"/>
      <w:r w:rsidRPr="00355DB1">
        <w:rPr>
          <w:rFonts w:ascii="宋体" w:eastAsia="宋体" w:hAnsi="宋体" w:hint="eastAsia"/>
          <w:sz w:val="24"/>
        </w:rPr>
        <w:t>助手。到2027年，人工智能手机产量达到1亿台以上。</w:t>
      </w:r>
    </w:p>
    <w:p w14:paraId="1B516C04"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15. 部署专属模型打造人工智能计算机。</w:t>
      </w:r>
      <w:r w:rsidRPr="00355DB1">
        <w:rPr>
          <w:rFonts w:ascii="宋体" w:eastAsia="宋体" w:hAnsi="宋体" w:hint="eastAsia"/>
          <w:sz w:val="24"/>
        </w:rPr>
        <w:t>利用人工智能技术不断学习用户个人数据和习惯，</w:t>
      </w:r>
      <w:proofErr w:type="gramStart"/>
      <w:r w:rsidRPr="00355DB1">
        <w:rPr>
          <w:rFonts w:ascii="宋体" w:eastAsia="宋体" w:hAnsi="宋体" w:hint="eastAsia"/>
          <w:sz w:val="24"/>
        </w:rPr>
        <w:t>形成端侧不出</w:t>
      </w:r>
      <w:proofErr w:type="gramEnd"/>
      <w:r w:rsidRPr="00355DB1">
        <w:rPr>
          <w:rFonts w:ascii="宋体" w:eastAsia="宋体" w:hAnsi="宋体" w:hint="eastAsia"/>
          <w:sz w:val="24"/>
        </w:rPr>
        <w:t>端、不上云、可迁移、可继承、</w:t>
      </w:r>
      <w:proofErr w:type="gramStart"/>
      <w:r w:rsidRPr="00355DB1">
        <w:rPr>
          <w:rFonts w:ascii="宋体" w:eastAsia="宋体" w:hAnsi="宋体" w:hint="eastAsia"/>
          <w:sz w:val="24"/>
        </w:rPr>
        <w:t>可成长的个人本地</w:t>
      </w:r>
      <w:proofErr w:type="gramEnd"/>
      <w:r w:rsidRPr="00355DB1">
        <w:rPr>
          <w:rFonts w:ascii="宋体" w:eastAsia="宋体" w:hAnsi="宋体" w:hint="eastAsia"/>
          <w:sz w:val="24"/>
        </w:rPr>
        <w:t>知识库，结合模型压缩等轻量化技术，形成个人专属模型和新型智能生产工</w:t>
      </w:r>
      <w:r w:rsidRPr="00355DB1">
        <w:rPr>
          <w:rFonts w:ascii="宋体" w:eastAsia="宋体" w:hAnsi="宋体" w:hint="eastAsia"/>
          <w:sz w:val="24"/>
        </w:rPr>
        <w:lastRenderedPageBreak/>
        <w:t>具。到2027年，人工智能计算机产量达到3000万台以上。</w:t>
      </w:r>
    </w:p>
    <w:p w14:paraId="1DA99AB0"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16. 聚焦“一老一小”强化智能保育康复产品。</w:t>
      </w:r>
      <w:r w:rsidRPr="00355DB1">
        <w:rPr>
          <w:rFonts w:ascii="宋体" w:eastAsia="宋体" w:hAnsi="宋体" w:hint="eastAsia"/>
          <w:sz w:val="24"/>
        </w:rPr>
        <w:t>提升家庭服务机器人、健康监测设备、轮椅等智能化日用辅助产品，助行器、失禁训练辅具等康复训练及健康促进辅具，智能</w:t>
      </w:r>
      <w:proofErr w:type="gramStart"/>
      <w:r w:rsidRPr="00355DB1">
        <w:rPr>
          <w:rFonts w:ascii="宋体" w:eastAsia="宋体" w:hAnsi="宋体" w:hint="eastAsia"/>
          <w:sz w:val="24"/>
        </w:rPr>
        <w:t>助浴器</w:t>
      </w:r>
      <w:proofErr w:type="gramEnd"/>
      <w:r w:rsidRPr="00355DB1">
        <w:rPr>
          <w:rFonts w:ascii="宋体" w:eastAsia="宋体" w:hAnsi="宋体" w:hint="eastAsia"/>
          <w:sz w:val="24"/>
        </w:rPr>
        <w:t>、移位机、康复护理床等养老照护产品的智能水平和安全性。支持研发生产集聊天、早教启蒙、娱乐陪伴为一体的智能互动玩具产品。到2027年，保育康复用品领域新增1500种以上专业新产品。</w:t>
      </w:r>
    </w:p>
    <w:p w14:paraId="0EA0257C"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17. 融合跨界提质智能家电产品。</w:t>
      </w:r>
      <w:r w:rsidRPr="00355DB1">
        <w:rPr>
          <w:rFonts w:ascii="宋体" w:eastAsia="宋体" w:hAnsi="宋体" w:hint="eastAsia"/>
          <w:sz w:val="24"/>
        </w:rPr>
        <w:t>在家电产品上深度融合应用学习算法、图像识别、智能语音等新技术，开发</w:t>
      </w:r>
      <w:proofErr w:type="gramStart"/>
      <w:r w:rsidRPr="00355DB1">
        <w:rPr>
          <w:rFonts w:ascii="宋体" w:eastAsia="宋体" w:hAnsi="宋体" w:hint="eastAsia"/>
          <w:sz w:val="24"/>
        </w:rPr>
        <w:t>高端新型</w:t>
      </w:r>
      <w:proofErr w:type="gramEnd"/>
      <w:r w:rsidRPr="00355DB1">
        <w:rPr>
          <w:rFonts w:ascii="宋体" w:eastAsia="宋体" w:hAnsi="宋体" w:hint="eastAsia"/>
          <w:sz w:val="24"/>
        </w:rPr>
        <w:t>智能化产品，提升品牌国际影响力。推动家电、家具、日用品等智能家居产品互联互通，开发个性化定制、特殊用途及适用特殊人群等智能家电，丰富高端智能家电单品和服务供给。到2027年，智能家电战略性产业集群营业收入达到1.9</w:t>
      </w:r>
      <w:proofErr w:type="gramStart"/>
      <w:r w:rsidRPr="00355DB1">
        <w:rPr>
          <w:rFonts w:ascii="宋体" w:eastAsia="宋体" w:hAnsi="宋体" w:hint="eastAsia"/>
          <w:sz w:val="24"/>
        </w:rPr>
        <w:t>万亿</w:t>
      </w:r>
      <w:proofErr w:type="gramEnd"/>
      <w:r w:rsidRPr="00355DB1">
        <w:rPr>
          <w:rFonts w:ascii="宋体" w:eastAsia="宋体" w:hAnsi="宋体" w:hint="eastAsia"/>
          <w:sz w:val="24"/>
        </w:rPr>
        <w:t>元。</w:t>
      </w:r>
    </w:p>
    <w:p w14:paraId="30CACDD4"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18. 丰富虚拟现实智能终端。</w:t>
      </w:r>
      <w:r w:rsidRPr="00355DB1">
        <w:rPr>
          <w:rFonts w:ascii="宋体" w:eastAsia="宋体" w:hAnsi="宋体" w:hint="eastAsia"/>
          <w:sz w:val="24"/>
        </w:rPr>
        <w:t>深化人工智能技术与近眼显示、渲染处理、感知交互、网络传输、内容生产、压缩编码、安全可信等虚拟现实关键技术的融合创新，研发生产一批</w:t>
      </w:r>
      <w:proofErr w:type="gramStart"/>
      <w:r w:rsidRPr="00355DB1">
        <w:rPr>
          <w:rFonts w:ascii="宋体" w:eastAsia="宋体" w:hAnsi="宋体" w:hint="eastAsia"/>
          <w:sz w:val="24"/>
        </w:rPr>
        <w:t>一</w:t>
      </w:r>
      <w:proofErr w:type="gramEnd"/>
      <w:r w:rsidRPr="00355DB1">
        <w:rPr>
          <w:rFonts w:ascii="宋体" w:eastAsia="宋体" w:hAnsi="宋体" w:hint="eastAsia"/>
          <w:sz w:val="24"/>
        </w:rPr>
        <w:t>体式、分体式等多样化终端产品，在工业生产、文化旅游、融合媒体、教育培训、体育健康、商贸创意、智慧城市等重点领域取得突破。到2027年，新增3000款以上的虚拟现实终端和应用。</w:t>
      </w:r>
    </w:p>
    <w:p w14:paraId="6F47184D"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四、打造智能融合应用新引擎，形成经济增长新风口</w:t>
      </w:r>
    </w:p>
    <w:p w14:paraId="157C3D75"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（一）赋能实体经济新动力。</w:t>
      </w:r>
    </w:p>
    <w:p w14:paraId="5A4E722A"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19. 推进工业数字化智能化转型。</w:t>
      </w:r>
      <w:r w:rsidRPr="00355DB1">
        <w:rPr>
          <w:rFonts w:ascii="宋体" w:eastAsia="宋体" w:hAnsi="宋体" w:hint="eastAsia"/>
          <w:sz w:val="24"/>
        </w:rPr>
        <w:t>以“机器换人、数据换脑”推动制造业全流程智能化，深化人工智能技术在研发设计、中试验证、生产制造、运营管理等场景融合应用。加快赋能原材料、装备制造、消费品、电子信息等重点行业。建设碳排放管理大模型，加快生产绿色转型，强化钢铁、有色金属、建材等高能耗重点行业节能降碳，国家级绿色工厂达到700家。</w:t>
      </w:r>
    </w:p>
    <w:p w14:paraId="0E7EAC19"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20. 深度集成推动智能建造。</w:t>
      </w:r>
      <w:r w:rsidRPr="00355DB1">
        <w:rPr>
          <w:rFonts w:ascii="宋体" w:eastAsia="宋体" w:hAnsi="宋体" w:hint="eastAsia"/>
          <w:sz w:val="24"/>
        </w:rPr>
        <w:t>以多模态大模型为载体融合建筑信息模型（BIM）、数字</w:t>
      </w:r>
      <w:proofErr w:type="gramStart"/>
      <w:r w:rsidRPr="00355DB1">
        <w:rPr>
          <w:rFonts w:ascii="宋体" w:eastAsia="宋体" w:hAnsi="宋体" w:hint="eastAsia"/>
          <w:sz w:val="24"/>
        </w:rPr>
        <w:t>孪生等</w:t>
      </w:r>
      <w:proofErr w:type="gramEnd"/>
      <w:r w:rsidRPr="00355DB1">
        <w:rPr>
          <w:rFonts w:ascii="宋体" w:eastAsia="宋体" w:hAnsi="宋体" w:hint="eastAsia"/>
          <w:sz w:val="24"/>
        </w:rPr>
        <w:t>技术，推动全专业信息化集成和设计协同，实现自动完成设计解析、施工图纸与建筑模型的一致性审核、数据匹配等工作，缩短设计模型向施工应用的转化时间，提升项目管理、质量安全监管等环节的智能化水</w:t>
      </w:r>
      <w:r w:rsidRPr="00355DB1">
        <w:rPr>
          <w:rFonts w:ascii="宋体" w:eastAsia="宋体" w:hAnsi="宋体" w:hint="eastAsia"/>
          <w:sz w:val="24"/>
        </w:rPr>
        <w:lastRenderedPageBreak/>
        <w:t>平。</w:t>
      </w:r>
    </w:p>
    <w:p w14:paraId="2C9CF1B5"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21. 智能系统驱动智慧农业。</w:t>
      </w:r>
      <w:r w:rsidRPr="00355DB1">
        <w:rPr>
          <w:rFonts w:ascii="宋体" w:eastAsia="宋体" w:hAnsi="宋体" w:hint="eastAsia"/>
          <w:sz w:val="24"/>
        </w:rPr>
        <w:t>加快智能设施应用，运用智能传感器监测土壤湿度、温度等参数，加强人工智能算法在产量判断、气象预测、市场分析等方面应用，建设数字田园和智慧农（牧、渔）场。提升动植物保护智能化水平，加强病虫害防控。加快“一大一小”智能农机装备的制造推广，鼓励农业机械产业</w:t>
      </w:r>
      <w:proofErr w:type="gramStart"/>
      <w:r w:rsidRPr="00355DB1">
        <w:rPr>
          <w:rFonts w:ascii="宋体" w:eastAsia="宋体" w:hAnsi="宋体" w:hint="eastAsia"/>
          <w:sz w:val="24"/>
        </w:rPr>
        <w:t>链供应</w:t>
      </w:r>
      <w:proofErr w:type="gramEnd"/>
      <w:r w:rsidRPr="00355DB1">
        <w:rPr>
          <w:rFonts w:ascii="宋体" w:eastAsia="宋体" w:hAnsi="宋体" w:hint="eastAsia"/>
          <w:sz w:val="24"/>
        </w:rPr>
        <w:t>链的新机制新模式。</w:t>
      </w:r>
    </w:p>
    <w:p w14:paraId="1BF17031"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22. 智慧交通打造现代运输体系。</w:t>
      </w:r>
      <w:r w:rsidRPr="00355DB1">
        <w:rPr>
          <w:rFonts w:ascii="宋体" w:eastAsia="宋体" w:hAnsi="宋体" w:hint="eastAsia"/>
          <w:sz w:val="24"/>
        </w:rPr>
        <w:t>开展智能铁路、公路、航道、港口等示范工程，推动智慧枢纽、邮政、海事，建设大湾区核心路网智慧运营系统。推进智能网联汽车“车路云”一体化应用，建设数字化智能化基础设施、城市级服务管理平台，</w:t>
      </w:r>
      <w:proofErr w:type="gramStart"/>
      <w:r w:rsidRPr="00355DB1">
        <w:rPr>
          <w:rFonts w:ascii="宋体" w:eastAsia="宋体" w:hAnsi="宋体" w:hint="eastAsia"/>
          <w:sz w:val="24"/>
        </w:rPr>
        <w:t>探索高</w:t>
      </w:r>
      <w:proofErr w:type="gramEnd"/>
      <w:r w:rsidRPr="00355DB1">
        <w:rPr>
          <w:rFonts w:ascii="宋体" w:eastAsia="宋体" w:hAnsi="宋体" w:hint="eastAsia"/>
          <w:sz w:val="24"/>
        </w:rPr>
        <w:t>精度地图安全应用。高效推进低空经济基础设施建设，加快构建产供体系。发展智慧物流园区、数字仓库等新型物流基础设施，鼓励有条件的城市搭建智慧物流“大脑”。</w:t>
      </w:r>
    </w:p>
    <w:p w14:paraId="1869CD90"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23. 多方融合共建智慧能源。</w:t>
      </w:r>
      <w:r w:rsidRPr="00355DB1">
        <w:rPr>
          <w:rFonts w:ascii="宋体" w:eastAsia="宋体" w:hAnsi="宋体" w:hint="eastAsia"/>
          <w:sz w:val="24"/>
        </w:rPr>
        <w:t>加快人工智能与电力、能源工业互联网、电力全域物联网等装备及系统的融合应用。推进建设智能变电站、多能互补综合能源网络，构建适应大规模新能源接入并满足分布式能源“即插即用”要求的全省智能化电网。</w:t>
      </w:r>
    </w:p>
    <w:p w14:paraId="2DFFC4E9"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（二）赋能智慧民生新体验。</w:t>
      </w:r>
    </w:p>
    <w:p w14:paraId="4831EFF1"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24. 智能辅助提</w:t>
      </w:r>
      <w:proofErr w:type="gramStart"/>
      <w:r w:rsidRPr="00355DB1">
        <w:rPr>
          <w:rFonts w:ascii="宋体" w:eastAsia="宋体" w:hAnsi="宋体" w:hint="eastAsia"/>
          <w:b/>
          <w:bCs/>
          <w:sz w:val="24"/>
        </w:rPr>
        <w:t>质教育</w:t>
      </w:r>
      <w:proofErr w:type="gramEnd"/>
      <w:r w:rsidRPr="00355DB1">
        <w:rPr>
          <w:rFonts w:ascii="宋体" w:eastAsia="宋体" w:hAnsi="宋体" w:hint="eastAsia"/>
          <w:b/>
          <w:bCs/>
          <w:sz w:val="24"/>
        </w:rPr>
        <w:t>教学。</w:t>
      </w:r>
      <w:r w:rsidRPr="00355DB1">
        <w:rPr>
          <w:rFonts w:ascii="宋体" w:eastAsia="宋体" w:hAnsi="宋体" w:hint="eastAsia"/>
          <w:sz w:val="24"/>
        </w:rPr>
        <w:t>推广智能助教、智能导学、教育机器人等新型资源开发和应用，通过人机共教、人机共育，助力减负增效，创新教学模式。开发智能化的评价工具，推进教育教学评价方式改革。加强虚拟仿真、智能感知等装备配备，提供适应性学习资源和智能学习服务，打造智慧教室、智慧校园。</w:t>
      </w:r>
    </w:p>
    <w:p w14:paraId="3ECECD76"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25. 互联共享提升医疗服务能力。</w:t>
      </w:r>
      <w:r w:rsidRPr="00355DB1">
        <w:rPr>
          <w:rFonts w:ascii="宋体" w:eastAsia="宋体" w:hAnsi="宋体" w:hint="eastAsia"/>
          <w:sz w:val="24"/>
        </w:rPr>
        <w:t>建设智慧医院，整合打通相关线上服务终端。建立跨部门、跨机构公共卫生数据共享调度机制和智慧化预警多点触发机制，加强药品供应保障智慧监测。打造“智医助理”辅助医生提高诊断效率和质量，辅助患者自查病症、指导用药、解读报告等。加强机器人在患者院前管理、院内</w:t>
      </w:r>
      <w:proofErr w:type="gramStart"/>
      <w:r w:rsidRPr="00355DB1">
        <w:rPr>
          <w:rFonts w:ascii="宋体" w:eastAsia="宋体" w:hAnsi="宋体" w:hint="eastAsia"/>
          <w:sz w:val="24"/>
        </w:rPr>
        <w:t>诊疗及院后</w:t>
      </w:r>
      <w:proofErr w:type="gramEnd"/>
      <w:r w:rsidRPr="00355DB1">
        <w:rPr>
          <w:rFonts w:ascii="宋体" w:eastAsia="宋体" w:hAnsi="宋体" w:hint="eastAsia"/>
          <w:sz w:val="24"/>
        </w:rPr>
        <w:t>康复追踪服务体系中的应用。</w:t>
      </w:r>
    </w:p>
    <w:p w14:paraId="1EAD0AB3"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lastRenderedPageBreak/>
        <w:t>26. 智慧养老助推银发经济。</w:t>
      </w:r>
      <w:r w:rsidRPr="00355DB1">
        <w:rPr>
          <w:rFonts w:ascii="宋体" w:eastAsia="宋体" w:hAnsi="宋体" w:hint="eastAsia"/>
          <w:sz w:val="24"/>
        </w:rPr>
        <w:t>加强个人、家庭、社区与医疗机构等各方健康养老资源的配置整合与有效对接，打造“平台+服务+产品+响应+监管”的智慧养老服务体系。推进医疗、民政、生活缴费等领域老年人常用互联网应用、APP应用和移动终端、家电家居的适老化智能改造。</w:t>
      </w:r>
    </w:p>
    <w:p w14:paraId="6F803EE7"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27. 智慧定制助推全民健身。</w:t>
      </w:r>
      <w:r w:rsidRPr="00355DB1">
        <w:rPr>
          <w:rFonts w:ascii="宋体" w:eastAsia="宋体" w:hAnsi="宋体" w:hint="eastAsia"/>
          <w:sz w:val="24"/>
        </w:rPr>
        <w:t>支持多模态大模型融合生理、饮食、健身器械等领域专业知识，打造私人健康教练。推动实现全民健身与人工智能深度融合，发展智能体育产品、建设智慧体育场馆及智能户外运动设施，推广运动健身APP及平台等智慧体育新技术、新产品及应用场景。</w:t>
      </w:r>
    </w:p>
    <w:p w14:paraId="25FA27DE"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28. 智能家政打造生活助手。</w:t>
      </w:r>
      <w:r w:rsidRPr="00355DB1">
        <w:rPr>
          <w:rFonts w:ascii="宋体" w:eastAsia="宋体" w:hAnsi="宋体" w:hint="eastAsia"/>
          <w:sz w:val="24"/>
        </w:rPr>
        <w:t>推广集清洁、教育、餐饮、购物、护理、娱乐等功能于一体的综合式家政机器人，通过提取解析人类语言深层信息并生成动作指令，完成对家庭事务的机器替代，提供个性化服务。</w:t>
      </w:r>
    </w:p>
    <w:p w14:paraId="08D8448C"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（三）赋能社会治理新效能。</w:t>
      </w:r>
    </w:p>
    <w:p w14:paraId="6BCA5A9D"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29. 惠企利民建设智慧政府。</w:t>
      </w:r>
      <w:r w:rsidRPr="00355DB1">
        <w:rPr>
          <w:rFonts w:ascii="宋体" w:eastAsia="宋体" w:hAnsi="宋体" w:hint="eastAsia"/>
          <w:sz w:val="24"/>
        </w:rPr>
        <w:t>利用政务大模型智能化升级广东政务服务网、“粤系列”政务服务平台，提供全时在线问答和搜索服务。建设面向全省各级党政机关的</w:t>
      </w:r>
      <w:proofErr w:type="gramStart"/>
      <w:r w:rsidRPr="00355DB1">
        <w:rPr>
          <w:rFonts w:ascii="宋体" w:eastAsia="宋体" w:hAnsi="宋体" w:hint="eastAsia"/>
          <w:sz w:val="24"/>
        </w:rPr>
        <w:t>视频算力支撑</w:t>
      </w:r>
      <w:proofErr w:type="gramEnd"/>
      <w:r w:rsidRPr="00355DB1">
        <w:rPr>
          <w:rFonts w:ascii="宋体" w:eastAsia="宋体" w:hAnsi="宋体" w:hint="eastAsia"/>
          <w:sz w:val="24"/>
        </w:rPr>
        <w:t>基础平台，提升视频智能化水平。在“粤经济”平台融合经济算法模型，为政府在经济运行监测、分析</w:t>
      </w:r>
      <w:proofErr w:type="gramStart"/>
      <w:r w:rsidRPr="00355DB1">
        <w:rPr>
          <w:rFonts w:ascii="宋体" w:eastAsia="宋体" w:hAnsi="宋体" w:hint="eastAsia"/>
          <w:sz w:val="24"/>
        </w:rPr>
        <w:t>研</w:t>
      </w:r>
      <w:proofErr w:type="gramEnd"/>
      <w:r w:rsidRPr="00355DB1">
        <w:rPr>
          <w:rFonts w:ascii="宋体" w:eastAsia="宋体" w:hAnsi="宋体" w:hint="eastAsia"/>
          <w:sz w:val="24"/>
        </w:rPr>
        <w:t>判、政策仿真等场景提供决策支撑。</w:t>
      </w:r>
    </w:p>
    <w:p w14:paraId="4D033C3C"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30. 智慧建设释放城市新活力。</w:t>
      </w:r>
      <w:r w:rsidRPr="00355DB1">
        <w:rPr>
          <w:rFonts w:ascii="宋体" w:eastAsia="宋体" w:hAnsi="宋体" w:hint="eastAsia"/>
          <w:sz w:val="24"/>
        </w:rPr>
        <w:t>推进社区治理、自然资源、市场监管等领域技术应用，拓展城市信息模型</w:t>
      </w:r>
      <w:proofErr w:type="gramStart"/>
      <w:r w:rsidRPr="00355DB1">
        <w:rPr>
          <w:rFonts w:ascii="宋体" w:eastAsia="宋体" w:hAnsi="宋体" w:hint="eastAsia"/>
          <w:sz w:val="24"/>
        </w:rPr>
        <w:t>平台数实融合</w:t>
      </w:r>
      <w:proofErr w:type="gramEnd"/>
      <w:r w:rsidRPr="00355DB1">
        <w:rPr>
          <w:rFonts w:ascii="宋体" w:eastAsia="宋体" w:hAnsi="宋体" w:hint="eastAsia"/>
          <w:sz w:val="24"/>
        </w:rPr>
        <w:t>等场景应用，实现对生态风险、城市运行安全风险的监测预警和防范处理。推进底线民生智慧触达，支持保护老弱病残等特殊人群权益的人工智能产品和服务。</w:t>
      </w:r>
    </w:p>
    <w:p w14:paraId="102AA5BD"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31. 全流程辅助提升司法效率。</w:t>
      </w:r>
      <w:r w:rsidRPr="00355DB1">
        <w:rPr>
          <w:rFonts w:ascii="宋体" w:eastAsia="宋体" w:hAnsi="宋体" w:hint="eastAsia"/>
          <w:sz w:val="24"/>
        </w:rPr>
        <w:t>推进人工智能技术为审判执行、诉讼服务等工作提供全流程高水平辅助支持，实现证据指引与审查笔录自动生成、案件裁判偏离度预警、电子卷宗自动归档、诉讼和调解咨询问答等智慧功能，高效保障廉洁司法。</w:t>
      </w:r>
    </w:p>
    <w:p w14:paraId="4F24F244"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32. 智慧安全提升保障能力。</w:t>
      </w:r>
      <w:r w:rsidRPr="00355DB1">
        <w:rPr>
          <w:rFonts w:ascii="宋体" w:eastAsia="宋体" w:hAnsi="宋体" w:hint="eastAsia"/>
          <w:sz w:val="24"/>
        </w:rPr>
        <w:t>推动智慧食药监建设，加强食品、药品智能安全监管。深化智能防控、感知等技术在公共安全领域应用，智能预警自然灾害。</w:t>
      </w:r>
      <w:r w:rsidRPr="00355DB1">
        <w:rPr>
          <w:rFonts w:ascii="宋体" w:eastAsia="宋体" w:hAnsi="宋体" w:hint="eastAsia"/>
          <w:sz w:val="24"/>
        </w:rPr>
        <w:lastRenderedPageBreak/>
        <w:t>推广运用智能机器人、无人机等开展快速应急处置。推进燃气、桥梁、地下管线等公共安全设施和矿山、消防等领域智能化转型，保障安全生产。</w:t>
      </w:r>
    </w:p>
    <w:p w14:paraId="576EF3CB"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33. 智慧环保共创美好家园。</w:t>
      </w:r>
      <w:proofErr w:type="gramStart"/>
      <w:r w:rsidRPr="00355DB1">
        <w:rPr>
          <w:rFonts w:ascii="宋体" w:eastAsia="宋体" w:hAnsi="宋体" w:hint="eastAsia"/>
          <w:sz w:val="24"/>
        </w:rPr>
        <w:t>构建多元</w:t>
      </w:r>
      <w:proofErr w:type="gramEnd"/>
      <w:r w:rsidRPr="00355DB1">
        <w:rPr>
          <w:rFonts w:ascii="宋体" w:eastAsia="宋体" w:hAnsi="宋体" w:hint="eastAsia"/>
          <w:sz w:val="24"/>
        </w:rPr>
        <w:t>智慧环境治理体系，全面提升污染溯源、污染防治、形势</w:t>
      </w:r>
      <w:proofErr w:type="gramStart"/>
      <w:r w:rsidRPr="00355DB1">
        <w:rPr>
          <w:rFonts w:ascii="宋体" w:eastAsia="宋体" w:hAnsi="宋体" w:hint="eastAsia"/>
          <w:sz w:val="24"/>
        </w:rPr>
        <w:t>研</w:t>
      </w:r>
      <w:proofErr w:type="gramEnd"/>
      <w:r w:rsidRPr="00355DB1">
        <w:rPr>
          <w:rFonts w:ascii="宋体" w:eastAsia="宋体" w:hAnsi="宋体" w:hint="eastAsia"/>
          <w:sz w:val="24"/>
        </w:rPr>
        <w:t>判、决策支撑能力。完善生态环境监测网络，推进遥感监测、碳监测、新污染物监测和环境监测评估等智能化。推动生态环境监管执法智慧化。</w:t>
      </w:r>
    </w:p>
    <w:p w14:paraId="568B8B76"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（四）赋能数字消费新业态。</w:t>
      </w:r>
    </w:p>
    <w:p w14:paraId="42720A1B"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34. 智能商务激发商业潜能。</w:t>
      </w:r>
      <w:r w:rsidRPr="00355DB1">
        <w:rPr>
          <w:rFonts w:ascii="宋体" w:eastAsia="宋体" w:hAnsi="宋体" w:hint="eastAsia"/>
          <w:sz w:val="24"/>
        </w:rPr>
        <w:t>推进精准营销、智慧商圈、智能配送等新型商贸服务，发展“无人售货商店”，促进商贸流通服务智能化转型。基于消费者历史购买行为、交易记录等细分数据，智能识别消费者显著特征，生成用户画像，预测偏好和兴趣，通过个性化营销增强用户体验。</w:t>
      </w:r>
    </w:p>
    <w:p w14:paraId="2BFA784A"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35. 智慧金融提升金融服务。</w:t>
      </w:r>
      <w:r w:rsidRPr="00355DB1">
        <w:rPr>
          <w:rFonts w:ascii="宋体" w:eastAsia="宋体" w:hAnsi="宋体" w:hint="eastAsia"/>
          <w:sz w:val="24"/>
        </w:rPr>
        <w:t>将智能模型贯穿于产品服务的全部工序，运用机器人流程自动化、自然语言处理、智能字符识别等技术端到端重构数字化流程。</w:t>
      </w:r>
      <w:proofErr w:type="gramStart"/>
      <w:r w:rsidRPr="00355DB1">
        <w:rPr>
          <w:rFonts w:ascii="宋体" w:eastAsia="宋体" w:hAnsi="宋体" w:hint="eastAsia"/>
          <w:sz w:val="24"/>
        </w:rPr>
        <w:t>搭建多元</w:t>
      </w:r>
      <w:proofErr w:type="gramEnd"/>
      <w:r w:rsidRPr="00355DB1">
        <w:rPr>
          <w:rFonts w:ascii="宋体" w:eastAsia="宋体" w:hAnsi="宋体" w:hint="eastAsia"/>
          <w:sz w:val="24"/>
        </w:rPr>
        <w:t>融通服务渠道，推动实体网点向多模态、交互型智慧网点升级。聚焦老年、残障、少数民族等人群日常高频金融场景，打造智能化服务体系。</w:t>
      </w:r>
    </w:p>
    <w:p w14:paraId="42E5777D"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36. 创新体验升级旅游发展模式。</w:t>
      </w:r>
      <w:r w:rsidRPr="00355DB1">
        <w:rPr>
          <w:rFonts w:ascii="宋体" w:eastAsia="宋体" w:hAnsi="宋体" w:hint="eastAsia"/>
          <w:sz w:val="24"/>
        </w:rPr>
        <w:t>建设智慧景区，规模化发展智慧导</w:t>
      </w:r>
      <w:proofErr w:type="gramStart"/>
      <w:r w:rsidRPr="00355DB1">
        <w:rPr>
          <w:rFonts w:ascii="宋体" w:eastAsia="宋体" w:hAnsi="宋体" w:hint="eastAsia"/>
          <w:sz w:val="24"/>
        </w:rPr>
        <w:t>览</w:t>
      </w:r>
      <w:proofErr w:type="gramEnd"/>
      <w:r w:rsidRPr="00355DB1">
        <w:rPr>
          <w:rFonts w:ascii="宋体" w:eastAsia="宋体" w:hAnsi="宋体" w:hint="eastAsia"/>
          <w:sz w:val="24"/>
        </w:rPr>
        <w:t>、VR/AR沉浸式旅游、云旅游等应用场景。拓展旅游景区在客流统计、消费分析与预测、应急处置等方面的大模型技术应用能力，拓展旅游产品营销渠道。</w:t>
      </w:r>
    </w:p>
    <w:p w14:paraId="7825D09F"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37. 智能交互丰富文化娱乐生活。</w:t>
      </w:r>
      <w:r w:rsidRPr="00355DB1">
        <w:rPr>
          <w:rFonts w:ascii="宋体" w:eastAsia="宋体" w:hAnsi="宋体" w:hint="eastAsia"/>
          <w:sz w:val="24"/>
        </w:rPr>
        <w:t>建设智慧图书馆、博物馆，打造智慧广电、电影数字节目管理等信息数字化服务平台。鼓励企业运用智能技术改造提升产业链，打造智能驱动型数字人，促进文生视频等内容生产和传播手段现代化。培育沉浸式交互式业态，构建一批新场景新应用。</w:t>
      </w:r>
    </w:p>
    <w:p w14:paraId="5DC15846"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（五）赋能各行各业新领域。</w:t>
      </w:r>
    </w:p>
    <w:p w14:paraId="5D6460A7"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38. 全面推进智能场景应用。</w:t>
      </w:r>
      <w:r w:rsidRPr="00355DB1">
        <w:rPr>
          <w:rFonts w:ascii="宋体" w:eastAsia="宋体" w:hAnsi="宋体" w:hint="eastAsia"/>
          <w:sz w:val="24"/>
        </w:rPr>
        <w:t>积极发挥人工智能在药物设计与发现、材料科学、物理和化学模拟等科学研究领域作用，推动科学进步和创新。加快人工智能在生物制造、商业航空、餐饮、房地产等各领域多元化应用，消费新场景、新业态、新模式、新品牌加速形成，劳动力进一步解放，人工智能应用相关新</w:t>
      </w:r>
      <w:r w:rsidRPr="00355DB1">
        <w:rPr>
          <w:rFonts w:ascii="宋体" w:eastAsia="宋体" w:hAnsi="宋体" w:hint="eastAsia"/>
          <w:sz w:val="24"/>
        </w:rPr>
        <w:lastRenderedPageBreak/>
        <w:t>岗位大幅增加。</w:t>
      </w:r>
    </w:p>
    <w:p w14:paraId="6EDCBDBB"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五、保障措施</w:t>
      </w:r>
    </w:p>
    <w:p w14:paraId="2567B1AF"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39. 建立健全人工智能产业发展组织协调机制。</w:t>
      </w:r>
      <w:r w:rsidRPr="00355DB1">
        <w:rPr>
          <w:rFonts w:ascii="宋体" w:eastAsia="宋体" w:hAnsi="宋体" w:hint="eastAsia"/>
          <w:sz w:val="24"/>
        </w:rPr>
        <w:t>在省委科技委员会统筹指导下，省制造业高质量发展工作领导小组加强对人工智能赋能千行百业的组织协调，发挥专家咨询委员会作用，研究解决产业发展中的困难和问题。建立省市联动、政企协作机制，鼓励有条件的地市将人工智能产业纳入本市战略性新兴产业重点领域。支持建立包容审慎的容错纠错机制，组织各类市场主体</w:t>
      </w:r>
      <w:proofErr w:type="gramStart"/>
      <w:r w:rsidRPr="00355DB1">
        <w:rPr>
          <w:rFonts w:ascii="宋体" w:eastAsia="宋体" w:hAnsi="宋体" w:hint="eastAsia"/>
          <w:sz w:val="24"/>
        </w:rPr>
        <w:t>实施伙伴</w:t>
      </w:r>
      <w:proofErr w:type="gramEnd"/>
      <w:r w:rsidRPr="00355DB1">
        <w:rPr>
          <w:rFonts w:ascii="宋体" w:eastAsia="宋体" w:hAnsi="宋体" w:hint="eastAsia"/>
          <w:sz w:val="24"/>
        </w:rPr>
        <w:t>合作计划。</w:t>
      </w:r>
    </w:p>
    <w:p w14:paraId="16185F11"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40. 多方参与加强政策供给。</w:t>
      </w:r>
      <w:r w:rsidRPr="00355DB1">
        <w:rPr>
          <w:rFonts w:ascii="宋体" w:eastAsia="宋体" w:hAnsi="宋体" w:hint="eastAsia"/>
          <w:sz w:val="24"/>
        </w:rPr>
        <w:t>统筹省市各类资金，加强对人工智能产业的资金支持，支持人工智能领域项目建设。研究推动可信人工智能产品与服务供给相关法规规章的制定。定期发布应用场景清单，建立创新产品激励机制，编制创新产品推荐目录。鼓励各地市给予装备首台套、软件首版次、新材料首批次、</w:t>
      </w:r>
      <w:proofErr w:type="gramStart"/>
      <w:r w:rsidRPr="00355DB1">
        <w:rPr>
          <w:rFonts w:ascii="宋体" w:eastAsia="宋体" w:hAnsi="宋体" w:hint="eastAsia"/>
          <w:sz w:val="24"/>
        </w:rPr>
        <w:t>首购订购</w:t>
      </w:r>
      <w:proofErr w:type="gramEnd"/>
      <w:r w:rsidRPr="00355DB1">
        <w:rPr>
          <w:rFonts w:ascii="宋体" w:eastAsia="宋体" w:hAnsi="宋体" w:hint="eastAsia"/>
          <w:sz w:val="24"/>
        </w:rPr>
        <w:t>等相关政策支持，并在应用场景单位部署使用。</w:t>
      </w:r>
    </w:p>
    <w:p w14:paraId="4003D682"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41. 逐步建立产业标准体系。</w:t>
      </w:r>
      <w:r w:rsidRPr="00355DB1">
        <w:rPr>
          <w:rFonts w:ascii="宋体" w:eastAsia="宋体" w:hAnsi="宋体" w:hint="eastAsia"/>
          <w:sz w:val="24"/>
        </w:rPr>
        <w:t>建设人工智能关键技术领域专利数据库，开展专利导航，组建细分领域专利联盟，促进知识产权转移转化。加快大模型安全合</w:t>
      </w:r>
      <w:proofErr w:type="gramStart"/>
      <w:r w:rsidRPr="00355DB1">
        <w:rPr>
          <w:rFonts w:ascii="宋体" w:eastAsia="宋体" w:hAnsi="宋体" w:hint="eastAsia"/>
          <w:sz w:val="24"/>
        </w:rPr>
        <w:t>规</w:t>
      </w:r>
      <w:proofErr w:type="gramEnd"/>
      <w:r w:rsidRPr="00355DB1">
        <w:rPr>
          <w:rFonts w:ascii="宋体" w:eastAsia="宋体" w:hAnsi="宋体" w:hint="eastAsia"/>
          <w:sz w:val="24"/>
        </w:rPr>
        <w:t>认证、轻量化技术、效能评测等方面的标准、规范和工具布局，支持企业参与制定。建立保障人工智能健康</w:t>
      </w:r>
      <w:proofErr w:type="gramStart"/>
      <w:r w:rsidRPr="00355DB1">
        <w:rPr>
          <w:rFonts w:ascii="宋体" w:eastAsia="宋体" w:hAnsi="宋体" w:hint="eastAsia"/>
          <w:sz w:val="24"/>
        </w:rPr>
        <w:t>安全发展</w:t>
      </w:r>
      <w:proofErr w:type="gramEnd"/>
      <w:r w:rsidRPr="00355DB1">
        <w:rPr>
          <w:rFonts w:ascii="宋体" w:eastAsia="宋体" w:hAnsi="宋体" w:hint="eastAsia"/>
          <w:sz w:val="24"/>
        </w:rPr>
        <w:t>的制度规范。探索建立人工智能产业赋能指标体系。</w:t>
      </w:r>
    </w:p>
    <w:p w14:paraId="6E491011"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42. 创新人才培育。</w:t>
      </w:r>
      <w:r w:rsidRPr="00355DB1">
        <w:rPr>
          <w:rFonts w:ascii="宋体" w:eastAsia="宋体" w:hAnsi="宋体" w:hint="eastAsia"/>
          <w:sz w:val="24"/>
        </w:rPr>
        <w:t>加大各</w:t>
      </w:r>
      <w:proofErr w:type="gramStart"/>
      <w:r w:rsidRPr="00355DB1">
        <w:rPr>
          <w:rFonts w:ascii="宋体" w:eastAsia="宋体" w:hAnsi="宋体" w:hint="eastAsia"/>
          <w:sz w:val="24"/>
        </w:rPr>
        <w:t>类政策</w:t>
      </w:r>
      <w:proofErr w:type="gramEnd"/>
      <w:r w:rsidRPr="00355DB1">
        <w:rPr>
          <w:rFonts w:ascii="宋体" w:eastAsia="宋体" w:hAnsi="宋体" w:hint="eastAsia"/>
          <w:sz w:val="24"/>
        </w:rPr>
        <w:t>措施引才聚才力度，重点培育集聚高层次人才，带动培养一批人工智能创新团队。建设人才继续教育实训和高技能人才培养等基地，开展人工智能紧缺急需专业技术人才和高技能复合人才的培训。在优势产业中实施“智慧工匠”“首席算法师”计划，探索开展人工智能人才分类统计，定期发布人才行业标准。</w:t>
      </w:r>
    </w:p>
    <w:p w14:paraId="03FA4A06"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43. 强化创新示范应用。</w:t>
      </w:r>
      <w:r w:rsidRPr="00355DB1">
        <w:rPr>
          <w:rFonts w:ascii="宋体" w:eastAsia="宋体" w:hAnsi="宋体" w:hint="eastAsia"/>
          <w:sz w:val="24"/>
        </w:rPr>
        <w:t>支持一批创新程度高、应用价值大、市场前景好的重点项目，锻造人工智能“长板”企业，适时总结示范成效和优秀案例，优先给予推广机会。组织开展人工智能创新创业大赛，展示创新产品、优秀案例和应用场景，开展招商及项目推介等对接服务，搭建新产品新技术的供需平台。</w:t>
      </w:r>
    </w:p>
    <w:p w14:paraId="33F686BF"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lastRenderedPageBreak/>
        <w:t>44. 营造产业生态氛围。</w:t>
      </w:r>
      <w:r w:rsidRPr="00355DB1">
        <w:rPr>
          <w:rFonts w:ascii="宋体" w:eastAsia="宋体" w:hAnsi="宋体" w:hint="eastAsia"/>
          <w:sz w:val="24"/>
        </w:rPr>
        <w:t>充分发挥广州、深圳建设国家新一代人工智能创新发展试验区和国家人工智能创新应用先导区作用，加快推动国家（省）人工智能开放创新平台建设。鼓励各地市因地制宜布局重点产业集群，建设人工智能特色小镇、智能终端特色产业园等一批产业基地。智能升级园区产业配套服务和运营体系，打造智慧园区。支持建设人工智能产业创新中心、赋能中心、</w:t>
      </w:r>
      <w:proofErr w:type="gramStart"/>
      <w:r w:rsidRPr="00355DB1">
        <w:rPr>
          <w:rFonts w:ascii="宋体" w:eastAsia="宋体" w:hAnsi="宋体" w:hint="eastAsia"/>
          <w:sz w:val="24"/>
        </w:rPr>
        <w:t>云计算</w:t>
      </w:r>
      <w:proofErr w:type="gramEnd"/>
      <w:r w:rsidRPr="00355DB1">
        <w:rPr>
          <w:rFonts w:ascii="宋体" w:eastAsia="宋体" w:hAnsi="宋体" w:hint="eastAsia"/>
          <w:sz w:val="24"/>
        </w:rPr>
        <w:t>服务平台等，提供一站式生态化服务。</w:t>
      </w:r>
    </w:p>
    <w:p w14:paraId="139C1A91"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b/>
          <w:bCs/>
          <w:sz w:val="24"/>
        </w:rPr>
        <w:t>45. 加强国际交流合作。</w:t>
      </w:r>
      <w:r w:rsidRPr="00355DB1">
        <w:rPr>
          <w:rFonts w:ascii="宋体" w:eastAsia="宋体" w:hAnsi="宋体" w:hint="eastAsia"/>
          <w:sz w:val="24"/>
        </w:rPr>
        <w:t>鼓励外商投资企业在广东设立人工智能实验室和研发中心。积极拓展国际市场，鼓励离岸创新成果在国内转化，视同国内创新成果同等支持。鼓励原始设计制造商做好国际开发，提升智能产品设计能力。深化国内外合作交流，完善国际组织、产业联盟、知名企业等多层次沟通和合作机制，组织和引进国际高水平人工智能学术会议。</w:t>
      </w:r>
    </w:p>
    <w:p w14:paraId="66B3E399" w14:textId="77777777" w:rsidR="00355DB1" w:rsidRPr="00355DB1" w:rsidRDefault="00355DB1" w:rsidP="00355DB1">
      <w:pPr>
        <w:spacing w:line="360" w:lineRule="auto"/>
        <w:rPr>
          <w:rFonts w:ascii="宋体" w:eastAsia="宋体" w:hAnsi="宋体" w:hint="eastAsia"/>
          <w:sz w:val="24"/>
        </w:rPr>
      </w:pPr>
      <w:hyperlink r:id="rId4" w:tgtFrame="_self" w:history="1">
        <w:r w:rsidRPr="00355DB1">
          <w:rPr>
            <w:rStyle w:val="ae"/>
            <w:rFonts w:ascii="宋体" w:eastAsia="宋体" w:hAnsi="宋体" w:hint="eastAsia"/>
            <w:sz w:val="24"/>
          </w:rPr>
          <w:t>媒体解读：我省发布人工智能赋能千行百业的若干措施 到2025年人工智能核心产业规模超3000亿元</w:t>
        </w:r>
      </w:hyperlink>
    </w:p>
    <w:p w14:paraId="1E2F43E5" w14:textId="77777777" w:rsidR="00355DB1" w:rsidRPr="00355DB1" w:rsidRDefault="00355DB1" w:rsidP="00355DB1">
      <w:pPr>
        <w:spacing w:line="360" w:lineRule="auto"/>
        <w:rPr>
          <w:rFonts w:ascii="宋体" w:eastAsia="宋体" w:hAnsi="宋体" w:hint="eastAsia"/>
          <w:sz w:val="24"/>
        </w:rPr>
      </w:pPr>
      <w:r w:rsidRPr="00355DB1">
        <w:rPr>
          <w:rFonts w:ascii="宋体" w:eastAsia="宋体" w:hAnsi="宋体" w:hint="eastAsia"/>
          <w:sz w:val="24"/>
        </w:rPr>
        <w:t>（联系人：市国资委办公室，联系电话：0750-3501926）</w:t>
      </w:r>
    </w:p>
    <w:p w14:paraId="5B907E00" w14:textId="77777777" w:rsidR="00355DB1" w:rsidRPr="00355DB1" w:rsidRDefault="00355DB1" w:rsidP="00355DB1">
      <w:pPr>
        <w:spacing w:line="360" w:lineRule="auto"/>
        <w:rPr>
          <w:rFonts w:ascii="宋体" w:eastAsia="宋体" w:hAnsi="宋体"/>
          <w:sz w:val="24"/>
        </w:rPr>
      </w:pPr>
    </w:p>
    <w:sectPr w:rsidR="00355DB1" w:rsidRPr="00355D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DB1"/>
    <w:rsid w:val="002B07C4"/>
    <w:rsid w:val="00355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9D20F"/>
  <w15:chartTrackingRefBased/>
  <w15:docId w15:val="{74A2C448-0012-4F2A-937E-B1275872E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55DB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55DB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55DB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55DB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55DB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55DB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55DB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5DB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55DB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5DB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55DB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55DB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55DB1"/>
    <w:rPr>
      <w:rFonts w:cstheme="majorBidi"/>
      <w:color w:val="2F5496" w:themeColor="accent1" w:themeShade="BF"/>
      <w:sz w:val="28"/>
      <w:szCs w:val="28"/>
    </w:rPr>
  </w:style>
  <w:style w:type="character" w:customStyle="1" w:styleId="50">
    <w:name w:val="标题 5 字符"/>
    <w:basedOn w:val="a0"/>
    <w:link w:val="5"/>
    <w:uiPriority w:val="9"/>
    <w:semiHidden/>
    <w:rsid w:val="00355DB1"/>
    <w:rPr>
      <w:rFonts w:cstheme="majorBidi"/>
      <w:color w:val="2F5496" w:themeColor="accent1" w:themeShade="BF"/>
      <w:sz w:val="24"/>
    </w:rPr>
  </w:style>
  <w:style w:type="character" w:customStyle="1" w:styleId="60">
    <w:name w:val="标题 6 字符"/>
    <w:basedOn w:val="a0"/>
    <w:link w:val="6"/>
    <w:uiPriority w:val="9"/>
    <w:semiHidden/>
    <w:rsid w:val="00355DB1"/>
    <w:rPr>
      <w:rFonts w:cstheme="majorBidi"/>
      <w:b/>
      <w:bCs/>
      <w:color w:val="2F5496" w:themeColor="accent1" w:themeShade="BF"/>
    </w:rPr>
  </w:style>
  <w:style w:type="character" w:customStyle="1" w:styleId="70">
    <w:name w:val="标题 7 字符"/>
    <w:basedOn w:val="a0"/>
    <w:link w:val="7"/>
    <w:uiPriority w:val="9"/>
    <w:semiHidden/>
    <w:rsid w:val="00355DB1"/>
    <w:rPr>
      <w:rFonts w:cstheme="majorBidi"/>
      <w:b/>
      <w:bCs/>
      <w:color w:val="595959" w:themeColor="text1" w:themeTint="A6"/>
    </w:rPr>
  </w:style>
  <w:style w:type="character" w:customStyle="1" w:styleId="80">
    <w:name w:val="标题 8 字符"/>
    <w:basedOn w:val="a0"/>
    <w:link w:val="8"/>
    <w:uiPriority w:val="9"/>
    <w:semiHidden/>
    <w:rsid w:val="00355DB1"/>
    <w:rPr>
      <w:rFonts w:cstheme="majorBidi"/>
      <w:color w:val="595959" w:themeColor="text1" w:themeTint="A6"/>
    </w:rPr>
  </w:style>
  <w:style w:type="character" w:customStyle="1" w:styleId="90">
    <w:name w:val="标题 9 字符"/>
    <w:basedOn w:val="a0"/>
    <w:link w:val="9"/>
    <w:uiPriority w:val="9"/>
    <w:semiHidden/>
    <w:rsid w:val="00355DB1"/>
    <w:rPr>
      <w:rFonts w:eastAsiaTheme="majorEastAsia" w:cstheme="majorBidi"/>
      <w:color w:val="595959" w:themeColor="text1" w:themeTint="A6"/>
    </w:rPr>
  </w:style>
  <w:style w:type="paragraph" w:styleId="a3">
    <w:name w:val="Title"/>
    <w:basedOn w:val="a"/>
    <w:next w:val="a"/>
    <w:link w:val="a4"/>
    <w:uiPriority w:val="10"/>
    <w:qFormat/>
    <w:rsid w:val="00355D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5D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5D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5D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5DB1"/>
    <w:pPr>
      <w:spacing w:before="160"/>
      <w:jc w:val="center"/>
    </w:pPr>
    <w:rPr>
      <w:i/>
      <w:iCs/>
      <w:color w:val="404040" w:themeColor="text1" w:themeTint="BF"/>
    </w:rPr>
  </w:style>
  <w:style w:type="character" w:customStyle="1" w:styleId="a8">
    <w:name w:val="引用 字符"/>
    <w:basedOn w:val="a0"/>
    <w:link w:val="a7"/>
    <w:uiPriority w:val="29"/>
    <w:rsid w:val="00355DB1"/>
    <w:rPr>
      <w:i/>
      <w:iCs/>
      <w:color w:val="404040" w:themeColor="text1" w:themeTint="BF"/>
    </w:rPr>
  </w:style>
  <w:style w:type="paragraph" w:styleId="a9">
    <w:name w:val="List Paragraph"/>
    <w:basedOn w:val="a"/>
    <w:uiPriority w:val="34"/>
    <w:qFormat/>
    <w:rsid w:val="00355DB1"/>
    <w:pPr>
      <w:ind w:left="720"/>
      <w:contextualSpacing/>
    </w:pPr>
  </w:style>
  <w:style w:type="character" w:styleId="aa">
    <w:name w:val="Intense Emphasis"/>
    <w:basedOn w:val="a0"/>
    <w:uiPriority w:val="21"/>
    <w:qFormat/>
    <w:rsid w:val="00355DB1"/>
    <w:rPr>
      <w:i/>
      <w:iCs/>
      <w:color w:val="2F5496" w:themeColor="accent1" w:themeShade="BF"/>
    </w:rPr>
  </w:style>
  <w:style w:type="paragraph" w:styleId="ab">
    <w:name w:val="Intense Quote"/>
    <w:basedOn w:val="a"/>
    <w:next w:val="a"/>
    <w:link w:val="ac"/>
    <w:uiPriority w:val="30"/>
    <w:qFormat/>
    <w:rsid w:val="00355D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55DB1"/>
    <w:rPr>
      <w:i/>
      <w:iCs/>
      <w:color w:val="2F5496" w:themeColor="accent1" w:themeShade="BF"/>
    </w:rPr>
  </w:style>
  <w:style w:type="character" w:styleId="ad">
    <w:name w:val="Intense Reference"/>
    <w:basedOn w:val="a0"/>
    <w:uiPriority w:val="32"/>
    <w:qFormat/>
    <w:rsid w:val="00355DB1"/>
    <w:rPr>
      <w:b/>
      <w:bCs/>
      <w:smallCaps/>
      <w:color w:val="2F5496" w:themeColor="accent1" w:themeShade="BF"/>
      <w:spacing w:val="5"/>
    </w:rPr>
  </w:style>
  <w:style w:type="character" w:styleId="ae">
    <w:name w:val="Hyperlink"/>
    <w:basedOn w:val="a0"/>
    <w:uiPriority w:val="99"/>
    <w:unhideWhenUsed/>
    <w:rsid w:val="00355DB1"/>
    <w:rPr>
      <w:color w:val="0563C1" w:themeColor="hyperlink"/>
      <w:u w:val="single"/>
    </w:rPr>
  </w:style>
  <w:style w:type="character" w:styleId="af">
    <w:name w:val="Unresolved Mention"/>
    <w:basedOn w:val="a0"/>
    <w:uiPriority w:val="99"/>
    <w:semiHidden/>
    <w:unhideWhenUsed/>
    <w:rsid w:val="00355D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523653">
      <w:bodyDiv w:val="1"/>
      <w:marLeft w:val="0"/>
      <w:marRight w:val="0"/>
      <w:marTop w:val="0"/>
      <w:marBottom w:val="0"/>
      <w:divBdr>
        <w:top w:val="none" w:sz="0" w:space="0" w:color="auto"/>
        <w:left w:val="none" w:sz="0" w:space="0" w:color="auto"/>
        <w:bottom w:val="none" w:sz="0" w:space="0" w:color="auto"/>
        <w:right w:val="none" w:sz="0" w:space="0" w:color="auto"/>
      </w:divBdr>
      <w:divsChild>
        <w:div w:id="986126099">
          <w:marLeft w:val="0"/>
          <w:marRight w:val="0"/>
          <w:marTop w:val="0"/>
          <w:marBottom w:val="300"/>
          <w:divBdr>
            <w:top w:val="none" w:sz="0" w:space="0" w:color="auto"/>
            <w:left w:val="none" w:sz="0" w:space="0" w:color="auto"/>
            <w:bottom w:val="single" w:sz="6" w:space="0" w:color="DFE1E2"/>
            <w:right w:val="none" w:sz="0" w:space="0" w:color="auto"/>
          </w:divBdr>
          <w:divsChild>
            <w:div w:id="1504855120">
              <w:marLeft w:val="0"/>
              <w:marRight w:val="0"/>
              <w:marTop w:val="450"/>
              <w:marBottom w:val="495"/>
              <w:divBdr>
                <w:top w:val="none" w:sz="0" w:space="0" w:color="auto"/>
                <w:left w:val="none" w:sz="0" w:space="0" w:color="auto"/>
                <w:bottom w:val="none" w:sz="0" w:space="0" w:color="auto"/>
                <w:right w:val="none" w:sz="0" w:space="0" w:color="auto"/>
              </w:divBdr>
            </w:div>
            <w:div w:id="1453786391">
              <w:marLeft w:val="0"/>
              <w:marRight w:val="0"/>
              <w:marTop w:val="0"/>
              <w:marBottom w:val="270"/>
              <w:divBdr>
                <w:top w:val="none" w:sz="0" w:space="0" w:color="auto"/>
                <w:left w:val="none" w:sz="0" w:space="0" w:color="auto"/>
                <w:bottom w:val="none" w:sz="0" w:space="0" w:color="auto"/>
                <w:right w:val="none" w:sz="0" w:space="0" w:color="auto"/>
              </w:divBdr>
            </w:div>
          </w:divsChild>
        </w:div>
        <w:div w:id="1307511486">
          <w:marLeft w:val="0"/>
          <w:marRight w:val="0"/>
          <w:marTop w:val="0"/>
          <w:marBottom w:val="0"/>
          <w:divBdr>
            <w:top w:val="none" w:sz="0" w:space="0" w:color="auto"/>
            <w:left w:val="none" w:sz="0" w:space="0" w:color="auto"/>
            <w:bottom w:val="single" w:sz="6" w:space="12" w:color="DFE1E2"/>
            <w:right w:val="none" w:sz="0" w:space="0" w:color="auto"/>
          </w:divBdr>
        </w:div>
      </w:divsChild>
    </w:div>
    <w:div w:id="968360219">
      <w:bodyDiv w:val="1"/>
      <w:marLeft w:val="0"/>
      <w:marRight w:val="0"/>
      <w:marTop w:val="0"/>
      <w:marBottom w:val="0"/>
      <w:divBdr>
        <w:top w:val="none" w:sz="0" w:space="0" w:color="auto"/>
        <w:left w:val="none" w:sz="0" w:space="0" w:color="auto"/>
        <w:bottom w:val="none" w:sz="0" w:space="0" w:color="auto"/>
        <w:right w:val="none" w:sz="0" w:space="0" w:color="auto"/>
      </w:divBdr>
      <w:divsChild>
        <w:div w:id="1976526412">
          <w:marLeft w:val="0"/>
          <w:marRight w:val="0"/>
          <w:marTop w:val="0"/>
          <w:marBottom w:val="300"/>
          <w:divBdr>
            <w:top w:val="none" w:sz="0" w:space="0" w:color="auto"/>
            <w:left w:val="none" w:sz="0" w:space="0" w:color="auto"/>
            <w:bottom w:val="single" w:sz="6" w:space="0" w:color="DFE1E2"/>
            <w:right w:val="none" w:sz="0" w:space="0" w:color="auto"/>
          </w:divBdr>
          <w:divsChild>
            <w:div w:id="455023528">
              <w:marLeft w:val="0"/>
              <w:marRight w:val="0"/>
              <w:marTop w:val="450"/>
              <w:marBottom w:val="495"/>
              <w:divBdr>
                <w:top w:val="none" w:sz="0" w:space="0" w:color="auto"/>
                <w:left w:val="none" w:sz="0" w:space="0" w:color="auto"/>
                <w:bottom w:val="none" w:sz="0" w:space="0" w:color="auto"/>
                <w:right w:val="none" w:sz="0" w:space="0" w:color="auto"/>
              </w:divBdr>
            </w:div>
            <w:div w:id="158496916">
              <w:marLeft w:val="0"/>
              <w:marRight w:val="0"/>
              <w:marTop w:val="0"/>
              <w:marBottom w:val="270"/>
              <w:divBdr>
                <w:top w:val="none" w:sz="0" w:space="0" w:color="auto"/>
                <w:left w:val="none" w:sz="0" w:space="0" w:color="auto"/>
                <w:bottom w:val="none" w:sz="0" w:space="0" w:color="auto"/>
                <w:right w:val="none" w:sz="0" w:space="0" w:color="auto"/>
              </w:divBdr>
            </w:div>
          </w:divsChild>
        </w:div>
        <w:div w:id="458572819">
          <w:marLeft w:val="0"/>
          <w:marRight w:val="0"/>
          <w:marTop w:val="0"/>
          <w:marBottom w:val="0"/>
          <w:divBdr>
            <w:top w:val="none" w:sz="0" w:space="0" w:color="auto"/>
            <w:left w:val="none" w:sz="0" w:space="0" w:color="auto"/>
            <w:bottom w:val="single" w:sz="6" w:space="12" w:color="DFE1E2"/>
            <w:right w:val="none" w:sz="0" w:space="0" w:color="auto"/>
          </w:divBdr>
        </w:div>
      </w:divsChild>
    </w:div>
    <w:div w:id="1413893547">
      <w:bodyDiv w:val="1"/>
      <w:marLeft w:val="0"/>
      <w:marRight w:val="0"/>
      <w:marTop w:val="0"/>
      <w:marBottom w:val="0"/>
      <w:divBdr>
        <w:top w:val="none" w:sz="0" w:space="0" w:color="auto"/>
        <w:left w:val="none" w:sz="0" w:space="0" w:color="auto"/>
        <w:bottom w:val="none" w:sz="0" w:space="0" w:color="auto"/>
        <w:right w:val="none" w:sz="0" w:space="0" w:color="auto"/>
      </w:divBdr>
      <w:divsChild>
        <w:div w:id="857618591">
          <w:marLeft w:val="0"/>
          <w:marRight w:val="0"/>
          <w:marTop w:val="0"/>
          <w:marBottom w:val="300"/>
          <w:divBdr>
            <w:top w:val="none" w:sz="0" w:space="0" w:color="auto"/>
            <w:left w:val="none" w:sz="0" w:space="0" w:color="auto"/>
            <w:bottom w:val="single" w:sz="6" w:space="0" w:color="DFE1E2"/>
            <w:right w:val="none" w:sz="0" w:space="0" w:color="auto"/>
          </w:divBdr>
          <w:divsChild>
            <w:div w:id="432432605">
              <w:marLeft w:val="0"/>
              <w:marRight w:val="0"/>
              <w:marTop w:val="450"/>
              <w:marBottom w:val="495"/>
              <w:divBdr>
                <w:top w:val="none" w:sz="0" w:space="0" w:color="auto"/>
                <w:left w:val="none" w:sz="0" w:space="0" w:color="auto"/>
                <w:bottom w:val="none" w:sz="0" w:space="0" w:color="auto"/>
                <w:right w:val="none" w:sz="0" w:space="0" w:color="auto"/>
              </w:divBdr>
            </w:div>
            <w:div w:id="61293928">
              <w:marLeft w:val="0"/>
              <w:marRight w:val="0"/>
              <w:marTop w:val="0"/>
              <w:marBottom w:val="270"/>
              <w:divBdr>
                <w:top w:val="none" w:sz="0" w:space="0" w:color="auto"/>
                <w:left w:val="none" w:sz="0" w:space="0" w:color="auto"/>
                <w:bottom w:val="none" w:sz="0" w:space="0" w:color="auto"/>
                <w:right w:val="none" w:sz="0" w:space="0" w:color="auto"/>
              </w:divBdr>
            </w:div>
          </w:divsChild>
        </w:div>
        <w:div w:id="936644898">
          <w:marLeft w:val="0"/>
          <w:marRight w:val="0"/>
          <w:marTop w:val="0"/>
          <w:marBottom w:val="0"/>
          <w:divBdr>
            <w:top w:val="none" w:sz="0" w:space="0" w:color="auto"/>
            <w:left w:val="none" w:sz="0" w:space="0" w:color="auto"/>
            <w:bottom w:val="single" w:sz="6" w:space="12" w:color="DFE1E2"/>
            <w:right w:val="none" w:sz="0" w:space="0" w:color="auto"/>
          </w:divBdr>
          <w:divsChild>
            <w:div w:id="110573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4902">
      <w:bodyDiv w:val="1"/>
      <w:marLeft w:val="0"/>
      <w:marRight w:val="0"/>
      <w:marTop w:val="0"/>
      <w:marBottom w:val="0"/>
      <w:divBdr>
        <w:top w:val="none" w:sz="0" w:space="0" w:color="auto"/>
        <w:left w:val="none" w:sz="0" w:space="0" w:color="auto"/>
        <w:bottom w:val="none" w:sz="0" w:space="0" w:color="auto"/>
        <w:right w:val="none" w:sz="0" w:space="0" w:color="auto"/>
      </w:divBdr>
      <w:divsChild>
        <w:div w:id="71127645">
          <w:marLeft w:val="0"/>
          <w:marRight w:val="0"/>
          <w:marTop w:val="0"/>
          <w:marBottom w:val="300"/>
          <w:divBdr>
            <w:top w:val="none" w:sz="0" w:space="0" w:color="auto"/>
            <w:left w:val="none" w:sz="0" w:space="0" w:color="auto"/>
            <w:bottom w:val="single" w:sz="6" w:space="0" w:color="DFE1E2"/>
            <w:right w:val="none" w:sz="0" w:space="0" w:color="auto"/>
          </w:divBdr>
          <w:divsChild>
            <w:div w:id="794063059">
              <w:marLeft w:val="0"/>
              <w:marRight w:val="0"/>
              <w:marTop w:val="450"/>
              <w:marBottom w:val="495"/>
              <w:divBdr>
                <w:top w:val="none" w:sz="0" w:space="0" w:color="auto"/>
                <w:left w:val="none" w:sz="0" w:space="0" w:color="auto"/>
                <w:bottom w:val="none" w:sz="0" w:space="0" w:color="auto"/>
                <w:right w:val="none" w:sz="0" w:space="0" w:color="auto"/>
              </w:divBdr>
            </w:div>
            <w:div w:id="178934460">
              <w:marLeft w:val="0"/>
              <w:marRight w:val="0"/>
              <w:marTop w:val="0"/>
              <w:marBottom w:val="270"/>
              <w:divBdr>
                <w:top w:val="none" w:sz="0" w:space="0" w:color="auto"/>
                <w:left w:val="none" w:sz="0" w:space="0" w:color="auto"/>
                <w:bottom w:val="none" w:sz="0" w:space="0" w:color="auto"/>
                <w:right w:val="none" w:sz="0" w:space="0" w:color="auto"/>
              </w:divBdr>
            </w:div>
          </w:divsChild>
        </w:div>
        <w:div w:id="1158762768">
          <w:marLeft w:val="0"/>
          <w:marRight w:val="0"/>
          <w:marTop w:val="0"/>
          <w:marBottom w:val="0"/>
          <w:divBdr>
            <w:top w:val="none" w:sz="0" w:space="0" w:color="auto"/>
            <w:left w:val="none" w:sz="0" w:space="0" w:color="auto"/>
            <w:bottom w:val="single" w:sz="6" w:space="12" w:color="DFE1E2"/>
            <w:right w:val="none" w:sz="0" w:space="0" w:color="auto"/>
          </w:divBdr>
          <w:divsChild>
            <w:div w:id="144037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jiangmen.gov.cn/bmpd/jmsgzw/zwgk/zcjd/content/post_3128563.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1151</Words>
  <Characters>6561</Characters>
  <Application>Microsoft Office Word</Application>
  <DocSecurity>0</DocSecurity>
  <Lines>54</Lines>
  <Paragraphs>15</Paragraphs>
  <ScaleCrop>false</ScaleCrop>
  <Company/>
  <LinksUpToDate>false</LinksUpToDate>
  <CharactersWithSpaces>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鑫炎 罗</dc:creator>
  <cp:keywords/>
  <dc:description/>
  <cp:lastModifiedBy>鑫炎 罗</cp:lastModifiedBy>
  <cp:revision>1</cp:revision>
  <dcterms:created xsi:type="dcterms:W3CDTF">2025-02-03T06:05:00Z</dcterms:created>
  <dcterms:modified xsi:type="dcterms:W3CDTF">2025-02-03T06:11:00Z</dcterms:modified>
</cp:coreProperties>
</file>