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The key positions in a company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Positions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Chief Executive Officer (CEO)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CEO is the highest-ranking executive in a company and is responsible for its overall performance.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Chief Financial Officer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CFO is responsible for the company's financial management, including its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accounting, budgeting, and treasury functions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Chief Operating Officer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COO is responsible for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day-to-day operations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the company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reports to the CEO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Chief Marketing Officer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CMO is responsible for the company's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strategies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campaigns.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Chief Sales Officer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CSO is responsible for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company's sales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revenue generation.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Chief Product Officer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CPO is responsible for the company's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development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management.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Chief Technology Officer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CTO is responsible for the company's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technology strategy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infrastructure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Chief Human Resources Officer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CHRO is responsible for the company's human resources functions, including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recruiting, and employee relations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Accounting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Budgeting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Treasury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Day-to-day operations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 report to someone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Marketing strategy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Product development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Technology infrastructure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Technology strategy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Recruitment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Employee relations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