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0BD87">
      <w:pPr>
        <w:pStyle w:val="2"/>
        <w:bidi w:val="0"/>
        <w:rPr>
          <w:lang w:eastAsia="zh-CN"/>
        </w:rPr>
      </w:pPr>
      <w:r>
        <w:rPr>
          <w:lang w:eastAsia="zh-CN"/>
        </w:rPr>
        <w:t>基于污水处理厂的电-碳双驱储能充放电智能优化系统</w:t>
      </w:r>
    </w:p>
    <w:p w14:paraId="57DFC990">
      <w:pPr>
        <w:pStyle w:val="2"/>
        <w:bidi w:val="0"/>
        <w:rPr>
          <w:lang w:eastAsia="zh-CN"/>
        </w:rPr>
      </w:pPr>
      <w:r>
        <w:rPr>
          <w:rFonts w:hint="eastAsia"/>
          <w:lang w:val="en-US" w:eastAsia="zh-CN"/>
        </w:rPr>
        <w:t>一、</w:t>
      </w:r>
      <w:r>
        <w:rPr>
          <w:lang w:eastAsia="zh-CN"/>
        </w:rPr>
        <w:t>模块总体介绍</w:t>
      </w:r>
    </w:p>
    <w:p w14:paraId="3F4490C0">
      <w:pPr>
        <w:pStyle w:val="3"/>
        <w:bidi w:val="0"/>
        <w:rPr>
          <w:lang w:eastAsia="zh-CN"/>
        </w:rPr>
      </w:pPr>
      <w:r>
        <w:rPr>
          <w:lang w:eastAsia="zh-CN"/>
        </w:rPr>
        <w:t>1.1　模块定位</w:t>
      </w:r>
    </w:p>
    <w:p w14:paraId="595DEF06">
      <w:pPr>
        <w:bidi w:val="0"/>
        <w:rPr>
          <w:lang w:eastAsia="zh-CN"/>
        </w:rPr>
      </w:pPr>
      <w:r>
        <w:rPr>
          <w:lang w:eastAsia="zh-CN"/>
        </w:rPr>
        <w:t>碳核算模块是污水厂峰谷套利储能系统的碳评价核心，适配低谷充电、高峰放电储能运行策略。模块双向对接业务系统：上游对接储能充放电调度控制器，为峰谷套利运行提供动态碳强度约束；下游输出标准化碳报表，支撑环保合规申报与储能降碳效益量化。系统内置强制约束，储能调度优化过程中，不得为追求套利收益降低污水处理出水标准，同时保障储能电池运行安全。</w:t>
      </w:r>
    </w:p>
    <w:p w14:paraId="605EB374">
      <w:pPr>
        <w:pStyle w:val="3"/>
        <w:bidi w:val="0"/>
        <w:rPr>
          <w:lang w:eastAsia="zh-CN"/>
        </w:rPr>
      </w:pPr>
      <w:r>
        <w:rPr>
          <w:lang w:eastAsia="zh-CN"/>
        </w:rPr>
        <w:t>1.2　建设目标</w:t>
      </w:r>
    </w:p>
    <w:p w14:paraId="529C3F3E">
      <w:pPr>
        <w:bidi w:val="0"/>
        <w:rPr>
          <w:lang w:eastAsia="zh-CN"/>
        </w:rPr>
      </w:pPr>
      <w:r>
        <w:rPr>
          <w:lang w:eastAsia="zh-CN"/>
        </w:rPr>
        <w:t>1. 统一碳核算口径，区分厂区合规碳排放、储能套利减排效益、储能设备隐含碳，规避重复计算，满足第三方核查要求。</w:t>
      </w:r>
    </w:p>
    <w:p w14:paraId="3EDCAC71">
      <w:pPr>
        <w:bidi w:val="0"/>
        <w:rPr>
          <w:lang w:eastAsia="zh-CN"/>
        </w:rPr>
      </w:pPr>
      <w:r>
        <w:rPr>
          <w:lang w:eastAsia="zh-CN"/>
        </w:rPr>
        <w:t>2. 适配小时级峰谷电价调度计算粒度，输出动态分时碳信号，指导储能充放电优化，规避单纯依靠低价谷电储能带来的隐性增碳风险。</w:t>
      </w:r>
    </w:p>
    <w:p w14:paraId="28850904">
      <w:pPr>
        <w:bidi w:val="0"/>
        <w:rPr>
          <w:lang w:eastAsia="zh-CN"/>
        </w:rPr>
      </w:pPr>
      <w:r>
        <w:rPr>
          <w:lang w:eastAsia="zh-CN"/>
        </w:rPr>
        <w:t>3. 支持灵活调节经济收益、低碳目标权重，平衡峰谷套利收益与减碳效益，输出多套可行充放电策略。</w:t>
      </w:r>
    </w:p>
    <w:p w14:paraId="7DB9CD24">
      <w:pPr>
        <w:bidi w:val="0"/>
        <w:rPr>
          <w:lang w:eastAsia="zh-CN"/>
        </w:rPr>
      </w:pPr>
      <w:r>
        <w:rPr>
          <w:lang w:eastAsia="zh-CN"/>
        </w:rPr>
        <w:t>4. 实现全流程数据可追溯，完整留存全部核算证据，适配项目验收、第三方碳核查、赛事评审场景。</w:t>
      </w:r>
    </w:p>
    <w:p w14:paraId="7DC7E82B">
      <w:pPr>
        <w:bidi w:val="0"/>
        <w:rPr>
          <w:lang w:eastAsia="zh-CN"/>
        </w:rPr>
      </w:pPr>
      <w:r>
        <w:rPr>
          <w:lang w:eastAsia="zh-CN"/>
        </w:rPr>
        <w:t>5. 输出多维度碳绩效指标，量化储能峰谷套利模式下污水处理节水、节电、降碳协同效益。</w:t>
      </w:r>
    </w:p>
    <w:p w14:paraId="09FB3682">
      <w:pPr>
        <w:pStyle w:val="3"/>
        <w:bidi w:val="0"/>
        <w:rPr>
          <w:lang w:eastAsia="zh-CN"/>
        </w:rPr>
      </w:pPr>
      <w:r>
        <w:rPr>
          <w:lang w:eastAsia="zh-CN"/>
        </w:rPr>
        <w:t>1.3　模块功能组成</w:t>
      </w:r>
    </w:p>
    <w:p w14:paraId="0566E043">
      <w:pPr>
        <w:pStyle w:val="18"/>
        <w:bidi w:val="0"/>
        <w:rPr>
          <w:rFonts w:hint="eastAsia" w:ascii="宋体" w:hAnsi="宋体" w:eastAsia="宋体" w:cs="宋体"/>
          <w:lang w:eastAsia="zh-CN"/>
        </w:rPr>
      </w:pPr>
      <w:r>
        <w:rPr>
          <w:rFonts w:hint="eastAsia" w:ascii="宋体" w:hAnsi="宋体" w:eastAsia="宋体" w:cs="宋体"/>
          <w:lang w:eastAsia="zh-CN"/>
        </w:rPr>
        <w:t>表3　模块功能清单</w:t>
      </w:r>
    </w:p>
    <w:tbl>
      <w:tblPr>
        <w:tblStyle w:val="22"/>
        <w:tblW w:w="936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792"/>
        <w:gridCol w:w="2088"/>
        <w:gridCol w:w="6480"/>
      </w:tblGrid>
      <w:tr w14:paraId="78196CF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792" w:type="dxa"/>
            <w:tcBorders>
              <w:top w:val="single" w:color="000000" w:sz="12" w:space="0"/>
              <w:left w:val="nil"/>
              <w:bottom w:val="single" w:color="000000" w:sz="4" w:space="0"/>
              <w:right w:val="nil"/>
              <w:tl2br w:val="nil"/>
            </w:tcBorders>
            <w:shd w:val="clear" w:color="auto" w:fill="FFFFFF"/>
            <w:vAlign w:val="center"/>
          </w:tcPr>
          <w:p w14:paraId="56B6254F">
            <w:pPr>
              <w:pStyle w:val="20"/>
              <w:bidi w:val="0"/>
              <w:spacing w:after="0"/>
              <w:jc w:val="center"/>
              <w:rPr>
                <w:b w:val="0"/>
                <w:color w:val="000000"/>
                <w:sz w:val="21"/>
                <w:szCs w:val="21"/>
              </w:rPr>
            </w:pPr>
            <w:r>
              <w:rPr>
                <w:b w:val="0"/>
                <w:color w:val="000000"/>
                <w:sz w:val="21"/>
                <w:szCs w:val="21"/>
              </w:rPr>
              <w:t>编号</w:t>
            </w:r>
          </w:p>
        </w:tc>
        <w:tc>
          <w:tcPr>
            <w:tcW w:w="2088" w:type="dxa"/>
            <w:tcBorders>
              <w:top w:val="single" w:color="000000" w:sz="12" w:space="0"/>
              <w:left w:val="nil"/>
              <w:bottom w:val="single" w:color="000000" w:sz="4" w:space="0"/>
              <w:right w:val="nil"/>
            </w:tcBorders>
            <w:shd w:val="clear" w:color="auto" w:fill="FFFFFF"/>
            <w:vAlign w:val="center"/>
          </w:tcPr>
          <w:p w14:paraId="24C21FAB">
            <w:pPr>
              <w:pStyle w:val="20"/>
              <w:bidi w:val="0"/>
              <w:spacing w:after="0"/>
              <w:jc w:val="center"/>
              <w:rPr>
                <w:b w:val="0"/>
                <w:color w:val="000000"/>
                <w:sz w:val="21"/>
                <w:szCs w:val="21"/>
              </w:rPr>
            </w:pPr>
            <w:r>
              <w:rPr>
                <w:b w:val="0"/>
                <w:color w:val="000000"/>
                <w:sz w:val="21"/>
                <w:szCs w:val="21"/>
              </w:rPr>
              <w:t>功能</w:t>
            </w:r>
          </w:p>
        </w:tc>
        <w:tc>
          <w:tcPr>
            <w:tcW w:w="6480" w:type="dxa"/>
            <w:tcBorders>
              <w:top w:val="single" w:color="000000" w:sz="12" w:space="0"/>
              <w:left w:val="nil"/>
              <w:bottom w:val="single" w:color="000000" w:sz="4" w:space="0"/>
              <w:right w:val="nil"/>
            </w:tcBorders>
            <w:shd w:val="clear" w:color="auto" w:fill="FFFFFF"/>
            <w:vAlign w:val="center"/>
          </w:tcPr>
          <w:p w14:paraId="4645A00A">
            <w:pPr>
              <w:pStyle w:val="20"/>
              <w:bidi w:val="0"/>
              <w:spacing w:after="0"/>
              <w:jc w:val="center"/>
              <w:rPr>
                <w:b w:val="0"/>
                <w:color w:val="000000"/>
                <w:sz w:val="21"/>
                <w:szCs w:val="21"/>
              </w:rPr>
            </w:pPr>
            <w:r>
              <w:rPr>
                <w:b w:val="0"/>
                <w:color w:val="000000"/>
                <w:sz w:val="21"/>
                <w:szCs w:val="21"/>
              </w:rPr>
              <w:t>说明</w:t>
            </w:r>
          </w:p>
        </w:tc>
      </w:tr>
      <w:tr w14:paraId="4BFA2B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single" w:color="000000" w:sz="4" w:space="0"/>
              <w:left w:val="nil"/>
              <w:bottom w:val="nil"/>
              <w:right w:val="nil"/>
            </w:tcBorders>
            <w:shd w:val="clear" w:color="auto" w:fill="FFFFFF"/>
            <w:vAlign w:val="center"/>
          </w:tcPr>
          <w:p w14:paraId="0275DE3B">
            <w:pPr>
              <w:pStyle w:val="20"/>
              <w:bidi w:val="0"/>
              <w:spacing w:after="0"/>
              <w:jc w:val="center"/>
              <w:rPr>
                <w:b w:val="0"/>
                <w:color w:val="000000"/>
                <w:sz w:val="21"/>
                <w:szCs w:val="21"/>
              </w:rPr>
            </w:pPr>
            <w:r>
              <w:rPr>
                <w:b w:val="0"/>
                <w:color w:val="000000"/>
                <w:sz w:val="21"/>
                <w:szCs w:val="21"/>
              </w:rPr>
              <w:t>F1</w:t>
            </w:r>
          </w:p>
        </w:tc>
        <w:tc>
          <w:tcPr>
            <w:tcW w:w="2088" w:type="dxa"/>
            <w:tcBorders>
              <w:top w:val="single" w:color="000000" w:sz="4" w:space="0"/>
              <w:left w:val="nil"/>
              <w:bottom w:val="nil"/>
              <w:right w:val="nil"/>
            </w:tcBorders>
            <w:shd w:val="clear" w:color="auto" w:fill="FFFFFF"/>
            <w:vAlign w:val="center"/>
          </w:tcPr>
          <w:p w14:paraId="7EDB2E35">
            <w:pPr>
              <w:pStyle w:val="20"/>
              <w:bidi w:val="0"/>
              <w:spacing w:after="0"/>
              <w:jc w:val="center"/>
              <w:rPr>
                <w:b w:val="0"/>
                <w:color w:val="000000"/>
                <w:sz w:val="21"/>
                <w:szCs w:val="21"/>
              </w:rPr>
            </w:pPr>
            <w:r>
              <w:rPr>
                <w:b w:val="0"/>
                <w:color w:val="000000"/>
                <w:sz w:val="21"/>
                <w:szCs w:val="21"/>
              </w:rPr>
              <w:t>标准与边界配置</w:t>
            </w:r>
          </w:p>
        </w:tc>
        <w:tc>
          <w:tcPr>
            <w:tcW w:w="6480" w:type="dxa"/>
            <w:tcBorders>
              <w:top w:val="single" w:color="000000" w:sz="4" w:space="0"/>
              <w:left w:val="nil"/>
              <w:bottom w:val="nil"/>
              <w:right w:val="nil"/>
            </w:tcBorders>
            <w:shd w:val="clear" w:color="auto" w:fill="FFFFFF"/>
            <w:vAlign w:val="center"/>
          </w:tcPr>
          <w:p w14:paraId="3988B0FA">
            <w:pPr>
              <w:pStyle w:val="20"/>
              <w:bidi w:val="0"/>
              <w:spacing w:after="0"/>
              <w:jc w:val="center"/>
              <w:rPr>
                <w:b w:val="0"/>
                <w:color w:val="000000"/>
                <w:sz w:val="21"/>
                <w:szCs w:val="21"/>
                <w:lang w:eastAsia="zh-CN"/>
              </w:rPr>
            </w:pPr>
            <w:r>
              <w:rPr>
                <w:b w:val="0"/>
                <w:color w:val="000000"/>
                <w:sz w:val="21"/>
                <w:szCs w:val="21"/>
                <w:lang w:eastAsia="zh-CN"/>
              </w:rPr>
              <w:t>维护组织边界、运营边界、项目边界、功能单位和报告周期。</w:t>
            </w:r>
          </w:p>
        </w:tc>
      </w:tr>
      <w:tr w14:paraId="669D371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nil"/>
              <w:left w:val="nil"/>
              <w:bottom w:val="nil"/>
              <w:right w:val="nil"/>
            </w:tcBorders>
            <w:shd w:val="clear" w:color="auto" w:fill="FFFFFF"/>
            <w:vAlign w:val="center"/>
          </w:tcPr>
          <w:p w14:paraId="57704905">
            <w:pPr>
              <w:pStyle w:val="20"/>
              <w:bidi w:val="0"/>
              <w:spacing w:after="0"/>
              <w:jc w:val="center"/>
              <w:rPr>
                <w:b w:val="0"/>
                <w:color w:val="000000"/>
                <w:sz w:val="21"/>
                <w:szCs w:val="21"/>
              </w:rPr>
            </w:pPr>
            <w:r>
              <w:rPr>
                <w:b w:val="0"/>
                <w:color w:val="000000"/>
                <w:sz w:val="21"/>
                <w:szCs w:val="21"/>
              </w:rPr>
              <w:t>F2</w:t>
            </w:r>
          </w:p>
        </w:tc>
        <w:tc>
          <w:tcPr>
            <w:tcW w:w="2088" w:type="dxa"/>
            <w:tcBorders>
              <w:top w:val="nil"/>
              <w:left w:val="nil"/>
              <w:bottom w:val="nil"/>
              <w:right w:val="nil"/>
            </w:tcBorders>
            <w:shd w:val="clear" w:color="auto" w:fill="FFFFFF"/>
            <w:vAlign w:val="center"/>
          </w:tcPr>
          <w:p w14:paraId="09AE18F7">
            <w:pPr>
              <w:pStyle w:val="20"/>
              <w:bidi w:val="0"/>
              <w:spacing w:after="0"/>
              <w:jc w:val="center"/>
              <w:rPr>
                <w:b w:val="0"/>
                <w:color w:val="000000"/>
                <w:sz w:val="21"/>
                <w:szCs w:val="21"/>
              </w:rPr>
            </w:pPr>
            <w:r>
              <w:rPr>
                <w:b w:val="0"/>
                <w:color w:val="000000"/>
                <w:sz w:val="21"/>
                <w:szCs w:val="21"/>
              </w:rPr>
              <w:t>因子库</w:t>
            </w:r>
          </w:p>
        </w:tc>
        <w:tc>
          <w:tcPr>
            <w:tcW w:w="6480" w:type="dxa"/>
            <w:tcBorders>
              <w:top w:val="nil"/>
              <w:left w:val="nil"/>
              <w:bottom w:val="nil"/>
              <w:right w:val="nil"/>
            </w:tcBorders>
            <w:shd w:val="clear" w:color="auto" w:fill="FFFFFF"/>
            <w:vAlign w:val="center"/>
          </w:tcPr>
          <w:p w14:paraId="77006E87">
            <w:pPr>
              <w:pStyle w:val="20"/>
              <w:bidi w:val="0"/>
              <w:spacing w:after="0"/>
              <w:jc w:val="center"/>
              <w:rPr>
                <w:b w:val="0"/>
                <w:color w:val="000000"/>
                <w:sz w:val="21"/>
                <w:szCs w:val="21"/>
                <w:lang w:eastAsia="zh-CN"/>
              </w:rPr>
            </w:pPr>
            <w:r>
              <w:rPr>
                <w:b w:val="0"/>
                <w:color w:val="000000"/>
                <w:sz w:val="21"/>
                <w:szCs w:val="21"/>
                <w:lang w:eastAsia="zh-CN"/>
              </w:rPr>
              <w:t>维护报告因子、优化因子、LCA因子、GWP、有效期和适用范围。</w:t>
            </w:r>
          </w:p>
        </w:tc>
      </w:tr>
      <w:tr w14:paraId="5D27CB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nil"/>
              <w:left w:val="nil"/>
              <w:bottom w:val="nil"/>
              <w:right w:val="nil"/>
            </w:tcBorders>
            <w:shd w:val="clear" w:color="auto" w:fill="FFFFFF"/>
            <w:vAlign w:val="center"/>
          </w:tcPr>
          <w:p w14:paraId="3857458C">
            <w:pPr>
              <w:pStyle w:val="20"/>
              <w:bidi w:val="0"/>
              <w:spacing w:after="0"/>
              <w:jc w:val="center"/>
              <w:rPr>
                <w:b w:val="0"/>
                <w:color w:val="000000"/>
                <w:sz w:val="21"/>
                <w:szCs w:val="21"/>
              </w:rPr>
            </w:pPr>
            <w:r>
              <w:rPr>
                <w:b w:val="0"/>
                <w:color w:val="000000"/>
                <w:sz w:val="21"/>
                <w:szCs w:val="21"/>
              </w:rPr>
              <w:t>F3</w:t>
            </w:r>
          </w:p>
        </w:tc>
        <w:tc>
          <w:tcPr>
            <w:tcW w:w="2088" w:type="dxa"/>
            <w:tcBorders>
              <w:top w:val="nil"/>
              <w:left w:val="nil"/>
              <w:bottom w:val="nil"/>
              <w:right w:val="nil"/>
            </w:tcBorders>
            <w:shd w:val="clear" w:color="auto" w:fill="FFFFFF"/>
            <w:vAlign w:val="center"/>
          </w:tcPr>
          <w:p w14:paraId="0713DDAF">
            <w:pPr>
              <w:pStyle w:val="20"/>
              <w:bidi w:val="0"/>
              <w:spacing w:after="0"/>
              <w:jc w:val="center"/>
              <w:rPr>
                <w:b w:val="0"/>
                <w:color w:val="000000"/>
                <w:sz w:val="21"/>
                <w:szCs w:val="21"/>
              </w:rPr>
            </w:pPr>
            <w:r>
              <w:rPr>
                <w:b w:val="0"/>
                <w:color w:val="000000"/>
                <w:sz w:val="21"/>
                <w:szCs w:val="21"/>
              </w:rPr>
              <w:t>实时排放核算</w:t>
            </w:r>
          </w:p>
        </w:tc>
        <w:tc>
          <w:tcPr>
            <w:tcW w:w="6480" w:type="dxa"/>
            <w:tcBorders>
              <w:top w:val="nil"/>
              <w:left w:val="nil"/>
              <w:bottom w:val="nil"/>
              <w:right w:val="nil"/>
            </w:tcBorders>
            <w:shd w:val="clear" w:color="auto" w:fill="FFFFFF"/>
            <w:vAlign w:val="center"/>
          </w:tcPr>
          <w:p w14:paraId="202C438A">
            <w:pPr>
              <w:pStyle w:val="20"/>
              <w:bidi w:val="0"/>
              <w:spacing w:after="0"/>
              <w:jc w:val="center"/>
              <w:rPr>
                <w:b w:val="0"/>
                <w:color w:val="000000"/>
                <w:sz w:val="21"/>
                <w:szCs w:val="21"/>
                <w:lang w:eastAsia="zh-CN"/>
              </w:rPr>
            </w:pPr>
            <w:r>
              <w:rPr>
                <w:b w:val="0"/>
                <w:color w:val="000000"/>
                <w:sz w:val="21"/>
                <w:szCs w:val="21"/>
                <w:lang w:eastAsia="zh-CN"/>
              </w:rPr>
              <w:t>按关口电量和工艺排放数据形成范围一、范围二及可选范围三清单。</w:t>
            </w:r>
          </w:p>
        </w:tc>
      </w:tr>
      <w:tr w14:paraId="0FB896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nil"/>
              <w:left w:val="nil"/>
              <w:bottom w:val="nil"/>
              <w:right w:val="nil"/>
            </w:tcBorders>
            <w:shd w:val="clear" w:color="auto" w:fill="FFFFFF"/>
            <w:vAlign w:val="center"/>
          </w:tcPr>
          <w:p w14:paraId="5AA80A66">
            <w:pPr>
              <w:pStyle w:val="20"/>
              <w:bidi w:val="0"/>
              <w:spacing w:after="0"/>
              <w:jc w:val="center"/>
              <w:rPr>
                <w:b w:val="0"/>
                <w:color w:val="000000"/>
                <w:sz w:val="21"/>
                <w:szCs w:val="21"/>
              </w:rPr>
            </w:pPr>
            <w:r>
              <w:rPr>
                <w:b w:val="0"/>
                <w:color w:val="000000"/>
                <w:sz w:val="21"/>
                <w:szCs w:val="21"/>
              </w:rPr>
              <w:t>F4</w:t>
            </w:r>
          </w:p>
        </w:tc>
        <w:tc>
          <w:tcPr>
            <w:tcW w:w="2088" w:type="dxa"/>
            <w:tcBorders>
              <w:top w:val="nil"/>
              <w:left w:val="nil"/>
              <w:bottom w:val="nil"/>
              <w:right w:val="nil"/>
            </w:tcBorders>
            <w:shd w:val="clear" w:color="auto" w:fill="FFFFFF"/>
            <w:vAlign w:val="center"/>
          </w:tcPr>
          <w:p w14:paraId="7BA3D659">
            <w:pPr>
              <w:pStyle w:val="20"/>
              <w:bidi w:val="0"/>
              <w:spacing w:after="0"/>
              <w:jc w:val="center"/>
              <w:rPr>
                <w:b w:val="0"/>
                <w:color w:val="000000"/>
                <w:sz w:val="21"/>
                <w:szCs w:val="21"/>
              </w:rPr>
            </w:pPr>
            <w:r>
              <w:rPr>
                <w:b w:val="0"/>
                <w:color w:val="000000"/>
                <w:sz w:val="21"/>
                <w:szCs w:val="21"/>
              </w:rPr>
              <w:t>储能碳流追踪</w:t>
            </w:r>
          </w:p>
        </w:tc>
        <w:tc>
          <w:tcPr>
            <w:tcW w:w="6480" w:type="dxa"/>
            <w:tcBorders>
              <w:top w:val="nil"/>
              <w:left w:val="nil"/>
              <w:bottom w:val="nil"/>
              <w:right w:val="nil"/>
            </w:tcBorders>
            <w:shd w:val="clear" w:color="auto" w:fill="FFFFFF"/>
            <w:vAlign w:val="center"/>
          </w:tcPr>
          <w:p w14:paraId="576318BB">
            <w:pPr>
              <w:pStyle w:val="20"/>
              <w:bidi w:val="0"/>
              <w:spacing w:after="0"/>
              <w:jc w:val="center"/>
              <w:rPr>
                <w:b w:val="0"/>
                <w:color w:val="000000"/>
                <w:sz w:val="21"/>
                <w:szCs w:val="21"/>
                <w:lang w:eastAsia="zh-CN"/>
              </w:rPr>
            </w:pPr>
            <w:r>
              <w:rPr>
                <w:b w:val="0"/>
                <w:color w:val="000000"/>
                <w:sz w:val="21"/>
                <w:szCs w:val="21"/>
                <w:lang w:eastAsia="zh-CN"/>
              </w:rPr>
              <w:t>跟踪充电来源、SOC碳存量、放电碳强度、损耗与辅助电耗。</w:t>
            </w:r>
          </w:p>
        </w:tc>
      </w:tr>
      <w:tr w14:paraId="22480D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nil"/>
              <w:left w:val="nil"/>
              <w:bottom w:val="nil"/>
              <w:right w:val="nil"/>
            </w:tcBorders>
            <w:shd w:val="clear" w:color="auto" w:fill="FFFFFF"/>
            <w:vAlign w:val="center"/>
          </w:tcPr>
          <w:p w14:paraId="3769DB30">
            <w:pPr>
              <w:pStyle w:val="20"/>
              <w:bidi w:val="0"/>
              <w:spacing w:after="0"/>
              <w:jc w:val="center"/>
              <w:rPr>
                <w:b w:val="0"/>
                <w:color w:val="000000"/>
                <w:sz w:val="21"/>
                <w:szCs w:val="21"/>
              </w:rPr>
            </w:pPr>
            <w:r>
              <w:rPr>
                <w:b w:val="0"/>
                <w:color w:val="000000"/>
                <w:sz w:val="21"/>
                <w:szCs w:val="21"/>
              </w:rPr>
              <w:t>F5</w:t>
            </w:r>
          </w:p>
        </w:tc>
        <w:tc>
          <w:tcPr>
            <w:tcW w:w="2088" w:type="dxa"/>
            <w:tcBorders>
              <w:top w:val="nil"/>
              <w:left w:val="nil"/>
              <w:bottom w:val="nil"/>
              <w:right w:val="nil"/>
            </w:tcBorders>
            <w:shd w:val="clear" w:color="auto" w:fill="FFFFFF"/>
            <w:vAlign w:val="center"/>
          </w:tcPr>
          <w:p w14:paraId="730A9F85">
            <w:pPr>
              <w:pStyle w:val="20"/>
              <w:bidi w:val="0"/>
              <w:spacing w:after="0"/>
              <w:jc w:val="center"/>
              <w:rPr>
                <w:b w:val="0"/>
                <w:color w:val="000000"/>
                <w:sz w:val="21"/>
                <w:szCs w:val="21"/>
              </w:rPr>
            </w:pPr>
            <w:r>
              <w:rPr>
                <w:b w:val="0"/>
                <w:color w:val="000000"/>
                <w:sz w:val="21"/>
                <w:szCs w:val="21"/>
              </w:rPr>
              <w:t>基准线与减排评估</w:t>
            </w:r>
          </w:p>
        </w:tc>
        <w:tc>
          <w:tcPr>
            <w:tcW w:w="6480" w:type="dxa"/>
            <w:tcBorders>
              <w:top w:val="nil"/>
              <w:left w:val="nil"/>
              <w:bottom w:val="nil"/>
              <w:right w:val="nil"/>
            </w:tcBorders>
            <w:shd w:val="clear" w:color="auto" w:fill="FFFFFF"/>
            <w:vAlign w:val="center"/>
          </w:tcPr>
          <w:p w14:paraId="79969E69">
            <w:pPr>
              <w:pStyle w:val="20"/>
              <w:bidi w:val="0"/>
              <w:spacing w:after="0"/>
              <w:jc w:val="center"/>
              <w:rPr>
                <w:b w:val="0"/>
                <w:color w:val="000000"/>
                <w:sz w:val="21"/>
                <w:szCs w:val="21"/>
                <w:lang w:eastAsia="zh-CN"/>
              </w:rPr>
            </w:pPr>
            <w:r>
              <w:rPr>
                <w:b w:val="0"/>
                <w:color w:val="000000"/>
                <w:sz w:val="21"/>
                <w:szCs w:val="21"/>
                <w:lang w:eastAsia="zh-CN"/>
              </w:rPr>
              <w:t>对比无储能基准与项目情景，计算运行减排和净生命周期减排。</w:t>
            </w:r>
          </w:p>
        </w:tc>
      </w:tr>
      <w:tr w14:paraId="6B11A4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nil"/>
              <w:left w:val="nil"/>
              <w:bottom w:val="nil"/>
              <w:right w:val="nil"/>
            </w:tcBorders>
            <w:shd w:val="clear" w:color="auto" w:fill="FFFFFF"/>
            <w:vAlign w:val="center"/>
          </w:tcPr>
          <w:p w14:paraId="414CA541">
            <w:pPr>
              <w:pStyle w:val="20"/>
              <w:bidi w:val="0"/>
              <w:spacing w:after="0"/>
              <w:jc w:val="center"/>
              <w:rPr>
                <w:b w:val="0"/>
                <w:color w:val="000000"/>
                <w:sz w:val="21"/>
                <w:szCs w:val="21"/>
              </w:rPr>
            </w:pPr>
            <w:r>
              <w:rPr>
                <w:b w:val="0"/>
                <w:color w:val="000000"/>
                <w:sz w:val="21"/>
                <w:szCs w:val="21"/>
              </w:rPr>
              <w:t>F6</w:t>
            </w:r>
          </w:p>
        </w:tc>
        <w:tc>
          <w:tcPr>
            <w:tcW w:w="2088" w:type="dxa"/>
            <w:tcBorders>
              <w:top w:val="nil"/>
              <w:left w:val="nil"/>
              <w:bottom w:val="nil"/>
              <w:right w:val="nil"/>
            </w:tcBorders>
            <w:shd w:val="clear" w:color="auto" w:fill="FFFFFF"/>
            <w:vAlign w:val="center"/>
          </w:tcPr>
          <w:p w14:paraId="346C975D">
            <w:pPr>
              <w:pStyle w:val="20"/>
              <w:bidi w:val="0"/>
              <w:spacing w:after="0"/>
              <w:jc w:val="center"/>
              <w:rPr>
                <w:b w:val="0"/>
                <w:color w:val="000000"/>
                <w:sz w:val="21"/>
                <w:szCs w:val="21"/>
              </w:rPr>
            </w:pPr>
            <w:r>
              <w:rPr>
                <w:b w:val="0"/>
                <w:color w:val="000000"/>
                <w:sz w:val="21"/>
                <w:szCs w:val="21"/>
              </w:rPr>
              <w:t>LCA核算与分摊</w:t>
            </w:r>
          </w:p>
        </w:tc>
        <w:tc>
          <w:tcPr>
            <w:tcW w:w="6480" w:type="dxa"/>
            <w:tcBorders>
              <w:top w:val="nil"/>
              <w:left w:val="nil"/>
              <w:bottom w:val="nil"/>
              <w:right w:val="nil"/>
            </w:tcBorders>
            <w:shd w:val="clear" w:color="auto" w:fill="FFFFFF"/>
            <w:vAlign w:val="center"/>
          </w:tcPr>
          <w:p w14:paraId="44F7A214">
            <w:pPr>
              <w:pStyle w:val="20"/>
              <w:bidi w:val="0"/>
              <w:spacing w:after="0"/>
              <w:jc w:val="center"/>
              <w:rPr>
                <w:b w:val="0"/>
                <w:color w:val="000000"/>
                <w:sz w:val="21"/>
                <w:szCs w:val="21"/>
                <w:lang w:eastAsia="zh-CN"/>
              </w:rPr>
            </w:pPr>
            <w:r>
              <w:rPr>
                <w:b w:val="0"/>
                <w:color w:val="000000"/>
                <w:sz w:val="21"/>
                <w:szCs w:val="21"/>
                <w:lang w:eastAsia="zh-CN"/>
              </w:rPr>
              <w:t>核算原材料、制造、运输安装、维护更换和退役阶段隐含碳。</w:t>
            </w:r>
          </w:p>
        </w:tc>
      </w:tr>
      <w:tr w14:paraId="68F6643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nil"/>
              <w:left w:val="nil"/>
              <w:bottom w:val="nil"/>
              <w:right w:val="nil"/>
            </w:tcBorders>
            <w:shd w:val="clear" w:color="auto" w:fill="FFFFFF"/>
            <w:vAlign w:val="center"/>
          </w:tcPr>
          <w:p w14:paraId="1ED4DE38">
            <w:pPr>
              <w:pStyle w:val="20"/>
              <w:bidi w:val="0"/>
              <w:spacing w:after="0"/>
              <w:jc w:val="center"/>
              <w:rPr>
                <w:b w:val="0"/>
                <w:color w:val="000000"/>
                <w:sz w:val="21"/>
                <w:szCs w:val="21"/>
              </w:rPr>
            </w:pPr>
            <w:r>
              <w:rPr>
                <w:b w:val="0"/>
                <w:color w:val="000000"/>
                <w:sz w:val="21"/>
                <w:szCs w:val="21"/>
              </w:rPr>
              <w:t>F7</w:t>
            </w:r>
          </w:p>
        </w:tc>
        <w:tc>
          <w:tcPr>
            <w:tcW w:w="2088" w:type="dxa"/>
            <w:tcBorders>
              <w:top w:val="nil"/>
              <w:left w:val="nil"/>
              <w:bottom w:val="nil"/>
              <w:right w:val="nil"/>
            </w:tcBorders>
            <w:shd w:val="clear" w:color="auto" w:fill="FFFFFF"/>
            <w:vAlign w:val="center"/>
          </w:tcPr>
          <w:p w14:paraId="675DCBE7">
            <w:pPr>
              <w:pStyle w:val="20"/>
              <w:bidi w:val="0"/>
              <w:spacing w:after="0"/>
              <w:jc w:val="center"/>
              <w:rPr>
                <w:b w:val="0"/>
                <w:color w:val="000000"/>
                <w:sz w:val="21"/>
                <w:szCs w:val="21"/>
              </w:rPr>
            </w:pPr>
            <w:r>
              <w:rPr>
                <w:b w:val="0"/>
                <w:color w:val="000000"/>
                <w:sz w:val="21"/>
                <w:szCs w:val="21"/>
              </w:rPr>
              <w:t>调度接口</w:t>
            </w:r>
          </w:p>
        </w:tc>
        <w:tc>
          <w:tcPr>
            <w:tcW w:w="6480" w:type="dxa"/>
            <w:tcBorders>
              <w:top w:val="nil"/>
              <w:left w:val="nil"/>
              <w:bottom w:val="nil"/>
              <w:right w:val="nil"/>
            </w:tcBorders>
            <w:shd w:val="clear" w:color="auto" w:fill="FFFFFF"/>
            <w:vAlign w:val="center"/>
          </w:tcPr>
          <w:p w14:paraId="14645AA7">
            <w:pPr>
              <w:pStyle w:val="20"/>
              <w:bidi w:val="0"/>
              <w:spacing w:after="0"/>
              <w:jc w:val="center"/>
              <w:rPr>
                <w:b w:val="0"/>
                <w:color w:val="000000"/>
                <w:sz w:val="21"/>
                <w:szCs w:val="21"/>
                <w:lang w:eastAsia="zh-CN"/>
              </w:rPr>
            </w:pPr>
            <w:r>
              <w:rPr>
                <w:b w:val="0"/>
                <w:color w:val="000000"/>
                <w:sz w:val="21"/>
                <w:szCs w:val="21"/>
                <w:lang w:eastAsia="zh-CN"/>
              </w:rPr>
              <w:t>向优化器提供EF_opt(t)、碳预算、碳价和碳权重，接收计划与执行曲线。</w:t>
            </w:r>
          </w:p>
        </w:tc>
      </w:tr>
      <w:tr w14:paraId="478C4E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nil"/>
              <w:left w:val="nil"/>
              <w:bottom w:val="nil"/>
              <w:right w:val="nil"/>
            </w:tcBorders>
            <w:shd w:val="clear" w:color="auto" w:fill="FFFFFF"/>
            <w:vAlign w:val="center"/>
          </w:tcPr>
          <w:p w14:paraId="4F6EE6D2">
            <w:pPr>
              <w:pStyle w:val="20"/>
              <w:bidi w:val="0"/>
              <w:spacing w:after="0"/>
              <w:jc w:val="center"/>
              <w:rPr>
                <w:b w:val="0"/>
                <w:color w:val="000000"/>
                <w:sz w:val="21"/>
                <w:szCs w:val="21"/>
              </w:rPr>
            </w:pPr>
            <w:r>
              <w:rPr>
                <w:b w:val="0"/>
                <w:color w:val="000000"/>
                <w:sz w:val="21"/>
                <w:szCs w:val="21"/>
              </w:rPr>
              <w:t>F8</w:t>
            </w:r>
          </w:p>
        </w:tc>
        <w:tc>
          <w:tcPr>
            <w:tcW w:w="2088" w:type="dxa"/>
            <w:tcBorders>
              <w:top w:val="nil"/>
              <w:left w:val="nil"/>
              <w:bottom w:val="nil"/>
              <w:right w:val="nil"/>
            </w:tcBorders>
            <w:shd w:val="clear" w:color="auto" w:fill="FFFFFF"/>
            <w:vAlign w:val="center"/>
          </w:tcPr>
          <w:p w14:paraId="6C99EE83">
            <w:pPr>
              <w:pStyle w:val="20"/>
              <w:bidi w:val="0"/>
              <w:spacing w:after="0"/>
              <w:jc w:val="center"/>
              <w:rPr>
                <w:b w:val="0"/>
                <w:color w:val="000000"/>
                <w:sz w:val="21"/>
                <w:szCs w:val="21"/>
              </w:rPr>
            </w:pPr>
            <w:r>
              <w:rPr>
                <w:b w:val="0"/>
                <w:color w:val="000000"/>
                <w:sz w:val="21"/>
                <w:szCs w:val="21"/>
              </w:rPr>
              <w:t>质量与审计</w:t>
            </w:r>
          </w:p>
        </w:tc>
        <w:tc>
          <w:tcPr>
            <w:tcW w:w="6480" w:type="dxa"/>
            <w:tcBorders>
              <w:top w:val="nil"/>
              <w:left w:val="nil"/>
              <w:bottom w:val="nil"/>
              <w:right w:val="nil"/>
            </w:tcBorders>
            <w:shd w:val="clear" w:color="auto" w:fill="FFFFFF"/>
            <w:vAlign w:val="center"/>
          </w:tcPr>
          <w:p w14:paraId="68600AD4">
            <w:pPr>
              <w:pStyle w:val="20"/>
              <w:bidi w:val="0"/>
              <w:spacing w:after="0"/>
              <w:jc w:val="center"/>
              <w:rPr>
                <w:b w:val="0"/>
                <w:color w:val="000000"/>
                <w:sz w:val="21"/>
                <w:szCs w:val="21"/>
                <w:lang w:eastAsia="zh-CN"/>
              </w:rPr>
            </w:pPr>
            <w:r>
              <w:rPr>
                <w:b w:val="0"/>
                <w:color w:val="000000"/>
                <w:sz w:val="21"/>
                <w:szCs w:val="21"/>
                <w:lang w:eastAsia="zh-CN"/>
              </w:rPr>
              <w:t>执行完整性、守恒、越界、版本、重算和不确定度检查。</w:t>
            </w:r>
          </w:p>
        </w:tc>
      </w:tr>
      <w:tr w14:paraId="66EE67B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92" w:type="dxa"/>
            <w:tcBorders>
              <w:top w:val="nil"/>
              <w:left w:val="nil"/>
              <w:bottom w:val="single" w:color="000000" w:sz="12" w:space="0"/>
              <w:right w:val="nil"/>
            </w:tcBorders>
            <w:shd w:val="clear" w:color="auto" w:fill="FFFFFF"/>
            <w:vAlign w:val="center"/>
          </w:tcPr>
          <w:p w14:paraId="6CBD4AEA">
            <w:pPr>
              <w:pStyle w:val="20"/>
              <w:bidi w:val="0"/>
              <w:spacing w:after="0"/>
              <w:jc w:val="center"/>
              <w:rPr>
                <w:b w:val="0"/>
                <w:color w:val="000000"/>
                <w:sz w:val="21"/>
                <w:szCs w:val="21"/>
              </w:rPr>
            </w:pPr>
            <w:r>
              <w:rPr>
                <w:b w:val="0"/>
                <w:color w:val="000000"/>
                <w:sz w:val="21"/>
                <w:szCs w:val="21"/>
              </w:rPr>
              <w:t>F9</w:t>
            </w:r>
          </w:p>
        </w:tc>
        <w:tc>
          <w:tcPr>
            <w:tcW w:w="2088" w:type="dxa"/>
            <w:tcBorders>
              <w:top w:val="nil"/>
              <w:left w:val="nil"/>
              <w:bottom w:val="single" w:color="000000" w:sz="12" w:space="0"/>
              <w:right w:val="nil"/>
            </w:tcBorders>
            <w:shd w:val="clear" w:color="auto" w:fill="FFFFFF"/>
            <w:vAlign w:val="center"/>
          </w:tcPr>
          <w:p w14:paraId="34EFEB45">
            <w:pPr>
              <w:pStyle w:val="20"/>
              <w:bidi w:val="0"/>
              <w:spacing w:after="0"/>
              <w:jc w:val="center"/>
              <w:rPr>
                <w:b w:val="0"/>
                <w:color w:val="000000"/>
                <w:sz w:val="21"/>
                <w:szCs w:val="21"/>
              </w:rPr>
            </w:pPr>
            <w:r>
              <w:rPr>
                <w:b w:val="0"/>
                <w:color w:val="000000"/>
                <w:sz w:val="21"/>
                <w:szCs w:val="21"/>
              </w:rPr>
              <w:t>大屏、报表与API</w:t>
            </w:r>
          </w:p>
        </w:tc>
        <w:tc>
          <w:tcPr>
            <w:tcW w:w="6480" w:type="dxa"/>
            <w:tcBorders>
              <w:top w:val="nil"/>
              <w:left w:val="nil"/>
              <w:bottom w:val="single" w:color="000000" w:sz="12" w:space="0"/>
              <w:right w:val="nil"/>
            </w:tcBorders>
            <w:shd w:val="clear" w:color="auto" w:fill="FFFFFF"/>
            <w:vAlign w:val="center"/>
          </w:tcPr>
          <w:p w14:paraId="73217E12">
            <w:pPr>
              <w:pStyle w:val="20"/>
              <w:bidi w:val="0"/>
              <w:spacing w:after="0"/>
              <w:jc w:val="center"/>
              <w:rPr>
                <w:b w:val="0"/>
                <w:color w:val="000000"/>
                <w:sz w:val="21"/>
                <w:szCs w:val="21"/>
                <w:lang w:eastAsia="zh-CN"/>
              </w:rPr>
            </w:pPr>
            <w:r>
              <w:rPr>
                <w:b w:val="0"/>
                <w:color w:val="000000"/>
                <w:sz w:val="21"/>
                <w:szCs w:val="21"/>
                <w:lang w:eastAsia="zh-CN"/>
              </w:rPr>
              <w:t>形成1h/天/周/月/年五级碳核算大屏、标准报表、审计包以及CSV/JSON接口。</w:t>
            </w:r>
          </w:p>
        </w:tc>
      </w:tr>
    </w:tbl>
    <w:p w14:paraId="592A44D7">
      <w:pPr>
        <w:spacing w:after="20"/>
        <w:ind w:left="0" w:leftChars="0" w:firstLine="0" w:firstLineChars="0"/>
        <w:rPr>
          <w:lang w:eastAsia="zh-CN"/>
        </w:rPr>
      </w:pPr>
    </w:p>
    <w:p w14:paraId="3987BAE0">
      <w:pPr>
        <w:pStyle w:val="3"/>
        <w:bidi w:val="0"/>
        <w:rPr>
          <w:lang w:eastAsia="zh-CN"/>
        </w:rPr>
      </w:pPr>
      <w:r>
        <w:rPr>
          <w:lang w:eastAsia="zh-CN"/>
        </w:rPr>
        <w:t>1.4　三账分离与勾稽关系</w:t>
      </w:r>
    </w:p>
    <w:p w14:paraId="28820D80">
      <w:pPr>
        <w:rPr>
          <w:lang w:eastAsia="zh-CN"/>
        </w:rPr>
      </w:pPr>
      <w:r>
        <w:rPr>
          <w:lang w:eastAsia="zh-CN"/>
        </w:rPr>
        <w:t>本模块设置企业清单账、项目减排账、产品LCA账三本独立碳账，实现核算目的隔离，解决储能项目中电费节约、厂区合规碳排放、电池隐含碳互相混淆的问题，客观综合评价储能项目效益，避免仅依靠电价评价储能价值的片面性。三本碳账用途、核算逻辑与限制条件如下。</w:t>
      </w:r>
    </w:p>
    <w:p w14:paraId="2718E949">
      <w:pPr>
        <w:pStyle w:val="18"/>
        <w:bidi w:val="0"/>
        <w:rPr>
          <w:lang w:eastAsia="zh-CN"/>
        </w:rPr>
      </w:pPr>
      <w:r>
        <w:rPr>
          <w:lang w:eastAsia="zh-CN"/>
        </w:rPr>
        <w:t>表4　三本碳账的用途与隔离原则</w:t>
      </w:r>
    </w:p>
    <w:tbl>
      <w:tblPr>
        <w:tblStyle w:val="22"/>
        <w:tblW w:w="4998" w:type="pct"/>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336"/>
        <w:gridCol w:w="1874"/>
        <w:gridCol w:w="2032"/>
        <w:gridCol w:w="1966"/>
        <w:gridCol w:w="1311"/>
      </w:tblGrid>
      <w:tr w14:paraId="0774C5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84" w:type="pct"/>
            <w:tcBorders>
              <w:top w:val="single" w:color="000000" w:sz="12" w:space="0"/>
              <w:left w:val="nil"/>
              <w:bottom w:val="single" w:color="000000" w:sz="4" w:space="0"/>
              <w:right w:val="nil"/>
              <w:tl2br w:val="nil"/>
            </w:tcBorders>
            <w:shd w:val="clear" w:color="auto" w:fill="FFFFFF"/>
            <w:vAlign w:val="center"/>
          </w:tcPr>
          <w:p w14:paraId="01BA5B0F">
            <w:pPr>
              <w:pStyle w:val="20"/>
              <w:bidi w:val="0"/>
              <w:spacing w:after="0"/>
              <w:rPr>
                <w:sz w:val="21"/>
                <w:szCs w:val="21"/>
              </w:rPr>
            </w:pPr>
            <w:r>
              <w:rPr>
                <w:sz w:val="21"/>
                <w:szCs w:val="21"/>
              </w:rPr>
              <w:t>账本</w:t>
            </w:r>
          </w:p>
        </w:tc>
        <w:tc>
          <w:tcPr>
            <w:tcW w:w="1099" w:type="pct"/>
            <w:tcBorders>
              <w:top w:val="single" w:color="000000" w:sz="12" w:space="0"/>
              <w:left w:val="nil"/>
              <w:bottom w:val="single" w:color="000000" w:sz="4" w:space="0"/>
              <w:right w:val="nil"/>
            </w:tcBorders>
            <w:shd w:val="clear" w:color="auto" w:fill="FFFFFF"/>
            <w:vAlign w:val="center"/>
          </w:tcPr>
          <w:p w14:paraId="6543F124">
            <w:pPr>
              <w:pStyle w:val="20"/>
              <w:bidi w:val="0"/>
              <w:spacing w:after="0"/>
              <w:rPr>
                <w:sz w:val="21"/>
                <w:szCs w:val="21"/>
              </w:rPr>
            </w:pPr>
            <w:r>
              <w:rPr>
                <w:sz w:val="21"/>
                <w:szCs w:val="21"/>
              </w:rPr>
              <w:t>回答的问题</w:t>
            </w:r>
          </w:p>
        </w:tc>
        <w:tc>
          <w:tcPr>
            <w:tcW w:w="1192" w:type="pct"/>
            <w:tcBorders>
              <w:top w:val="single" w:color="000000" w:sz="12" w:space="0"/>
              <w:left w:val="nil"/>
              <w:bottom w:val="single" w:color="000000" w:sz="4" w:space="0"/>
              <w:right w:val="nil"/>
            </w:tcBorders>
            <w:shd w:val="clear" w:color="auto" w:fill="FFFFFF"/>
            <w:vAlign w:val="center"/>
          </w:tcPr>
          <w:p w14:paraId="7A86CFBD">
            <w:pPr>
              <w:pStyle w:val="20"/>
              <w:bidi w:val="0"/>
              <w:spacing w:after="0"/>
              <w:rPr>
                <w:sz w:val="21"/>
                <w:szCs w:val="21"/>
              </w:rPr>
            </w:pPr>
            <w:r>
              <w:rPr>
                <w:sz w:val="21"/>
                <w:szCs w:val="21"/>
              </w:rPr>
              <w:t>主要内容</w:t>
            </w:r>
          </w:p>
        </w:tc>
        <w:tc>
          <w:tcPr>
            <w:tcW w:w="1153" w:type="pct"/>
            <w:tcBorders>
              <w:top w:val="single" w:color="000000" w:sz="12" w:space="0"/>
              <w:left w:val="nil"/>
              <w:bottom w:val="single" w:color="000000" w:sz="4" w:space="0"/>
              <w:right w:val="nil"/>
            </w:tcBorders>
            <w:shd w:val="clear" w:color="auto" w:fill="FFFFFF"/>
            <w:vAlign w:val="center"/>
          </w:tcPr>
          <w:p w14:paraId="20DC7874">
            <w:pPr>
              <w:pStyle w:val="20"/>
              <w:bidi w:val="0"/>
              <w:spacing w:after="0"/>
              <w:rPr>
                <w:sz w:val="21"/>
                <w:szCs w:val="21"/>
              </w:rPr>
            </w:pPr>
            <w:r>
              <w:rPr>
                <w:sz w:val="21"/>
                <w:szCs w:val="21"/>
              </w:rPr>
              <w:t>核算主线</w:t>
            </w:r>
          </w:p>
        </w:tc>
        <w:tc>
          <w:tcPr>
            <w:tcW w:w="769" w:type="pct"/>
            <w:tcBorders>
              <w:top w:val="single" w:color="000000" w:sz="12" w:space="0"/>
              <w:left w:val="nil"/>
              <w:bottom w:val="single" w:color="000000" w:sz="4" w:space="0"/>
              <w:right w:val="nil"/>
            </w:tcBorders>
            <w:shd w:val="clear" w:color="auto" w:fill="FFFFFF"/>
            <w:vAlign w:val="center"/>
          </w:tcPr>
          <w:p w14:paraId="4505B81B">
            <w:pPr>
              <w:pStyle w:val="20"/>
              <w:bidi w:val="0"/>
              <w:spacing w:after="0"/>
              <w:rPr>
                <w:sz w:val="21"/>
                <w:szCs w:val="21"/>
              </w:rPr>
            </w:pPr>
            <w:r>
              <w:rPr>
                <w:sz w:val="21"/>
                <w:szCs w:val="21"/>
              </w:rPr>
              <w:t>关键限制</w:t>
            </w:r>
          </w:p>
        </w:tc>
      </w:tr>
      <w:tr w14:paraId="5BD428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84" w:type="pct"/>
            <w:tcBorders>
              <w:top w:val="single" w:color="000000" w:sz="4" w:space="0"/>
              <w:left w:val="nil"/>
              <w:bottom w:val="nil"/>
              <w:right w:val="nil"/>
            </w:tcBorders>
            <w:shd w:val="clear" w:color="auto" w:fill="FFFFFF"/>
            <w:vAlign w:val="center"/>
          </w:tcPr>
          <w:p w14:paraId="25DB6CA0">
            <w:pPr>
              <w:pStyle w:val="20"/>
              <w:bidi w:val="0"/>
              <w:spacing w:after="0"/>
              <w:rPr>
                <w:sz w:val="21"/>
                <w:szCs w:val="21"/>
              </w:rPr>
            </w:pPr>
            <w:r>
              <w:rPr>
                <w:sz w:val="21"/>
                <w:szCs w:val="21"/>
              </w:rPr>
              <w:t>企业清单账</w:t>
            </w:r>
          </w:p>
        </w:tc>
        <w:tc>
          <w:tcPr>
            <w:tcW w:w="1099" w:type="pct"/>
            <w:tcBorders>
              <w:top w:val="single" w:color="000000" w:sz="4" w:space="0"/>
              <w:left w:val="nil"/>
              <w:bottom w:val="nil"/>
              <w:right w:val="nil"/>
            </w:tcBorders>
            <w:shd w:val="clear" w:color="auto" w:fill="FFFFFF"/>
            <w:vAlign w:val="center"/>
          </w:tcPr>
          <w:p w14:paraId="6DE2EC12">
            <w:pPr>
              <w:pStyle w:val="20"/>
              <w:bidi w:val="0"/>
              <w:spacing w:after="0"/>
              <w:rPr>
                <w:sz w:val="21"/>
                <w:szCs w:val="21"/>
                <w:lang w:eastAsia="zh-CN"/>
              </w:rPr>
            </w:pPr>
            <w:r>
              <w:rPr>
                <w:sz w:val="21"/>
                <w:szCs w:val="21"/>
                <w:lang w:eastAsia="zh-CN"/>
              </w:rPr>
              <w:t>污水厂年度/周期温室气体排放</w:t>
            </w:r>
          </w:p>
        </w:tc>
        <w:tc>
          <w:tcPr>
            <w:tcW w:w="1192" w:type="pct"/>
            <w:tcBorders>
              <w:top w:val="single" w:color="000000" w:sz="4" w:space="0"/>
              <w:left w:val="nil"/>
              <w:bottom w:val="nil"/>
              <w:right w:val="nil"/>
            </w:tcBorders>
            <w:shd w:val="clear" w:color="auto" w:fill="FFFFFF"/>
            <w:vAlign w:val="center"/>
          </w:tcPr>
          <w:p w14:paraId="3587665A">
            <w:pPr>
              <w:pStyle w:val="20"/>
              <w:bidi w:val="0"/>
              <w:spacing w:after="0"/>
              <w:rPr>
                <w:sz w:val="21"/>
                <w:szCs w:val="21"/>
                <w:lang w:eastAsia="zh-CN"/>
              </w:rPr>
            </w:pPr>
            <w:r>
              <w:rPr>
                <w:sz w:val="21"/>
                <w:szCs w:val="21"/>
                <w:lang w:eastAsia="zh-CN"/>
              </w:rPr>
              <w:t>范围一、范围二及选报范围三</w:t>
            </w:r>
          </w:p>
        </w:tc>
        <w:tc>
          <w:tcPr>
            <w:tcW w:w="1153" w:type="pct"/>
            <w:tcBorders>
              <w:top w:val="single" w:color="000000" w:sz="4" w:space="0"/>
              <w:left w:val="nil"/>
              <w:bottom w:val="nil"/>
              <w:right w:val="nil"/>
            </w:tcBorders>
            <w:shd w:val="clear" w:color="auto" w:fill="FFFFFF"/>
            <w:vAlign w:val="center"/>
          </w:tcPr>
          <w:p w14:paraId="266E4F42">
            <w:pPr>
              <w:pStyle w:val="20"/>
              <w:bidi w:val="0"/>
              <w:spacing w:after="0"/>
              <w:rPr>
                <w:sz w:val="21"/>
                <w:szCs w:val="21"/>
                <w:lang w:eastAsia="zh-CN"/>
              </w:rPr>
            </w:pPr>
            <w:r>
              <w:rPr>
                <w:sz w:val="21"/>
                <w:szCs w:val="21"/>
                <w:lang w:eastAsia="zh-CN"/>
              </w:rPr>
              <w:t>关口计量+工艺活动数据</w:t>
            </w:r>
          </w:p>
        </w:tc>
        <w:tc>
          <w:tcPr>
            <w:tcW w:w="769" w:type="pct"/>
            <w:tcBorders>
              <w:top w:val="single" w:color="000000" w:sz="4" w:space="0"/>
              <w:left w:val="nil"/>
              <w:bottom w:val="nil"/>
              <w:right w:val="nil"/>
            </w:tcBorders>
            <w:shd w:val="clear" w:color="auto" w:fill="FFFFFF"/>
            <w:vAlign w:val="center"/>
          </w:tcPr>
          <w:p w14:paraId="70E3522B">
            <w:pPr>
              <w:pStyle w:val="20"/>
              <w:bidi w:val="0"/>
              <w:spacing w:after="0"/>
              <w:rPr>
                <w:sz w:val="21"/>
                <w:szCs w:val="21"/>
                <w:lang w:eastAsia="zh-CN"/>
              </w:rPr>
            </w:pPr>
            <w:r>
              <w:rPr>
                <w:sz w:val="21"/>
                <w:szCs w:val="21"/>
                <w:lang w:eastAsia="zh-CN"/>
              </w:rPr>
              <w:t>不得用项目减排量直接冲减</w:t>
            </w:r>
          </w:p>
        </w:tc>
      </w:tr>
      <w:tr w14:paraId="0A43EAF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84" w:type="pct"/>
            <w:tcBorders>
              <w:top w:val="nil"/>
              <w:left w:val="nil"/>
              <w:bottom w:val="nil"/>
              <w:right w:val="nil"/>
            </w:tcBorders>
            <w:shd w:val="clear" w:color="auto" w:fill="FFFFFF"/>
            <w:vAlign w:val="center"/>
          </w:tcPr>
          <w:p w14:paraId="752240C3">
            <w:pPr>
              <w:pStyle w:val="20"/>
              <w:bidi w:val="0"/>
              <w:spacing w:after="0"/>
              <w:rPr>
                <w:sz w:val="21"/>
                <w:szCs w:val="21"/>
              </w:rPr>
            </w:pPr>
            <w:r>
              <w:rPr>
                <w:sz w:val="21"/>
                <w:szCs w:val="21"/>
              </w:rPr>
              <w:t>项目减排账</w:t>
            </w:r>
          </w:p>
        </w:tc>
        <w:tc>
          <w:tcPr>
            <w:tcW w:w="1099" w:type="pct"/>
            <w:tcBorders>
              <w:top w:val="nil"/>
              <w:left w:val="nil"/>
              <w:bottom w:val="nil"/>
              <w:right w:val="nil"/>
            </w:tcBorders>
            <w:shd w:val="clear" w:color="auto" w:fill="FFFFFF"/>
            <w:vAlign w:val="center"/>
          </w:tcPr>
          <w:p w14:paraId="3E1B749F">
            <w:pPr>
              <w:pStyle w:val="20"/>
              <w:bidi w:val="0"/>
              <w:spacing w:after="0"/>
              <w:rPr>
                <w:sz w:val="21"/>
                <w:szCs w:val="21"/>
                <w:lang w:eastAsia="zh-CN"/>
              </w:rPr>
            </w:pPr>
            <w:r>
              <w:rPr>
                <w:sz w:val="21"/>
                <w:szCs w:val="21"/>
                <w:lang w:eastAsia="zh-CN"/>
              </w:rPr>
              <w:t>评价储能调度相对基准线的变化</w:t>
            </w:r>
          </w:p>
        </w:tc>
        <w:tc>
          <w:tcPr>
            <w:tcW w:w="1192" w:type="pct"/>
            <w:tcBorders>
              <w:top w:val="nil"/>
              <w:left w:val="nil"/>
              <w:bottom w:val="nil"/>
              <w:right w:val="nil"/>
            </w:tcBorders>
            <w:shd w:val="clear" w:color="auto" w:fill="FFFFFF"/>
            <w:vAlign w:val="center"/>
          </w:tcPr>
          <w:p w14:paraId="3E55D44C">
            <w:pPr>
              <w:pStyle w:val="20"/>
              <w:bidi w:val="0"/>
              <w:spacing w:after="0"/>
              <w:rPr>
                <w:sz w:val="21"/>
                <w:szCs w:val="21"/>
              </w:rPr>
            </w:pPr>
            <w:r>
              <w:rPr>
                <w:sz w:val="21"/>
                <w:szCs w:val="21"/>
              </w:rPr>
              <w:t>基准排放BE、项目排放PE、泄漏LE</w:t>
            </w:r>
          </w:p>
        </w:tc>
        <w:tc>
          <w:tcPr>
            <w:tcW w:w="1153" w:type="pct"/>
            <w:tcBorders>
              <w:top w:val="nil"/>
              <w:left w:val="nil"/>
              <w:bottom w:val="nil"/>
              <w:right w:val="nil"/>
            </w:tcBorders>
            <w:shd w:val="clear" w:color="auto" w:fill="FFFFFF"/>
            <w:vAlign w:val="center"/>
          </w:tcPr>
          <w:p w14:paraId="7DBE4DF5">
            <w:pPr>
              <w:pStyle w:val="20"/>
              <w:bidi w:val="0"/>
              <w:spacing w:after="0"/>
              <w:rPr>
                <w:sz w:val="21"/>
                <w:szCs w:val="21"/>
                <w:lang w:eastAsia="zh-CN"/>
              </w:rPr>
            </w:pPr>
            <w:r>
              <w:rPr>
                <w:sz w:val="21"/>
                <w:szCs w:val="21"/>
                <w:lang w:eastAsia="zh-CN"/>
              </w:rPr>
              <w:t>同边界、同服务水平的反事实对比</w:t>
            </w:r>
          </w:p>
        </w:tc>
        <w:tc>
          <w:tcPr>
            <w:tcW w:w="769" w:type="pct"/>
            <w:tcBorders>
              <w:top w:val="nil"/>
              <w:left w:val="nil"/>
              <w:bottom w:val="nil"/>
              <w:right w:val="nil"/>
            </w:tcBorders>
            <w:shd w:val="clear" w:color="auto" w:fill="FFFFFF"/>
            <w:vAlign w:val="center"/>
          </w:tcPr>
          <w:p w14:paraId="08C1B4DB">
            <w:pPr>
              <w:pStyle w:val="20"/>
              <w:bidi w:val="0"/>
              <w:spacing w:after="0"/>
              <w:rPr>
                <w:sz w:val="21"/>
                <w:szCs w:val="21"/>
              </w:rPr>
            </w:pPr>
            <w:r>
              <w:rPr>
                <w:sz w:val="21"/>
                <w:szCs w:val="21"/>
              </w:rPr>
              <w:t>结果可正可负</w:t>
            </w:r>
          </w:p>
        </w:tc>
      </w:tr>
      <w:tr w14:paraId="17977E1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784" w:type="pct"/>
            <w:tcBorders>
              <w:top w:val="nil"/>
              <w:left w:val="nil"/>
              <w:bottom w:val="single" w:color="000000" w:sz="12" w:space="0"/>
              <w:right w:val="nil"/>
            </w:tcBorders>
            <w:shd w:val="clear" w:color="auto" w:fill="FFFFFF"/>
            <w:vAlign w:val="center"/>
          </w:tcPr>
          <w:p w14:paraId="6A9A8C94">
            <w:pPr>
              <w:pStyle w:val="20"/>
              <w:bidi w:val="0"/>
              <w:spacing w:after="0"/>
              <w:rPr>
                <w:sz w:val="21"/>
                <w:szCs w:val="21"/>
              </w:rPr>
            </w:pPr>
            <w:r>
              <w:rPr>
                <w:sz w:val="21"/>
                <w:szCs w:val="21"/>
              </w:rPr>
              <w:t>产品LCA账</w:t>
            </w:r>
          </w:p>
        </w:tc>
        <w:tc>
          <w:tcPr>
            <w:tcW w:w="1099" w:type="pct"/>
            <w:tcBorders>
              <w:top w:val="nil"/>
              <w:left w:val="nil"/>
              <w:bottom w:val="single" w:color="000000" w:sz="12" w:space="0"/>
              <w:right w:val="nil"/>
            </w:tcBorders>
            <w:shd w:val="clear" w:color="auto" w:fill="FFFFFF"/>
            <w:vAlign w:val="center"/>
          </w:tcPr>
          <w:p w14:paraId="460FEB19">
            <w:pPr>
              <w:pStyle w:val="20"/>
              <w:bidi w:val="0"/>
              <w:spacing w:after="0"/>
              <w:rPr>
                <w:sz w:val="21"/>
                <w:szCs w:val="21"/>
                <w:lang w:eastAsia="zh-CN"/>
              </w:rPr>
            </w:pPr>
            <w:r>
              <w:rPr>
                <w:sz w:val="21"/>
                <w:szCs w:val="21"/>
                <w:lang w:eastAsia="zh-CN"/>
              </w:rPr>
              <w:t>评价储能设备或储能服务碳足迹</w:t>
            </w:r>
          </w:p>
        </w:tc>
        <w:tc>
          <w:tcPr>
            <w:tcW w:w="1192" w:type="pct"/>
            <w:tcBorders>
              <w:top w:val="nil"/>
              <w:left w:val="nil"/>
              <w:bottom w:val="single" w:color="000000" w:sz="12" w:space="0"/>
              <w:right w:val="nil"/>
            </w:tcBorders>
            <w:shd w:val="clear" w:color="auto" w:fill="FFFFFF"/>
            <w:vAlign w:val="center"/>
          </w:tcPr>
          <w:p w14:paraId="6BBAF60C">
            <w:pPr>
              <w:pStyle w:val="20"/>
              <w:bidi w:val="0"/>
              <w:spacing w:after="0"/>
              <w:rPr>
                <w:sz w:val="21"/>
                <w:szCs w:val="21"/>
                <w:lang w:eastAsia="zh-CN"/>
              </w:rPr>
            </w:pPr>
            <w:r>
              <w:rPr>
                <w:sz w:val="21"/>
                <w:szCs w:val="21"/>
                <w:lang w:eastAsia="zh-CN"/>
              </w:rPr>
              <w:t>原材料至退役的生命周期阶段</w:t>
            </w:r>
          </w:p>
        </w:tc>
        <w:tc>
          <w:tcPr>
            <w:tcW w:w="1153" w:type="pct"/>
            <w:tcBorders>
              <w:top w:val="nil"/>
              <w:left w:val="nil"/>
              <w:bottom w:val="single" w:color="000000" w:sz="12" w:space="0"/>
              <w:right w:val="nil"/>
            </w:tcBorders>
            <w:shd w:val="clear" w:color="auto" w:fill="FFFFFF"/>
            <w:vAlign w:val="center"/>
          </w:tcPr>
          <w:p w14:paraId="7E7E0DA3">
            <w:pPr>
              <w:pStyle w:val="20"/>
              <w:bidi w:val="0"/>
              <w:spacing w:after="0"/>
              <w:rPr>
                <w:sz w:val="21"/>
                <w:szCs w:val="21"/>
                <w:lang w:eastAsia="zh-CN"/>
              </w:rPr>
            </w:pPr>
            <w:r>
              <w:rPr>
                <w:sz w:val="21"/>
                <w:szCs w:val="21"/>
                <w:lang w:eastAsia="zh-CN"/>
              </w:rPr>
              <w:t>供应商数据+LCA数据库+实际运维</w:t>
            </w:r>
          </w:p>
        </w:tc>
        <w:tc>
          <w:tcPr>
            <w:tcW w:w="769" w:type="pct"/>
            <w:tcBorders>
              <w:top w:val="nil"/>
              <w:left w:val="nil"/>
              <w:bottom w:val="single" w:color="000000" w:sz="12" w:space="0"/>
              <w:right w:val="nil"/>
            </w:tcBorders>
            <w:shd w:val="clear" w:color="auto" w:fill="FFFFFF"/>
            <w:vAlign w:val="center"/>
          </w:tcPr>
          <w:p w14:paraId="44DE19FB">
            <w:pPr>
              <w:pStyle w:val="20"/>
              <w:bidi w:val="0"/>
              <w:spacing w:after="0"/>
              <w:rPr>
                <w:sz w:val="21"/>
                <w:szCs w:val="21"/>
                <w:lang w:eastAsia="zh-CN"/>
              </w:rPr>
            </w:pPr>
            <w:r>
              <w:rPr>
                <w:sz w:val="21"/>
                <w:szCs w:val="21"/>
                <w:lang w:eastAsia="zh-CN"/>
              </w:rPr>
              <w:t>不得重复计入企业清单的购电</w:t>
            </w:r>
          </w:p>
        </w:tc>
      </w:tr>
    </w:tbl>
    <w:p w14:paraId="0CDEFE07">
      <w:pPr>
        <w:ind w:firstLine="440"/>
        <w:rPr>
          <w:rFonts w:hint="eastAsia" w:ascii="Arial" w:hAnsi="Arial"/>
          <w:b w:val="0"/>
          <w:color w:val="000000"/>
          <w:sz w:val="22"/>
          <w:lang w:eastAsia="zh-CN"/>
        </w:rPr>
      </w:pPr>
      <w:r>
        <w:rPr>
          <w:rFonts w:ascii="Arial" w:hAnsi="Arial"/>
          <w:b w:val="0"/>
          <w:color w:val="000000"/>
          <w:sz w:val="22"/>
          <w:lang w:eastAsia="zh-CN"/>
        </w:rPr>
        <w:t>勾稽原则</w:t>
      </w:r>
      <w:r>
        <w:rPr>
          <w:rFonts w:hint="eastAsia" w:ascii="Arial" w:hAnsi="Arial"/>
          <w:b w:val="0"/>
          <w:color w:val="000000"/>
          <w:sz w:val="22"/>
          <w:lang w:eastAsia="zh-CN"/>
        </w:rPr>
        <w:t>：同一笔关口购电，仅在企业清单账中计算一次范围二排放；项目减排账通过“基准排放‑项目实际排放”的差值评价排放变化；LCA账中储能设备隐含碳，仅在计算净生命周期绩效时按照约定功能单位分摊，禁止和企业范围二购电排放重复累加。</w:t>
      </w:r>
    </w:p>
    <w:p w14:paraId="26625F22">
      <w:pPr>
        <w:ind w:firstLine="440"/>
        <w:rPr>
          <w:rFonts w:hint="eastAsia" w:ascii="Arial" w:hAnsi="Arial"/>
          <w:b w:val="0"/>
          <w:color w:val="000000"/>
          <w:sz w:val="22"/>
          <w:lang w:eastAsia="zh-CN"/>
        </w:rPr>
      </w:pPr>
    </w:p>
    <w:p w14:paraId="6B774A17">
      <w:pPr>
        <w:pStyle w:val="2"/>
        <w:bidi w:val="0"/>
        <w:rPr>
          <w:lang w:eastAsia="zh-CN"/>
        </w:rPr>
      </w:pPr>
      <w:r>
        <w:rPr>
          <w:rFonts w:hint="eastAsia"/>
          <w:lang w:val="en-US" w:eastAsia="zh-CN"/>
        </w:rPr>
        <w:t>二、</w:t>
      </w:r>
      <w:r>
        <w:rPr>
          <w:lang w:eastAsia="zh-CN"/>
        </w:rPr>
        <w:t>标准对照与适用性</w:t>
      </w:r>
    </w:p>
    <w:p w14:paraId="5A623E01">
      <w:pPr>
        <w:pStyle w:val="3"/>
        <w:bidi w:val="0"/>
        <w:rPr>
          <w:lang w:eastAsia="zh-CN"/>
        </w:rPr>
      </w:pPr>
      <w:r>
        <w:rPr>
          <w:lang w:eastAsia="zh-CN"/>
        </w:rPr>
        <w:t>2.1　标准体系分层</w:t>
      </w:r>
    </w:p>
    <w:p w14:paraId="05F18AB4">
      <w:pPr>
        <w:ind w:firstLine="440"/>
        <w:rPr>
          <w:lang w:eastAsia="zh-CN"/>
        </w:rPr>
      </w:pPr>
      <w:r>
        <w:rPr>
          <w:rFonts w:ascii="Arial" w:hAnsi="Arial"/>
          <w:sz w:val="22"/>
          <w:lang w:eastAsia="zh-CN"/>
        </w:rPr>
        <w:t>本模块采用“国家通用标准为主、行业标准为补充、项目方法学控制对外减排声明”的分层体系。标准的存在并不等于项目自动符合；只有在取得标准全文、完成条款对照并保留证据后，系统才允许标记为“已验证符合”。</w:t>
      </w:r>
    </w:p>
    <w:p w14:paraId="1E62C2CE">
      <w:pPr>
        <w:pStyle w:val="18"/>
        <w:bidi w:val="0"/>
      </w:pPr>
      <w:r>
        <w:t>表5　标准与文件对照表</w:t>
      </w:r>
    </w:p>
    <w:tbl>
      <w:tblPr>
        <w:tblStyle w:val="22"/>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69"/>
        <w:gridCol w:w="2501"/>
        <w:gridCol w:w="2267"/>
        <w:gridCol w:w="2085"/>
      </w:tblGrid>
      <w:tr w14:paraId="7F574C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tcPr>
          <w:p w14:paraId="4DD82124">
            <w:pPr>
              <w:pStyle w:val="20"/>
              <w:bidi w:val="0"/>
              <w:spacing w:after="0"/>
              <w:rPr>
                <w:b w:val="0"/>
                <w:color w:val="000000"/>
                <w:sz w:val="21"/>
                <w:szCs w:val="21"/>
              </w:rPr>
            </w:pPr>
            <w:r>
              <w:rPr>
                <w:b w:val="0"/>
                <w:color w:val="000000"/>
                <w:sz w:val="21"/>
                <w:szCs w:val="21"/>
              </w:rPr>
              <w:t>标准/文件</w:t>
            </w:r>
          </w:p>
        </w:tc>
        <w:tc>
          <w:tcPr>
            <w:tcW w:w="0" w:type="auto"/>
            <w:tcBorders>
              <w:top w:val="single" w:color="000000" w:sz="12" w:space="0"/>
              <w:left w:val="nil"/>
              <w:bottom w:val="single" w:color="000000" w:sz="4" w:space="0"/>
              <w:right w:val="nil"/>
            </w:tcBorders>
            <w:shd w:val="clear" w:color="auto" w:fill="FFFFFF"/>
          </w:tcPr>
          <w:p w14:paraId="777C46C7">
            <w:pPr>
              <w:pStyle w:val="20"/>
              <w:bidi w:val="0"/>
              <w:spacing w:after="0"/>
              <w:rPr>
                <w:b w:val="0"/>
                <w:color w:val="000000"/>
                <w:sz w:val="21"/>
                <w:szCs w:val="21"/>
              </w:rPr>
            </w:pPr>
            <w:r>
              <w:rPr>
                <w:b w:val="0"/>
                <w:color w:val="000000"/>
                <w:sz w:val="21"/>
                <w:szCs w:val="21"/>
              </w:rPr>
              <w:t>名称</w:t>
            </w:r>
          </w:p>
        </w:tc>
        <w:tc>
          <w:tcPr>
            <w:tcW w:w="2267" w:type="dxa"/>
            <w:tcBorders>
              <w:top w:val="single" w:color="000000" w:sz="12" w:space="0"/>
              <w:left w:val="nil"/>
              <w:bottom w:val="single" w:color="000000" w:sz="4" w:space="0"/>
              <w:right w:val="nil"/>
            </w:tcBorders>
            <w:shd w:val="clear" w:color="auto" w:fill="FFFFFF"/>
          </w:tcPr>
          <w:p w14:paraId="75B4454A">
            <w:pPr>
              <w:pStyle w:val="20"/>
              <w:bidi w:val="0"/>
              <w:spacing w:after="0"/>
              <w:rPr>
                <w:b w:val="0"/>
                <w:color w:val="000000"/>
                <w:sz w:val="21"/>
                <w:szCs w:val="21"/>
              </w:rPr>
            </w:pPr>
            <w:r>
              <w:rPr>
                <w:b w:val="0"/>
                <w:color w:val="000000"/>
                <w:sz w:val="21"/>
                <w:szCs w:val="21"/>
              </w:rPr>
              <w:t>在本模块中的用途</w:t>
            </w:r>
          </w:p>
        </w:tc>
        <w:tc>
          <w:tcPr>
            <w:tcW w:w="2085" w:type="dxa"/>
            <w:tcBorders>
              <w:top w:val="single" w:color="000000" w:sz="12" w:space="0"/>
              <w:left w:val="nil"/>
              <w:bottom w:val="single" w:color="000000" w:sz="4" w:space="0"/>
              <w:right w:val="nil"/>
            </w:tcBorders>
            <w:shd w:val="clear" w:color="auto" w:fill="FFFFFF"/>
          </w:tcPr>
          <w:p w14:paraId="1FD3119C">
            <w:pPr>
              <w:pStyle w:val="20"/>
              <w:bidi w:val="0"/>
              <w:spacing w:after="0"/>
              <w:rPr>
                <w:b w:val="0"/>
                <w:color w:val="000000"/>
                <w:sz w:val="21"/>
                <w:szCs w:val="21"/>
              </w:rPr>
            </w:pPr>
            <w:r>
              <w:rPr>
                <w:b w:val="0"/>
                <w:color w:val="000000"/>
                <w:sz w:val="21"/>
                <w:szCs w:val="21"/>
              </w:rPr>
              <w:t>采用规则</w:t>
            </w:r>
          </w:p>
        </w:tc>
      </w:tr>
      <w:tr w14:paraId="461F87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tcPr>
          <w:p w14:paraId="53200CD1">
            <w:pPr>
              <w:pStyle w:val="20"/>
              <w:bidi w:val="0"/>
              <w:spacing w:after="0"/>
              <w:rPr>
                <w:b w:val="0"/>
                <w:color w:val="000000"/>
                <w:sz w:val="21"/>
                <w:szCs w:val="21"/>
              </w:rPr>
            </w:pPr>
            <w:r>
              <w:rPr>
                <w:b w:val="0"/>
                <w:color w:val="000000"/>
                <w:sz w:val="21"/>
                <w:szCs w:val="21"/>
              </w:rPr>
              <w:t>GB/T 32150—2025</w:t>
            </w:r>
          </w:p>
        </w:tc>
        <w:tc>
          <w:tcPr>
            <w:tcW w:w="0" w:type="auto"/>
            <w:tcBorders>
              <w:top w:val="single" w:color="000000" w:sz="4" w:space="0"/>
              <w:left w:val="nil"/>
              <w:bottom w:val="nil"/>
              <w:right w:val="nil"/>
            </w:tcBorders>
            <w:shd w:val="clear" w:color="auto" w:fill="FFFFFF"/>
          </w:tcPr>
          <w:p w14:paraId="0F98A13E">
            <w:pPr>
              <w:pStyle w:val="20"/>
              <w:bidi w:val="0"/>
              <w:spacing w:after="0"/>
              <w:rPr>
                <w:b w:val="0"/>
                <w:color w:val="000000"/>
                <w:sz w:val="21"/>
                <w:szCs w:val="21"/>
                <w:lang w:eastAsia="zh-CN"/>
              </w:rPr>
            </w:pPr>
            <w:r>
              <w:rPr>
                <w:b w:val="0"/>
                <w:color w:val="000000"/>
                <w:sz w:val="21"/>
                <w:szCs w:val="21"/>
                <w:lang w:eastAsia="zh-CN"/>
              </w:rPr>
              <w:t>工业企业温室气体排放核算和报告通则</w:t>
            </w:r>
          </w:p>
        </w:tc>
        <w:tc>
          <w:tcPr>
            <w:tcW w:w="2267" w:type="dxa"/>
            <w:tcBorders>
              <w:top w:val="single" w:color="000000" w:sz="4" w:space="0"/>
              <w:left w:val="nil"/>
              <w:bottom w:val="nil"/>
              <w:right w:val="nil"/>
            </w:tcBorders>
            <w:shd w:val="clear" w:color="auto" w:fill="FFFFFF"/>
          </w:tcPr>
          <w:p w14:paraId="6D6E8FE7">
            <w:pPr>
              <w:pStyle w:val="20"/>
              <w:bidi w:val="0"/>
              <w:spacing w:after="0"/>
              <w:rPr>
                <w:b w:val="0"/>
                <w:color w:val="000000"/>
                <w:sz w:val="21"/>
                <w:szCs w:val="21"/>
                <w:lang w:eastAsia="zh-CN"/>
              </w:rPr>
            </w:pPr>
            <w:r>
              <w:rPr>
                <w:b w:val="0"/>
                <w:color w:val="000000"/>
                <w:sz w:val="21"/>
                <w:szCs w:val="21"/>
                <w:lang w:eastAsia="zh-CN"/>
              </w:rPr>
              <w:t>组织层面清单原则、边界、数据质量与报告</w:t>
            </w:r>
          </w:p>
        </w:tc>
        <w:tc>
          <w:tcPr>
            <w:tcW w:w="2085" w:type="dxa"/>
            <w:tcBorders>
              <w:top w:val="single" w:color="000000" w:sz="4" w:space="0"/>
              <w:left w:val="nil"/>
              <w:bottom w:val="nil"/>
              <w:right w:val="nil"/>
            </w:tcBorders>
            <w:shd w:val="clear" w:color="auto" w:fill="FFFFFF"/>
          </w:tcPr>
          <w:p w14:paraId="45937C97">
            <w:pPr>
              <w:pStyle w:val="20"/>
              <w:bidi w:val="0"/>
              <w:spacing w:after="0"/>
              <w:rPr>
                <w:b w:val="0"/>
                <w:color w:val="000000"/>
                <w:sz w:val="21"/>
                <w:szCs w:val="21"/>
              </w:rPr>
            </w:pPr>
            <w:r>
              <w:rPr>
                <w:b w:val="0"/>
                <w:color w:val="000000"/>
                <w:sz w:val="21"/>
                <w:szCs w:val="21"/>
              </w:rPr>
              <w:t>主依据；2026-07-01实施</w:t>
            </w:r>
          </w:p>
        </w:tc>
      </w:tr>
      <w:tr w14:paraId="0276BC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429BEB0B">
            <w:pPr>
              <w:pStyle w:val="20"/>
              <w:bidi w:val="0"/>
              <w:spacing w:after="0"/>
              <w:rPr>
                <w:b w:val="0"/>
                <w:color w:val="000000"/>
                <w:sz w:val="21"/>
                <w:szCs w:val="21"/>
              </w:rPr>
            </w:pPr>
            <w:r>
              <w:rPr>
                <w:b w:val="0"/>
                <w:color w:val="000000"/>
                <w:sz w:val="21"/>
                <w:szCs w:val="21"/>
              </w:rPr>
              <w:t>GB/T 46725—2025</w:t>
            </w:r>
          </w:p>
        </w:tc>
        <w:tc>
          <w:tcPr>
            <w:tcW w:w="0" w:type="auto"/>
            <w:tcBorders>
              <w:top w:val="nil"/>
              <w:left w:val="nil"/>
              <w:bottom w:val="nil"/>
              <w:right w:val="nil"/>
            </w:tcBorders>
            <w:shd w:val="clear" w:color="auto" w:fill="FFFFFF"/>
          </w:tcPr>
          <w:p w14:paraId="7294DB89">
            <w:pPr>
              <w:pStyle w:val="20"/>
              <w:bidi w:val="0"/>
              <w:spacing w:after="0"/>
              <w:rPr>
                <w:b w:val="0"/>
                <w:color w:val="000000"/>
                <w:sz w:val="21"/>
                <w:szCs w:val="21"/>
                <w:lang w:eastAsia="zh-CN"/>
              </w:rPr>
            </w:pPr>
            <w:r>
              <w:rPr>
                <w:b w:val="0"/>
                <w:color w:val="000000"/>
                <w:sz w:val="21"/>
                <w:szCs w:val="21"/>
                <w:lang w:eastAsia="zh-CN"/>
              </w:rPr>
              <w:t>协同降碳绩效评价 城镇污水处理</w:t>
            </w:r>
          </w:p>
        </w:tc>
        <w:tc>
          <w:tcPr>
            <w:tcW w:w="2267" w:type="dxa"/>
            <w:tcBorders>
              <w:top w:val="nil"/>
              <w:left w:val="nil"/>
              <w:bottom w:val="nil"/>
              <w:right w:val="nil"/>
            </w:tcBorders>
            <w:shd w:val="clear" w:color="auto" w:fill="FFFFFF"/>
          </w:tcPr>
          <w:p w14:paraId="53B70F1A">
            <w:pPr>
              <w:pStyle w:val="20"/>
              <w:bidi w:val="0"/>
              <w:spacing w:after="0"/>
              <w:rPr>
                <w:b w:val="0"/>
                <w:color w:val="000000"/>
                <w:sz w:val="21"/>
                <w:szCs w:val="21"/>
                <w:lang w:eastAsia="zh-CN"/>
              </w:rPr>
            </w:pPr>
            <w:r>
              <w:rPr>
                <w:b w:val="0"/>
                <w:color w:val="000000"/>
                <w:sz w:val="21"/>
                <w:szCs w:val="21"/>
                <w:lang w:eastAsia="zh-CN"/>
              </w:rPr>
              <w:t>污水处理协同降碳绩效评价</w:t>
            </w:r>
          </w:p>
        </w:tc>
        <w:tc>
          <w:tcPr>
            <w:tcW w:w="2085" w:type="dxa"/>
            <w:tcBorders>
              <w:top w:val="nil"/>
              <w:left w:val="nil"/>
              <w:bottom w:val="nil"/>
              <w:right w:val="nil"/>
            </w:tcBorders>
            <w:shd w:val="clear" w:color="auto" w:fill="FFFFFF"/>
          </w:tcPr>
          <w:p w14:paraId="30CB4DDC">
            <w:pPr>
              <w:pStyle w:val="20"/>
              <w:bidi w:val="0"/>
              <w:spacing w:after="0"/>
              <w:rPr>
                <w:b w:val="0"/>
                <w:color w:val="000000"/>
                <w:sz w:val="21"/>
                <w:szCs w:val="21"/>
                <w:lang w:eastAsia="zh-CN"/>
              </w:rPr>
            </w:pPr>
            <w:r>
              <w:rPr>
                <w:b w:val="0"/>
                <w:color w:val="000000"/>
                <w:sz w:val="21"/>
                <w:szCs w:val="21"/>
                <w:lang w:eastAsia="zh-CN"/>
              </w:rPr>
              <w:t>行业绩效主依据；2026-02-01实施</w:t>
            </w:r>
          </w:p>
        </w:tc>
      </w:tr>
      <w:tr w14:paraId="00B876A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202E24F5">
            <w:pPr>
              <w:pStyle w:val="20"/>
              <w:bidi w:val="0"/>
              <w:spacing w:after="0"/>
              <w:rPr>
                <w:b w:val="0"/>
                <w:color w:val="000000"/>
                <w:sz w:val="21"/>
                <w:szCs w:val="21"/>
              </w:rPr>
            </w:pPr>
            <w:r>
              <w:rPr>
                <w:b w:val="0"/>
                <w:color w:val="000000"/>
                <w:sz w:val="21"/>
                <w:szCs w:val="21"/>
              </w:rPr>
              <w:t>GB/T 33760—2017</w:t>
            </w:r>
          </w:p>
        </w:tc>
        <w:tc>
          <w:tcPr>
            <w:tcW w:w="0" w:type="auto"/>
            <w:tcBorders>
              <w:top w:val="nil"/>
              <w:left w:val="nil"/>
              <w:bottom w:val="nil"/>
              <w:right w:val="nil"/>
            </w:tcBorders>
            <w:shd w:val="clear" w:color="auto" w:fill="FFFFFF"/>
          </w:tcPr>
          <w:p w14:paraId="254C89A6">
            <w:pPr>
              <w:pStyle w:val="20"/>
              <w:bidi w:val="0"/>
              <w:spacing w:after="0"/>
              <w:rPr>
                <w:b w:val="0"/>
                <w:color w:val="000000"/>
                <w:sz w:val="21"/>
                <w:szCs w:val="21"/>
                <w:lang w:eastAsia="zh-CN"/>
              </w:rPr>
            </w:pPr>
            <w:r>
              <w:rPr>
                <w:b w:val="0"/>
                <w:color w:val="000000"/>
                <w:sz w:val="21"/>
                <w:szCs w:val="21"/>
                <w:lang w:eastAsia="zh-CN"/>
              </w:rPr>
              <w:t>基于项目的温室气体减排量评估技术规范 通用要求</w:t>
            </w:r>
          </w:p>
        </w:tc>
        <w:tc>
          <w:tcPr>
            <w:tcW w:w="2267" w:type="dxa"/>
            <w:tcBorders>
              <w:top w:val="nil"/>
              <w:left w:val="nil"/>
              <w:bottom w:val="nil"/>
              <w:right w:val="nil"/>
            </w:tcBorders>
            <w:shd w:val="clear" w:color="auto" w:fill="FFFFFF"/>
          </w:tcPr>
          <w:p w14:paraId="04496A18">
            <w:pPr>
              <w:pStyle w:val="20"/>
              <w:bidi w:val="0"/>
              <w:spacing w:after="0"/>
              <w:rPr>
                <w:b w:val="0"/>
                <w:color w:val="000000"/>
                <w:sz w:val="21"/>
                <w:szCs w:val="21"/>
                <w:lang w:eastAsia="zh-CN"/>
              </w:rPr>
            </w:pPr>
            <w:r>
              <w:rPr>
                <w:b w:val="0"/>
                <w:color w:val="000000"/>
                <w:sz w:val="21"/>
                <w:szCs w:val="21"/>
                <w:lang w:eastAsia="zh-CN"/>
              </w:rPr>
              <w:t>基准线、项目边界、监测与减排量评估</w:t>
            </w:r>
          </w:p>
        </w:tc>
        <w:tc>
          <w:tcPr>
            <w:tcW w:w="2085" w:type="dxa"/>
            <w:tcBorders>
              <w:top w:val="nil"/>
              <w:left w:val="nil"/>
              <w:bottom w:val="nil"/>
              <w:right w:val="nil"/>
            </w:tcBorders>
            <w:shd w:val="clear" w:color="auto" w:fill="FFFFFF"/>
          </w:tcPr>
          <w:p w14:paraId="0F77C475">
            <w:pPr>
              <w:pStyle w:val="20"/>
              <w:bidi w:val="0"/>
              <w:spacing w:after="0"/>
              <w:rPr>
                <w:b w:val="0"/>
                <w:color w:val="000000"/>
                <w:sz w:val="21"/>
                <w:szCs w:val="21"/>
              </w:rPr>
            </w:pPr>
            <w:r>
              <w:rPr>
                <w:b w:val="0"/>
                <w:color w:val="000000"/>
                <w:sz w:val="21"/>
                <w:szCs w:val="21"/>
              </w:rPr>
              <w:t>项目减排主依据</w:t>
            </w:r>
          </w:p>
        </w:tc>
      </w:tr>
      <w:tr w14:paraId="6594805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3FAC9659">
            <w:pPr>
              <w:pStyle w:val="20"/>
              <w:bidi w:val="0"/>
              <w:spacing w:after="0"/>
              <w:rPr>
                <w:b w:val="0"/>
                <w:color w:val="000000"/>
                <w:sz w:val="21"/>
                <w:szCs w:val="21"/>
              </w:rPr>
            </w:pPr>
            <w:r>
              <w:rPr>
                <w:b w:val="0"/>
                <w:color w:val="000000"/>
                <w:sz w:val="21"/>
                <w:szCs w:val="21"/>
              </w:rPr>
              <w:t>GB/T 24067—2024</w:t>
            </w:r>
          </w:p>
        </w:tc>
        <w:tc>
          <w:tcPr>
            <w:tcW w:w="0" w:type="auto"/>
            <w:tcBorders>
              <w:top w:val="nil"/>
              <w:left w:val="nil"/>
              <w:bottom w:val="nil"/>
              <w:right w:val="nil"/>
            </w:tcBorders>
            <w:shd w:val="clear" w:color="auto" w:fill="FFFFFF"/>
          </w:tcPr>
          <w:p w14:paraId="5B109838">
            <w:pPr>
              <w:pStyle w:val="20"/>
              <w:bidi w:val="0"/>
              <w:spacing w:after="0"/>
              <w:rPr>
                <w:b w:val="0"/>
                <w:color w:val="000000"/>
                <w:sz w:val="21"/>
                <w:szCs w:val="21"/>
                <w:lang w:eastAsia="zh-CN"/>
              </w:rPr>
            </w:pPr>
            <w:r>
              <w:rPr>
                <w:b w:val="0"/>
                <w:color w:val="000000"/>
                <w:sz w:val="21"/>
                <w:szCs w:val="21"/>
                <w:lang w:eastAsia="zh-CN"/>
              </w:rPr>
              <w:t>温室气体 产品碳足迹 量化要求和指南</w:t>
            </w:r>
          </w:p>
        </w:tc>
        <w:tc>
          <w:tcPr>
            <w:tcW w:w="2267" w:type="dxa"/>
            <w:tcBorders>
              <w:top w:val="nil"/>
              <w:left w:val="nil"/>
              <w:bottom w:val="nil"/>
              <w:right w:val="nil"/>
            </w:tcBorders>
            <w:shd w:val="clear" w:color="auto" w:fill="FFFFFF"/>
          </w:tcPr>
          <w:p w14:paraId="26AC7104">
            <w:pPr>
              <w:pStyle w:val="20"/>
              <w:bidi w:val="0"/>
              <w:spacing w:after="0"/>
              <w:rPr>
                <w:b w:val="0"/>
                <w:color w:val="000000"/>
                <w:sz w:val="21"/>
                <w:szCs w:val="21"/>
                <w:lang w:eastAsia="zh-CN"/>
              </w:rPr>
            </w:pPr>
            <w:r>
              <w:rPr>
                <w:b w:val="0"/>
                <w:color w:val="000000"/>
                <w:sz w:val="21"/>
                <w:szCs w:val="21"/>
                <w:lang w:eastAsia="zh-CN"/>
              </w:rPr>
              <w:t>储能产品/服务碳足迹研究</w:t>
            </w:r>
          </w:p>
        </w:tc>
        <w:tc>
          <w:tcPr>
            <w:tcW w:w="2085" w:type="dxa"/>
            <w:tcBorders>
              <w:top w:val="nil"/>
              <w:left w:val="nil"/>
              <w:bottom w:val="nil"/>
              <w:right w:val="nil"/>
            </w:tcBorders>
            <w:shd w:val="clear" w:color="auto" w:fill="FFFFFF"/>
          </w:tcPr>
          <w:p w14:paraId="407863AB">
            <w:pPr>
              <w:pStyle w:val="20"/>
              <w:bidi w:val="0"/>
              <w:spacing w:after="0"/>
              <w:rPr>
                <w:b w:val="0"/>
                <w:color w:val="000000"/>
                <w:sz w:val="21"/>
                <w:szCs w:val="21"/>
              </w:rPr>
            </w:pPr>
            <w:r>
              <w:rPr>
                <w:b w:val="0"/>
                <w:color w:val="000000"/>
                <w:sz w:val="21"/>
                <w:szCs w:val="21"/>
              </w:rPr>
              <w:t>LCA主依据；修改采用ISO 14067:2018</w:t>
            </w:r>
          </w:p>
        </w:tc>
      </w:tr>
      <w:tr w14:paraId="21D4C49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0D0BA488">
            <w:pPr>
              <w:pStyle w:val="20"/>
              <w:bidi w:val="0"/>
              <w:spacing w:after="0"/>
              <w:rPr>
                <w:b w:val="0"/>
                <w:color w:val="000000"/>
                <w:sz w:val="21"/>
                <w:szCs w:val="21"/>
              </w:rPr>
            </w:pPr>
            <w:r>
              <w:rPr>
                <w:b w:val="0"/>
                <w:color w:val="000000"/>
                <w:sz w:val="21"/>
                <w:szCs w:val="21"/>
              </w:rPr>
              <w:t>GB/T 24040—2008</w:t>
            </w:r>
          </w:p>
        </w:tc>
        <w:tc>
          <w:tcPr>
            <w:tcW w:w="0" w:type="auto"/>
            <w:tcBorders>
              <w:top w:val="nil"/>
              <w:left w:val="nil"/>
              <w:bottom w:val="nil"/>
              <w:right w:val="nil"/>
            </w:tcBorders>
            <w:shd w:val="clear" w:color="auto" w:fill="FFFFFF"/>
          </w:tcPr>
          <w:p w14:paraId="12B3A79C">
            <w:pPr>
              <w:pStyle w:val="20"/>
              <w:bidi w:val="0"/>
              <w:spacing w:after="0"/>
              <w:rPr>
                <w:b w:val="0"/>
                <w:color w:val="000000"/>
                <w:sz w:val="21"/>
                <w:szCs w:val="21"/>
                <w:lang w:eastAsia="zh-CN"/>
              </w:rPr>
            </w:pPr>
            <w:r>
              <w:rPr>
                <w:b w:val="0"/>
                <w:color w:val="000000"/>
                <w:sz w:val="21"/>
                <w:szCs w:val="21"/>
                <w:lang w:eastAsia="zh-CN"/>
              </w:rPr>
              <w:t>环境管理 生命周期评价 原则与框架</w:t>
            </w:r>
          </w:p>
        </w:tc>
        <w:tc>
          <w:tcPr>
            <w:tcW w:w="2267" w:type="dxa"/>
            <w:tcBorders>
              <w:top w:val="nil"/>
              <w:left w:val="nil"/>
              <w:bottom w:val="nil"/>
              <w:right w:val="nil"/>
            </w:tcBorders>
            <w:shd w:val="clear" w:color="auto" w:fill="FFFFFF"/>
          </w:tcPr>
          <w:p w14:paraId="1131D9FA">
            <w:pPr>
              <w:pStyle w:val="20"/>
              <w:bidi w:val="0"/>
              <w:spacing w:after="0"/>
              <w:rPr>
                <w:b w:val="0"/>
                <w:color w:val="000000"/>
                <w:sz w:val="21"/>
                <w:szCs w:val="21"/>
                <w:lang w:eastAsia="zh-CN"/>
              </w:rPr>
            </w:pPr>
            <w:r>
              <w:rPr>
                <w:b w:val="0"/>
                <w:color w:val="000000"/>
                <w:sz w:val="21"/>
                <w:szCs w:val="21"/>
                <w:lang w:eastAsia="zh-CN"/>
              </w:rPr>
              <w:t>LCA目标、范围、清单、影响评价与解释</w:t>
            </w:r>
          </w:p>
        </w:tc>
        <w:tc>
          <w:tcPr>
            <w:tcW w:w="2085" w:type="dxa"/>
            <w:tcBorders>
              <w:top w:val="nil"/>
              <w:left w:val="nil"/>
              <w:bottom w:val="nil"/>
              <w:right w:val="nil"/>
            </w:tcBorders>
            <w:shd w:val="clear" w:color="auto" w:fill="FFFFFF"/>
          </w:tcPr>
          <w:p w14:paraId="4083F82E">
            <w:pPr>
              <w:pStyle w:val="20"/>
              <w:bidi w:val="0"/>
              <w:spacing w:after="0"/>
              <w:rPr>
                <w:b w:val="0"/>
                <w:color w:val="000000"/>
                <w:sz w:val="21"/>
                <w:szCs w:val="21"/>
              </w:rPr>
            </w:pPr>
            <w:r>
              <w:rPr>
                <w:b w:val="0"/>
                <w:color w:val="000000"/>
                <w:sz w:val="21"/>
                <w:szCs w:val="21"/>
              </w:rPr>
              <w:t>LCA基础依据</w:t>
            </w:r>
          </w:p>
        </w:tc>
      </w:tr>
      <w:tr w14:paraId="2C36B1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7A85CFEE">
            <w:pPr>
              <w:pStyle w:val="20"/>
              <w:bidi w:val="0"/>
              <w:spacing w:after="0"/>
              <w:rPr>
                <w:b w:val="0"/>
                <w:color w:val="000000"/>
                <w:sz w:val="21"/>
                <w:szCs w:val="21"/>
              </w:rPr>
            </w:pPr>
            <w:r>
              <w:rPr>
                <w:b w:val="0"/>
                <w:color w:val="000000"/>
                <w:sz w:val="21"/>
                <w:szCs w:val="21"/>
              </w:rPr>
              <w:t>GB/T 24044—2008</w:t>
            </w:r>
          </w:p>
        </w:tc>
        <w:tc>
          <w:tcPr>
            <w:tcW w:w="0" w:type="auto"/>
            <w:tcBorders>
              <w:top w:val="nil"/>
              <w:left w:val="nil"/>
              <w:bottom w:val="nil"/>
              <w:right w:val="nil"/>
            </w:tcBorders>
            <w:shd w:val="clear" w:color="auto" w:fill="FFFFFF"/>
          </w:tcPr>
          <w:p w14:paraId="7A86D4D2">
            <w:pPr>
              <w:pStyle w:val="20"/>
              <w:bidi w:val="0"/>
              <w:spacing w:after="0"/>
              <w:rPr>
                <w:b w:val="0"/>
                <w:color w:val="000000"/>
                <w:sz w:val="21"/>
                <w:szCs w:val="21"/>
                <w:lang w:eastAsia="zh-CN"/>
              </w:rPr>
            </w:pPr>
            <w:r>
              <w:rPr>
                <w:b w:val="0"/>
                <w:color w:val="000000"/>
                <w:sz w:val="21"/>
                <w:szCs w:val="21"/>
                <w:lang w:eastAsia="zh-CN"/>
              </w:rPr>
              <w:t>环境管理 生命周期评价 要求与指南</w:t>
            </w:r>
          </w:p>
        </w:tc>
        <w:tc>
          <w:tcPr>
            <w:tcW w:w="2267" w:type="dxa"/>
            <w:tcBorders>
              <w:top w:val="nil"/>
              <w:left w:val="nil"/>
              <w:bottom w:val="nil"/>
              <w:right w:val="nil"/>
            </w:tcBorders>
            <w:shd w:val="clear" w:color="auto" w:fill="FFFFFF"/>
          </w:tcPr>
          <w:p w14:paraId="219F63C4">
            <w:pPr>
              <w:pStyle w:val="20"/>
              <w:bidi w:val="0"/>
              <w:spacing w:after="0"/>
              <w:rPr>
                <w:b w:val="0"/>
                <w:color w:val="000000"/>
                <w:sz w:val="21"/>
                <w:szCs w:val="21"/>
                <w:lang w:eastAsia="zh-CN"/>
              </w:rPr>
            </w:pPr>
            <w:r>
              <w:rPr>
                <w:b w:val="0"/>
                <w:color w:val="000000"/>
                <w:sz w:val="21"/>
                <w:szCs w:val="21"/>
                <w:lang w:eastAsia="zh-CN"/>
              </w:rPr>
              <w:t>LCA实施与报告要求</w:t>
            </w:r>
          </w:p>
        </w:tc>
        <w:tc>
          <w:tcPr>
            <w:tcW w:w="2085" w:type="dxa"/>
            <w:tcBorders>
              <w:top w:val="nil"/>
              <w:left w:val="nil"/>
              <w:bottom w:val="nil"/>
              <w:right w:val="nil"/>
            </w:tcBorders>
            <w:shd w:val="clear" w:color="auto" w:fill="FFFFFF"/>
          </w:tcPr>
          <w:p w14:paraId="7AC32A32">
            <w:pPr>
              <w:pStyle w:val="20"/>
              <w:bidi w:val="0"/>
              <w:spacing w:after="0"/>
              <w:rPr>
                <w:b w:val="0"/>
                <w:color w:val="000000"/>
                <w:sz w:val="21"/>
                <w:szCs w:val="21"/>
              </w:rPr>
            </w:pPr>
            <w:r>
              <w:rPr>
                <w:b w:val="0"/>
                <w:color w:val="000000"/>
                <w:sz w:val="21"/>
                <w:szCs w:val="21"/>
              </w:rPr>
              <w:t>LCA基础依据</w:t>
            </w:r>
          </w:p>
        </w:tc>
      </w:tr>
      <w:tr w14:paraId="79501D4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494E210A">
            <w:pPr>
              <w:pStyle w:val="20"/>
              <w:bidi w:val="0"/>
              <w:spacing w:after="0"/>
              <w:rPr>
                <w:b w:val="0"/>
                <w:color w:val="000000"/>
                <w:sz w:val="21"/>
                <w:szCs w:val="21"/>
              </w:rPr>
            </w:pPr>
            <w:r>
              <w:rPr>
                <w:b w:val="0"/>
                <w:color w:val="000000"/>
                <w:sz w:val="21"/>
                <w:szCs w:val="21"/>
              </w:rPr>
              <w:t>官方电力因子公告</w:t>
            </w:r>
          </w:p>
        </w:tc>
        <w:tc>
          <w:tcPr>
            <w:tcW w:w="0" w:type="auto"/>
            <w:tcBorders>
              <w:top w:val="nil"/>
              <w:left w:val="nil"/>
              <w:bottom w:val="nil"/>
              <w:right w:val="nil"/>
            </w:tcBorders>
            <w:shd w:val="clear" w:color="auto" w:fill="FFFFFF"/>
          </w:tcPr>
          <w:p w14:paraId="55565400">
            <w:pPr>
              <w:pStyle w:val="20"/>
              <w:bidi w:val="0"/>
              <w:spacing w:after="0"/>
              <w:rPr>
                <w:b w:val="0"/>
                <w:color w:val="000000"/>
                <w:sz w:val="21"/>
                <w:szCs w:val="21"/>
                <w:lang w:eastAsia="zh-CN"/>
              </w:rPr>
            </w:pPr>
            <w:r>
              <w:rPr>
                <w:b w:val="0"/>
                <w:color w:val="000000"/>
                <w:sz w:val="21"/>
                <w:szCs w:val="21"/>
                <w:lang w:eastAsia="zh-CN"/>
              </w:rPr>
              <w:t>生态环境部、国家统计局发布的年度电力CO₂排放因子</w:t>
            </w:r>
          </w:p>
        </w:tc>
        <w:tc>
          <w:tcPr>
            <w:tcW w:w="2267" w:type="dxa"/>
            <w:tcBorders>
              <w:top w:val="nil"/>
              <w:left w:val="nil"/>
              <w:bottom w:val="nil"/>
              <w:right w:val="nil"/>
            </w:tcBorders>
            <w:shd w:val="clear" w:color="auto" w:fill="FFFFFF"/>
          </w:tcPr>
          <w:p w14:paraId="6BE155E5">
            <w:pPr>
              <w:pStyle w:val="20"/>
              <w:bidi w:val="0"/>
              <w:spacing w:after="0"/>
              <w:rPr>
                <w:b w:val="0"/>
                <w:color w:val="000000"/>
                <w:sz w:val="21"/>
                <w:szCs w:val="21"/>
              </w:rPr>
            </w:pPr>
            <w:r>
              <w:rPr>
                <w:b w:val="0"/>
                <w:color w:val="000000"/>
                <w:sz w:val="21"/>
                <w:szCs w:val="21"/>
              </w:rPr>
              <w:t>购入电力排放核算</w:t>
            </w:r>
          </w:p>
        </w:tc>
        <w:tc>
          <w:tcPr>
            <w:tcW w:w="2085" w:type="dxa"/>
            <w:tcBorders>
              <w:top w:val="nil"/>
              <w:left w:val="nil"/>
              <w:bottom w:val="nil"/>
              <w:right w:val="nil"/>
            </w:tcBorders>
            <w:shd w:val="clear" w:color="auto" w:fill="FFFFFF"/>
          </w:tcPr>
          <w:p w14:paraId="3EA9207C">
            <w:pPr>
              <w:pStyle w:val="20"/>
              <w:bidi w:val="0"/>
              <w:spacing w:after="0"/>
              <w:rPr>
                <w:b w:val="0"/>
                <w:color w:val="000000"/>
                <w:sz w:val="21"/>
                <w:szCs w:val="21"/>
                <w:lang w:eastAsia="zh-CN"/>
              </w:rPr>
            </w:pPr>
            <w:r>
              <w:rPr>
                <w:b w:val="0"/>
                <w:color w:val="000000"/>
                <w:sz w:val="21"/>
                <w:szCs w:val="21"/>
                <w:lang w:eastAsia="zh-CN"/>
              </w:rPr>
              <w:t>按报告年度可获得的最新适用版本锁定</w:t>
            </w:r>
          </w:p>
        </w:tc>
      </w:tr>
      <w:tr w14:paraId="0C02FF5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117FD34F">
            <w:pPr>
              <w:pStyle w:val="20"/>
              <w:bidi w:val="0"/>
              <w:spacing w:after="0"/>
              <w:rPr>
                <w:b w:val="0"/>
                <w:color w:val="000000"/>
                <w:sz w:val="21"/>
                <w:szCs w:val="21"/>
              </w:rPr>
            </w:pPr>
            <w:r>
              <w:rPr>
                <w:b w:val="0"/>
                <w:color w:val="000000"/>
                <w:sz w:val="21"/>
                <w:szCs w:val="21"/>
              </w:rPr>
              <w:t>官方电力碳足迹因子</w:t>
            </w:r>
          </w:p>
        </w:tc>
        <w:tc>
          <w:tcPr>
            <w:tcW w:w="0" w:type="auto"/>
            <w:tcBorders>
              <w:top w:val="nil"/>
              <w:left w:val="nil"/>
              <w:bottom w:val="nil"/>
              <w:right w:val="nil"/>
            </w:tcBorders>
            <w:shd w:val="clear" w:color="auto" w:fill="FFFFFF"/>
          </w:tcPr>
          <w:p w14:paraId="6FDA3F42">
            <w:pPr>
              <w:pStyle w:val="20"/>
              <w:bidi w:val="0"/>
              <w:spacing w:after="0"/>
              <w:rPr>
                <w:b w:val="0"/>
                <w:color w:val="000000"/>
                <w:sz w:val="21"/>
                <w:szCs w:val="21"/>
                <w:lang w:eastAsia="zh-CN"/>
              </w:rPr>
            </w:pPr>
            <w:r>
              <w:rPr>
                <w:b w:val="0"/>
                <w:color w:val="000000"/>
                <w:sz w:val="21"/>
                <w:szCs w:val="21"/>
                <w:lang w:eastAsia="zh-CN"/>
              </w:rPr>
              <w:t>生态环境部、国家统计局、国家能源局发布</w:t>
            </w:r>
          </w:p>
        </w:tc>
        <w:tc>
          <w:tcPr>
            <w:tcW w:w="2267" w:type="dxa"/>
            <w:tcBorders>
              <w:top w:val="nil"/>
              <w:left w:val="nil"/>
              <w:bottom w:val="nil"/>
              <w:right w:val="nil"/>
            </w:tcBorders>
            <w:shd w:val="clear" w:color="auto" w:fill="FFFFFF"/>
          </w:tcPr>
          <w:p w14:paraId="22B9C4B5">
            <w:pPr>
              <w:pStyle w:val="20"/>
              <w:bidi w:val="0"/>
              <w:spacing w:after="0"/>
              <w:rPr>
                <w:b w:val="0"/>
                <w:color w:val="000000"/>
                <w:sz w:val="21"/>
                <w:szCs w:val="21"/>
                <w:lang w:eastAsia="zh-CN"/>
              </w:rPr>
            </w:pPr>
            <w:r>
              <w:rPr>
                <w:b w:val="0"/>
                <w:color w:val="000000"/>
                <w:sz w:val="21"/>
                <w:szCs w:val="21"/>
                <w:lang w:eastAsia="zh-CN"/>
              </w:rPr>
              <w:t>产品碳足迹中的电力上游全生命周期因子</w:t>
            </w:r>
          </w:p>
        </w:tc>
        <w:tc>
          <w:tcPr>
            <w:tcW w:w="2085" w:type="dxa"/>
            <w:tcBorders>
              <w:top w:val="nil"/>
              <w:left w:val="nil"/>
              <w:bottom w:val="nil"/>
              <w:right w:val="nil"/>
            </w:tcBorders>
            <w:shd w:val="clear" w:color="auto" w:fill="FFFFFF"/>
          </w:tcPr>
          <w:p w14:paraId="4BBC25CD">
            <w:pPr>
              <w:pStyle w:val="20"/>
              <w:bidi w:val="0"/>
              <w:spacing w:after="0"/>
              <w:rPr>
                <w:b w:val="0"/>
                <w:color w:val="000000"/>
                <w:sz w:val="21"/>
                <w:szCs w:val="21"/>
                <w:lang w:eastAsia="zh-CN"/>
              </w:rPr>
            </w:pPr>
            <w:r>
              <w:rPr>
                <w:b w:val="0"/>
                <w:color w:val="000000"/>
                <w:sz w:val="21"/>
                <w:szCs w:val="21"/>
                <w:lang w:eastAsia="zh-CN"/>
              </w:rPr>
              <w:t>仅用于LCA，不与电力CO₂因子混用</w:t>
            </w:r>
          </w:p>
        </w:tc>
      </w:tr>
      <w:tr w14:paraId="45C8EC0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tcPr>
          <w:p w14:paraId="6A0A8C96">
            <w:pPr>
              <w:pStyle w:val="20"/>
              <w:bidi w:val="0"/>
              <w:spacing w:after="0"/>
              <w:rPr>
                <w:b w:val="0"/>
                <w:color w:val="000000"/>
                <w:sz w:val="21"/>
                <w:szCs w:val="21"/>
              </w:rPr>
            </w:pPr>
            <w:r>
              <w:rPr>
                <w:b w:val="0"/>
                <w:color w:val="000000"/>
                <w:sz w:val="21"/>
                <w:szCs w:val="21"/>
              </w:rPr>
              <w:t>适用团体/地方标准</w:t>
            </w:r>
          </w:p>
        </w:tc>
        <w:tc>
          <w:tcPr>
            <w:tcW w:w="0" w:type="auto"/>
            <w:tcBorders>
              <w:top w:val="nil"/>
              <w:left w:val="nil"/>
              <w:bottom w:val="single" w:color="000000" w:sz="12" w:space="0"/>
              <w:right w:val="nil"/>
            </w:tcBorders>
            <w:shd w:val="clear" w:color="auto" w:fill="FFFFFF"/>
          </w:tcPr>
          <w:p w14:paraId="31C04A7B">
            <w:pPr>
              <w:pStyle w:val="20"/>
              <w:bidi w:val="0"/>
              <w:spacing w:after="0"/>
              <w:rPr>
                <w:b w:val="0"/>
                <w:color w:val="000000"/>
                <w:sz w:val="21"/>
                <w:szCs w:val="21"/>
                <w:lang w:eastAsia="zh-CN"/>
              </w:rPr>
            </w:pPr>
            <w:r>
              <w:rPr>
                <w:b w:val="0"/>
                <w:color w:val="000000"/>
                <w:sz w:val="21"/>
                <w:szCs w:val="21"/>
                <w:lang w:eastAsia="zh-CN"/>
              </w:rPr>
              <w:t>如污水厂核算、直接排放监测、储能碳足迹等</w:t>
            </w:r>
          </w:p>
        </w:tc>
        <w:tc>
          <w:tcPr>
            <w:tcW w:w="2267" w:type="dxa"/>
            <w:tcBorders>
              <w:top w:val="nil"/>
              <w:left w:val="nil"/>
              <w:bottom w:val="single" w:color="000000" w:sz="12" w:space="0"/>
              <w:right w:val="nil"/>
            </w:tcBorders>
            <w:shd w:val="clear" w:color="auto" w:fill="FFFFFF"/>
          </w:tcPr>
          <w:p w14:paraId="38F6316B">
            <w:pPr>
              <w:pStyle w:val="20"/>
              <w:bidi w:val="0"/>
              <w:spacing w:after="0"/>
              <w:rPr>
                <w:b w:val="0"/>
                <w:color w:val="000000"/>
                <w:sz w:val="21"/>
                <w:szCs w:val="21"/>
                <w:lang w:eastAsia="zh-CN"/>
              </w:rPr>
            </w:pPr>
            <w:r>
              <w:rPr>
                <w:b w:val="0"/>
                <w:color w:val="000000"/>
                <w:sz w:val="21"/>
                <w:szCs w:val="21"/>
                <w:lang w:eastAsia="zh-CN"/>
              </w:rPr>
              <w:t>细化参数、监测和行业场景</w:t>
            </w:r>
          </w:p>
        </w:tc>
        <w:tc>
          <w:tcPr>
            <w:tcW w:w="2085" w:type="dxa"/>
            <w:tcBorders>
              <w:top w:val="nil"/>
              <w:left w:val="nil"/>
              <w:bottom w:val="single" w:color="000000" w:sz="12" w:space="0"/>
              <w:right w:val="nil"/>
            </w:tcBorders>
            <w:shd w:val="clear" w:color="auto" w:fill="FFFFFF"/>
          </w:tcPr>
          <w:p w14:paraId="57D29C74">
            <w:pPr>
              <w:pStyle w:val="20"/>
              <w:bidi w:val="0"/>
              <w:spacing w:after="0"/>
              <w:rPr>
                <w:b w:val="0"/>
                <w:color w:val="000000"/>
                <w:sz w:val="21"/>
                <w:szCs w:val="21"/>
                <w:lang w:eastAsia="zh-CN"/>
              </w:rPr>
            </w:pPr>
            <w:r>
              <w:rPr>
                <w:b w:val="0"/>
                <w:color w:val="000000"/>
                <w:sz w:val="21"/>
                <w:szCs w:val="21"/>
                <w:lang w:eastAsia="zh-CN"/>
              </w:rPr>
              <w:t>取得全文并完成适用性审查后启用</w:t>
            </w:r>
          </w:p>
        </w:tc>
      </w:tr>
    </w:tbl>
    <w:p w14:paraId="481392DF">
      <w:pPr>
        <w:spacing w:after="20"/>
        <w:ind w:firstLine="480"/>
        <w:rPr>
          <w:lang w:eastAsia="zh-CN"/>
        </w:rPr>
      </w:pPr>
    </w:p>
    <w:p w14:paraId="5991C19B">
      <w:pPr>
        <w:spacing w:after="20"/>
        <w:ind w:firstLine="480"/>
        <w:rPr>
          <w:lang w:eastAsia="zh-CN"/>
        </w:rPr>
      </w:pPr>
    </w:p>
    <w:p w14:paraId="47700420">
      <w:pPr>
        <w:spacing w:after="20"/>
        <w:ind w:firstLine="480"/>
        <w:rPr>
          <w:lang w:eastAsia="zh-CN"/>
        </w:rPr>
      </w:pPr>
    </w:p>
    <w:p w14:paraId="31F6560C">
      <w:pPr>
        <w:pStyle w:val="3"/>
        <w:bidi w:val="0"/>
      </w:pPr>
      <w:r>
        <w:t>2.2　标准采用优先级</w:t>
      </w:r>
    </w:p>
    <w:p w14:paraId="18F4BADA">
      <w:pPr>
        <w:pStyle w:val="6"/>
        <w:numPr>
          <w:ilvl w:val="0"/>
          <w:numId w:val="0"/>
        </w:numPr>
        <w:ind w:left="360" w:leftChars="0"/>
        <w:rPr>
          <w:rFonts w:eastAsia="宋体"/>
          <w:lang w:eastAsia="zh-CN"/>
        </w:rPr>
      </w:pPr>
      <w:r>
        <w:rPr>
          <w:rFonts w:eastAsia="宋体"/>
          <w:lang w:eastAsia="zh-CN"/>
        </w:rPr>
        <w:t>1. 法律法规、主管部门要求及项目所在地强制性规定；</w:t>
      </w:r>
    </w:p>
    <w:p w14:paraId="31FE2871">
      <w:pPr>
        <w:pStyle w:val="6"/>
        <w:numPr>
          <w:ilvl w:val="0"/>
          <w:numId w:val="0"/>
        </w:numPr>
        <w:ind w:left="360" w:leftChars="0"/>
        <w:rPr>
          <w:rFonts w:eastAsia="宋体"/>
          <w:lang w:eastAsia="zh-CN"/>
        </w:rPr>
      </w:pPr>
      <w:r>
        <w:rPr>
          <w:rFonts w:eastAsia="宋体"/>
          <w:lang w:eastAsia="zh-CN"/>
        </w:rPr>
        <w:t>2. 现行国家标准及官方发布排放因子；</w:t>
      </w:r>
    </w:p>
    <w:p w14:paraId="72C7A54F">
      <w:pPr>
        <w:pStyle w:val="6"/>
        <w:numPr>
          <w:ilvl w:val="0"/>
          <w:numId w:val="0"/>
        </w:numPr>
        <w:ind w:left="360" w:leftChars="0"/>
        <w:rPr>
          <w:rFonts w:eastAsia="宋体"/>
          <w:lang w:eastAsia="zh-CN"/>
        </w:rPr>
      </w:pPr>
      <w:r>
        <w:rPr>
          <w:rFonts w:eastAsia="宋体"/>
          <w:lang w:eastAsia="zh-CN"/>
        </w:rPr>
        <w:t>3. 适用行业标准、地方标准、经审核团体标准；</w:t>
      </w:r>
    </w:p>
    <w:p w14:paraId="272F4E05">
      <w:pPr>
        <w:pStyle w:val="6"/>
        <w:numPr>
          <w:ilvl w:val="0"/>
          <w:numId w:val="0"/>
        </w:numPr>
        <w:ind w:left="360" w:leftChars="0"/>
        <w:rPr>
          <w:rFonts w:eastAsia="宋体"/>
          <w:lang w:eastAsia="zh-CN"/>
        </w:rPr>
      </w:pPr>
      <w:r>
        <w:rPr>
          <w:rFonts w:eastAsia="宋体"/>
          <w:lang w:eastAsia="zh-CN"/>
        </w:rPr>
        <w:t>4. 供应商经第三方核查的产品碳足迹数据；</w:t>
      </w:r>
    </w:p>
    <w:p w14:paraId="281B45AD">
      <w:pPr>
        <w:pStyle w:val="6"/>
        <w:numPr>
          <w:ilvl w:val="0"/>
          <w:numId w:val="0"/>
        </w:numPr>
        <w:ind w:left="360" w:leftChars="0"/>
        <w:rPr>
          <w:rFonts w:eastAsia="宋体"/>
          <w:lang w:eastAsia="zh-CN"/>
        </w:rPr>
      </w:pPr>
      <w:r>
        <w:rPr>
          <w:rFonts w:eastAsia="宋体"/>
          <w:lang w:eastAsia="zh-CN"/>
        </w:rPr>
        <w:t>5. 权威数据库或行业平均数据；</w:t>
      </w:r>
    </w:p>
    <w:p w14:paraId="1DD88C5C">
      <w:pPr>
        <w:pStyle w:val="6"/>
        <w:numPr>
          <w:ilvl w:val="0"/>
          <w:numId w:val="0"/>
        </w:numPr>
        <w:ind w:left="360" w:leftChars="0"/>
        <w:rPr>
          <w:rFonts w:eastAsia="宋体"/>
          <w:lang w:eastAsia="zh-CN"/>
        </w:rPr>
      </w:pPr>
      <w:r>
        <w:rPr>
          <w:rFonts w:eastAsia="宋体"/>
          <w:lang w:eastAsia="zh-CN"/>
        </w:rPr>
        <w:t>6. 保守默认值，仅用于数据缺失兜底场景，计算结果必须强制标记</w:t>
      </w:r>
    </w:p>
    <w:p w14:paraId="725AC3E7">
      <w:pPr>
        <w:pStyle w:val="3"/>
        <w:bidi w:val="0"/>
        <w:rPr>
          <w:lang w:eastAsia="zh-CN"/>
        </w:rPr>
      </w:pPr>
      <w:r>
        <w:rPr>
          <w:lang w:eastAsia="zh-CN"/>
        </w:rPr>
        <w:t>2.3　电力因子</w:t>
      </w:r>
    </w:p>
    <w:p w14:paraId="16CC9C26">
      <w:pPr>
        <w:rPr>
          <w:lang w:eastAsia="zh-CN"/>
        </w:rPr>
      </w:pPr>
      <w:r>
        <w:t>模块搭建双因子体系，区分企业正式报告、调度优化、产品LCA、绿电核算四类场景，不同因子用途严格隔离，禁止无说明混用。</w:t>
      </w:r>
    </w:p>
    <w:p w14:paraId="1F1A781F">
      <w:pPr>
        <w:pStyle w:val="18"/>
        <w:bidi w:val="0"/>
        <w:rPr>
          <w:lang w:eastAsia="zh-CN"/>
        </w:rPr>
      </w:pPr>
      <w:r>
        <w:rPr>
          <w:lang w:eastAsia="zh-CN"/>
        </w:rPr>
        <w:t>表6　双因子体系及LCA因子</w:t>
      </w:r>
    </w:p>
    <w:tbl>
      <w:tblPr>
        <w:tblStyle w:val="22"/>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786"/>
        <w:gridCol w:w="905"/>
        <w:gridCol w:w="3320"/>
        <w:gridCol w:w="1341"/>
        <w:gridCol w:w="2170"/>
      </w:tblGrid>
      <w:tr w14:paraId="48C30D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vAlign w:val="center"/>
          </w:tcPr>
          <w:p w14:paraId="557EF2D6">
            <w:pPr>
              <w:pStyle w:val="20"/>
              <w:bidi w:val="0"/>
              <w:spacing w:after="0"/>
              <w:jc w:val="center"/>
              <w:rPr>
                <w:b w:val="0"/>
                <w:color w:val="000000"/>
                <w:sz w:val="21"/>
                <w:szCs w:val="21"/>
              </w:rPr>
            </w:pPr>
            <w:r>
              <w:rPr>
                <w:b w:val="0"/>
                <w:color w:val="000000"/>
                <w:sz w:val="21"/>
                <w:szCs w:val="21"/>
              </w:rPr>
              <w:t>因子</w:t>
            </w:r>
          </w:p>
        </w:tc>
        <w:tc>
          <w:tcPr>
            <w:tcW w:w="0" w:type="auto"/>
            <w:tcBorders>
              <w:top w:val="single" w:color="000000" w:sz="12" w:space="0"/>
              <w:left w:val="nil"/>
              <w:bottom w:val="single" w:color="000000" w:sz="4" w:space="0"/>
              <w:right w:val="nil"/>
            </w:tcBorders>
            <w:shd w:val="clear" w:color="auto" w:fill="FFFFFF"/>
            <w:vAlign w:val="center"/>
          </w:tcPr>
          <w:p w14:paraId="0236D0B7">
            <w:pPr>
              <w:pStyle w:val="20"/>
              <w:bidi w:val="0"/>
              <w:spacing w:after="0"/>
              <w:jc w:val="center"/>
              <w:rPr>
                <w:b w:val="0"/>
                <w:color w:val="000000"/>
                <w:sz w:val="21"/>
                <w:szCs w:val="21"/>
              </w:rPr>
            </w:pPr>
            <w:r>
              <w:rPr>
                <w:b w:val="0"/>
                <w:color w:val="000000"/>
                <w:sz w:val="21"/>
                <w:szCs w:val="21"/>
              </w:rPr>
              <w:t>用途</w:t>
            </w:r>
          </w:p>
        </w:tc>
        <w:tc>
          <w:tcPr>
            <w:tcW w:w="0" w:type="auto"/>
            <w:tcBorders>
              <w:top w:val="single" w:color="000000" w:sz="12" w:space="0"/>
              <w:left w:val="nil"/>
              <w:bottom w:val="single" w:color="000000" w:sz="4" w:space="0"/>
              <w:right w:val="nil"/>
            </w:tcBorders>
            <w:shd w:val="clear" w:color="auto" w:fill="FFFFFF"/>
            <w:vAlign w:val="center"/>
          </w:tcPr>
          <w:p w14:paraId="0BF1AF36">
            <w:pPr>
              <w:pStyle w:val="20"/>
              <w:bidi w:val="0"/>
              <w:spacing w:after="0"/>
              <w:jc w:val="center"/>
              <w:rPr>
                <w:b w:val="0"/>
                <w:color w:val="000000"/>
                <w:sz w:val="21"/>
                <w:szCs w:val="21"/>
              </w:rPr>
            </w:pPr>
            <w:r>
              <w:rPr>
                <w:b w:val="0"/>
                <w:color w:val="000000"/>
                <w:sz w:val="21"/>
                <w:szCs w:val="21"/>
              </w:rPr>
              <w:t>来源</w:t>
            </w:r>
          </w:p>
        </w:tc>
        <w:tc>
          <w:tcPr>
            <w:tcW w:w="0" w:type="auto"/>
            <w:tcBorders>
              <w:top w:val="single" w:color="000000" w:sz="12" w:space="0"/>
              <w:left w:val="nil"/>
              <w:bottom w:val="single" w:color="000000" w:sz="4" w:space="0"/>
              <w:right w:val="nil"/>
            </w:tcBorders>
            <w:shd w:val="clear" w:color="auto" w:fill="FFFFFF"/>
            <w:vAlign w:val="center"/>
          </w:tcPr>
          <w:p w14:paraId="51DB5CF8">
            <w:pPr>
              <w:pStyle w:val="20"/>
              <w:bidi w:val="0"/>
              <w:spacing w:after="0"/>
              <w:jc w:val="center"/>
              <w:rPr>
                <w:b w:val="0"/>
                <w:color w:val="000000"/>
                <w:sz w:val="21"/>
                <w:szCs w:val="21"/>
              </w:rPr>
            </w:pPr>
            <w:r>
              <w:rPr>
                <w:b w:val="0"/>
                <w:color w:val="000000"/>
                <w:sz w:val="21"/>
                <w:szCs w:val="21"/>
              </w:rPr>
              <w:t>单位</w:t>
            </w:r>
          </w:p>
        </w:tc>
        <w:tc>
          <w:tcPr>
            <w:tcW w:w="0" w:type="auto"/>
            <w:tcBorders>
              <w:top w:val="single" w:color="000000" w:sz="12" w:space="0"/>
              <w:left w:val="nil"/>
              <w:bottom w:val="single" w:color="000000" w:sz="4" w:space="0"/>
              <w:right w:val="nil"/>
            </w:tcBorders>
            <w:shd w:val="clear" w:color="auto" w:fill="FFFFFF"/>
            <w:vAlign w:val="center"/>
          </w:tcPr>
          <w:p w14:paraId="678A8952">
            <w:pPr>
              <w:pStyle w:val="20"/>
              <w:bidi w:val="0"/>
              <w:spacing w:after="0"/>
              <w:jc w:val="center"/>
              <w:rPr>
                <w:b w:val="0"/>
                <w:color w:val="000000"/>
                <w:sz w:val="21"/>
                <w:szCs w:val="21"/>
              </w:rPr>
            </w:pPr>
            <w:r>
              <w:rPr>
                <w:b w:val="0"/>
                <w:color w:val="000000"/>
                <w:sz w:val="21"/>
                <w:szCs w:val="21"/>
              </w:rPr>
              <w:t>控制要求</w:t>
            </w:r>
          </w:p>
        </w:tc>
      </w:tr>
      <w:tr w14:paraId="50DAAC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7DEF3A45">
            <w:pPr>
              <w:pStyle w:val="20"/>
              <w:bidi w:val="0"/>
              <w:spacing w:after="0"/>
              <w:jc w:val="center"/>
              <w:rPr>
                <w:b w:val="0"/>
                <w:color w:val="000000"/>
                <w:sz w:val="21"/>
                <w:szCs w:val="21"/>
              </w:rPr>
            </w:pPr>
            <w:r>
              <w:rPr>
                <w:b w:val="0"/>
                <w:color w:val="000000"/>
                <w:sz w:val="21"/>
                <w:szCs w:val="21"/>
              </w:rPr>
              <w:t>EF</w:t>
            </w:r>
            <w:r>
              <w:rPr>
                <w:b w:val="0"/>
                <w:color w:val="000000"/>
                <w:sz w:val="21"/>
                <w:szCs w:val="21"/>
                <w:vertAlign w:val="subscript"/>
              </w:rPr>
              <w:t>report</w:t>
            </w:r>
          </w:p>
        </w:tc>
        <w:tc>
          <w:tcPr>
            <w:tcW w:w="0" w:type="auto"/>
            <w:tcBorders>
              <w:top w:val="single" w:color="000000" w:sz="4" w:space="0"/>
              <w:left w:val="nil"/>
              <w:bottom w:val="nil"/>
              <w:right w:val="nil"/>
            </w:tcBorders>
            <w:shd w:val="clear" w:color="auto" w:fill="FFFFFF"/>
            <w:vAlign w:val="center"/>
          </w:tcPr>
          <w:p w14:paraId="5D9B6645">
            <w:pPr>
              <w:pStyle w:val="20"/>
              <w:bidi w:val="0"/>
              <w:spacing w:after="0"/>
              <w:jc w:val="center"/>
              <w:rPr>
                <w:b w:val="0"/>
                <w:color w:val="000000"/>
                <w:sz w:val="21"/>
                <w:szCs w:val="21"/>
              </w:rPr>
            </w:pPr>
            <w:r>
              <w:rPr>
                <w:b w:val="0"/>
                <w:color w:val="000000"/>
                <w:sz w:val="21"/>
                <w:szCs w:val="21"/>
              </w:rPr>
              <w:t>正式企业清单</w:t>
            </w:r>
          </w:p>
        </w:tc>
        <w:tc>
          <w:tcPr>
            <w:tcW w:w="0" w:type="auto"/>
            <w:tcBorders>
              <w:top w:val="single" w:color="000000" w:sz="4" w:space="0"/>
              <w:left w:val="nil"/>
              <w:bottom w:val="nil"/>
              <w:right w:val="nil"/>
            </w:tcBorders>
            <w:shd w:val="clear" w:color="auto" w:fill="FFFFFF"/>
            <w:vAlign w:val="center"/>
          </w:tcPr>
          <w:p w14:paraId="2DAF52FD">
            <w:pPr>
              <w:pStyle w:val="20"/>
              <w:bidi w:val="0"/>
              <w:spacing w:after="0"/>
              <w:jc w:val="center"/>
              <w:rPr>
                <w:b w:val="0"/>
                <w:color w:val="000000"/>
                <w:sz w:val="21"/>
                <w:szCs w:val="21"/>
                <w:lang w:eastAsia="zh-CN"/>
              </w:rPr>
            </w:pPr>
            <w:r>
              <w:rPr>
                <w:b w:val="0"/>
                <w:color w:val="000000"/>
                <w:sz w:val="21"/>
                <w:szCs w:val="21"/>
                <w:lang w:eastAsia="zh-CN"/>
              </w:rPr>
              <w:t>官方省级/区域/全国电力平均CO₂因子，按项目规则选择</w:t>
            </w:r>
          </w:p>
        </w:tc>
        <w:tc>
          <w:tcPr>
            <w:tcW w:w="0" w:type="auto"/>
            <w:tcBorders>
              <w:top w:val="single" w:color="000000" w:sz="4" w:space="0"/>
              <w:left w:val="nil"/>
              <w:bottom w:val="nil"/>
              <w:right w:val="nil"/>
            </w:tcBorders>
            <w:shd w:val="clear" w:color="auto" w:fill="FFFFFF"/>
            <w:vAlign w:val="center"/>
          </w:tcPr>
          <w:p w14:paraId="3A0F794B">
            <w:pPr>
              <w:pStyle w:val="20"/>
              <w:bidi w:val="0"/>
              <w:spacing w:after="0"/>
              <w:jc w:val="center"/>
              <w:rPr>
                <w:b w:val="0"/>
                <w:color w:val="000000"/>
                <w:sz w:val="21"/>
                <w:szCs w:val="21"/>
              </w:rPr>
            </w:pPr>
            <w:r>
              <w:rPr>
                <w:b w:val="0"/>
                <w:color w:val="000000"/>
                <w:sz w:val="21"/>
                <w:szCs w:val="21"/>
              </w:rPr>
              <w:t>kgCO₂/kWh</w:t>
            </w:r>
          </w:p>
        </w:tc>
        <w:tc>
          <w:tcPr>
            <w:tcW w:w="0" w:type="auto"/>
            <w:tcBorders>
              <w:top w:val="single" w:color="000000" w:sz="4" w:space="0"/>
              <w:left w:val="nil"/>
              <w:bottom w:val="nil"/>
              <w:right w:val="nil"/>
            </w:tcBorders>
            <w:shd w:val="clear" w:color="auto" w:fill="FFFFFF"/>
            <w:vAlign w:val="center"/>
          </w:tcPr>
          <w:p w14:paraId="7EAD13B9">
            <w:pPr>
              <w:pStyle w:val="20"/>
              <w:bidi w:val="0"/>
              <w:spacing w:after="0"/>
              <w:jc w:val="center"/>
              <w:rPr>
                <w:b w:val="0"/>
                <w:color w:val="000000"/>
                <w:sz w:val="21"/>
                <w:szCs w:val="21"/>
                <w:lang w:eastAsia="zh-CN"/>
              </w:rPr>
            </w:pPr>
            <w:r>
              <w:rPr>
                <w:b w:val="0"/>
                <w:color w:val="000000"/>
                <w:sz w:val="21"/>
                <w:szCs w:val="21"/>
                <w:lang w:eastAsia="zh-CN"/>
              </w:rPr>
              <w:t>按报告期锁定，不做日内拟合</w:t>
            </w:r>
          </w:p>
        </w:tc>
      </w:tr>
      <w:tr w14:paraId="24BA3B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701778FE">
            <w:pPr>
              <w:pStyle w:val="20"/>
              <w:bidi w:val="0"/>
              <w:spacing w:after="0"/>
              <w:jc w:val="center"/>
              <w:rPr>
                <w:b w:val="0"/>
                <w:color w:val="000000"/>
                <w:sz w:val="21"/>
                <w:szCs w:val="21"/>
              </w:rPr>
            </w:pPr>
            <w:r>
              <w:rPr>
                <w:b w:val="0"/>
                <w:color w:val="000000"/>
                <w:sz w:val="21"/>
                <w:szCs w:val="21"/>
              </w:rPr>
              <w:t>EF</w:t>
            </w:r>
            <w:r>
              <w:rPr>
                <w:b w:val="0"/>
                <w:color w:val="000000"/>
                <w:sz w:val="21"/>
                <w:szCs w:val="21"/>
                <w:vertAlign w:val="subscript"/>
              </w:rPr>
              <w:t>opt(t)</w:t>
            </w:r>
          </w:p>
        </w:tc>
        <w:tc>
          <w:tcPr>
            <w:tcW w:w="0" w:type="auto"/>
            <w:tcBorders>
              <w:top w:val="nil"/>
              <w:left w:val="nil"/>
              <w:bottom w:val="nil"/>
              <w:right w:val="nil"/>
            </w:tcBorders>
            <w:shd w:val="clear" w:color="auto" w:fill="FFFFFF"/>
            <w:vAlign w:val="center"/>
          </w:tcPr>
          <w:p w14:paraId="4F899CB6">
            <w:pPr>
              <w:pStyle w:val="20"/>
              <w:bidi w:val="0"/>
              <w:spacing w:after="0"/>
              <w:jc w:val="center"/>
              <w:rPr>
                <w:b w:val="0"/>
                <w:color w:val="000000"/>
                <w:sz w:val="21"/>
                <w:szCs w:val="21"/>
              </w:rPr>
            </w:pPr>
            <w:r>
              <w:rPr>
                <w:b w:val="0"/>
                <w:color w:val="000000"/>
                <w:sz w:val="21"/>
                <w:szCs w:val="21"/>
              </w:rPr>
              <w:t>优化调度</w:t>
            </w:r>
          </w:p>
        </w:tc>
        <w:tc>
          <w:tcPr>
            <w:tcW w:w="0" w:type="auto"/>
            <w:tcBorders>
              <w:top w:val="nil"/>
              <w:left w:val="nil"/>
              <w:bottom w:val="nil"/>
              <w:right w:val="nil"/>
            </w:tcBorders>
            <w:shd w:val="clear" w:color="auto" w:fill="FFFFFF"/>
            <w:vAlign w:val="center"/>
          </w:tcPr>
          <w:p w14:paraId="6D4DD672">
            <w:pPr>
              <w:pStyle w:val="20"/>
              <w:bidi w:val="0"/>
              <w:spacing w:after="0"/>
              <w:jc w:val="center"/>
              <w:rPr>
                <w:b w:val="0"/>
                <w:color w:val="000000"/>
                <w:sz w:val="21"/>
                <w:szCs w:val="21"/>
                <w:lang w:eastAsia="zh-CN"/>
              </w:rPr>
            </w:pPr>
            <w:r>
              <w:rPr>
                <w:b w:val="0"/>
                <w:color w:val="000000"/>
                <w:sz w:val="21"/>
                <w:szCs w:val="21"/>
                <w:lang w:eastAsia="zh-CN"/>
              </w:rPr>
              <w:t>经验证的时变平均或边际碳强度；缺失时可用年度因子构造研究曲线</w:t>
            </w:r>
          </w:p>
        </w:tc>
        <w:tc>
          <w:tcPr>
            <w:tcW w:w="0" w:type="auto"/>
            <w:tcBorders>
              <w:top w:val="nil"/>
              <w:left w:val="nil"/>
              <w:bottom w:val="nil"/>
              <w:right w:val="nil"/>
            </w:tcBorders>
            <w:shd w:val="clear" w:color="auto" w:fill="FFFFFF"/>
            <w:vAlign w:val="center"/>
          </w:tcPr>
          <w:p w14:paraId="5E28B592">
            <w:pPr>
              <w:pStyle w:val="20"/>
              <w:bidi w:val="0"/>
              <w:spacing w:after="0"/>
              <w:jc w:val="center"/>
              <w:rPr>
                <w:b w:val="0"/>
                <w:color w:val="000000"/>
                <w:sz w:val="21"/>
                <w:szCs w:val="21"/>
              </w:rPr>
            </w:pPr>
            <w:r>
              <w:rPr>
                <w:b w:val="0"/>
                <w:color w:val="000000"/>
                <w:sz w:val="21"/>
                <w:szCs w:val="21"/>
              </w:rPr>
              <w:t>kgCO₂e/kWh</w:t>
            </w:r>
          </w:p>
        </w:tc>
        <w:tc>
          <w:tcPr>
            <w:tcW w:w="0" w:type="auto"/>
            <w:tcBorders>
              <w:top w:val="nil"/>
              <w:left w:val="nil"/>
              <w:bottom w:val="nil"/>
              <w:right w:val="nil"/>
            </w:tcBorders>
            <w:shd w:val="clear" w:color="auto" w:fill="FFFFFF"/>
            <w:vAlign w:val="center"/>
          </w:tcPr>
          <w:p w14:paraId="5ACA7A14">
            <w:pPr>
              <w:pStyle w:val="20"/>
              <w:bidi w:val="0"/>
              <w:spacing w:after="0"/>
              <w:jc w:val="center"/>
              <w:rPr>
                <w:b w:val="0"/>
                <w:color w:val="000000"/>
                <w:sz w:val="21"/>
                <w:szCs w:val="21"/>
                <w:lang w:eastAsia="zh-CN"/>
              </w:rPr>
            </w:pPr>
            <w:r>
              <w:rPr>
                <w:b w:val="0"/>
                <w:color w:val="000000"/>
                <w:sz w:val="21"/>
                <w:szCs w:val="21"/>
                <w:lang w:eastAsia="zh-CN"/>
              </w:rPr>
              <w:t>仅作为决策信号，必须标注来源与置信度</w:t>
            </w:r>
          </w:p>
        </w:tc>
      </w:tr>
    </w:tbl>
    <w:p w14:paraId="7140CC6F">
      <w:pPr>
        <w:spacing w:before="80" w:after="80"/>
        <w:ind w:left="0" w:leftChars="0" w:firstLine="480" w:firstLineChars="200"/>
      </w:pPr>
      <w:r>
        <w:t>官方参考因子：2023电力平均</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CO</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oMath>
      <w:r>
        <w:t xml:space="preserve">排放因子：全国0.5306、南方区域0.4042、广东省0.4419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kgCO</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kW</m:t>
        </m:r>
        <m:r>
          <m:rPr>
            <m:nor/>
            <m:sty m:val="p"/>
          </m:rPr>
          <w:rPr>
            <w:rFonts w:hint="default" w:ascii="Times New Roman" w:hAnsi="Times New Roman" w:cs="Times New Roman"/>
            <w:b w:val="0"/>
            <w:i w:val="0"/>
            <w:sz w:val="24"/>
          </w:rPr>
          <m:t>h</m:t>
        </m:r>
      </m:oMath>
      <w:r>
        <w:t xml:space="preserve">；广东项目优先采用省级因子；2022南方区域0.3869不再作为默认值。2024全国电力碳足迹因子0.5777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kgCO</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rPr>
          <w:rPr>
            <w:rFonts w:hint="default" w:ascii="Times New Roman" w:hAnsi="Times New Roman" w:cs="Times New Roman"/>
            <w:i/>
            <w:sz w:val="24"/>
          </w:rPr>
          <m:t>e</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kW</m:t>
        </m:r>
        <m:r>
          <m:rPr>
            <m:nor/>
            <m:sty m:val="p"/>
          </m:rPr>
          <w:rPr>
            <w:rFonts w:hint="default" w:ascii="Times New Roman" w:hAnsi="Times New Roman" w:cs="Times New Roman"/>
            <w:b w:val="0"/>
            <w:i w:val="0"/>
            <w:sz w:val="24"/>
          </w:rPr>
          <m:t>h</m:t>
        </m:r>
      </m:oMath>
      <w:r>
        <w:t>，仅限生命周期场景。</w:t>
      </w:r>
    </w:p>
    <w:p w14:paraId="4CD5FEEA">
      <w:pPr>
        <w:spacing w:before="80" w:after="80"/>
        <w:ind w:left="0" w:leftChars="0" w:firstLine="480" w:firstLineChars="200"/>
        <w:rPr>
          <w:lang w:eastAsia="zh-CN"/>
        </w:rPr>
      </w:pPr>
      <w:r>
        <w:rPr>
          <w:lang w:eastAsia="zh-CN"/>
        </w:rPr>
        <w:t>EF_opt(t) 构造方法（官方无小时级因子时）：</w:t>
      </w:r>
    </w:p>
    <w:p w14:paraId="50BAF57D">
      <w:pPr>
        <w:spacing w:before="80" w:after="80"/>
        <w:ind w:left="0" w:leftChars="0" w:firstLine="480" w:firstLineChars="200"/>
        <w:rPr>
          <w:lang w:eastAsia="zh-CN"/>
        </w:rPr>
      </w:pPr>
      <w:r>
        <w:rPr>
          <w:lang w:eastAsia="zh-CN"/>
        </w:rPr>
        <w:t>方法一（电源结构拟合）：基于区域电网逐时电源结构（火电/水电/风电/光伏占比），</w:t>
      </w:r>
    </w:p>
    <w:p w14:paraId="637DD4B9">
      <w:pPr>
        <w:spacing w:before="80" w:after="80"/>
        <w:ind w:left="0" w:leftChars="0" w:firstLine="480" w:firstLineChars="200"/>
        <w:rPr>
          <w:lang w:eastAsia="zh-CN"/>
        </w:rPr>
      </w:pPr>
      <w:r>
        <w:rPr>
          <w:lang w:eastAsia="zh-CN"/>
        </w:rPr>
        <w:t xml:space="preserve">  按各电源排放因子加权计算，数据来源：电网调度公开数据或电力交易中心。</w:t>
      </w:r>
    </w:p>
    <w:p w14:paraId="55D4E999">
      <w:pPr>
        <w:spacing w:before="80" w:after="80"/>
        <w:ind w:left="0" w:leftChars="0" w:firstLine="480" w:firstLineChars="200"/>
        <w:rPr>
          <w:lang w:eastAsia="zh-CN"/>
        </w:rPr>
      </w:pPr>
      <w:r>
        <w:rPr>
          <w:lang w:eastAsia="zh-CN"/>
        </w:rPr>
        <w:t>方法二（现货价格代理）：以电力现货市场逐时价格为代理，高价时段对应高碳（火电顶出），</w:t>
      </w:r>
    </w:p>
    <w:p w14:paraId="227A2FC6">
      <w:pPr>
        <w:spacing w:before="80" w:after="80"/>
        <w:ind w:left="0" w:leftChars="0" w:firstLine="480" w:firstLineChars="200"/>
        <w:rPr>
          <w:lang w:eastAsia="zh-CN"/>
        </w:rPr>
      </w:pPr>
      <w:r>
        <w:rPr>
          <w:lang w:eastAsia="zh-CN"/>
        </w:rPr>
        <w:t xml:space="preserve">  低价时段对应低碳（新能源大发），需标定价格-碳强度映射关系。</w:t>
      </w:r>
    </w:p>
    <w:p w14:paraId="2B2D0AD4">
      <w:pPr>
        <w:spacing w:before="80" w:after="80"/>
        <w:ind w:left="0" w:leftChars="0" w:firstLine="480" w:firstLineChars="200"/>
        <w:rPr>
          <w:lang w:eastAsia="zh-CN"/>
        </w:rPr>
      </w:pPr>
      <w:r>
        <w:rPr>
          <w:lang w:eastAsia="zh-CN"/>
        </w:rPr>
        <w:t>方法三（简化研究曲线）：以年度平均因子为基准，按典型日电源结构设置峰谷系数，</w:t>
      </w:r>
    </w:p>
    <w:p w14:paraId="3C63214B">
      <w:pPr>
        <w:spacing w:before="80" w:after="80"/>
        <w:ind w:left="0" w:leftChars="0" w:firstLine="480" w:firstLineChars="200"/>
        <w:rPr>
          <w:lang w:eastAsia="zh-CN"/>
        </w:rPr>
      </w:pPr>
      <w:r>
        <w:rPr>
          <w:lang w:eastAsia="zh-CN"/>
        </w:rPr>
        <w:t xml:space="preserve">  如夜间(0-8h)×1.1、午间(10-15h)×0.8、其余×1.0，标注为"研究用近似值"。</w:t>
      </w:r>
    </w:p>
    <w:p w14:paraId="3173C37C">
      <w:pPr>
        <w:spacing w:before="80" w:after="80"/>
        <w:ind w:left="0" w:leftChars="0" w:firstLine="480" w:firstLineChars="200"/>
        <w:rPr>
          <w:lang w:eastAsia="zh-CN"/>
        </w:rPr>
      </w:pPr>
      <w:r>
        <w:rPr>
          <w:lang w:eastAsia="zh-CN"/>
        </w:rPr>
        <w:t>无论哪种方法，必须标注来源、置信度，且不得用于正式报告（正式报告用 EF_report）。</w:t>
      </w:r>
    </w:p>
    <w:p w14:paraId="016D7399">
      <w:pPr>
        <w:spacing w:before="80" w:after="80"/>
        <w:ind w:left="0" w:leftChars="0" w:firstLine="480" w:firstLineChars="200"/>
        <w:rPr>
          <w:lang w:eastAsia="zh-CN"/>
        </w:rPr>
      </w:pPr>
    </w:p>
    <w:p w14:paraId="74A0C776">
      <w:pPr>
        <w:spacing w:before="80" w:after="80"/>
        <w:ind w:left="0" w:leftChars="0" w:firstLine="480" w:firstLineChars="200"/>
        <w:rPr>
          <w:lang w:eastAsia="zh-CN"/>
        </w:rPr>
      </w:pPr>
    </w:p>
    <w:p w14:paraId="7B4A35F6">
      <w:pPr>
        <w:spacing w:before="80" w:after="80"/>
        <w:ind w:left="0" w:leftChars="0" w:firstLine="480" w:firstLineChars="200"/>
        <w:rPr>
          <w:lang w:eastAsia="zh-CN"/>
        </w:rPr>
      </w:pPr>
    </w:p>
    <w:p w14:paraId="5BB5F857">
      <w:pPr>
        <w:pStyle w:val="2"/>
        <w:bidi w:val="0"/>
        <w:rPr>
          <w:lang w:eastAsia="zh-CN"/>
        </w:rPr>
      </w:pPr>
      <w:r>
        <w:rPr>
          <w:rFonts w:hint="eastAsia"/>
          <w:lang w:val="en-US" w:eastAsia="zh-CN"/>
        </w:rPr>
        <w:t>三、</w:t>
      </w:r>
      <w:r>
        <w:rPr>
          <w:lang w:eastAsia="zh-CN"/>
        </w:rPr>
        <w:t>核算范围、边界与情景</w:t>
      </w:r>
    </w:p>
    <w:p w14:paraId="6F051751">
      <w:pPr>
        <w:pStyle w:val="3"/>
        <w:bidi w:val="0"/>
        <w:rPr>
          <w:lang w:eastAsia="zh-CN"/>
        </w:rPr>
      </w:pPr>
      <w:r>
        <w:rPr>
          <w:lang w:eastAsia="zh-CN"/>
        </w:rPr>
        <w:t>3.1　组织边界与空间边界</w:t>
      </w:r>
    </w:p>
    <w:p w14:paraId="5BF964A3">
      <w:pPr>
        <w:bidi w:val="0"/>
      </w:pPr>
      <w:r>
        <w:t>组织边界覆盖污水处理厂运营方实际控制全部厂区设施，包含生产设施、辅助设施、污泥处理设施、办公公用工程、厂内可再生能源设施以及储能系统。空间边界以厂区关口计量点为主线，依靠设备级子表完成排放分解。若储能资产由第三方投资运营，依据合同控制权、计量结算关系、报告规则判定是否纳入本厂企业清单。</w:t>
      </w:r>
    </w:p>
    <w:p w14:paraId="40C102DC">
      <w:pPr>
        <w:pStyle w:val="3"/>
        <w:bidi w:val="0"/>
        <w:rPr>
          <w:lang w:eastAsia="zh-CN"/>
        </w:rPr>
      </w:pPr>
      <w:r>
        <w:rPr>
          <w:lang w:eastAsia="zh-CN"/>
        </w:rPr>
        <w:t>3.2　运营边界</w:t>
      </w:r>
    </w:p>
    <w:p w14:paraId="016CFDE9">
      <w:pPr>
        <w:bidi w:val="0"/>
        <w:rPr>
          <w:lang w:eastAsia="zh-CN"/>
        </w:rPr>
      </w:pPr>
      <w:r>
        <w:t>运营边界区分范围一直接排放、范围二外购能源间接排放、范围三其他间接排放，明确各类排放源处理规则。</w:t>
      </w:r>
    </w:p>
    <w:p w14:paraId="47977FFF">
      <w:pPr>
        <w:pStyle w:val="18"/>
        <w:bidi w:val="0"/>
        <w:rPr>
          <w:lang w:eastAsia="zh-CN"/>
        </w:rPr>
      </w:pPr>
      <w:r>
        <w:rPr>
          <w:lang w:eastAsia="zh-CN"/>
        </w:rPr>
        <w:t>表7　运营边界与排放源</w:t>
      </w:r>
    </w:p>
    <w:tbl>
      <w:tblPr>
        <w:tblStyle w:val="22"/>
        <w:tblW w:w="936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37"/>
        <w:gridCol w:w="3096"/>
        <w:gridCol w:w="2808"/>
        <w:gridCol w:w="2419"/>
      </w:tblGrid>
      <w:tr w14:paraId="0A1E846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037" w:type="dxa"/>
            <w:tcBorders>
              <w:top w:val="single" w:color="000000" w:sz="12" w:space="0"/>
              <w:left w:val="nil"/>
              <w:bottom w:val="single" w:color="000000" w:sz="4" w:space="0"/>
              <w:right w:val="nil"/>
              <w:tl2br w:val="nil"/>
            </w:tcBorders>
            <w:shd w:val="clear" w:color="auto" w:fill="FFFFFF"/>
            <w:vAlign w:val="center"/>
          </w:tcPr>
          <w:p w14:paraId="1A163DD2">
            <w:pPr>
              <w:pStyle w:val="20"/>
              <w:bidi w:val="0"/>
              <w:spacing w:after="0"/>
              <w:jc w:val="center"/>
              <w:rPr>
                <w:b w:val="0"/>
                <w:color w:val="000000"/>
                <w:sz w:val="21"/>
                <w:szCs w:val="21"/>
              </w:rPr>
            </w:pPr>
            <w:r>
              <w:rPr>
                <w:b w:val="0"/>
                <w:color w:val="000000"/>
                <w:sz w:val="21"/>
                <w:szCs w:val="21"/>
              </w:rPr>
              <w:t>类别</w:t>
            </w:r>
          </w:p>
        </w:tc>
        <w:tc>
          <w:tcPr>
            <w:tcW w:w="3096" w:type="dxa"/>
            <w:tcBorders>
              <w:top w:val="single" w:color="000000" w:sz="12" w:space="0"/>
              <w:left w:val="nil"/>
              <w:bottom w:val="single" w:color="000000" w:sz="4" w:space="0"/>
              <w:right w:val="nil"/>
            </w:tcBorders>
            <w:shd w:val="clear" w:color="auto" w:fill="FFFFFF"/>
            <w:vAlign w:val="center"/>
          </w:tcPr>
          <w:p w14:paraId="624E4F25">
            <w:pPr>
              <w:pStyle w:val="20"/>
              <w:bidi w:val="0"/>
              <w:spacing w:after="0"/>
              <w:jc w:val="center"/>
              <w:rPr>
                <w:b w:val="0"/>
                <w:color w:val="000000"/>
                <w:sz w:val="21"/>
                <w:szCs w:val="21"/>
              </w:rPr>
            </w:pPr>
            <w:r>
              <w:rPr>
                <w:b w:val="0"/>
                <w:color w:val="000000"/>
                <w:sz w:val="21"/>
                <w:szCs w:val="21"/>
              </w:rPr>
              <w:t>典型排放源</w:t>
            </w:r>
          </w:p>
        </w:tc>
        <w:tc>
          <w:tcPr>
            <w:tcW w:w="2808" w:type="dxa"/>
            <w:tcBorders>
              <w:top w:val="single" w:color="000000" w:sz="12" w:space="0"/>
              <w:left w:val="nil"/>
              <w:bottom w:val="single" w:color="000000" w:sz="4" w:space="0"/>
              <w:right w:val="nil"/>
            </w:tcBorders>
            <w:shd w:val="clear" w:color="auto" w:fill="FFFFFF"/>
            <w:vAlign w:val="center"/>
          </w:tcPr>
          <w:p w14:paraId="713F1E92">
            <w:pPr>
              <w:pStyle w:val="20"/>
              <w:bidi w:val="0"/>
              <w:spacing w:after="0"/>
              <w:jc w:val="center"/>
              <w:rPr>
                <w:b w:val="0"/>
                <w:color w:val="000000"/>
                <w:sz w:val="21"/>
                <w:szCs w:val="21"/>
              </w:rPr>
            </w:pPr>
            <w:r>
              <w:rPr>
                <w:b w:val="0"/>
                <w:color w:val="000000"/>
                <w:sz w:val="21"/>
                <w:szCs w:val="21"/>
              </w:rPr>
              <w:t>本模块处理</w:t>
            </w:r>
          </w:p>
        </w:tc>
        <w:tc>
          <w:tcPr>
            <w:tcW w:w="2419" w:type="dxa"/>
            <w:tcBorders>
              <w:top w:val="single" w:color="000000" w:sz="12" w:space="0"/>
              <w:left w:val="nil"/>
              <w:bottom w:val="single" w:color="000000" w:sz="4" w:space="0"/>
              <w:right w:val="nil"/>
            </w:tcBorders>
            <w:shd w:val="clear" w:color="auto" w:fill="FFFFFF"/>
            <w:vAlign w:val="center"/>
          </w:tcPr>
          <w:p w14:paraId="1D84C8F8">
            <w:pPr>
              <w:pStyle w:val="20"/>
              <w:bidi w:val="0"/>
              <w:spacing w:after="0"/>
              <w:jc w:val="center"/>
              <w:rPr>
                <w:b w:val="0"/>
                <w:color w:val="000000"/>
                <w:sz w:val="21"/>
                <w:szCs w:val="21"/>
              </w:rPr>
            </w:pPr>
            <w:r>
              <w:rPr>
                <w:b w:val="0"/>
                <w:color w:val="000000"/>
                <w:sz w:val="21"/>
                <w:szCs w:val="21"/>
              </w:rPr>
              <w:t>主要数据</w:t>
            </w:r>
          </w:p>
        </w:tc>
      </w:tr>
      <w:tr w14:paraId="7A8CA6A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037" w:type="dxa"/>
            <w:tcBorders>
              <w:top w:val="single" w:color="000000" w:sz="4" w:space="0"/>
              <w:left w:val="nil"/>
              <w:bottom w:val="nil"/>
              <w:right w:val="nil"/>
            </w:tcBorders>
            <w:shd w:val="clear" w:color="auto" w:fill="FFFFFF"/>
            <w:vAlign w:val="center"/>
          </w:tcPr>
          <w:p w14:paraId="4FC905C8">
            <w:pPr>
              <w:pStyle w:val="20"/>
              <w:bidi w:val="0"/>
              <w:spacing w:after="0"/>
              <w:jc w:val="center"/>
              <w:rPr>
                <w:b w:val="0"/>
                <w:color w:val="000000"/>
                <w:sz w:val="21"/>
                <w:szCs w:val="21"/>
              </w:rPr>
            </w:pPr>
            <w:r>
              <w:rPr>
                <w:b w:val="0"/>
                <w:color w:val="000000"/>
                <w:sz w:val="21"/>
                <w:szCs w:val="21"/>
              </w:rPr>
              <w:t>范围一</w:t>
            </w:r>
          </w:p>
        </w:tc>
        <w:tc>
          <w:tcPr>
            <w:tcW w:w="3096" w:type="dxa"/>
            <w:tcBorders>
              <w:top w:val="single" w:color="000000" w:sz="4" w:space="0"/>
              <w:left w:val="nil"/>
              <w:bottom w:val="nil"/>
              <w:right w:val="nil"/>
            </w:tcBorders>
            <w:shd w:val="clear" w:color="auto" w:fill="FFFFFF"/>
            <w:vAlign w:val="center"/>
          </w:tcPr>
          <w:p w14:paraId="6DEF9841">
            <w:pPr>
              <w:pStyle w:val="20"/>
              <w:bidi w:val="0"/>
              <w:spacing w:after="0"/>
              <w:jc w:val="center"/>
              <w:rPr>
                <w:b w:val="0"/>
                <w:color w:val="000000"/>
                <w:sz w:val="21"/>
                <w:szCs w:val="21"/>
                <w:lang w:eastAsia="zh-CN"/>
              </w:rPr>
            </w:pPr>
            <w:r>
              <w:rPr>
                <w:b w:val="0"/>
                <w:color w:val="000000"/>
                <w:sz w:val="21"/>
                <w:szCs w:val="21"/>
                <w:lang w:eastAsia="zh-CN"/>
              </w:rPr>
              <w:t>工艺CH₄、N₂O；燃料燃烧；</w:t>
            </w:r>
          </w:p>
        </w:tc>
        <w:tc>
          <w:tcPr>
            <w:tcW w:w="2808" w:type="dxa"/>
            <w:tcBorders>
              <w:top w:val="single" w:color="000000" w:sz="4" w:space="0"/>
              <w:left w:val="nil"/>
              <w:bottom w:val="nil"/>
              <w:right w:val="nil"/>
            </w:tcBorders>
            <w:shd w:val="clear" w:color="auto" w:fill="FFFFFF"/>
            <w:vAlign w:val="center"/>
          </w:tcPr>
          <w:p w14:paraId="1BB0E436">
            <w:pPr>
              <w:pStyle w:val="20"/>
              <w:bidi w:val="0"/>
              <w:spacing w:after="0"/>
              <w:jc w:val="center"/>
              <w:rPr>
                <w:b w:val="0"/>
                <w:color w:val="000000"/>
                <w:sz w:val="21"/>
                <w:szCs w:val="21"/>
                <w:lang w:eastAsia="zh-CN"/>
              </w:rPr>
            </w:pPr>
            <w:r>
              <w:rPr>
                <w:b w:val="0"/>
                <w:color w:val="000000"/>
                <w:sz w:val="21"/>
                <w:szCs w:val="21"/>
                <w:lang w:eastAsia="zh-CN"/>
              </w:rPr>
              <w:t>全厂清单纳入；储能常规运行通常无工艺直接排放</w:t>
            </w:r>
          </w:p>
        </w:tc>
        <w:tc>
          <w:tcPr>
            <w:tcW w:w="2419" w:type="dxa"/>
            <w:tcBorders>
              <w:top w:val="single" w:color="000000" w:sz="4" w:space="0"/>
              <w:left w:val="nil"/>
              <w:bottom w:val="nil"/>
              <w:right w:val="nil"/>
            </w:tcBorders>
            <w:shd w:val="clear" w:color="auto" w:fill="FFFFFF"/>
            <w:vAlign w:val="center"/>
          </w:tcPr>
          <w:p w14:paraId="6C2FA2FD">
            <w:pPr>
              <w:pStyle w:val="20"/>
              <w:bidi w:val="0"/>
              <w:spacing w:after="0"/>
              <w:jc w:val="center"/>
              <w:rPr>
                <w:b w:val="0"/>
                <w:color w:val="000000"/>
                <w:sz w:val="21"/>
                <w:szCs w:val="21"/>
                <w:lang w:eastAsia="zh-CN"/>
              </w:rPr>
            </w:pPr>
            <w:r>
              <w:rPr>
                <w:b w:val="0"/>
                <w:color w:val="000000"/>
                <w:sz w:val="21"/>
                <w:szCs w:val="21"/>
                <w:lang w:eastAsia="zh-CN"/>
              </w:rPr>
              <w:t>工艺监测、燃料台账、设备维护记录</w:t>
            </w:r>
          </w:p>
        </w:tc>
      </w:tr>
      <w:tr w14:paraId="47B354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037" w:type="dxa"/>
            <w:tcBorders>
              <w:top w:val="nil"/>
              <w:left w:val="nil"/>
              <w:bottom w:val="nil"/>
              <w:right w:val="nil"/>
            </w:tcBorders>
            <w:shd w:val="clear" w:color="auto" w:fill="FFFFFF"/>
            <w:vAlign w:val="center"/>
          </w:tcPr>
          <w:p w14:paraId="00E2B130">
            <w:pPr>
              <w:pStyle w:val="20"/>
              <w:bidi w:val="0"/>
              <w:spacing w:after="0"/>
              <w:jc w:val="center"/>
              <w:rPr>
                <w:b w:val="0"/>
                <w:color w:val="000000"/>
                <w:sz w:val="21"/>
                <w:szCs w:val="21"/>
              </w:rPr>
            </w:pPr>
            <w:r>
              <w:rPr>
                <w:b w:val="0"/>
                <w:color w:val="000000"/>
                <w:sz w:val="21"/>
                <w:szCs w:val="21"/>
              </w:rPr>
              <w:t>范围二</w:t>
            </w:r>
          </w:p>
        </w:tc>
        <w:tc>
          <w:tcPr>
            <w:tcW w:w="3096" w:type="dxa"/>
            <w:tcBorders>
              <w:top w:val="nil"/>
              <w:left w:val="nil"/>
              <w:bottom w:val="nil"/>
              <w:right w:val="nil"/>
            </w:tcBorders>
            <w:shd w:val="clear" w:color="auto" w:fill="FFFFFF"/>
            <w:vAlign w:val="center"/>
          </w:tcPr>
          <w:p w14:paraId="13B4216F">
            <w:pPr>
              <w:pStyle w:val="20"/>
              <w:bidi w:val="0"/>
              <w:spacing w:after="0"/>
              <w:jc w:val="center"/>
              <w:rPr>
                <w:b w:val="0"/>
                <w:color w:val="000000"/>
                <w:sz w:val="21"/>
                <w:szCs w:val="21"/>
              </w:rPr>
            </w:pPr>
            <w:r>
              <w:rPr>
                <w:b w:val="0"/>
                <w:color w:val="000000"/>
                <w:sz w:val="21"/>
                <w:szCs w:val="21"/>
              </w:rPr>
              <w:t>外购电力与外购热力</w:t>
            </w:r>
          </w:p>
        </w:tc>
        <w:tc>
          <w:tcPr>
            <w:tcW w:w="2808" w:type="dxa"/>
            <w:tcBorders>
              <w:top w:val="nil"/>
              <w:left w:val="nil"/>
              <w:bottom w:val="nil"/>
              <w:right w:val="nil"/>
            </w:tcBorders>
            <w:shd w:val="clear" w:color="auto" w:fill="FFFFFF"/>
            <w:vAlign w:val="center"/>
          </w:tcPr>
          <w:p w14:paraId="00734C23">
            <w:pPr>
              <w:pStyle w:val="20"/>
              <w:bidi w:val="0"/>
              <w:spacing w:after="0"/>
              <w:jc w:val="center"/>
              <w:rPr>
                <w:b w:val="0"/>
                <w:color w:val="000000"/>
                <w:sz w:val="21"/>
                <w:szCs w:val="21"/>
                <w:lang w:eastAsia="zh-CN"/>
              </w:rPr>
            </w:pPr>
            <w:r>
              <w:rPr>
                <w:b w:val="0"/>
                <w:color w:val="000000"/>
                <w:sz w:val="21"/>
                <w:szCs w:val="21"/>
                <w:lang w:eastAsia="zh-CN"/>
              </w:rPr>
              <w:t>必核算；以关口购入电量为主</w:t>
            </w:r>
          </w:p>
        </w:tc>
        <w:tc>
          <w:tcPr>
            <w:tcW w:w="2419" w:type="dxa"/>
            <w:tcBorders>
              <w:top w:val="nil"/>
              <w:left w:val="nil"/>
              <w:bottom w:val="nil"/>
              <w:right w:val="nil"/>
            </w:tcBorders>
            <w:shd w:val="clear" w:color="auto" w:fill="FFFFFF"/>
            <w:vAlign w:val="center"/>
          </w:tcPr>
          <w:p w14:paraId="623C8B27">
            <w:pPr>
              <w:pStyle w:val="20"/>
              <w:bidi w:val="0"/>
              <w:spacing w:after="0"/>
              <w:jc w:val="center"/>
              <w:rPr>
                <w:b w:val="0"/>
                <w:color w:val="000000"/>
                <w:sz w:val="21"/>
                <w:szCs w:val="21"/>
                <w:lang w:eastAsia="zh-CN"/>
              </w:rPr>
            </w:pPr>
            <w:r>
              <w:rPr>
                <w:b w:val="0"/>
                <w:color w:val="000000"/>
                <w:sz w:val="21"/>
                <w:szCs w:val="21"/>
                <w:lang w:eastAsia="zh-CN"/>
              </w:rPr>
              <w:t>电能表、结算单、官方因子</w:t>
            </w:r>
          </w:p>
        </w:tc>
      </w:tr>
      <w:tr w14:paraId="636277E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037" w:type="dxa"/>
            <w:tcBorders>
              <w:top w:val="nil"/>
              <w:left w:val="nil"/>
              <w:bottom w:val="single" w:color="000000" w:sz="12" w:space="0"/>
              <w:right w:val="nil"/>
            </w:tcBorders>
            <w:shd w:val="clear" w:color="auto" w:fill="FFFFFF"/>
            <w:vAlign w:val="center"/>
          </w:tcPr>
          <w:p w14:paraId="45C5A947">
            <w:pPr>
              <w:pStyle w:val="20"/>
              <w:bidi w:val="0"/>
              <w:spacing w:after="0"/>
              <w:jc w:val="center"/>
              <w:rPr>
                <w:b w:val="0"/>
                <w:color w:val="000000"/>
                <w:sz w:val="21"/>
                <w:szCs w:val="21"/>
              </w:rPr>
            </w:pPr>
            <w:r>
              <w:rPr>
                <w:b w:val="0"/>
                <w:color w:val="000000"/>
                <w:sz w:val="21"/>
                <w:szCs w:val="21"/>
              </w:rPr>
              <w:t>范围三</w:t>
            </w:r>
          </w:p>
        </w:tc>
        <w:tc>
          <w:tcPr>
            <w:tcW w:w="3096" w:type="dxa"/>
            <w:tcBorders>
              <w:top w:val="nil"/>
              <w:left w:val="nil"/>
              <w:bottom w:val="single" w:color="000000" w:sz="12" w:space="0"/>
              <w:right w:val="nil"/>
            </w:tcBorders>
            <w:shd w:val="clear" w:color="auto" w:fill="FFFFFF"/>
            <w:vAlign w:val="center"/>
          </w:tcPr>
          <w:p w14:paraId="4AFBD67E">
            <w:pPr>
              <w:pStyle w:val="20"/>
              <w:bidi w:val="0"/>
              <w:spacing w:after="0"/>
              <w:jc w:val="center"/>
              <w:rPr>
                <w:b w:val="0"/>
                <w:color w:val="000000"/>
                <w:sz w:val="21"/>
                <w:szCs w:val="21"/>
                <w:lang w:eastAsia="zh-CN"/>
              </w:rPr>
            </w:pPr>
            <w:r>
              <w:rPr>
                <w:b w:val="0"/>
                <w:color w:val="000000"/>
                <w:sz w:val="21"/>
                <w:szCs w:val="21"/>
                <w:lang w:eastAsia="zh-CN"/>
              </w:rPr>
              <w:t>药剂、外运污泥、运输、资本品、储能制造与退役等</w:t>
            </w:r>
          </w:p>
        </w:tc>
        <w:tc>
          <w:tcPr>
            <w:tcW w:w="2808" w:type="dxa"/>
            <w:tcBorders>
              <w:top w:val="nil"/>
              <w:left w:val="nil"/>
              <w:bottom w:val="single" w:color="000000" w:sz="12" w:space="0"/>
              <w:right w:val="nil"/>
            </w:tcBorders>
            <w:shd w:val="clear" w:color="auto" w:fill="FFFFFF"/>
            <w:vAlign w:val="center"/>
          </w:tcPr>
          <w:p w14:paraId="3A60877A">
            <w:pPr>
              <w:pStyle w:val="20"/>
              <w:bidi w:val="0"/>
              <w:spacing w:after="0"/>
              <w:jc w:val="center"/>
              <w:rPr>
                <w:b w:val="0"/>
                <w:color w:val="000000"/>
                <w:sz w:val="21"/>
                <w:szCs w:val="21"/>
                <w:lang w:eastAsia="zh-CN"/>
              </w:rPr>
            </w:pPr>
            <w:r>
              <w:rPr>
                <w:b w:val="0"/>
                <w:color w:val="000000"/>
                <w:sz w:val="21"/>
                <w:szCs w:val="21"/>
                <w:lang w:eastAsia="zh-CN"/>
              </w:rPr>
              <w:t>按报告目的和适用标准选报</w:t>
            </w:r>
          </w:p>
        </w:tc>
        <w:tc>
          <w:tcPr>
            <w:tcW w:w="2419" w:type="dxa"/>
            <w:tcBorders>
              <w:top w:val="nil"/>
              <w:left w:val="nil"/>
              <w:bottom w:val="single" w:color="000000" w:sz="12" w:space="0"/>
              <w:right w:val="nil"/>
            </w:tcBorders>
            <w:shd w:val="clear" w:color="auto" w:fill="FFFFFF"/>
            <w:vAlign w:val="center"/>
          </w:tcPr>
          <w:p w14:paraId="243A15C9">
            <w:pPr>
              <w:pStyle w:val="20"/>
              <w:bidi w:val="0"/>
              <w:spacing w:after="0"/>
              <w:jc w:val="center"/>
              <w:rPr>
                <w:b w:val="0"/>
                <w:color w:val="000000"/>
                <w:sz w:val="21"/>
                <w:szCs w:val="21"/>
                <w:lang w:eastAsia="zh-CN"/>
              </w:rPr>
            </w:pPr>
            <w:r>
              <w:rPr>
                <w:b w:val="0"/>
                <w:color w:val="000000"/>
                <w:sz w:val="21"/>
                <w:szCs w:val="21"/>
                <w:lang w:eastAsia="zh-CN"/>
              </w:rPr>
              <w:t>供应商数据、物料台账、LCA因子</w:t>
            </w:r>
          </w:p>
        </w:tc>
      </w:tr>
    </w:tbl>
    <w:p w14:paraId="1998310C">
      <w:pPr>
        <w:ind w:firstLine="440"/>
        <w:rPr>
          <w:lang w:eastAsia="zh-CN"/>
        </w:rPr>
      </w:pPr>
      <w:r>
        <w:rPr>
          <w:rFonts w:hint="eastAsia" w:ascii="Arial" w:hAnsi="Arial"/>
          <w:sz w:val="22"/>
          <w:lang w:val="en-US" w:eastAsia="zh-CN"/>
        </w:rPr>
        <w:t>边界区分说明：</w:t>
      </w:r>
      <w:r>
        <w:rPr>
          <w:rFonts w:ascii="Arial" w:hAnsi="Arial"/>
          <w:sz w:val="22"/>
          <w:lang w:eastAsia="zh-CN"/>
        </w:rPr>
        <w:t>企业清单边界回答“本厂在报告期排放了多少”；项目边界回答“实施储能调度相对于可比基准改变了多少”；LCA边界回答“储能设备/服务从原材料到退役带来多少生命周期排放”。三者可共享数据，但目的、边界、因子和结果不可互换。</w:t>
      </w:r>
    </w:p>
    <w:p w14:paraId="7E9E5526">
      <w:pPr>
        <w:pStyle w:val="3"/>
        <w:bidi w:val="0"/>
        <w:rPr>
          <w:lang w:eastAsia="zh-CN"/>
        </w:rPr>
      </w:pPr>
      <w:r>
        <w:rPr>
          <w:lang w:eastAsia="zh-CN"/>
        </w:rPr>
        <w:t>3.4　时间边界与粒度</w:t>
      </w:r>
    </w:p>
    <w:p w14:paraId="43630C1C">
      <w:pPr>
        <w:bidi w:val="0"/>
        <w:rPr>
          <w:lang w:eastAsia="zh-CN"/>
        </w:rPr>
      </w:pPr>
      <w:r>
        <w:t>小时为系统最小核算与调度计算粒度，其他周期全部由小时结果聚合生成。</w:t>
      </w:r>
    </w:p>
    <w:p w14:paraId="1B359110">
      <w:pPr>
        <w:pStyle w:val="18"/>
        <w:bidi w:val="0"/>
        <w:rPr>
          <w:lang w:eastAsia="zh-CN"/>
        </w:rPr>
      </w:pPr>
      <w:r>
        <w:rPr>
          <w:lang w:eastAsia="zh-CN"/>
        </w:rPr>
        <w:t>表8　时间边界</w:t>
      </w:r>
    </w:p>
    <w:tbl>
      <w:tblPr>
        <w:tblStyle w:val="22"/>
        <w:tblW w:w="936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944"/>
        <w:gridCol w:w="2534"/>
        <w:gridCol w:w="4882"/>
      </w:tblGrid>
      <w:tr w14:paraId="4D6D91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44" w:type="dxa"/>
            <w:tcBorders>
              <w:top w:val="single" w:color="000000" w:sz="12" w:space="0"/>
              <w:left w:val="nil"/>
              <w:bottom w:val="single" w:color="000000" w:sz="4" w:space="0"/>
              <w:right w:val="nil"/>
              <w:tl2br w:val="nil"/>
            </w:tcBorders>
            <w:shd w:val="clear" w:color="auto" w:fill="FFFFFF"/>
            <w:vAlign w:val="center"/>
          </w:tcPr>
          <w:p w14:paraId="710AC8D5">
            <w:pPr>
              <w:pStyle w:val="20"/>
              <w:bidi w:val="0"/>
              <w:spacing w:after="0"/>
              <w:jc w:val="center"/>
              <w:rPr>
                <w:b w:val="0"/>
                <w:color w:val="000000"/>
                <w:sz w:val="21"/>
                <w:szCs w:val="21"/>
              </w:rPr>
            </w:pPr>
            <w:r>
              <w:rPr>
                <w:b w:val="0"/>
                <w:color w:val="000000"/>
                <w:sz w:val="21"/>
                <w:szCs w:val="21"/>
              </w:rPr>
              <w:t>场景</w:t>
            </w:r>
          </w:p>
        </w:tc>
        <w:tc>
          <w:tcPr>
            <w:tcW w:w="2534" w:type="dxa"/>
            <w:tcBorders>
              <w:top w:val="single" w:color="000000" w:sz="12" w:space="0"/>
              <w:left w:val="nil"/>
              <w:bottom w:val="single" w:color="000000" w:sz="4" w:space="0"/>
              <w:right w:val="nil"/>
            </w:tcBorders>
            <w:shd w:val="clear" w:color="auto" w:fill="FFFFFF"/>
            <w:vAlign w:val="center"/>
          </w:tcPr>
          <w:p w14:paraId="45C79228">
            <w:pPr>
              <w:pStyle w:val="20"/>
              <w:bidi w:val="0"/>
              <w:spacing w:after="0"/>
              <w:jc w:val="center"/>
              <w:rPr>
                <w:b w:val="0"/>
                <w:color w:val="000000"/>
                <w:sz w:val="21"/>
                <w:szCs w:val="21"/>
              </w:rPr>
            </w:pPr>
            <w:r>
              <w:rPr>
                <w:b w:val="0"/>
                <w:color w:val="000000"/>
                <w:sz w:val="21"/>
                <w:szCs w:val="21"/>
              </w:rPr>
              <w:t>粒度/周期</w:t>
            </w:r>
          </w:p>
        </w:tc>
        <w:tc>
          <w:tcPr>
            <w:tcW w:w="4882" w:type="dxa"/>
            <w:tcBorders>
              <w:top w:val="single" w:color="000000" w:sz="12" w:space="0"/>
              <w:left w:val="nil"/>
              <w:bottom w:val="single" w:color="000000" w:sz="4" w:space="0"/>
              <w:right w:val="nil"/>
            </w:tcBorders>
            <w:shd w:val="clear" w:color="auto" w:fill="FFFFFF"/>
            <w:vAlign w:val="center"/>
          </w:tcPr>
          <w:p w14:paraId="143EEF43">
            <w:pPr>
              <w:pStyle w:val="20"/>
              <w:bidi w:val="0"/>
              <w:spacing w:after="0"/>
              <w:jc w:val="center"/>
              <w:rPr>
                <w:b w:val="0"/>
                <w:color w:val="000000"/>
                <w:sz w:val="21"/>
                <w:szCs w:val="21"/>
              </w:rPr>
            </w:pPr>
            <w:r>
              <w:rPr>
                <w:b w:val="0"/>
                <w:color w:val="000000"/>
                <w:sz w:val="21"/>
                <w:szCs w:val="21"/>
              </w:rPr>
              <w:t>要求</w:t>
            </w:r>
          </w:p>
        </w:tc>
      </w:tr>
      <w:tr w14:paraId="6A183ED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44" w:type="dxa"/>
            <w:tcBorders>
              <w:top w:val="single" w:color="000000" w:sz="4" w:space="0"/>
              <w:left w:val="nil"/>
              <w:bottom w:val="nil"/>
              <w:right w:val="nil"/>
            </w:tcBorders>
            <w:shd w:val="clear" w:color="auto" w:fill="FFFFFF"/>
            <w:vAlign w:val="center"/>
          </w:tcPr>
          <w:p w14:paraId="7F8491A7">
            <w:pPr>
              <w:pStyle w:val="20"/>
              <w:bidi w:val="0"/>
              <w:spacing w:after="0"/>
              <w:jc w:val="center"/>
              <w:rPr>
                <w:b w:val="0"/>
                <w:color w:val="000000"/>
                <w:sz w:val="21"/>
                <w:szCs w:val="21"/>
              </w:rPr>
            </w:pPr>
            <w:r>
              <w:rPr>
                <w:b w:val="0"/>
                <w:color w:val="000000"/>
                <w:sz w:val="21"/>
                <w:szCs w:val="21"/>
              </w:rPr>
              <w:t>小时核算</w:t>
            </w:r>
          </w:p>
        </w:tc>
        <w:tc>
          <w:tcPr>
            <w:tcW w:w="2534" w:type="dxa"/>
            <w:tcBorders>
              <w:top w:val="single" w:color="000000" w:sz="4" w:space="0"/>
              <w:left w:val="nil"/>
              <w:bottom w:val="nil"/>
              <w:right w:val="nil"/>
            </w:tcBorders>
            <w:shd w:val="clear" w:color="auto" w:fill="FFFFFF"/>
            <w:vAlign w:val="center"/>
          </w:tcPr>
          <w:p w14:paraId="1BD4C255">
            <w:pPr>
              <w:pStyle w:val="20"/>
              <w:bidi w:val="0"/>
              <w:spacing w:after="0"/>
              <w:jc w:val="center"/>
              <w:rPr>
                <w:b w:val="0"/>
                <w:color w:val="000000"/>
                <w:sz w:val="21"/>
                <w:szCs w:val="21"/>
              </w:rPr>
            </w:pPr>
            <w:r>
              <w:rPr>
                <w:b w:val="0"/>
                <w:color w:val="000000"/>
                <w:sz w:val="21"/>
                <w:szCs w:val="21"/>
              </w:rPr>
              <w:t>1 h</w:t>
            </w:r>
          </w:p>
        </w:tc>
        <w:tc>
          <w:tcPr>
            <w:tcW w:w="4882" w:type="dxa"/>
            <w:tcBorders>
              <w:top w:val="single" w:color="000000" w:sz="4" w:space="0"/>
              <w:left w:val="nil"/>
              <w:bottom w:val="nil"/>
              <w:right w:val="nil"/>
            </w:tcBorders>
            <w:shd w:val="clear" w:color="auto" w:fill="FFFFFF"/>
            <w:vAlign w:val="center"/>
          </w:tcPr>
          <w:p w14:paraId="4C300AB9">
            <w:pPr>
              <w:pStyle w:val="20"/>
              <w:bidi w:val="0"/>
              <w:spacing w:after="0"/>
              <w:jc w:val="center"/>
              <w:rPr>
                <w:b w:val="0"/>
                <w:color w:val="000000"/>
                <w:sz w:val="21"/>
                <w:szCs w:val="21"/>
                <w:lang w:eastAsia="zh-CN"/>
              </w:rPr>
            </w:pPr>
            <w:r>
              <w:rPr>
                <w:b w:val="0"/>
                <w:color w:val="000000"/>
                <w:sz w:val="21"/>
                <w:szCs w:val="21"/>
                <w:lang w:eastAsia="zh-CN"/>
              </w:rPr>
              <w:t>系统唯一的最小核算与调度粒度</w:t>
            </w:r>
          </w:p>
        </w:tc>
      </w:tr>
      <w:tr w14:paraId="273DA6D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44" w:type="dxa"/>
            <w:tcBorders>
              <w:top w:val="nil"/>
              <w:left w:val="nil"/>
              <w:bottom w:val="nil"/>
              <w:right w:val="nil"/>
            </w:tcBorders>
            <w:shd w:val="clear" w:color="auto" w:fill="FFFFFF"/>
            <w:vAlign w:val="center"/>
          </w:tcPr>
          <w:p w14:paraId="3F306E17">
            <w:pPr>
              <w:pStyle w:val="20"/>
              <w:bidi w:val="0"/>
              <w:spacing w:after="0"/>
              <w:jc w:val="center"/>
              <w:rPr>
                <w:b w:val="0"/>
                <w:color w:val="000000"/>
                <w:sz w:val="21"/>
                <w:szCs w:val="21"/>
              </w:rPr>
            </w:pPr>
            <w:r>
              <w:rPr>
                <w:b w:val="0"/>
                <w:color w:val="000000"/>
                <w:sz w:val="21"/>
                <w:szCs w:val="21"/>
              </w:rPr>
              <w:t>大屏与经营汇总</w:t>
            </w:r>
          </w:p>
        </w:tc>
        <w:tc>
          <w:tcPr>
            <w:tcW w:w="2534" w:type="dxa"/>
            <w:tcBorders>
              <w:top w:val="nil"/>
              <w:left w:val="nil"/>
              <w:bottom w:val="nil"/>
              <w:right w:val="nil"/>
            </w:tcBorders>
            <w:shd w:val="clear" w:color="auto" w:fill="FFFFFF"/>
            <w:vAlign w:val="center"/>
          </w:tcPr>
          <w:p w14:paraId="3FFC3EF9">
            <w:pPr>
              <w:pStyle w:val="20"/>
              <w:bidi w:val="0"/>
              <w:spacing w:after="0"/>
              <w:jc w:val="center"/>
              <w:rPr>
                <w:b w:val="0"/>
                <w:color w:val="000000"/>
                <w:sz w:val="21"/>
                <w:szCs w:val="21"/>
              </w:rPr>
            </w:pPr>
            <w:r>
              <w:rPr>
                <w:b w:val="0"/>
                <w:color w:val="000000"/>
                <w:sz w:val="21"/>
                <w:szCs w:val="21"/>
              </w:rPr>
              <w:t>1 h/天/周/月/年</w:t>
            </w:r>
          </w:p>
        </w:tc>
        <w:tc>
          <w:tcPr>
            <w:tcW w:w="4882" w:type="dxa"/>
            <w:tcBorders>
              <w:top w:val="nil"/>
              <w:left w:val="nil"/>
              <w:bottom w:val="nil"/>
              <w:right w:val="nil"/>
            </w:tcBorders>
            <w:shd w:val="clear" w:color="auto" w:fill="FFFFFF"/>
            <w:vAlign w:val="center"/>
          </w:tcPr>
          <w:p w14:paraId="4B08AF66">
            <w:pPr>
              <w:pStyle w:val="20"/>
              <w:bidi w:val="0"/>
              <w:spacing w:after="0"/>
              <w:jc w:val="center"/>
              <w:rPr>
                <w:b w:val="0"/>
                <w:color w:val="000000"/>
                <w:sz w:val="21"/>
                <w:szCs w:val="21"/>
                <w:lang w:eastAsia="zh-CN"/>
              </w:rPr>
            </w:pPr>
            <w:r>
              <w:rPr>
                <w:b w:val="0"/>
                <w:color w:val="000000"/>
                <w:sz w:val="21"/>
                <w:szCs w:val="21"/>
                <w:lang w:eastAsia="zh-CN"/>
              </w:rPr>
              <w:t>由小时结果逐级聚合，与管理和报告周期一致</w:t>
            </w:r>
          </w:p>
        </w:tc>
      </w:tr>
      <w:tr w14:paraId="70BBEF7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44" w:type="dxa"/>
            <w:tcBorders>
              <w:top w:val="nil"/>
              <w:left w:val="nil"/>
              <w:bottom w:val="nil"/>
              <w:right w:val="nil"/>
            </w:tcBorders>
            <w:shd w:val="clear" w:color="auto" w:fill="FFFFFF"/>
            <w:vAlign w:val="center"/>
          </w:tcPr>
          <w:p w14:paraId="03361DDD">
            <w:pPr>
              <w:pStyle w:val="20"/>
              <w:bidi w:val="0"/>
              <w:spacing w:after="0"/>
              <w:jc w:val="center"/>
              <w:rPr>
                <w:b w:val="0"/>
                <w:color w:val="000000"/>
                <w:sz w:val="21"/>
                <w:szCs w:val="21"/>
              </w:rPr>
            </w:pPr>
            <w:r>
              <w:rPr>
                <w:b w:val="0"/>
                <w:color w:val="000000"/>
                <w:sz w:val="21"/>
                <w:szCs w:val="21"/>
              </w:rPr>
              <w:t>企业清单</w:t>
            </w:r>
          </w:p>
        </w:tc>
        <w:tc>
          <w:tcPr>
            <w:tcW w:w="2534" w:type="dxa"/>
            <w:tcBorders>
              <w:top w:val="nil"/>
              <w:left w:val="nil"/>
              <w:bottom w:val="nil"/>
              <w:right w:val="nil"/>
            </w:tcBorders>
            <w:shd w:val="clear" w:color="auto" w:fill="FFFFFF"/>
            <w:vAlign w:val="center"/>
          </w:tcPr>
          <w:p w14:paraId="4E244AA7">
            <w:pPr>
              <w:pStyle w:val="20"/>
              <w:bidi w:val="0"/>
              <w:spacing w:after="0"/>
              <w:jc w:val="center"/>
              <w:rPr>
                <w:b w:val="0"/>
                <w:color w:val="000000"/>
                <w:sz w:val="21"/>
                <w:szCs w:val="21"/>
                <w:lang w:eastAsia="zh-CN"/>
              </w:rPr>
            </w:pPr>
            <w:r>
              <w:rPr>
                <w:b w:val="0"/>
                <w:color w:val="000000"/>
                <w:sz w:val="21"/>
                <w:szCs w:val="21"/>
                <w:lang w:eastAsia="zh-CN"/>
              </w:rPr>
              <w:t>自然年或监管要求周期</w:t>
            </w:r>
          </w:p>
        </w:tc>
        <w:tc>
          <w:tcPr>
            <w:tcW w:w="4882" w:type="dxa"/>
            <w:tcBorders>
              <w:top w:val="nil"/>
              <w:left w:val="nil"/>
              <w:bottom w:val="nil"/>
              <w:right w:val="nil"/>
            </w:tcBorders>
            <w:shd w:val="clear" w:color="auto" w:fill="FFFFFF"/>
            <w:vAlign w:val="center"/>
          </w:tcPr>
          <w:p w14:paraId="6150B851">
            <w:pPr>
              <w:pStyle w:val="20"/>
              <w:bidi w:val="0"/>
              <w:spacing w:after="0"/>
              <w:jc w:val="center"/>
              <w:rPr>
                <w:b w:val="0"/>
                <w:color w:val="000000"/>
                <w:sz w:val="21"/>
                <w:szCs w:val="21"/>
                <w:lang w:eastAsia="zh-CN"/>
              </w:rPr>
            </w:pPr>
            <w:r>
              <w:rPr>
                <w:b w:val="0"/>
                <w:color w:val="000000"/>
                <w:sz w:val="21"/>
                <w:szCs w:val="21"/>
                <w:lang w:eastAsia="zh-CN"/>
              </w:rPr>
              <w:t>使用该报告期认可因子</w:t>
            </w:r>
          </w:p>
        </w:tc>
      </w:tr>
      <w:tr w14:paraId="76E51A3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44" w:type="dxa"/>
            <w:tcBorders>
              <w:top w:val="nil"/>
              <w:left w:val="nil"/>
              <w:bottom w:val="nil"/>
              <w:right w:val="nil"/>
            </w:tcBorders>
            <w:shd w:val="clear" w:color="auto" w:fill="FFFFFF"/>
            <w:vAlign w:val="center"/>
          </w:tcPr>
          <w:p w14:paraId="74DF761C">
            <w:pPr>
              <w:pStyle w:val="20"/>
              <w:bidi w:val="0"/>
              <w:spacing w:after="0"/>
              <w:jc w:val="center"/>
              <w:rPr>
                <w:b w:val="0"/>
                <w:color w:val="000000"/>
                <w:sz w:val="21"/>
                <w:szCs w:val="21"/>
              </w:rPr>
            </w:pPr>
            <w:r>
              <w:rPr>
                <w:b w:val="0"/>
                <w:color w:val="000000"/>
                <w:sz w:val="21"/>
                <w:szCs w:val="21"/>
              </w:rPr>
              <w:t>项目减排</w:t>
            </w:r>
          </w:p>
        </w:tc>
        <w:tc>
          <w:tcPr>
            <w:tcW w:w="2534" w:type="dxa"/>
            <w:tcBorders>
              <w:top w:val="nil"/>
              <w:left w:val="nil"/>
              <w:bottom w:val="nil"/>
              <w:right w:val="nil"/>
            </w:tcBorders>
            <w:shd w:val="clear" w:color="auto" w:fill="FFFFFF"/>
            <w:vAlign w:val="center"/>
          </w:tcPr>
          <w:p w14:paraId="3BC2F8FF">
            <w:pPr>
              <w:pStyle w:val="20"/>
              <w:bidi w:val="0"/>
              <w:spacing w:after="0"/>
              <w:jc w:val="center"/>
              <w:rPr>
                <w:b w:val="0"/>
                <w:color w:val="000000"/>
                <w:sz w:val="21"/>
                <w:szCs w:val="21"/>
              </w:rPr>
            </w:pPr>
            <w:r>
              <w:rPr>
                <w:b w:val="0"/>
                <w:color w:val="000000"/>
                <w:sz w:val="21"/>
                <w:szCs w:val="21"/>
              </w:rPr>
              <w:t>连续、可比的监测期</w:t>
            </w:r>
          </w:p>
        </w:tc>
        <w:tc>
          <w:tcPr>
            <w:tcW w:w="4882" w:type="dxa"/>
            <w:tcBorders>
              <w:top w:val="nil"/>
              <w:left w:val="nil"/>
              <w:bottom w:val="nil"/>
              <w:right w:val="nil"/>
            </w:tcBorders>
            <w:shd w:val="clear" w:color="auto" w:fill="FFFFFF"/>
            <w:vAlign w:val="center"/>
          </w:tcPr>
          <w:p w14:paraId="41D72CF9">
            <w:pPr>
              <w:pStyle w:val="20"/>
              <w:bidi w:val="0"/>
              <w:spacing w:after="0"/>
              <w:jc w:val="center"/>
              <w:rPr>
                <w:b w:val="0"/>
                <w:color w:val="000000"/>
                <w:sz w:val="21"/>
                <w:szCs w:val="21"/>
                <w:lang w:eastAsia="zh-CN"/>
              </w:rPr>
            </w:pPr>
            <w:r>
              <w:rPr>
                <w:b w:val="0"/>
                <w:color w:val="000000"/>
                <w:sz w:val="21"/>
                <w:szCs w:val="21"/>
                <w:lang w:eastAsia="zh-CN"/>
              </w:rPr>
              <w:t>基准与项目必须同时间粒度</w:t>
            </w:r>
          </w:p>
        </w:tc>
      </w:tr>
      <w:tr w14:paraId="36701E3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44" w:type="dxa"/>
            <w:tcBorders>
              <w:top w:val="nil"/>
              <w:left w:val="nil"/>
              <w:bottom w:val="single" w:color="000000" w:sz="12" w:space="0"/>
              <w:right w:val="nil"/>
            </w:tcBorders>
            <w:shd w:val="clear" w:color="auto" w:fill="FFFFFF"/>
            <w:vAlign w:val="center"/>
          </w:tcPr>
          <w:p w14:paraId="4E2C381A">
            <w:pPr>
              <w:pStyle w:val="20"/>
              <w:bidi w:val="0"/>
              <w:spacing w:after="0"/>
              <w:jc w:val="center"/>
              <w:rPr>
                <w:b w:val="0"/>
                <w:color w:val="000000"/>
                <w:sz w:val="21"/>
                <w:szCs w:val="21"/>
                <w:highlight w:val="green"/>
              </w:rPr>
            </w:pPr>
            <w:r>
              <w:rPr>
                <w:b w:val="0"/>
                <w:color w:val="000000"/>
                <w:sz w:val="21"/>
                <w:szCs w:val="21"/>
                <w:highlight w:val="green"/>
              </w:rPr>
              <w:t>储能LCA</w:t>
            </w:r>
          </w:p>
        </w:tc>
        <w:tc>
          <w:tcPr>
            <w:tcW w:w="2534" w:type="dxa"/>
            <w:tcBorders>
              <w:top w:val="nil"/>
              <w:left w:val="nil"/>
              <w:bottom w:val="single" w:color="000000" w:sz="12" w:space="0"/>
              <w:right w:val="nil"/>
            </w:tcBorders>
            <w:shd w:val="clear" w:color="auto" w:fill="FFFFFF"/>
            <w:vAlign w:val="center"/>
          </w:tcPr>
          <w:p w14:paraId="1171223A">
            <w:pPr>
              <w:pStyle w:val="20"/>
              <w:bidi w:val="0"/>
              <w:spacing w:after="0"/>
              <w:jc w:val="center"/>
              <w:rPr>
                <w:b w:val="0"/>
                <w:color w:val="000000"/>
                <w:sz w:val="21"/>
                <w:szCs w:val="21"/>
                <w:highlight w:val="green"/>
                <w:lang w:eastAsia="zh-CN"/>
              </w:rPr>
            </w:pPr>
            <w:r>
              <w:rPr>
                <w:b w:val="0"/>
                <w:color w:val="000000"/>
                <w:sz w:val="21"/>
                <w:szCs w:val="21"/>
                <w:highlight w:val="green"/>
                <w:lang w:eastAsia="zh-CN"/>
              </w:rPr>
              <w:t>设计寿命+实际运营更新</w:t>
            </w:r>
          </w:p>
        </w:tc>
        <w:tc>
          <w:tcPr>
            <w:tcW w:w="4882" w:type="dxa"/>
            <w:tcBorders>
              <w:top w:val="nil"/>
              <w:left w:val="nil"/>
              <w:bottom w:val="single" w:color="000000" w:sz="12" w:space="0"/>
              <w:right w:val="nil"/>
            </w:tcBorders>
            <w:shd w:val="clear" w:color="auto" w:fill="FFFFFF"/>
            <w:vAlign w:val="center"/>
          </w:tcPr>
          <w:p w14:paraId="3C3ACA4F">
            <w:pPr>
              <w:pStyle w:val="20"/>
              <w:bidi w:val="0"/>
              <w:spacing w:after="0"/>
              <w:jc w:val="center"/>
              <w:rPr>
                <w:b w:val="0"/>
                <w:color w:val="000000"/>
                <w:sz w:val="21"/>
                <w:szCs w:val="21"/>
                <w:highlight w:val="green"/>
                <w:lang w:eastAsia="zh-CN"/>
              </w:rPr>
            </w:pPr>
            <w:r>
              <w:rPr>
                <w:b w:val="0"/>
                <w:color w:val="000000"/>
                <w:sz w:val="21"/>
                <w:szCs w:val="21"/>
                <w:highlight w:val="green"/>
                <w:lang w:eastAsia="zh-CN"/>
              </w:rPr>
              <w:t>覆盖原材料、制造、运输安装、运维更换与退役</w:t>
            </w:r>
          </w:p>
        </w:tc>
      </w:tr>
    </w:tbl>
    <w:p w14:paraId="064475A2">
      <w:pPr>
        <w:spacing w:after="20"/>
        <w:ind w:firstLine="480"/>
        <w:rPr>
          <w:lang w:eastAsia="zh-CN"/>
        </w:rPr>
      </w:pPr>
    </w:p>
    <w:p w14:paraId="0B61842C">
      <w:pPr>
        <w:pStyle w:val="3"/>
        <w:bidi w:val="0"/>
        <w:rPr>
          <w:lang w:eastAsia="zh-CN"/>
        </w:rPr>
      </w:pPr>
      <w:r>
        <w:rPr>
          <w:lang w:eastAsia="zh-CN"/>
        </w:rPr>
        <w:t>3.5　基准线情景</w:t>
      </w:r>
    </w:p>
    <w:p w14:paraId="24DDACCB">
      <w:pPr>
        <w:bidi w:val="0"/>
        <w:rPr>
          <w:lang w:eastAsia="zh-CN"/>
        </w:rPr>
      </w:pPr>
      <w:r>
        <w:t>储能峰谷套利效益评估采用等效基准线模型：进水水质、出水标准、厂内光伏出力、气象条件、分时电价全部保持不变，构建无储能、全部时段直接电网购电的虚拟基准情景。逐小时对比基准情景与项目实际工况，量化低谷充电‑高峰放电模式带来的碳排放变化，保证对比条件公平，减排评估结果具备评审说服力。</w:t>
      </w:r>
    </w:p>
    <w:p w14:paraId="673AA303">
      <w:pPr>
        <w:pStyle w:val="2"/>
        <w:bidi w:val="0"/>
        <w:rPr>
          <w:lang w:eastAsia="zh-CN"/>
        </w:rPr>
      </w:pPr>
      <w:r>
        <w:rPr>
          <w:rFonts w:hint="eastAsia"/>
          <w:lang w:val="en-US" w:eastAsia="zh-CN"/>
        </w:rPr>
        <w:t>四、</w:t>
      </w:r>
      <w:r>
        <w:rPr>
          <w:lang w:eastAsia="zh-CN"/>
        </w:rPr>
        <w:t>数据输入、计量点与因子库</w:t>
      </w:r>
    </w:p>
    <w:p w14:paraId="4F8C9DEE">
      <w:pPr>
        <w:pStyle w:val="3"/>
        <w:bidi w:val="0"/>
        <w:rPr>
          <w:lang w:eastAsia="zh-CN"/>
        </w:rPr>
      </w:pPr>
      <w:r>
        <w:rPr>
          <w:lang w:eastAsia="zh-CN"/>
        </w:rPr>
        <w:t>4.1　核心输入数据</w:t>
      </w:r>
    </w:p>
    <w:p w14:paraId="46CC7B03">
      <w:pPr>
        <w:bidi w:val="0"/>
        <w:rPr>
          <w:lang w:eastAsia="zh-CN"/>
        </w:rPr>
      </w:pPr>
      <w:r>
        <w:t>模块底层输入分为计量、设备状态、工艺、价格、因子、LCA清单六大类，定义数据粒度、数据源、数据质量等级。</w:t>
      </w:r>
    </w:p>
    <w:p w14:paraId="60938641">
      <w:pPr>
        <w:pStyle w:val="18"/>
        <w:bidi w:val="0"/>
        <w:rPr>
          <w:lang w:eastAsia="zh-CN"/>
        </w:rPr>
      </w:pPr>
      <w:r>
        <w:rPr>
          <w:lang w:eastAsia="zh-CN"/>
        </w:rPr>
        <w:t>表9　核心输入数据清单</w:t>
      </w:r>
    </w:p>
    <w:tbl>
      <w:tblPr>
        <w:tblStyle w:val="22"/>
        <w:tblW w:w="936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276"/>
        <w:gridCol w:w="3402"/>
        <w:gridCol w:w="1413"/>
        <w:gridCol w:w="2232"/>
        <w:gridCol w:w="1037"/>
      </w:tblGrid>
      <w:tr w14:paraId="106CD6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single" w:color="000000" w:sz="12" w:space="0"/>
              <w:left w:val="nil"/>
              <w:bottom w:val="single" w:color="000000" w:sz="4" w:space="0"/>
              <w:right w:val="nil"/>
              <w:tl2br w:val="nil"/>
            </w:tcBorders>
            <w:shd w:val="clear" w:color="auto" w:fill="FFFFFF"/>
            <w:vAlign w:val="center"/>
          </w:tcPr>
          <w:p w14:paraId="169260CE">
            <w:pPr>
              <w:pStyle w:val="20"/>
              <w:bidi w:val="0"/>
              <w:spacing w:after="0"/>
              <w:jc w:val="center"/>
              <w:rPr>
                <w:b w:val="0"/>
                <w:color w:val="000000"/>
                <w:sz w:val="21"/>
                <w:szCs w:val="21"/>
              </w:rPr>
            </w:pPr>
            <w:r>
              <w:rPr>
                <w:b w:val="0"/>
                <w:color w:val="000000"/>
                <w:sz w:val="21"/>
                <w:szCs w:val="21"/>
              </w:rPr>
              <w:t>数据域</w:t>
            </w:r>
          </w:p>
        </w:tc>
        <w:tc>
          <w:tcPr>
            <w:tcW w:w="3402" w:type="dxa"/>
            <w:tcBorders>
              <w:top w:val="single" w:color="000000" w:sz="12" w:space="0"/>
              <w:left w:val="nil"/>
              <w:bottom w:val="single" w:color="000000" w:sz="4" w:space="0"/>
              <w:right w:val="nil"/>
            </w:tcBorders>
            <w:shd w:val="clear" w:color="auto" w:fill="FFFFFF"/>
            <w:vAlign w:val="center"/>
          </w:tcPr>
          <w:p w14:paraId="0898759D">
            <w:pPr>
              <w:pStyle w:val="20"/>
              <w:bidi w:val="0"/>
              <w:spacing w:after="0"/>
              <w:jc w:val="center"/>
              <w:rPr>
                <w:b w:val="0"/>
                <w:color w:val="000000"/>
                <w:sz w:val="21"/>
                <w:szCs w:val="21"/>
              </w:rPr>
            </w:pPr>
            <w:r>
              <w:rPr>
                <w:b w:val="0"/>
                <w:color w:val="000000"/>
                <w:sz w:val="21"/>
                <w:szCs w:val="21"/>
              </w:rPr>
              <w:t>字段示例</w:t>
            </w:r>
          </w:p>
        </w:tc>
        <w:tc>
          <w:tcPr>
            <w:tcW w:w="1413" w:type="dxa"/>
            <w:tcBorders>
              <w:top w:val="single" w:color="000000" w:sz="12" w:space="0"/>
              <w:left w:val="nil"/>
              <w:bottom w:val="single" w:color="000000" w:sz="4" w:space="0"/>
              <w:right w:val="nil"/>
            </w:tcBorders>
            <w:shd w:val="clear" w:color="auto" w:fill="FFFFFF"/>
            <w:vAlign w:val="center"/>
          </w:tcPr>
          <w:p w14:paraId="5BE4B30B">
            <w:pPr>
              <w:pStyle w:val="20"/>
              <w:bidi w:val="0"/>
              <w:spacing w:after="0"/>
              <w:jc w:val="center"/>
              <w:rPr>
                <w:b w:val="0"/>
                <w:color w:val="000000"/>
                <w:sz w:val="21"/>
                <w:szCs w:val="21"/>
              </w:rPr>
            </w:pPr>
            <w:r>
              <w:rPr>
                <w:b w:val="0"/>
                <w:color w:val="000000"/>
                <w:sz w:val="21"/>
                <w:szCs w:val="21"/>
              </w:rPr>
              <w:t>单位/粒度</w:t>
            </w:r>
          </w:p>
        </w:tc>
        <w:tc>
          <w:tcPr>
            <w:tcW w:w="2232" w:type="dxa"/>
            <w:tcBorders>
              <w:top w:val="single" w:color="000000" w:sz="12" w:space="0"/>
              <w:left w:val="nil"/>
              <w:bottom w:val="single" w:color="000000" w:sz="4" w:space="0"/>
              <w:right w:val="nil"/>
            </w:tcBorders>
            <w:shd w:val="clear" w:color="auto" w:fill="FFFFFF"/>
            <w:vAlign w:val="center"/>
          </w:tcPr>
          <w:p w14:paraId="6FB590DF">
            <w:pPr>
              <w:pStyle w:val="20"/>
              <w:bidi w:val="0"/>
              <w:spacing w:after="0"/>
              <w:jc w:val="center"/>
              <w:rPr>
                <w:b w:val="0"/>
                <w:color w:val="000000"/>
                <w:sz w:val="21"/>
                <w:szCs w:val="21"/>
              </w:rPr>
            </w:pPr>
            <w:r>
              <w:rPr>
                <w:b w:val="0"/>
                <w:color w:val="000000"/>
                <w:sz w:val="21"/>
                <w:szCs w:val="21"/>
              </w:rPr>
              <w:t>来源</w:t>
            </w:r>
          </w:p>
        </w:tc>
        <w:tc>
          <w:tcPr>
            <w:tcW w:w="1037" w:type="dxa"/>
            <w:tcBorders>
              <w:top w:val="single" w:color="000000" w:sz="12" w:space="0"/>
              <w:left w:val="nil"/>
              <w:bottom w:val="single" w:color="000000" w:sz="4" w:space="0"/>
              <w:right w:val="nil"/>
            </w:tcBorders>
            <w:shd w:val="clear" w:color="auto" w:fill="FFFFFF"/>
            <w:vAlign w:val="center"/>
          </w:tcPr>
          <w:p w14:paraId="2383C016">
            <w:pPr>
              <w:pStyle w:val="20"/>
              <w:bidi w:val="0"/>
              <w:spacing w:after="0"/>
              <w:jc w:val="center"/>
              <w:rPr>
                <w:b w:val="0"/>
                <w:color w:val="000000"/>
                <w:sz w:val="21"/>
                <w:szCs w:val="21"/>
              </w:rPr>
            </w:pPr>
            <w:r>
              <w:rPr>
                <w:b w:val="0"/>
                <w:color w:val="000000"/>
                <w:sz w:val="21"/>
                <w:szCs w:val="21"/>
              </w:rPr>
              <w:t>质量</w:t>
            </w:r>
          </w:p>
        </w:tc>
      </w:tr>
      <w:tr w14:paraId="640249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single" w:color="000000" w:sz="4" w:space="0"/>
              <w:left w:val="nil"/>
              <w:bottom w:val="nil"/>
              <w:right w:val="nil"/>
            </w:tcBorders>
            <w:shd w:val="clear" w:color="auto" w:fill="FFFFFF"/>
            <w:vAlign w:val="center"/>
          </w:tcPr>
          <w:p w14:paraId="3A6408F4">
            <w:pPr>
              <w:pStyle w:val="20"/>
              <w:bidi w:val="0"/>
              <w:spacing w:after="0"/>
              <w:jc w:val="center"/>
              <w:rPr>
                <w:b w:val="0"/>
                <w:color w:val="000000"/>
                <w:sz w:val="21"/>
                <w:szCs w:val="21"/>
              </w:rPr>
            </w:pPr>
            <w:r>
              <w:rPr>
                <w:b w:val="0"/>
                <w:color w:val="000000"/>
                <w:sz w:val="21"/>
                <w:szCs w:val="21"/>
              </w:rPr>
              <w:t>关口计量</w:t>
            </w:r>
          </w:p>
        </w:tc>
        <w:tc>
          <w:tcPr>
            <w:tcW w:w="3402" w:type="dxa"/>
            <w:tcBorders>
              <w:top w:val="single" w:color="000000" w:sz="4" w:space="0"/>
              <w:left w:val="nil"/>
              <w:bottom w:val="nil"/>
              <w:right w:val="nil"/>
            </w:tcBorders>
            <w:shd w:val="clear" w:color="auto" w:fill="FFFFFF"/>
            <w:vAlign w:val="center"/>
          </w:tcPr>
          <w:p w14:paraId="2AB838DB">
            <w:pPr>
              <w:pStyle w:val="20"/>
              <w:bidi w:val="0"/>
              <w:spacing w:after="0"/>
              <w:jc w:val="center"/>
              <w:rPr>
                <w:b w:val="0"/>
                <w:color w:val="000000"/>
                <w:sz w:val="21"/>
                <w:szCs w:val="21"/>
              </w:rPr>
            </w:pPr>
            <m:oMath>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E</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gri</m:t>
                  </m:r>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d</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import</m:t>
                      </m:r>
                      <m:ctrlPr>
                        <w:rPr>
                          <w:rFonts w:ascii="Cambria Math" w:hAnsi="Cambria Math"/>
                          <w:b w:val="0"/>
                          <w:color w:val="000000"/>
                          <w:sz w:val="21"/>
                          <w:szCs w:val="21"/>
                        </w:rPr>
                      </m:ctrlPr>
                    </m:sub>
                  </m:sSub>
                  <m:ctrlPr>
                    <w:rPr>
                      <w:rFonts w:ascii="Cambria Math" w:hAnsi="Cambria Math"/>
                      <w:b w:val="0"/>
                      <w:color w:val="000000"/>
                      <w:sz w:val="21"/>
                      <w:szCs w:val="21"/>
                    </w:rPr>
                  </m:ctrlPr>
                </m:sub>
              </m:sSub>
            </m:oMath>
            <w:r>
              <w:rPr>
                <w:b w:val="0"/>
                <w:color w:val="000000"/>
                <w:sz w:val="21"/>
                <w:szCs w:val="21"/>
              </w:rPr>
              <w:t>、</w:t>
            </w:r>
            <m:oMath>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E</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gri</m:t>
                  </m:r>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d</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export</m:t>
                      </m:r>
                      <m:ctrlPr>
                        <w:rPr>
                          <w:rFonts w:ascii="Cambria Math" w:hAnsi="Cambria Math"/>
                          <w:b w:val="0"/>
                          <w:color w:val="000000"/>
                          <w:sz w:val="21"/>
                          <w:szCs w:val="21"/>
                        </w:rPr>
                      </m:ctrlPr>
                    </m:sub>
                  </m:sSub>
                  <m:ctrlPr>
                    <w:rPr>
                      <w:rFonts w:ascii="Cambria Math" w:hAnsi="Cambria Math"/>
                      <w:b w:val="0"/>
                      <w:color w:val="000000"/>
                      <w:sz w:val="21"/>
                      <w:szCs w:val="21"/>
                    </w:rPr>
                  </m:ctrlPr>
                </m:sub>
              </m:sSub>
            </m:oMath>
          </w:p>
        </w:tc>
        <w:tc>
          <w:tcPr>
            <w:tcW w:w="1413" w:type="dxa"/>
            <w:tcBorders>
              <w:top w:val="single" w:color="000000" w:sz="4" w:space="0"/>
              <w:left w:val="nil"/>
              <w:bottom w:val="nil"/>
              <w:right w:val="nil"/>
            </w:tcBorders>
            <w:shd w:val="clear" w:color="auto" w:fill="FFFFFF"/>
            <w:vAlign w:val="center"/>
          </w:tcPr>
          <w:p w14:paraId="7869F695">
            <w:pPr>
              <w:pStyle w:val="20"/>
              <w:bidi w:val="0"/>
              <w:spacing w:after="0"/>
              <w:jc w:val="center"/>
              <w:rPr>
                <w:b w:val="0"/>
                <w:color w:val="000000"/>
                <w:sz w:val="21"/>
                <w:szCs w:val="21"/>
              </w:rPr>
            </w:pPr>
            <w:r>
              <w:rPr>
                <w:b w:val="0"/>
                <w:color w:val="000000"/>
                <w:sz w:val="21"/>
                <w:szCs w:val="21"/>
              </w:rPr>
              <w:t>kWh/1 h</w:t>
            </w:r>
          </w:p>
        </w:tc>
        <w:tc>
          <w:tcPr>
            <w:tcW w:w="2232" w:type="dxa"/>
            <w:tcBorders>
              <w:top w:val="single" w:color="000000" w:sz="4" w:space="0"/>
              <w:left w:val="nil"/>
              <w:bottom w:val="nil"/>
              <w:right w:val="nil"/>
            </w:tcBorders>
            <w:shd w:val="clear" w:color="auto" w:fill="FFFFFF"/>
            <w:vAlign w:val="center"/>
          </w:tcPr>
          <w:p w14:paraId="1425A7D8">
            <w:pPr>
              <w:pStyle w:val="20"/>
              <w:bidi w:val="0"/>
              <w:spacing w:after="0"/>
              <w:jc w:val="center"/>
              <w:rPr>
                <w:b w:val="0"/>
                <w:color w:val="000000"/>
                <w:sz w:val="21"/>
                <w:szCs w:val="21"/>
              </w:rPr>
            </w:pPr>
            <w:r>
              <w:rPr>
                <w:b w:val="0"/>
                <w:color w:val="000000"/>
                <w:sz w:val="21"/>
                <w:szCs w:val="21"/>
              </w:rPr>
              <w:t>电网关口表</w:t>
            </w:r>
          </w:p>
        </w:tc>
        <w:tc>
          <w:tcPr>
            <w:tcW w:w="1037" w:type="dxa"/>
            <w:tcBorders>
              <w:top w:val="single" w:color="000000" w:sz="4" w:space="0"/>
              <w:left w:val="nil"/>
              <w:bottom w:val="nil"/>
              <w:right w:val="nil"/>
            </w:tcBorders>
            <w:shd w:val="clear" w:color="auto" w:fill="FFFFFF"/>
            <w:vAlign w:val="center"/>
          </w:tcPr>
          <w:p w14:paraId="03A4CABC">
            <w:pPr>
              <w:pStyle w:val="20"/>
              <w:bidi w:val="0"/>
              <w:spacing w:after="0"/>
              <w:jc w:val="center"/>
              <w:rPr>
                <w:b w:val="0"/>
                <w:color w:val="000000"/>
                <w:sz w:val="21"/>
                <w:szCs w:val="21"/>
              </w:rPr>
            </w:pPr>
            <w:r>
              <w:rPr>
                <w:b w:val="0"/>
                <w:color w:val="000000"/>
                <w:sz w:val="21"/>
                <w:szCs w:val="21"/>
              </w:rPr>
              <w:t>A</w:t>
            </w:r>
          </w:p>
        </w:tc>
      </w:tr>
      <w:tr w14:paraId="2B0C64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46D5ACC3">
            <w:pPr>
              <w:pStyle w:val="20"/>
              <w:bidi w:val="0"/>
              <w:spacing w:after="0"/>
              <w:jc w:val="center"/>
              <w:rPr>
                <w:b w:val="0"/>
                <w:color w:val="000000"/>
                <w:sz w:val="21"/>
                <w:szCs w:val="21"/>
                <w:highlight w:val="green"/>
              </w:rPr>
            </w:pPr>
            <w:r>
              <w:rPr>
                <w:b w:val="0"/>
                <w:color w:val="000000"/>
                <w:sz w:val="21"/>
                <w:szCs w:val="21"/>
                <w:highlight w:val="green"/>
              </w:rPr>
              <w:t>厂内负荷</w:t>
            </w:r>
          </w:p>
        </w:tc>
        <w:tc>
          <w:tcPr>
            <w:tcW w:w="3402" w:type="dxa"/>
            <w:tcBorders>
              <w:top w:val="nil"/>
              <w:left w:val="nil"/>
              <w:bottom w:val="nil"/>
              <w:right w:val="nil"/>
            </w:tcBorders>
            <w:shd w:val="clear" w:color="auto" w:fill="FFFFFF"/>
            <w:vAlign w:val="center"/>
          </w:tcPr>
          <w:p w14:paraId="0E51A1A4">
            <w:pPr>
              <w:pStyle w:val="20"/>
              <w:bidi w:val="0"/>
              <w:spacing w:after="0"/>
              <w:jc w:val="center"/>
              <w:rPr>
                <w:b w:val="0"/>
                <w:color w:val="000000"/>
                <w:sz w:val="21"/>
                <w:szCs w:val="21"/>
                <w:highlight w:val="green"/>
                <w:lang w:eastAsia="zh-CN"/>
              </w:rPr>
            </w:pPr>
            <m:oMath>
              <m:sSub>
                <m:sSubPr>
                  <m:ctrlPr>
                    <w:rPr>
                      <w:rFonts w:ascii="Cambria Math" w:hAnsi="Cambria Math"/>
                      <w:b w:val="0"/>
                      <w:color w:val="000000"/>
                      <w:sz w:val="21"/>
                      <w:szCs w:val="21"/>
                      <w:highlight w:val="green"/>
                      <w:lang w:eastAsia="zh-CN"/>
                    </w:rPr>
                  </m:ctrlPr>
                </m:sSubPr>
                <m:e>
                  <m:r>
                    <m:rPr>
                      <m:sty m:val="p"/>
                    </m:rPr>
                    <w:rPr>
                      <w:rFonts w:hint="default" w:ascii="Times New Roman" w:hAnsi="Times New Roman"/>
                      <w:color w:val="000000"/>
                      <w:sz w:val="21"/>
                      <w:szCs w:val="21"/>
                      <w:highlight w:val="green"/>
                      <w:lang w:eastAsia="zh-CN"/>
                    </w:rPr>
                    <m:t>E</m:t>
                  </m:r>
                  <m:ctrlPr>
                    <w:rPr>
                      <w:rFonts w:ascii="Cambria Math" w:hAnsi="Cambria Math"/>
                      <w:b w:val="0"/>
                      <w:color w:val="000000"/>
                      <w:sz w:val="21"/>
                      <w:szCs w:val="21"/>
                      <w:highlight w:val="green"/>
                      <w:lang w:eastAsia="zh-CN"/>
                    </w:rPr>
                  </m:ctrlPr>
                </m:e>
                <m:sub>
                  <m:r>
                    <m:rPr>
                      <m:sty m:val="p"/>
                    </m:rPr>
                    <w:rPr>
                      <w:rFonts w:hint="default" w:ascii="Times New Roman" w:hAnsi="Times New Roman"/>
                      <w:color w:val="000000"/>
                      <w:sz w:val="21"/>
                      <w:szCs w:val="21"/>
                      <w:highlight w:val="green"/>
                      <w:lang w:eastAsia="zh-CN"/>
                    </w:rPr>
                    <m:t>load</m:t>
                  </m:r>
                  <m:ctrlPr>
                    <w:rPr>
                      <w:rFonts w:ascii="Cambria Math" w:hAnsi="Cambria Math"/>
                      <w:b w:val="0"/>
                      <w:color w:val="000000"/>
                      <w:sz w:val="21"/>
                      <w:szCs w:val="21"/>
                      <w:highlight w:val="green"/>
                      <w:lang w:eastAsia="zh-CN"/>
                    </w:rPr>
                  </m:ctrlPr>
                </m:sub>
              </m:sSub>
            </m:oMath>
            <w:r>
              <w:rPr>
                <w:b w:val="0"/>
                <w:color w:val="000000"/>
                <w:sz w:val="21"/>
                <w:szCs w:val="21"/>
                <w:highlight w:val="green"/>
                <w:lang w:eastAsia="zh-CN"/>
              </w:rPr>
              <w:t>、关键工艺分项</w:t>
            </w:r>
          </w:p>
        </w:tc>
        <w:tc>
          <w:tcPr>
            <w:tcW w:w="1413" w:type="dxa"/>
            <w:tcBorders>
              <w:top w:val="nil"/>
              <w:left w:val="nil"/>
              <w:bottom w:val="nil"/>
              <w:right w:val="nil"/>
            </w:tcBorders>
            <w:shd w:val="clear" w:color="auto" w:fill="FFFFFF"/>
            <w:vAlign w:val="center"/>
          </w:tcPr>
          <w:p w14:paraId="6CB2BA29">
            <w:pPr>
              <w:pStyle w:val="20"/>
              <w:bidi w:val="0"/>
              <w:spacing w:after="0"/>
              <w:jc w:val="center"/>
              <w:rPr>
                <w:b w:val="0"/>
                <w:color w:val="000000"/>
                <w:sz w:val="21"/>
                <w:szCs w:val="21"/>
                <w:highlight w:val="green"/>
              </w:rPr>
            </w:pPr>
            <w:r>
              <w:rPr>
                <w:b w:val="0"/>
                <w:color w:val="000000"/>
                <w:sz w:val="21"/>
                <w:szCs w:val="21"/>
                <w:highlight w:val="green"/>
              </w:rPr>
              <w:t>kWh/1 h</w:t>
            </w:r>
          </w:p>
        </w:tc>
        <w:tc>
          <w:tcPr>
            <w:tcW w:w="2232" w:type="dxa"/>
            <w:tcBorders>
              <w:top w:val="nil"/>
              <w:left w:val="nil"/>
              <w:bottom w:val="nil"/>
              <w:right w:val="nil"/>
            </w:tcBorders>
            <w:shd w:val="clear" w:color="auto" w:fill="FFFFFF"/>
            <w:vAlign w:val="center"/>
          </w:tcPr>
          <w:p w14:paraId="1F9CAFD5">
            <w:pPr>
              <w:pStyle w:val="20"/>
              <w:bidi w:val="0"/>
              <w:spacing w:after="0"/>
              <w:jc w:val="center"/>
              <w:rPr>
                <w:b w:val="0"/>
                <w:color w:val="000000"/>
                <w:sz w:val="21"/>
                <w:szCs w:val="21"/>
                <w:highlight w:val="green"/>
              </w:rPr>
            </w:pPr>
            <w:r>
              <w:rPr>
                <w:b w:val="0"/>
                <w:color w:val="000000"/>
                <w:sz w:val="21"/>
                <w:szCs w:val="21"/>
                <w:highlight w:val="green"/>
              </w:rPr>
              <w:t>EMS/分项表</w:t>
            </w:r>
          </w:p>
        </w:tc>
        <w:tc>
          <w:tcPr>
            <w:tcW w:w="1037" w:type="dxa"/>
            <w:tcBorders>
              <w:top w:val="nil"/>
              <w:left w:val="nil"/>
              <w:bottom w:val="nil"/>
              <w:right w:val="nil"/>
            </w:tcBorders>
            <w:shd w:val="clear" w:color="auto" w:fill="FFFFFF"/>
            <w:vAlign w:val="center"/>
          </w:tcPr>
          <w:p w14:paraId="59123872">
            <w:pPr>
              <w:pStyle w:val="20"/>
              <w:bidi w:val="0"/>
              <w:spacing w:after="0"/>
              <w:jc w:val="center"/>
              <w:rPr>
                <w:b w:val="0"/>
                <w:color w:val="000000"/>
                <w:sz w:val="21"/>
                <w:szCs w:val="21"/>
                <w:highlight w:val="green"/>
              </w:rPr>
            </w:pPr>
            <w:r>
              <w:rPr>
                <w:b w:val="0"/>
                <w:color w:val="000000"/>
                <w:sz w:val="21"/>
                <w:szCs w:val="21"/>
                <w:highlight w:val="green"/>
              </w:rPr>
              <w:t>A/B</w:t>
            </w:r>
          </w:p>
        </w:tc>
      </w:tr>
      <w:tr w14:paraId="13B44A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1585C734">
            <w:pPr>
              <w:pStyle w:val="20"/>
              <w:bidi w:val="0"/>
              <w:spacing w:after="0"/>
              <w:jc w:val="center"/>
              <w:rPr>
                <w:b w:val="0"/>
                <w:color w:val="000000"/>
                <w:sz w:val="21"/>
                <w:szCs w:val="21"/>
              </w:rPr>
            </w:pPr>
            <w:r>
              <w:rPr>
                <w:b w:val="0"/>
                <w:color w:val="000000"/>
                <w:sz w:val="21"/>
                <w:szCs w:val="21"/>
              </w:rPr>
              <w:t>储能交流侧</w:t>
            </w:r>
          </w:p>
        </w:tc>
        <w:tc>
          <w:tcPr>
            <w:tcW w:w="3402" w:type="dxa"/>
            <w:tcBorders>
              <w:top w:val="nil"/>
              <w:left w:val="nil"/>
              <w:bottom w:val="nil"/>
              <w:right w:val="nil"/>
            </w:tcBorders>
            <w:shd w:val="clear" w:color="auto" w:fill="FFFFFF"/>
            <w:vAlign w:val="center"/>
          </w:tcPr>
          <w:p w14:paraId="4837DEB9">
            <w:pPr>
              <w:pStyle w:val="20"/>
              <w:bidi w:val="0"/>
              <w:spacing w:after="0"/>
              <w:jc w:val="center"/>
              <w:rPr>
                <w:b w:val="0"/>
                <w:color w:val="000000"/>
                <w:sz w:val="21"/>
                <w:szCs w:val="21"/>
              </w:rPr>
            </w:pPr>
            <m:oMath>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E</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c</m:t>
                  </m:r>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h</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ac</m:t>
                      </m:r>
                      <m:ctrlPr>
                        <w:rPr>
                          <w:rFonts w:ascii="Cambria Math" w:hAnsi="Cambria Math"/>
                          <w:b w:val="0"/>
                          <w:color w:val="000000"/>
                          <w:sz w:val="21"/>
                          <w:szCs w:val="21"/>
                        </w:rPr>
                      </m:ctrlPr>
                    </m:sub>
                  </m:sSub>
                  <m:ctrlPr>
                    <w:rPr>
                      <w:rFonts w:ascii="Cambria Math" w:hAnsi="Cambria Math"/>
                      <w:b w:val="0"/>
                      <w:color w:val="000000"/>
                      <w:sz w:val="21"/>
                      <w:szCs w:val="21"/>
                    </w:rPr>
                  </m:ctrlPr>
                </m:sub>
              </m:sSub>
            </m:oMath>
            <w:r>
              <w:rPr>
                <w:b w:val="0"/>
                <w:color w:val="000000"/>
                <w:sz w:val="21"/>
                <w:szCs w:val="21"/>
              </w:rPr>
              <w:t>、</w:t>
            </w:r>
            <m:oMath>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E</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di</m:t>
                  </m:r>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s</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ac</m:t>
                      </m:r>
                      <m:ctrlPr>
                        <w:rPr>
                          <w:rFonts w:ascii="Cambria Math" w:hAnsi="Cambria Math"/>
                          <w:b w:val="0"/>
                          <w:color w:val="000000"/>
                          <w:sz w:val="21"/>
                          <w:szCs w:val="21"/>
                        </w:rPr>
                      </m:ctrlPr>
                    </m:sub>
                  </m:sSub>
                  <m:ctrlPr>
                    <w:rPr>
                      <w:rFonts w:ascii="Cambria Math" w:hAnsi="Cambria Math"/>
                      <w:b w:val="0"/>
                      <w:color w:val="000000"/>
                      <w:sz w:val="21"/>
                      <w:szCs w:val="21"/>
                    </w:rPr>
                  </m:ctrlPr>
                </m:sub>
              </m:sSub>
            </m:oMath>
            <w:r>
              <w:rPr>
                <w:b w:val="0"/>
                <w:color w:val="000000"/>
                <w:sz w:val="21"/>
                <w:szCs w:val="21"/>
              </w:rPr>
              <w:t>、</w:t>
            </w:r>
            <m:oMath>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P</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ch</m:t>
                  </m:r>
                  <m:ctrlPr>
                    <w:rPr>
                      <w:rFonts w:ascii="Cambria Math" w:hAnsi="Cambria Math"/>
                      <w:b w:val="0"/>
                      <w:color w:val="000000"/>
                      <w:sz w:val="21"/>
                      <w:szCs w:val="21"/>
                    </w:rPr>
                  </m:ctrlPr>
                </m:sub>
              </m:sSub>
            </m:oMath>
            <w:r>
              <w:rPr>
                <w:b w:val="0"/>
                <w:color w:val="000000"/>
                <w:sz w:val="21"/>
                <w:szCs w:val="21"/>
              </w:rPr>
              <w:t>、</w:t>
            </w:r>
            <m:oMath>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P</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dis</m:t>
                  </m:r>
                  <m:ctrlPr>
                    <w:rPr>
                      <w:rFonts w:ascii="Cambria Math" w:hAnsi="Cambria Math"/>
                      <w:b w:val="0"/>
                      <w:color w:val="000000"/>
                      <w:sz w:val="21"/>
                      <w:szCs w:val="21"/>
                    </w:rPr>
                  </m:ctrlPr>
                </m:sub>
              </m:sSub>
            </m:oMath>
          </w:p>
        </w:tc>
        <w:tc>
          <w:tcPr>
            <w:tcW w:w="1413" w:type="dxa"/>
            <w:tcBorders>
              <w:top w:val="nil"/>
              <w:left w:val="nil"/>
              <w:bottom w:val="nil"/>
              <w:right w:val="nil"/>
            </w:tcBorders>
            <w:shd w:val="clear" w:color="auto" w:fill="FFFFFF"/>
            <w:vAlign w:val="center"/>
          </w:tcPr>
          <w:p w14:paraId="226827F7">
            <w:pPr>
              <w:pStyle w:val="20"/>
              <w:bidi w:val="0"/>
              <w:spacing w:after="0"/>
              <w:jc w:val="center"/>
              <w:rPr>
                <w:b w:val="0"/>
                <w:color w:val="000000"/>
                <w:sz w:val="21"/>
                <w:szCs w:val="21"/>
              </w:rPr>
            </w:pPr>
            <w:r>
              <w:rPr>
                <w:b w:val="0"/>
                <w:color w:val="000000"/>
                <w:sz w:val="21"/>
                <w:szCs w:val="21"/>
              </w:rPr>
              <w:t>kWh、kW</w:t>
            </w:r>
          </w:p>
        </w:tc>
        <w:tc>
          <w:tcPr>
            <w:tcW w:w="2232" w:type="dxa"/>
            <w:tcBorders>
              <w:top w:val="nil"/>
              <w:left w:val="nil"/>
              <w:bottom w:val="nil"/>
              <w:right w:val="nil"/>
            </w:tcBorders>
            <w:shd w:val="clear" w:color="auto" w:fill="FFFFFF"/>
            <w:vAlign w:val="center"/>
          </w:tcPr>
          <w:p w14:paraId="10D1F085">
            <w:pPr>
              <w:pStyle w:val="20"/>
              <w:bidi w:val="0"/>
              <w:spacing w:after="0"/>
              <w:jc w:val="center"/>
              <w:rPr>
                <w:b w:val="0"/>
                <w:color w:val="000000"/>
                <w:sz w:val="21"/>
                <w:szCs w:val="21"/>
              </w:rPr>
            </w:pPr>
            <w:r>
              <w:rPr>
                <w:b w:val="0"/>
                <w:color w:val="000000"/>
                <w:sz w:val="21"/>
                <w:szCs w:val="21"/>
              </w:rPr>
              <w:t>PCS电表</w:t>
            </w:r>
          </w:p>
        </w:tc>
        <w:tc>
          <w:tcPr>
            <w:tcW w:w="1037" w:type="dxa"/>
            <w:tcBorders>
              <w:top w:val="nil"/>
              <w:left w:val="nil"/>
              <w:bottom w:val="nil"/>
              <w:right w:val="nil"/>
            </w:tcBorders>
            <w:shd w:val="clear" w:color="auto" w:fill="FFFFFF"/>
            <w:vAlign w:val="center"/>
          </w:tcPr>
          <w:p w14:paraId="6104E439">
            <w:pPr>
              <w:pStyle w:val="20"/>
              <w:bidi w:val="0"/>
              <w:spacing w:after="0"/>
              <w:jc w:val="center"/>
              <w:rPr>
                <w:b w:val="0"/>
                <w:color w:val="000000"/>
                <w:sz w:val="21"/>
                <w:szCs w:val="21"/>
              </w:rPr>
            </w:pPr>
            <w:r>
              <w:rPr>
                <w:b w:val="0"/>
                <w:color w:val="000000"/>
                <w:sz w:val="21"/>
                <w:szCs w:val="21"/>
              </w:rPr>
              <w:t>A</w:t>
            </w:r>
          </w:p>
        </w:tc>
      </w:tr>
      <w:tr w14:paraId="55A333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069EE55E">
            <w:pPr>
              <w:pStyle w:val="20"/>
              <w:bidi w:val="0"/>
              <w:spacing w:after="0"/>
              <w:jc w:val="center"/>
              <w:rPr>
                <w:b w:val="0"/>
                <w:color w:val="000000"/>
                <w:sz w:val="21"/>
                <w:szCs w:val="21"/>
              </w:rPr>
            </w:pPr>
            <w:r>
              <w:rPr>
                <w:b w:val="0"/>
                <w:color w:val="000000"/>
                <w:sz w:val="21"/>
                <w:szCs w:val="21"/>
              </w:rPr>
              <w:t>储能状态</w:t>
            </w:r>
          </w:p>
        </w:tc>
        <w:tc>
          <w:tcPr>
            <w:tcW w:w="3402" w:type="dxa"/>
            <w:tcBorders>
              <w:top w:val="nil"/>
              <w:left w:val="nil"/>
              <w:bottom w:val="nil"/>
              <w:right w:val="nil"/>
            </w:tcBorders>
            <w:shd w:val="clear" w:color="auto" w:fill="FFFFFF"/>
            <w:vAlign w:val="center"/>
          </w:tcPr>
          <w:p w14:paraId="18D1FE73">
            <w:pPr>
              <w:pStyle w:val="20"/>
              <w:bidi w:val="0"/>
              <w:spacing w:after="0"/>
              <w:jc w:val="center"/>
              <w:rPr>
                <w:b w:val="0"/>
                <w:color w:val="000000"/>
                <w:sz w:val="21"/>
                <w:szCs w:val="21"/>
              </w:rPr>
            </w:pPr>
            <w:r>
              <w:rPr>
                <w:b w:val="0"/>
                <w:color w:val="000000"/>
                <w:sz w:val="21"/>
                <w:szCs w:val="21"/>
              </w:rPr>
              <w:t>SOC、SOH、温度、告警、可用容量</w:t>
            </w:r>
          </w:p>
        </w:tc>
        <w:tc>
          <w:tcPr>
            <w:tcW w:w="1413" w:type="dxa"/>
            <w:tcBorders>
              <w:top w:val="nil"/>
              <w:left w:val="nil"/>
              <w:bottom w:val="nil"/>
              <w:right w:val="nil"/>
            </w:tcBorders>
            <w:shd w:val="clear" w:color="auto" w:fill="FFFFFF"/>
            <w:vAlign w:val="center"/>
          </w:tcPr>
          <w:p w14:paraId="4B1B3733">
            <w:pPr>
              <w:pStyle w:val="20"/>
              <w:bidi w:val="0"/>
              <w:spacing w:after="0"/>
              <w:jc w:val="center"/>
              <w:rPr>
                <w:b w:val="0"/>
                <w:color w:val="000000"/>
                <w:sz w:val="21"/>
                <w:szCs w:val="21"/>
              </w:rPr>
            </w:pPr>
            <w:r>
              <w:rPr>
                <w:b w:val="0"/>
                <w:color w:val="000000"/>
                <w:sz w:val="21"/>
                <w:szCs w:val="21"/>
              </w:rPr>
              <w:t>%等</w:t>
            </w:r>
          </w:p>
        </w:tc>
        <w:tc>
          <w:tcPr>
            <w:tcW w:w="2232" w:type="dxa"/>
            <w:tcBorders>
              <w:top w:val="nil"/>
              <w:left w:val="nil"/>
              <w:bottom w:val="nil"/>
              <w:right w:val="nil"/>
            </w:tcBorders>
            <w:shd w:val="clear" w:color="auto" w:fill="FFFFFF"/>
            <w:vAlign w:val="center"/>
          </w:tcPr>
          <w:p w14:paraId="6E218CEC">
            <w:pPr>
              <w:pStyle w:val="20"/>
              <w:bidi w:val="0"/>
              <w:spacing w:after="0"/>
              <w:jc w:val="center"/>
              <w:rPr>
                <w:b w:val="0"/>
                <w:color w:val="000000"/>
                <w:sz w:val="21"/>
                <w:szCs w:val="21"/>
              </w:rPr>
            </w:pPr>
            <w:r>
              <w:rPr>
                <w:b w:val="0"/>
                <w:color w:val="000000"/>
                <w:sz w:val="21"/>
                <w:szCs w:val="21"/>
              </w:rPr>
              <w:t>BMS</w:t>
            </w:r>
          </w:p>
        </w:tc>
        <w:tc>
          <w:tcPr>
            <w:tcW w:w="1037" w:type="dxa"/>
            <w:tcBorders>
              <w:top w:val="nil"/>
              <w:left w:val="nil"/>
              <w:bottom w:val="nil"/>
              <w:right w:val="nil"/>
            </w:tcBorders>
            <w:shd w:val="clear" w:color="auto" w:fill="FFFFFF"/>
            <w:vAlign w:val="center"/>
          </w:tcPr>
          <w:p w14:paraId="18281B12">
            <w:pPr>
              <w:pStyle w:val="20"/>
              <w:bidi w:val="0"/>
              <w:spacing w:after="0"/>
              <w:jc w:val="center"/>
              <w:rPr>
                <w:b w:val="0"/>
                <w:color w:val="000000"/>
                <w:sz w:val="21"/>
                <w:szCs w:val="21"/>
              </w:rPr>
            </w:pPr>
            <w:r>
              <w:rPr>
                <w:b w:val="0"/>
                <w:color w:val="000000"/>
                <w:sz w:val="21"/>
                <w:szCs w:val="21"/>
              </w:rPr>
              <w:t>A/B</w:t>
            </w:r>
          </w:p>
        </w:tc>
      </w:tr>
      <w:tr w14:paraId="5844C22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70F0AF3A">
            <w:pPr>
              <w:pStyle w:val="20"/>
              <w:bidi w:val="0"/>
              <w:spacing w:after="0"/>
              <w:jc w:val="center"/>
              <w:rPr>
                <w:b w:val="0"/>
                <w:color w:val="000000"/>
                <w:sz w:val="21"/>
                <w:szCs w:val="21"/>
                <w:highlight w:val="green"/>
              </w:rPr>
            </w:pPr>
            <w:r>
              <w:rPr>
                <w:b w:val="0"/>
                <w:color w:val="000000"/>
                <w:sz w:val="21"/>
                <w:szCs w:val="21"/>
                <w:highlight w:val="green"/>
              </w:rPr>
              <w:t>辅助系统</w:t>
            </w:r>
          </w:p>
        </w:tc>
        <w:tc>
          <w:tcPr>
            <w:tcW w:w="3402" w:type="dxa"/>
            <w:tcBorders>
              <w:top w:val="nil"/>
              <w:left w:val="nil"/>
              <w:bottom w:val="nil"/>
              <w:right w:val="nil"/>
            </w:tcBorders>
            <w:shd w:val="clear" w:color="auto" w:fill="FFFFFF"/>
            <w:vAlign w:val="center"/>
          </w:tcPr>
          <w:p w14:paraId="5C7F33A3">
            <w:pPr>
              <w:pStyle w:val="20"/>
              <w:bidi w:val="0"/>
              <w:spacing w:after="0"/>
              <w:jc w:val="center"/>
              <w:rPr>
                <w:b w:val="0"/>
                <w:color w:val="000000"/>
                <w:sz w:val="21"/>
                <w:szCs w:val="21"/>
                <w:highlight w:val="green"/>
              </w:rPr>
            </w:pPr>
            <m:oMathPara>
              <m:oMath>
                <m:sSub>
                  <m:sSubPr>
                    <m:ctrlPr>
                      <w:rPr>
                        <w:rFonts w:ascii="Cambria Math" w:hAnsi="Cambria Math"/>
                        <w:b w:val="0"/>
                        <w:color w:val="000000"/>
                        <w:sz w:val="21"/>
                        <w:szCs w:val="21"/>
                        <w:highlight w:val="green"/>
                      </w:rPr>
                    </m:ctrlPr>
                  </m:sSubPr>
                  <m:e>
                    <m:r>
                      <m:rPr>
                        <m:sty m:val="p"/>
                      </m:rPr>
                      <w:rPr>
                        <w:rFonts w:hint="default" w:ascii="Times New Roman" w:hAnsi="Times New Roman"/>
                        <w:color w:val="000000"/>
                        <w:sz w:val="21"/>
                        <w:szCs w:val="21"/>
                        <w:highlight w:val="green"/>
                      </w:rPr>
                      <m:t>E</m:t>
                    </m:r>
                    <m:ctrlPr>
                      <w:rPr>
                        <w:rFonts w:ascii="Cambria Math" w:hAnsi="Cambria Math"/>
                        <w:b w:val="0"/>
                        <w:color w:val="000000"/>
                        <w:sz w:val="21"/>
                        <w:szCs w:val="21"/>
                        <w:highlight w:val="green"/>
                      </w:rPr>
                    </m:ctrlPr>
                  </m:e>
                  <m:sub>
                    <m:r>
                      <m:rPr>
                        <m:sty m:val="p"/>
                      </m:rPr>
                      <w:rPr>
                        <w:rFonts w:hint="default" w:ascii="Times New Roman" w:hAnsi="Times New Roman"/>
                        <w:color w:val="000000"/>
                        <w:sz w:val="21"/>
                        <w:szCs w:val="21"/>
                        <w:highlight w:val="green"/>
                      </w:rPr>
                      <m:t>aux</m:t>
                    </m:r>
                    <m:ctrlPr>
                      <w:rPr>
                        <w:rFonts w:ascii="Cambria Math" w:hAnsi="Cambria Math"/>
                        <w:b w:val="0"/>
                        <w:color w:val="000000"/>
                        <w:sz w:val="21"/>
                        <w:szCs w:val="21"/>
                        <w:highlight w:val="green"/>
                      </w:rPr>
                    </m:ctrlPr>
                  </m:sub>
                </m:sSub>
              </m:oMath>
            </m:oMathPara>
          </w:p>
        </w:tc>
        <w:tc>
          <w:tcPr>
            <w:tcW w:w="1413" w:type="dxa"/>
            <w:tcBorders>
              <w:top w:val="nil"/>
              <w:left w:val="nil"/>
              <w:bottom w:val="nil"/>
              <w:right w:val="nil"/>
            </w:tcBorders>
            <w:shd w:val="clear" w:color="auto" w:fill="FFFFFF"/>
            <w:vAlign w:val="center"/>
          </w:tcPr>
          <w:p w14:paraId="16ECDFE4">
            <w:pPr>
              <w:pStyle w:val="20"/>
              <w:bidi w:val="0"/>
              <w:spacing w:after="0"/>
              <w:jc w:val="center"/>
              <w:rPr>
                <w:b w:val="0"/>
                <w:color w:val="000000"/>
                <w:sz w:val="21"/>
                <w:szCs w:val="21"/>
                <w:highlight w:val="green"/>
              </w:rPr>
            </w:pPr>
            <w:r>
              <w:rPr>
                <w:b w:val="0"/>
                <w:color w:val="000000"/>
                <w:sz w:val="21"/>
                <w:szCs w:val="21"/>
                <w:highlight w:val="green"/>
              </w:rPr>
              <w:t>kWh/1 h</w:t>
            </w:r>
          </w:p>
        </w:tc>
        <w:tc>
          <w:tcPr>
            <w:tcW w:w="2232" w:type="dxa"/>
            <w:tcBorders>
              <w:top w:val="nil"/>
              <w:left w:val="nil"/>
              <w:bottom w:val="nil"/>
              <w:right w:val="nil"/>
            </w:tcBorders>
            <w:shd w:val="clear" w:color="auto" w:fill="FFFFFF"/>
            <w:vAlign w:val="center"/>
          </w:tcPr>
          <w:p w14:paraId="1855E1FB">
            <w:pPr>
              <w:pStyle w:val="20"/>
              <w:bidi w:val="0"/>
              <w:spacing w:after="0"/>
              <w:jc w:val="center"/>
              <w:rPr>
                <w:b w:val="0"/>
                <w:color w:val="000000"/>
                <w:sz w:val="21"/>
                <w:szCs w:val="21"/>
                <w:highlight w:val="green"/>
                <w:lang w:eastAsia="zh-CN"/>
              </w:rPr>
            </w:pPr>
            <w:r>
              <w:rPr>
                <w:b w:val="0"/>
                <w:color w:val="000000"/>
                <w:sz w:val="21"/>
                <w:szCs w:val="21"/>
                <w:highlight w:val="green"/>
                <w:lang w:eastAsia="zh-CN"/>
              </w:rPr>
              <w:t>空调、消防、控制电表</w:t>
            </w:r>
          </w:p>
        </w:tc>
        <w:tc>
          <w:tcPr>
            <w:tcW w:w="1037" w:type="dxa"/>
            <w:tcBorders>
              <w:top w:val="nil"/>
              <w:left w:val="nil"/>
              <w:bottom w:val="nil"/>
              <w:right w:val="nil"/>
            </w:tcBorders>
            <w:shd w:val="clear" w:color="auto" w:fill="FFFFFF"/>
            <w:vAlign w:val="center"/>
          </w:tcPr>
          <w:p w14:paraId="31CB1DD8">
            <w:pPr>
              <w:pStyle w:val="20"/>
              <w:bidi w:val="0"/>
              <w:spacing w:after="0"/>
              <w:jc w:val="center"/>
              <w:rPr>
                <w:b w:val="0"/>
                <w:color w:val="000000"/>
                <w:sz w:val="21"/>
                <w:szCs w:val="21"/>
                <w:highlight w:val="green"/>
              </w:rPr>
            </w:pPr>
            <w:r>
              <w:rPr>
                <w:b w:val="0"/>
                <w:color w:val="000000"/>
                <w:sz w:val="21"/>
                <w:szCs w:val="21"/>
                <w:highlight w:val="green"/>
              </w:rPr>
              <w:t>A/B</w:t>
            </w:r>
          </w:p>
        </w:tc>
      </w:tr>
      <w:tr w14:paraId="538F1A6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60D863F2">
            <w:pPr>
              <w:pStyle w:val="20"/>
              <w:bidi w:val="0"/>
              <w:spacing w:after="0"/>
              <w:jc w:val="center"/>
              <w:rPr>
                <w:b w:val="0"/>
                <w:color w:val="000000"/>
                <w:sz w:val="21"/>
                <w:szCs w:val="21"/>
                <w:highlight w:val="green"/>
              </w:rPr>
            </w:pPr>
            <w:r>
              <w:rPr>
                <w:b w:val="0"/>
                <w:color w:val="000000"/>
                <w:sz w:val="21"/>
                <w:szCs w:val="21"/>
                <w:highlight w:val="green"/>
              </w:rPr>
              <w:t>厂内电源</w:t>
            </w:r>
          </w:p>
        </w:tc>
        <w:tc>
          <w:tcPr>
            <w:tcW w:w="3402" w:type="dxa"/>
            <w:tcBorders>
              <w:top w:val="nil"/>
              <w:left w:val="nil"/>
              <w:bottom w:val="nil"/>
              <w:right w:val="nil"/>
            </w:tcBorders>
            <w:shd w:val="clear" w:color="auto" w:fill="FFFFFF"/>
            <w:vAlign w:val="center"/>
          </w:tcPr>
          <w:p w14:paraId="687F33B2">
            <w:pPr>
              <w:pStyle w:val="20"/>
              <w:bidi w:val="0"/>
              <w:spacing w:after="0"/>
              <w:jc w:val="center"/>
              <w:rPr>
                <w:b w:val="0"/>
                <w:color w:val="000000"/>
                <w:sz w:val="21"/>
                <w:szCs w:val="21"/>
                <w:highlight w:val="green"/>
                <w:lang w:eastAsia="zh-CN"/>
              </w:rPr>
            </w:pPr>
            <w:r>
              <w:rPr>
                <w:b w:val="0"/>
                <w:color w:val="000000"/>
                <w:sz w:val="21"/>
                <w:szCs w:val="21"/>
                <w:highlight w:val="green"/>
                <w:lang w:eastAsia="zh-CN"/>
              </w:rPr>
              <w:t>光伏/沼气发电及上网电量</w:t>
            </w:r>
          </w:p>
        </w:tc>
        <w:tc>
          <w:tcPr>
            <w:tcW w:w="1413" w:type="dxa"/>
            <w:tcBorders>
              <w:top w:val="nil"/>
              <w:left w:val="nil"/>
              <w:bottom w:val="nil"/>
              <w:right w:val="nil"/>
            </w:tcBorders>
            <w:shd w:val="clear" w:color="auto" w:fill="FFFFFF"/>
            <w:vAlign w:val="center"/>
          </w:tcPr>
          <w:p w14:paraId="72EF2C5F">
            <w:pPr>
              <w:pStyle w:val="20"/>
              <w:bidi w:val="0"/>
              <w:spacing w:after="0"/>
              <w:jc w:val="center"/>
              <w:rPr>
                <w:b w:val="0"/>
                <w:color w:val="000000"/>
                <w:sz w:val="21"/>
                <w:szCs w:val="21"/>
                <w:highlight w:val="green"/>
              </w:rPr>
            </w:pPr>
            <w:r>
              <w:rPr>
                <w:b w:val="0"/>
                <w:color w:val="000000"/>
                <w:sz w:val="21"/>
                <w:szCs w:val="21"/>
                <w:highlight w:val="green"/>
              </w:rPr>
              <w:t>kWh/1 h</w:t>
            </w:r>
          </w:p>
        </w:tc>
        <w:tc>
          <w:tcPr>
            <w:tcW w:w="2232" w:type="dxa"/>
            <w:tcBorders>
              <w:top w:val="nil"/>
              <w:left w:val="nil"/>
              <w:bottom w:val="nil"/>
              <w:right w:val="nil"/>
            </w:tcBorders>
            <w:shd w:val="clear" w:color="auto" w:fill="FFFFFF"/>
            <w:vAlign w:val="center"/>
          </w:tcPr>
          <w:p w14:paraId="5C862A40">
            <w:pPr>
              <w:pStyle w:val="20"/>
              <w:bidi w:val="0"/>
              <w:spacing w:after="0"/>
              <w:jc w:val="center"/>
              <w:rPr>
                <w:b w:val="0"/>
                <w:color w:val="000000"/>
                <w:sz w:val="21"/>
                <w:szCs w:val="21"/>
                <w:highlight w:val="green"/>
              </w:rPr>
            </w:pPr>
            <w:r>
              <w:rPr>
                <w:b w:val="0"/>
                <w:color w:val="000000"/>
                <w:sz w:val="21"/>
                <w:szCs w:val="21"/>
                <w:highlight w:val="green"/>
              </w:rPr>
              <w:t>逆变器/发电表</w:t>
            </w:r>
          </w:p>
        </w:tc>
        <w:tc>
          <w:tcPr>
            <w:tcW w:w="1037" w:type="dxa"/>
            <w:tcBorders>
              <w:top w:val="nil"/>
              <w:left w:val="nil"/>
              <w:bottom w:val="nil"/>
              <w:right w:val="nil"/>
            </w:tcBorders>
            <w:shd w:val="clear" w:color="auto" w:fill="FFFFFF"/>
            <w:vAlign w:val="center"/>
          </w:tcPr>
          <w:p w14:paraId="220FCF44">
            <w:pPr>
              <w:pStyle w:val="20"/>
              <w:bidi w:val="0"/>
              <w:spacing w:after="0"/>
              <w:jc w:val="center"/>
              <w:rPr>
                <w:b w:val="0"/>
                <w:color w:val="000000"/>
                <w:sz w:val="21"/>
                <w:szCs w:val="21"/>
                <w:highlight w:val="green"/>
              </w:rPr>
            </w:pPr>
            <w:r>
              <w:rPr>
                <w:b w:val="0"/>
                <w:color w:val="000000"/>
                <w:sz w:val="21"/>
                <w:szCs w:val="21"/>
                <w:highlight w:val="green"/>
              </w:rPr>
              <w:t>A</w:t>
            </w:r>
          </w:p>
        </w:tc>
      </w:tr>
      <w:tr w14:paraId="7703F26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33F4ABD3">
            <w:pPr>
              <w:pStyle w:val="20"/>
              <w:bidi w:val="0"/>
              <w:spacing w:after="0"/>
              <w:jc w:val="center"/>
              <w:rPr>
                <w:b w:val="0"/>
                <w:color w:val="000000"/>
                <w:sz w:val="21"/>
                <w:szCs w:val="21"/>
                <w:highlight w:val="green"/>
              </w:rPr>
            </w:pPr>
            <w:r>
              <w:rPr>
                <w:b w:val="0"/>
                <w:color w:val="000000"/>
                <w:sz w:val="21"/>
                <w:szCs w:val="21"/>
                <w:highlight w:val="green"/>
              </w:rPr>
              <w:t>工艺数据</w:t>
            </w:r>
          </w:p>
        </w:tc>
        <w:tc>
          <w:tcPr>
            <w:tcW w:w="3402" w:type="dxa"/>
            <w:tcBorders>
              <w:top w:val="nil"/>
              <w:left w:val="nil"/>
              <w:bottom w:val="nil"/>
              <w:right w:val="nil"/>
            </w:tcBorders>
            <w:shd w:val="clear" w:color="auto" w:fill="FFFFFF"/>
            <w:vAlign w:val="center"/>
          </w:tcPr>
          <w:p w14:paraId="4C707F4A">
            <w:pPr>
              <w:pStyle w:val="20"/>
              <w:bidi w:val="0"/>
              <w:spacing w:after="0"/>
              <w:jc w:val="center"/>
              <w:rPr>
                <w:b w:val="0"/>
                <w:color w:val="000000"/>
                <w:sz w:val="21"/>
                <w:szCs w:val="21"/>
                <w:highlight w:val="green"/>
                <w:lang w:eastAsia="zh-CN"/>
              </w:rPr>
            </w:pPr>
            <w:r>
              <w:rPr>
                <w:b w:val="0"/>
                <w:color w:val="000000"/>
                <w:sz w:val="21"/>
                <w:szCs w:val="21"/>
                <w:highlight w:val="green"/>
                <w:lang w:eastAsia="zh-CN"/>
              </w:rPr>
              <w:t>水量、COD等进出水浓度、曝气量、污泥量</w:t>
            </w:r>
          </w:p>
        </w:tc>
        <w:tc>
          <w:tcPr>
            <w:tcW w:w="1413" w:type="dxa"/>
            <w:tcBorders>
              <w:top w:val="nil"/>
              <w:left w:val="nil"/>
              <w:bottom w:val="nil"/>
              <w:right w:val="nil"/>
            </w:tcBorders>
            <w:shd w:val="clear" w:color="auto" w:fill="FFFFFF"/>
            <w:vAlign w:val="center"/>
          </w:tcPr>
          <w:p w14:paraId="12D01838">
            <w:pPr>
              <w:pStyle w:val="20"/>
              <w:bidi w:val="0"/>
              <w:spacing w:after="0"/>
              <w:jc w:val="center"/>
              <w:rPr>
                <w:b w:val="0"/>
                <w:color w:val="000000"/>
                <w:sz w:val="21"/>
                <w:szCs w:val="21"/>
                <w:highlight w:val="green"/>
              </w:rPr>
            </w:pPr>
            <w:r>
              <w:rPr>
                <w:b w:val="0"/>
                <w:color w:val="000000"/>
                <w:sz w:val="21"/>
                <w:szCs w:val="21"/>
                <w:highlight w:val="green"/>
              </w:rPr>
              <w:t>多单位</w:t>
            </w:r>
          </w:p>
        </w:tc>
        <w:tc>
          <w:tcPr>
            <w:tcW w:w="2232" w:type="dxa"/>
            <w:tcBorders>
              <w:top w:val="nil"/>
              <w:left w:val="nil"/>
              <w:bottom w:val="nil"/>
              <w:right w:val="nil"/>
            </w:tcBorders>
            <w:shd w:val="clear" w:color="auto" w:fill="FFFFFF"/>
            <w:vAlign w:val="center"/>
          </w:tcPr>
          <w:p w14:paraId="543DEA1E">
            <w:pPr>
              <w:pStyle w:val="20"/>
              <w:bidi w:val="0"/>
              <w:spacing w:after="0"/>
              <w:jc w:val="center"/>
              <w:rPr>
                <w:b w:val="0"/>
                <w:color w:val="000000"/>
                <w:sz w:val="21"/>
                <w:szCs w:val="21"/>
                <w:highlight w:val="green"/>
              </w:rPr>
            </w:pPr>
            <w:r>
              <w:rPr>
                <w:b w:val="0"/>
                <w:color w:val="000000"/>
                <w:sz w:val="21"/>
                <w:szCs w:val="21"/>
                <w:highlight w:val="green"/>
              </w:rPr>
              <w:t>SCADA/LIMS</w:t>
            </w:r>
          </w:p>
        </w:tc>
        <w:tc>
          <w:tcPr>
            <w:tcW w:w="1037" w:type="dxa"/>
            <w:tcBorders>
              <w:top w:val="nil"/>
              <w:left w:val="nil"/>
              <w:bottom w:val="nil"/>
              <w:right w:val="nil"/>
            </w:tcBorders>
            <w:shd w:val="clear" w:color="auto" w:fill="FFFFFF"/>
            <w:vAlign w:val="center"/>
          </w:tcPr>
          <w:p w14:paraId="664B6F91">
            <w:pPr>
              <w:pStyle w:val="20"/>
              <w:bidi w:val="0"/>
              <w:spacing w:after="0"/>
              <w:jc w:val="center"/>
              <w:rPr>
                <w:b w:val="0"/>
                <w:color w:val="000000"/>
                <w:sz w:val="21"/>
                <w:szCs w:val="21"/>
                <w:highlight w:val="green"/>
              </w:rPr>
            </w:pPr>
            <w:r>
              <w:rPr>
                <w:b w:val="0"/>
                <w:color w:val="000000"/>
                <w:sz w:val="21"/>
                <w:szCs w:val="21"/>
                <w:highlight w:val="green"/>
              </w:rPr>
              <w:t>A/B</w:t>
            </w:r>
          </w:p>
        </w:tc>
      </w:tr>
      <w:tr w14:paraId="1DD84BF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6D7651DF">
            <w:pPr>
              <w:pStyle w:val="20"/>
              <w:bidi w:val="0"/>
              <w:spacing w:after="0"/>
              <w:jc w:val="center"/>
              <w:rPr>
                <w:b w:val="0"/>
                <w:color w:val="000000"/>
                <w:sz w:val="21"/>
                <w:szCs w:val="21"/>
              </w:rPr>
            </w:pPr>
            <w:r>
              <w:rPr>
                <w:b w:val="0"/>
                <w:color w:val="000000"/>
                <w:sz w:val="21"/>
                <w:szCs w:val="21"/>
              </w:rPr>
              <w:t>价格数据</w:t>
            </w:r>
          </w:p>
        </w:tc>
        <w:tc>
          <w:tcPr>
            <w:tcW w:w="3402" w:type="dxa"/>
            <w:tcBorders>
              <w:top w:val="nil"/>
              <w:left w:val="nil"/>
              <w:bottom w:val="nil"/>
              <w:right w:val="nil"/>
            </w:tcBorders>
            <w:shd w:val="clear" w:color="auto" w:fill="FFFFFF"/>
            <w:vAlign w:val="center"/>
          </w:tcPr>
          <w:p w14:paraId="6F2FC1BC">
            <w:pPr>
              <w:pStyle w:val="20"/>
              <w:bidi w:val="0"/>
              <w:spacing w:after="0"/>
              <w:jc w:val="center"/>
              <w:rPr>
                <w:b w:val="0"/>
                <w:color w:val="000000"/>
                <w:sz w:val="21"/>
                <w:szCs w:val="21"/>
                <w:lang w:eastAsia="zh-CN"/>
              </w:rPr>
            </w:pPr>
            <w:r>
              <w:rPr>
                <w:b w:val="0"/>
                <w:color w:val="000000"/>
                <w:sz w:val="21"/>
                <w:szCs w:val="21"/>
                <w:lang w:eastAsia="zh-CN"/>
              </w:rPr>
              <w:t>分时电价、需量/容量电费、服务费</w:t>
            </w:r>
          </w:p>
        </w:tc>
        <w:tc>
          <w:tcPr>
            <w:tcW w:w="1413" w:type="dxa"/>
            <w:tcBorders>
              <w:top w:val="nil"/>
              <w:left w:val="nil"/>
              <w:bottom w:val="nil"/>
              <w:right w:val="nil"/>
            </w:tcBorders>
            <w:shd w:val="clear" w:color="auto" w:fill="FFFFFF"/>
            <w:vAlign w:val="center"/>
          </w:tcPr>
          <w:p w14:paraId="16282E87">
            <w:pPr>
              <w:pStyle w:val="20"/>
              <w:bidi w:val="0"/>
              <w:spacing w:after="0"/>
              <w:jc w:val="center"/>
              <w:rPr>
                <w:b w:val="0"/>
                <w:color w:val="000000"/>
                <w:sz w:val="21"/>
                <w:szCs w:val="21"/>
              </w:rPr>
            </w:pPr>
            <w:r>
              <w:rPr>
                <w:b w:val="0"/>
                <w:color w:val="000000"/>
                <w:sz w:val="21"/>
                <w:szCs w:val="21"/>
              </w:rPr>
              <w:t>元/kWh、元/kW</w:t>
            </w:r>
          </w:p>
        </w:tc>
        <w:tc>
          <w:tcPr>
            <w:tcW w:w="2232" w:type="dxa"/>
            <w:tcBorders>
              <w:top w:val="nil"/>
              <w:left w:val="nil"/>
              <w:bottom w:val="nil"/>
              <w:right w:val="nil"/>
            </w:tcBorders>
            <w:shd w:val="clear" w:color="auto" w:fill="FFFFFF"/>
            <w:vAlign w:val="center"/>
          </w:tcPr>
          <w:p w14:paraId="1E8DB3CE">
            <w:pPr>
              <w:pStyle w:val="20"/>
              <w:bidi w:val="0"/>
              <w:spacing w:after="0"/>
              <w:jc w:val="center"/>
              <w:rPr>
                <w:b w:val="0"/>
                <w:color w:val="000000"/>
                <w:sz w:val="21"/>
                <w:szCs w:val="21"/>
              </w:rPr>
            </w:pPr>
            <w:r>
              <w:rPr>
                <w:b w:val="0"/>
                <w:color w:val="000000"/>
                <w:sz w:val="21"/>
                <w:szCs w:val="21"/>
              </w:rPr>
              <w:t>合同/账单</w:t>
            </w:r>
          </w:p>
        </w:tc>
        <w:tc>
          <w:tcPr>
            <w:tcW w:w="1037" w:type="dxa"/>
            <w:tcBorders>
              <w:top w:val="nil"/>
              <w:left w:val="nil"/>
              <w:bottom w:val="nil"/>
              <w:right w:val="nil"/>
            </w:tcBorders>
            <w:shd w:val="clear" w:color="auto" w:fill="FFFFFF"/>
            <w:vAlign w:val="center"/>
          </w:tcPr>
          <w:p w14:paraId="3D37B99B">
            <w:pPr>
              <w:pStyle w:val="20"/>
              <w:bidi w:val="0"/>
              <w:spacing w:after="0"/>
              <w:jc w:val="center"/>
              <w:rPr>
                <w:b w:val="0"/>
                <w:color w:val="000000"/>
                <w:sz w:val="21"/>
                <w:szCs w:val="21"/>
              </w:rPr>
            </w:pPr>
            <w:r>
              <w:rPr>
                <w:b w:val="0"/>
                <w:color w:val="000000"/>
                <w:sz w:val="21"/>
                <w:szCs w:val="21"/>
              </w:rPr>
              <w:t>A</w:t>
            </w:r>
          </w:p>
        </w:tc>
      </w:tr>
      <w:tr w14:paraId="5F3672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nil"/>
              <w:right w:val="nil"/>
            </w:tcBorders>
            <w:shd w:val="clear" w:color="auto" w:fill="FFFFFF"/>
            <w:vAlign w:val="center"/>
          </w:tcPr>
          <w:p w14:paraId="0DE84391">
            <w:pPr>
              <w:pStyle w:val="20"/>
              <w:bidi w:val="0"/>
              <w:spacing w:after="0"/>
              <w:jc w:val="center"/>
              <w:rPr>
                <w:b w:val="0"/>
                <w:color w:val="000000"/>
                <w:sz w:val="21"/>
                <w:szCs w:val="21"/>
              </w:rPr>
            </w:pPr>
            <w:r>
              <w:rPr>
                <w:b w:val="0"/>
                <w:color w:val="000000"/>
                <w:sz w:val="21"/>
                <w:szCs w:val="21"/>
              </w:rPr>
              <w:t>碳因子</w:t>
            </w:r>
          </w:p>
        </w:tc>
        <w:tc>
          <w:tcPr>
            <w:tcW w:w="3402" w:type="dxa"/>
            <w:tcBorders>
              <w:top w:val="nil"/>
              <w:left w:val="nil"/>
              <w:bottom w:val="nil"/>
              <w:right w:val="nil"/>
            </w:tcBorders>
            <w:shd w:val="clear" w:color="auto" w:fill="FFFFFF"/>
            <w:vAlign w:val="center"/>
          </w:tcPr>
          <w:p w14:paraId="2274C18F">
            <w:pPr>
              <w:pStyle w:val="20"/>
              <w:bidi w:val="0"/>
              <w:spacing w:after="0"/>
              <w:jc w:val="center"/>
              <w:rPr>
                <w:b w:val="0"/>
                <w:color w:val="000000"/>
                <w:sz w:val="21"/>
                <w:szCs w:val="21"/>
              </w:rPr>
            </w:pPr>
            <m:oMath>
              <m:r>
                <m:rPr>
                  <m:sty m:val="p"/>
                </m:rPr>
                <w:rPr>
                  <w:rFonts w:hint="default" w:ascii="Times New Roman" w:hAnsi="Times New Roman"/>
                  <w:color w:val="000000"/>
                  <w:sz w:val="21"/>
                  <w:szCs w:val="21"/>
                </w:rPr>
                <m:t>E</m:t>
              </m:r>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F</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report</m:t>
                  </m:r>
                  <m:ctrlPr>
                    <w:rPr>
                      <w:rFonts w:ascii="Cambria Math" w:hAnsi="Cambria Math"/>
                      <w:b w:val="0"/>
                      <w:color w:val="000000"/>
                      <w:sz w:val="21"/>
                      <w:szCs w:val="21"/>
                    </w:rPr>
                  </m:ctrlPr>
                </m:sub>
              </m:sSub>
            </m:oMath>
            <w:r>
              <w:rPr>
                <w:b w:val="0"/>
                <w:color w:val="000000"/>
                <w:sz w:val="21"/>
                <w:szCs w:val="21"/>
              </w:rPr>
              <w:t>、</w:t>
            </w:r>
            <m:oMath>
              <m:r>
                <m:rPr>
                  <m:sty m:val="p"/>
                </m:rPr>
                <w:rPr>
                  <w:rFonts w:hint="default" w:ascii="Times New Roman" w:hAnsi="Times New Roman"/>
                  <w:color w:val="000000"/>
                  <w:sz w:val="21"/>
                  <w:szCs w:val="21"/>
                </w:rPr>
                <m:t>E</m:t>
              </m:r>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F</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opt</m:t>
                  </m:r>
                  <m:d>
                    <m:dPr>
                      <m:ctrlPr>
                        <w:rPr>
                          <w:rFonts w:ascii="Cambria Math" w:hAnsi="Cambria Math"/>
                          <w:b w:val="0"/>
                          <w:color w:val="000000"/>
                          <w:sz w:val="21"/>
                          <w:szCs w:val="21"/>
                        </w:rPr>
                      </m:ctrlPr>
                    </m:dPr>
                    <m:e>
                      <m:r>
                        <m:rPr>
                          <m:sty m:val="p"/>
                        </m:rPr>
                        <w:rPr>
                          <w:rFonts w:hint="default" w:ascii="Times New Roman" w:hAnsi="Times New Roman"/>
                          <w:color w:val="000000"/>
                          <w:sz w:val="21"/>
                          <w:szCs w:val="21"/>
                        </w:rPr>
                        <m:t>t</m:t>
                      </m:r>
                      <m:ctrlPr>
                        <w:rPr>
                          <w:rFonts w:ascii="Cambria Math" w:hAnsi="Cambria Math"/>
                          <w:b w:val="0"/>
                          <w:color w:val="000000"/>
                          <w:sz w:val="21"/>
                          <w:szCs w:val="21"/>
                        </w:rPr>
                      </m:ctrlPr>
                    </m:e>
                  </m:d>
                  <m:ctrlPr>
                    <w:rPr>
                      <w:rFonts w:ascii="Cambria Math" w:hAnsi="Cambria Math"/>
                      <w:b w:val="0"/>
                      <w:color w:val="000000"/>
                      <w:sz w:val="21"/>
                      <w:szCs w:val="21"/>
                    </w:rPr>
                  </m:ctrlPr>
                </m:sub>
              </m:sSub>
            </m:oMath>
            <w:r>
              <w:rPr>
                <w:b w:val="0"/>
                <w:color w:val="000000"/>
                <w:sz w:val="21"/>
                <w:szCs w:val="21"/>
              </w:rPr>
              <w:t>、</w:t>
            </w:r>
            <m:oMath>
              <m:r>
                <m:rPr>
                  <m:sty m:val="p"/>
                </m:rPr>
                <w:rPr>
                  <w:rFonts w:hint="default" w:ascii="Times New Roman" w:hAnsi="Times New Roman"/>
                  <w:color w:val="000000"/>
                  <w:sz w:val="21"/>
                  <w:szCs w:val="21"/>
                </w:rPr>
                <m:t>E</m:t>
              </m:r>
              <m:sSub>
                <m:sSubPr>
                  <m:ctrlPr>
                    <w:rPr>
                      <w:rFonts w:ascii="Cambria Math" w:hAnsi="Cambria Math"/>
                      <w:b w:val="0"/>
                      <w:color w:val="000000"/>
                      <w:sz w:val="21"/>
                      <w:szCs w:val="21"/>
                    </w:rPr>
                  </m:ctrlPr>
                </m:sSubPr>
                <m:e>
                  <m:r>
                    <m:rPr>
                      <m:sty m:val="p"/>
                    </m:rPr>
                    <w:rPr>
                      <w:rFonts w:hint="default" w:ascii="Times New Roman" w:hAnsi="Times New Roman"/>
                      <w:color w:val="000000"/>
                      <w:sz w:val="21"/>
                      <w:szCs w:val="21"/>
                    </w:rPr>
                    <m:t>F</m:t>
                  </m:r>
                  <m:ctrlPr>
                    <w:rPr>
                      <w:rFonts w:ascii="Cambria Math" w:hAnsi="Cambria Math"/>
                      <w:b w:val="0"/>
                      <w:color w:val="000000"/>
                      <w:sz w:val="21"/>
                      <w:szCs w:val="21"/>
                    </w:rPr>
                  </m:ctrlPr>
                </m:e>
                <m:sub>
                  <m:r>
                    <m:rPr>
                      <m:sty m:val="p"/>
                    </m:rPr>
                    <w:rPr>
                      <w:rFonts w:hint="default" w:ascii="Times New Roman" w:hAnsi="Times New Roman"/>
                      <w:color w:val="000000"/>
                      <w:sz w:val="21"/>
                      <w:szCs w:val="21"/>
                    </w:rPr>
                    <m:t>CFP</m:t>
                  </m:r>
                  <m:ctrlPr>
                    <w:rPr>
                      <w:rFonts w:ascii="Cambria Math" w:hAnsi="Cambria Math"/>
                      <w:b w:val="0"/>
                      <w:color w:val="000000"/>
                      <w:sz w:val="21"/>
                      <w:szCs w:val="21"/>
                    </w:rPr>
                  </m:ctrlPr>
                </m:sub>
              </m:sSub>
            </m:oMath>
            <w:r>
              <w:rPr>
                <w:b w:val="0"/>
                <w:color w:val="000000"/>
                <w:sz w:val="21"/>
                <w:szCs w:val="21"/>
              </w:rPr>
              <w:t>、GWP</w:t>
            </w:r>
          </w:p>
        </w:tc>
        <w:tc>
          <w:tcPr>
            <w:tcW w:w="1413" w:type="dxa"/>
            <w:tcBorders>
              <w:top w:val="nil"/>
              <w:left w:val="nil"/>
              <w:bottom w:val="nil"/>
              <w:right w:val="nil"/>
            </w:tcBorders>
            <w:shd w:val="clear" w:color="auto" w:fill="FFFFFF"/>
            <w:vAlign w:val="center"/>
          </w:tcPr>
          <w:p w14:paraId="7432410B">
            <w:pPr>
              <w:pStyle w:val="20"/>
              <w:bidi w:val="0"/>
              <w:spacing w:after="0"/>
              <w:jc w:val="center"/>
              <w:rPr>
                <w:b w:val="0"/>
                <w:color w:val="000000"/>
                <w:sz w:val="21"/>
                <w:szCs w:val="21"/>
              </w:rPr>
            </w:pPr>
            <w:r>
              <w:rPr>
                <w:b w:val="0"/>
                <w:color w:val="000000"/>
                <w:sz w:val="21"/>
                <w:szCs w:val="21"/>
              </w:rPr>
              <w:t>多单位</w:t>
            </w:r>
          </w:p>
        </w:tc>
        <w:tc>
          <w:tcPr>
            <w:tcW w:w="2232" w:type="dxa"/>
            <w:tcBorders>
              <w:top w:val="nil"/>
              <w:left w:val="nil"/>
              <w:bottom w:val="nil"/>
              <w:right w:val="nil"/>
            </w:tcBorders>
            <w:shd w:val="clear" w:color="auto" w:fill="FFFFFF"/>
            <w:vAlign w:val="center"/>
          </w:tcPr>
          <w:p w14:paraId="46F648BE">
            <w:pPr>
              <w:pStyle w:val="20"/>
              <w:bidi w:val="0"/>
              <w:spacing w:after="0"/>
              <w:jc w:val="center"/>
              <w:rPr>
                <w:b w:val="0"/>
                <w:color w:val="000000"/>
                <w:sz w:val="21"/>
                <w:szCs w:val="21"/>
              </w:rPr>
            </w:pPr>
            <w:r>
              <w:rPr>
                <w:b w:val="0"/>
                <w:color w:val="000000"/>
                <w:sz w:val="21"/>
                <w:szCs w:val="21"/>
              </w:rPr>
              <w:t>因子库</w:t>
            </w:r>
          </w:p>
        </w:tc>
        <w:tc>
          <w:tcPr>
            <w:tcW w:w="1037" w:type="dxa"/>
            <w:tcBorders>
              <w:top w:val="nil"/>
              <w:left w:val="nil"/>
              <w:bottom w:val="nil"/>
              <w:right w:val="nil"/>
            </w:tcBorders>
            <w:shd w:val="clear" w:color="auto" w:fill="FFFFFF"/>
            <w:vAlign w:val="center"/>
          </w:tcPr>
          <w:p w14:paraId="715183B4">
            <w:pPr>
              <w:pStyle w:val="20"/>
              <w:bidi w:val="0"/>
              <w:spacing w:after="0"/>
              <w:jc w:val="center"/>
              <w:rPr>
                <w:b w:val="0"/>
                <w:color w:val="000000"/>
                <w:sz w:val="21"/>
                <w:szCs w:val="21"/>
              </w:rPr>
            </w:pPr>
            <w:r>
              <w:rPr>
                <w:b w:val="0"/>
                <w:color w:val="000000"/>
                <w:sz w:val="21"/>
                <w:szCs w:val="21"/>
              </w:rPr>
              <w:t>B/C</w:t>
            </w:r>
          </w:p>
        </w:tc>
      </w:tr>
      <w:tr w14:paraId="374329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276" w:type="dxa"/>
            <w:tcBorders>
              <w:top w:val="nil"/>
              <w:left w:val="nil"/>
              <w:bottom w:val="single" w:color="000000" w:sz="12" w:space="0"/>
              <w:right w:val="nil"/>
            </w:tcBorders>
            <w:shd w:val="clear" w:color="auto" w:fill="FFFFFF"/>
            <w:vAlign w:val="center"/>
          </w:tcPr>
          <w:p w14:paraId="46DAFC7E">
            <w:pPr>
              <w:pStyle w:val="20"/>
              <w:bidi w:val="0"/>
              <w:spacing w:after="0"/>
              <w:jc w:val="center"/>
              <w:rPr>
                <w:b w:val="0"/>
                <w:color w:val="000000"/>
                <w:sz w:val="21"/>
                <w:szCs w:val="21"/>
                <w:highlight w:val="green"/>
              </w:rPr>
            </w:pPr>
            <w:r>
              <w:rPr>
                <w:b w:val="0"/>
                <w:color w:val="000000"/>
                <w:sz w:val="21"/>
                <w:szCs w:val="21"/>
                <w:highlight w:val="green"/>
              </w:rPr>
              <w:t>LCA清单</w:t>
            </w:r>
          </w:p>
        </w:tc>
        <w:tc>
          <w:tcPr>
            <w:tcW w:w="3402" w:type="dxa"/>
            <w:tcBorders>
              <w:top w:val="nil"/>
              <w:left w:val="nil"/>
              <w:bottom w:val="single" w:color="000000" w:sz="12" w:space="0"/>
              <w:right w:val="nil"/>
            </w:tcBorders>
            <w:shd w:val="clear" w:color="auto" w:fill="FFFFFF"/>
            <w:vAlign w:val="center"/>
          </w:tcPr>
          <w:p w14:paraId="5A1541D7">
            <w:pPr>
              <w:pStyle w:val="20"/>
              <w:bidi w:val="0"/>
              <w:spacing w:after="0"/>
              <w:jc w:val="center"/>
              <w:rPr>
                <w:b w:val="0"/>
                <w:color w:val="000000"/>
                <w:sz w:val="21"/>
                <w:szCs w:val="21"/>
                <w:highlight w:val="green"/>
                <w:lang w:eastAsia="zh-CN"/>
              </w:rPr>
            </w:pPr>
            <w:r>
              <w:rPr>
                <w:b w:val="0"/>
                <w:color w:val="000000"/>
                <w:sz w:val="21"/>
                <w:szCs w:val="21"/>
                <w:highlight w:val="green"/>
                <w:lang w:eastAsia="zh-CN"/>
              </w:rPr>
              <w:t>材料质量、运输距离、制造用能、替换件、回收</w:t>
            </w:r>
          </w:p>
        </w:tc>
        <w:tc>
          <w:tcPr>
            <w:tcW w:w="1413" w:type="dxa"/>
            <w:tcBorders>
              <w:top w:val="nil"/>
              <w:left w:val="nil"/>
              <w:bottom w:val="single" w:color="000000" w:sz="12" w:space="0"/>
              <w:right w:val="nil"/>
            </w:tcBorders>
            <w:shd w:val="clear" w:color="auto" w:fill="FFFFFF"/>
            <w:vAlign w:val="center"/>
          </w:tcPr>
          <w:p w14:paraId="7C8BCDA9">
            <w:pPr>
              <w:pStyle w:val="20"/>
              <w:bidi w:val="0"/>
              <w:spacing w:after="0"/>
              <w:jc w:val="center"/>
              <w:rPr>
                <w:b w:val="0"/>
                <w:color w:val="000000"/>
                <w:sz w:val="21"/>
                <w:szCs w:val="21"/>
                <w:highlight w:val="green"/>
              </w:rPr>
            </w:pPr>
            <w:r>
              <w:rPr>
                <w:b w:val="0"/>
                <w:color w:val="000000"/>
                <w:sz w:val="21"/>
                <w:szCs w:val="21"/>
                <w:highlight w:val="green"/>
              </w:rPr>
              <w:t>kg、t·km、kWh</w:t>
            </w:r>
          </w:p>
        </w:tc>
        <w:tc>
          <w:tcPr>
            <w:tcW w:w="2232" w:type="dxa"/>
            <w:tcBorders>
              <w:top w:val="nil"/>
              <w:left w:val="nil"/>
              <w:bottom w:val="single" w:color="000000" w:sz="12" w:space="0"/>
              <w:right w:val="nil"/>
            </w:tcBorders>
            <w:shd w:val="clear" w:color="auto" w:fill="FFFFFF"/>
            <w:vAlign w:val="center"/>
          </w:tcPr>
          <w:p w14:paraId="1A5DD691">
            <w:pPr>
              <w:pStyle w:val="20"/>
              <w:bidi w:val="0"/>
              <w:spacing w:after="0"/>
              <w:jc w:val="center"/>
              <w:rPr>
                <w:b w:val="0"/>
                <w:color w:val="000000"/>
                <w:sz w:val="21"/>
                <w:szCs w:val="21"/>
                <w:highlight w:val="green"/>
              </w:rPr>
            </w:pPr>
            <w:r>
              <w:rPr>
                <w:b w:val="0"/>
                <w:color w:val="000000"/>
                <w:sz w:val="21"/>
                <w:szCs w:val="21"/>
                <w:highlight w:val="green"/>
              </w:rPr>
              <w:t>供应商/项目台账</w:t>
            </w:r>
          </w:p>
        </w:tc>
        <w:tc>
          <w:tcPr>
            <w:tcW w:w="1037" w:type="dxa"/>
            <w:tcBorders>
              <w:top w:val="nil"/>
              <w:left w:val="nil"/>
              <w:bottom w:val="single" w:color="000000" w:sz="12" w:space="0"/>
              <w:right w:val="nil"/>
            </w:tcBorders>
            <w:shd w:val="clear" w:color="auto" w:fill="FFFFFF"/>
            <w:vAlign w:val="center"/>
          </w:tcPr>
          <w:p w14:paraId="1CFD2A0E">
            <w:pPr>
              <w:pStyle w:val="20"/>
              <w:bidi w:val="0"/>
              <w:spacing w:after="0"/>
              <w:jc w:val="center"/>
              <w:rPr>
                <w:b w:val="0"/>
                <w:color w:val="000000"/>
                <w:sz w:val="21"/>
                <w:szCs w:val="21"/>
                <w:highlight w:val="green"/>
              </w:rPr>
            </w:pPr>
            <w:r>
              <w:rPr>
                <w:b w:val="0"/>
                <w:color w:val="000000"/>
                <w:sz w:val="21"/>
                <w:szCs w:val="21"/>
                <w:highlight w:val="green"/>
              </w:rPr>
              <w:t>B/C/D</w:t>
            </w:r>
          </w:p>
        </w:tc>
      </w:tr>
    </w:tbl>
    <w:p w14:paraId="269A6D8F">
      <w:pPr>
        <w:spacing w:after="20"/>
        <w:ind w:firstLine="480"/>
      </w:pPr>
    </w:p>
    <w:p w14:paraId="0D69CAB0">
      <w:pPr>
        <w:pStyle w:val="3"/>
        <w:bidi w:val="0"/>
        <w:rPr>
          <w:lang w:eastAsia="zh-CN"/>
        </w:rPr>
      </w:pPr>
      <w:r>
        <w:rPr>
          <w:lang w:eastAsia="zh-CN"/>
        </w:rPr>
        <w:t>4.2　计量点设计</w:t>
      </w:r>
    </w:p>
    <w:p w14:paraId="2E917D35">
      <w:pPr>
        <w:ind w:firstLine="440"/>
        <w:rPr>
          <w:lang w:eastAsia="zh-CN"/>
        </w:rPr>
      </w:pPr>
      <w:r>
        <w:rPr>
          <w:rFonts w:ascii="Arial" w:hAnsi="Arial"/>
          <w:sz w:val="22"/>
          <w:lang w:eastAsia="zh-CN"/>
        </w:rPr>
        <w:t>设置电网关口、储能PCS交流侧、储能辅助系统、厂内可再生能源和主要工艺负荷五类计量点。所有计量点使用统一时钟源，按整点对齐1 h数据窗口；时间戳、时区、夏令时规则和缺失值处理必须一致。若原始采集频率高于1 h，应先完成质量校验，再汇总为小时电量；若充电与放电电量来自不同表计，应校验方向、倍率和正负号。</w:t>
      </w:r>
    </w:p>
    <w:p w14:paraId="1E7D27BB">
      <w:pPr>
        <w:pStyle w:val="3"/>
        <w:bidi w:val="0"/>
        <w:rPr>
          <w:lang w:eastAsia="zh-CN"/>
        </w:rPr>
      </w:pPr>
      <w:r>
        <w:rPr>
          <w:lang w:eastAsia="zh-CN"/>
        </w:rPr>
        <w:t>4.3　数据质量等级</w:t>
      </w:r>
    </w:p>
    <w:p w14:paraId="426A03BB">
      <w:pPr>
        <w:pStyle w:val="18"/>
        <w:bidi w:val="0"/>
        <w:rPr>
          <w:lang w:eastAsia="zh-CN"/>
        </w:rPr>
      </w:pPr>
      <w:r>
        <w:rPr>
          <w:lang w:eastAsia="zh-CN"/>
        </w:rPr>
        <w:t>表10　数据质量等级</w:t>
      </w:r>
    </w:p>
    <w:tbl>
      <w:tblPr>
        <w:tblStyle w:val="22"/>
        <w:tblW w:w="936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936"/>
        <w:gridCol w:w="3240"/>
        <w:gridCol w:w="2232"/>
        <w:gridCol w:w="2952"/>
      </w:tblGrid>
      <w:tr w14:paraId="2ABF2F2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936" w:type="dxa"/>
            <w:tcBorders>
              <w:top w:val="single" w:color="000000" w:sz="12" w:space="0"/>
              <w:left w:val="nil"/>
              <w:bottom w:val="single" w:color="000000" w:sz="4" w:space="0"/>
              <w:right w:val="nil"/>
              <w:tl2br w:val="nil"/>
            </w:tcBorders>
            <w:shd w:val="clear" w:color="auto" w:fill="FFFFFF"/>
            <w:vAlign w:val="center"/>
          </w:tcPr>
          <w:p w14:paraId="781DEBC1">
            <w:pPr>
              <w:pStyle w:val="20"/>
              <w:bidi w:val="0"/>
              <w:spacing w:after="0"/>
              <w:rPr>
                <w:sz w:val="21"/>
                <w:szCs w:val="21"/>
              </w:rPr>
            </w:pPr>
            <w:r>
              <w:rPr>
                <w:sz w:val="21"/>
                <w:szCs w:val="21"/>
              </w:rPr>
              <w:t>等级</w:t>
            </w:r>
          </w:p>
        </w:tc>
        <w:tc>
          <w:tcPr>
            <w:tcW w:w="3240" w:type="dxa"/>
            <w:tcBorders>
              <w:top w:val="single" w:color="000000" w:sz="12" w:space="0"/>
              <w:left w:val="nil"/>
              <w:bottom w:val="single" w:color="000000" w:sz="4" w:space="0"/>
              <w:right w:val="nil"/>
            </w:tcBorders>
            <w:shd w:val="clear" w:color="auto" w:fill="FFFFFF"/>
            <w:vAlign w:val="center"/>
          </w:tcPr>
          <w:p w14:paraId="2EEA4E9D">
            <w:pPr>
              <w:pStyle w:val="20"/>
              <w:bidi w:val="0"/>
              <w:spacing w:after="0"/>
              <w:rPr>
                <w:sz w:val="21"/>
                <w:szCs w:val="21"/>
              </w:rPr>
            </w:pPr>
            <w:r>
              <w:rPr>
                <w:sz w:val="21"/>
                <w:szCs w:val="21"/>
              </w:rPr>
              <w:t>定义</w:t>
            </w:r>
          </w:p>
        </w:tc>
        <w:tc>
          <w:tcPr>
            <w:tcW w:w="2232" w:type="dxa"/>
            <w:tcBorders>
              <w:top w:val="single" w:color="000000" w:sz="12" w:space="0"/>
              <w:left w:val="nil"/>
              <w:bottom w:val="single" w:color="000000" w:sz="4" w:space="0"/>
              <w:right w:val="nil"/>
            </w:tcBorders>
            <w:shd w:val="clear" w:color="auto" w:fill="FFFFFF"/>
            <w:vAlign w:val="center"/>
          </w:tcPr>
          <w:p w14:paraId="6DD6AE7B">
            <w:pPr>
              <w:pStyle w:val="20"/>
              <w:bidi w:val="0"/>
              <w:spacing w:after="0"/>
              <w:rPr>
                <w:sz w:val="21"/>
                <w:szCs w:val="21"/>
              </w:rPr>
            </w:pPr>
            <w:r>
              <w:rPr>
                <w:sz w:val="21"/>
                <w:szCs w:val="21"/>
              </w:rPr>
              <w:t>使用</w:t>
            </w:r>
          </w:p>
        </w:tc>
        <w:tc>
          <w:tcPr>
            <w:tcW w:w="2952" w:type="dxa"/>
            <w:tcBorders>
              <w:top w:val="single" w:color="000000" w:sz="12" w:space="0"/>
              <w:left w:val="nil"/>
              <w:bottom w:val="single" w:color="000000" w:sz="4" w:space="0"/>
              <w:right w:val="nil"/>
            </w:tcBorders>
            <w:shd w:val="clear" w:color="auto" w:fill="FFFFFF"/>
            <w:vAlign w:val="center"/>
          </w:tcPr>
          <w:p w14:paraId="5FF08F88">
            <w:pPr>
              <w:pStyle w:val="20"/>
              <w:bidi w:val="0"/>
              <w:spacing w:after="0"/>
              <w:rPr>
                <w:sz w:val="21"/>
                <w:szCs w:val="21"/>
              </w:rPr>
            </w:pPr>
            <w:r>
              <w:rPr>
                <w:sz w:val="21"/>
                <w:szCs w:val="21"/>
              </w:rPr>
              <w:t>证据要求</w:t>
            </w:r>
          </w:p>
        </w:tc>
      </w:tr>
      <w:tr w14:paraId="28ED2C3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936" w:type="dxa"/>
            <w:tcBorders>
              <w:top w:val="single" w:color="000000" w:sz="4" w:space="0"/>
              <w:left w:val="nil"/>
              <w:bottom w:val="nil"/>
              <w:right w:val="nil"/>
            </w:tcBorders>
            <w:shd w:val="clear" w:color="auto" w:fill="FFFFFF"/>
            <w:vAlign w:val="center"/>
          </w:tcPr>
          <w:p w14:paraId="03807703">
            <w:pPr>
              <w:pStyle w:val="20"/>
              <w:bidi w:val="0"/>
              <w:spacing w:after="0"/>
              <w:rPr>
                <w:sz w:val="21"/>
                <w:szCs w:val="21"/>
              </w:rPr>
            </w:pPr>
            <w:r>
              <w:rPr>
                <w:sz w:val="21"/>
                <w:szCs w:val="21"/>
              </w:rPr>
              <w:t>A</w:t>
            </w:r>
          </w:p>
        </w:tc>
        <w:tc>
          <w:tcPr>
            <w:tcW w:w="3240" w:type="dxa"/>
            <w:tcBorders>
              <w:top w:val="single" w:color="000000" w:sz="4" w:space="0"/>
              <w:left w:val="nil"/>
              <w:bottom w:val="nil"/>
              <w:right w:val="nil"/>
            </w:tcBorders>
            <w:shd w:val="clear" w:color="auto" w:fill="FFFFFF"/>
            <w:vAlign w:val="center"/>
          </w:tcPr>
          <w:p w14:paraId="72625606">
            <w:pPr>
              <w:pStyle w:val="20"/>
              <w:bidi w:val="0"/>
              <w:spacing w:after="0"/>
              <w:rPr>
                <w:sz w:val="21"/>
                <w:szCs w:val="21"/>
                <w:lang w:eastAsia="zh-CN"/>
              </w:rPr>
            </w:pPr>
            <w:r>
              <w:rPr>
                <w:sz w:val="21"/>
                <w:szCs w:val="21"/>
                <w:lang w:eastAsia="zh-CN"/>
              </w:rPr>
              <w:t>经校准计量或经审核结算数据</w:t>
            </w:r>
          </w:p>
        </w:tc>
        <w:tc>
          <w:tcPr>
            <w:tcW w:w="2232" w:type="dxa"/>
            <w:tcBorders>
              <w:top w:val="single" w:color="000000" w:sz="4" w:space="0"/>
              <w:left w:val="nil"/>
              <w:bottom w:val="nil"/>
              <w:right w:val="nil"/>
            </w:tcBorders>
            <w:shd w:val="clear" w:color="auto" w:fill="FFFFFF"/>
            <w:vAlign w:val="center"/>
          </w:tcPr>
          <w:p w14:paraId="418B1D44">
            <w:pPr>
              <w:pStyle w:val="20"/>
              <w:bidi w:val="0"/>
              <w:spacing w:after="0"/>
              <w:rPr>
                <w:sz w:val="21"/>
                <w:szCs w:val="21"/>
              </w:rPr>
            </w:pPr>
            <w:r>
              <w:rPr>
                <w:sz w:val="21"/>
                <w:szCs w:val="21"/>
              </w:rPr>
              <w:t>直接用于正式报告</w:t>
            </w:r>
          </w:p>
        </w:tc>
        <w:tc>
          <w:tcPr>
            <w:tcW w:w="2952" w:type="dxa"/>
            <w:tcBorders>
              <w:top w:val="single" w:color="000000" w:sz="4" w:space="0"/>
              <w:left w:val="nil"/>
              <w:bottom w:val="nil"/>
              <w:right w:val="nil"/>
            </w:tcBorders>
            <w:shd w:val="clear" w:color="auto" w:fill="FFFFFF"/>
            <w:vAlign w:val="center"/>
          </w:tcPr>
          <w:p w14:paraId="10EE8190">
            <w:pPr>
              <w:pStyle w:val="20"/>
              <w:bidi w:val="0"/>
              <w:spacing w:after="0"/>
              <w:rPr>
                <w:sz w:val="21"/>
                <w:szCs w:val="21"/>
                <w:lang w:eastAsia="zh-CN"/>
              </w:rPr>
            </w:pPr>
            <w:r>
              <w:rPr>
                <w:sz w:val="21"/>
                <w:szCs w:val="21"/>
                <w:lang w:eastAsia="zh-CN"/>
              </w:rPr>
              <w:t>保留原始文件与校准证据</w:t>
            </w:r>
          </w:p>
        </w:tc>
      </w:tr>
      <w:tr w14:paraId="32C33B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936" w:type="dxa"/>
            <w:tcBorders>
              <w:top w:val="nil"/>
              <w:left w:val="nil"/>
              <w:bottom w:val="nil"/>
              <w:right w:val="nil"/>
            </w:tcBorders>
            <w:shd w:val="clear" w:color="auto" w:fill="FFFFFF"/>
            <w:vAlign w:val="center"/>
          </w:tcPr>
          <w:p w14:paraId="2DC5BE41">
            <w:pPr>
              <w:pStyle w:val="20"/>
              <w:bidi w:val="0"/>
              <w:spacing w:after="0"/>
              <w:rPr>
                <w:sz w:val="21"/>
                <w:szCs w:val="21"/>
              </w:rPr>
            </w:pPr>
            <w:r>
              <w:rPr>
                <w:sz w:val="21"/>
                <w:szCs w:val="21"/>
              </w:rPr>
              <w:t>B</w:t>
            </w:r>
          </w:p>
        </w:tc>
        <w:tc>
          <w:tcPr>
            <w:tcW w:w="3240" w:type="dxa"/>
            <w:tcBorders>
              <w:top w:val="nil"/>
              <w:left w:val="nil"/>
              <w:bottom w:val="nil"/>
              <w:right w:val="nil"/>
            </w:tcBorders>
            <w:shd w:val="clear" w:color="auto" w:fill="FFFFFF"/>
            <w:vAlign w:val="center"/>
          </w:tcPr>
          <w:p w14:paraId="162084A7">
            <w:pPr>
              <w:pStyle w:val="20"/>
              <w:bidi w:val="0"/>
              <w:spacing w:after="0"/>
              <w:rPr>
                <w:sz w:val="21"/>
                <w:szCs w:val="21"/>
                <w:lang w:eastAsia="zh-CN"/>
              </w:rPr>
            </w:pPr>
            <w:r>
              <w:rPr>
                <w:sz w:val="21"/>
                <w:szCs w:val="21"/>
                <w:lang w:eastAsia="zh-CN"/>
              </w:rPr>
              <w:t>现场活动数据×官方/本地化因子</w:t>
            </w:r>
          </w:p>
        </w:tc>
        <w:tc>
          <w:tcPr>
            <w:tcW w:w="2232" w:type="dxa"/>
            <w:tcBorders>
              <w:top w:val="nil"/>
              <w:left w:val="nil"/>
              <w:bottom w:val="nil"/>
              <w:right w:val="nil"/>
            </w:tcBorders>
            <w:shd w:val="clear" w:color="auto" w:fill="FFFFFF"/>
            <w:vAlign w:val="center"/>
          </w:tcPr>
          <w:p w14:paraId="788DC79E">
            <w:pPr>
              <w:pStyle w:val="20"/>
              <w:bidi w:val="0"/>
              <w:spacing w:after="0"/>
              <w:rPr>
                <w:sz w:val="21"/>
                <w:szCs w:val="21"/>
              </w:rPr>
            </w:pPr>
            <w:r>
              <w:rPr>
                <w:sz w:val="21"/>
                <w:szCs w:val="21"/>
              </w:rPr>
              <w:t>可用于正式报告</w:t>
            </w:r>
          </w:p>
        </w:tc>
        <w:tc>
          <w:tcPr>
            <w:tcW w:w="2952" w:type="dxa"/>
            <w:tcBorders>
              <w:top w:val="nil"/>
              <w:left w:val="nil"/>
              <w:bottom w:val="nil"/>
              <w:right w:val="nil"/>
            </w:tcBorders>
            <w:shd w:val="clear" w:color="auto" w:fill="FFFFFF"/>
            <w:vAlign w:val="center"/>
          </w:tcPr>
          <w:p w14:paraId="722FE724">
            <w:pPr>
              <w:pStyle w:val="20"/>
              <w:bidi w:val="0"/>
              <w:spacing w:after="0"/>
              <w:rPr>
                <w:sz w:val="21"/>
                <w:szCs w:val="21"/>
                <w:lang w:eastAsia="zh-CN"/>
              </w:rPr>
            </w:pPr>
            <w:r>
              <w:rPr>
                <w:sz w:val="21"/>
                <w:szCs w:val="21"/>
                <w:lang w:eastAsia="zh-CN"/>
              </w:rPr>
              <w:t>记录计算链与因子版本</w:t>
            </w:r>
          </w:p>
        </w:tc>
      </w:tr>
      <w:tr w14:paraId="3E0BE87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936" w:type="dxa"/>
            <w:tcBorders>
              <w:top w:val="nil"/>
              <w:left w:val="nil"/>
              <w:bottom w:val="nil"/>
              <w:right w:val="nil"/>
            </w:tcBorders>
            <w:shd w:val="clear" w:color="auto" w:fill="FFFFFF"/>
            <w:vAlign w:val="center"/>
          </w:tcPr>
          <w:p w14:paraId="06DDCF15">
            <w:pPr>
              <w:pStyle w:val="20"/>
              <w:bidi w:val="0"/>
              <w:spacing w:after="0"/>
              <w:rPr>
                <w:sz w:val="21"/>
                <w:szCs w:val="21"/>
              </w:rPr>
            </w:pPr>
            <w:r>
              <w:rPr>
                <w:sz w:val="21"/>
                <w:szCs w:val="21"/>
              </w:rPr>
              <w:t>C</w:t>
            </w:r>
          </w:p>
        </w:tc>
        <w:tc>
          <w:tcPr>
            <w:tcW w:w="3240" w:type="dxa"/>
            <w:tcBorders>
              <w:top w:val="nil"/>
              <w:left w:val="nil"/>
              <w:bottom w:val="nil"/>
              <w:right w:val="nil"/>
            </w:tcBorders>
            <w:shd w:val="clear" w:color="auto" w:fill="FFFFFF"/>
            <w:vAlign w:val="center"/>
          </w:tcPr>
          <w:p w14:paraId="065E1B05">
            <w:pPr>
              <w:pStyle w:val="20"/>
              <w:bidi w:val="0"/>
              <w:spacing w:after="0"/>
              <w:rPr>
                <w:sz w:val="21"/>
                <w:szCs w:val="21"/>
                <w:lang w:eastAsia="zh-CN"/>
              </w:rPr>
            </w:pPr>
            <w:r>
              <w:rPr>
                <w:sz w:val="21"/>
                <w:szCs w:val="21"/>
                <w:lang w:eastAsia="zh-CN"/>
              </w:rPr>
              <w:t>供应商数据或行业代表数据</w:t>
            </w:r>
          </w:p>
        </w:tc>
        <w:tc>
          <w:tcPr>
            <w:tcW w:w="2232" w:type="dxa"/>
            <w:tcBorders>
              <w:top w:val="nil"/>
              <w:left w:val="nil"/>
              <w:bottom w:val="nil"/>
              <w:right w:val="nil"/>
            </w:tcBorders>
            <w:shd w:val="clear" w:color="auto" w:fill="FFFFFF"/>
            <w:vAlign w:val="center"/>
          </w:tcPr>
          <w:p w14:paraId="633F3FBE">
            <w:pPr>
              <w:pStyle w:val="20"/>
              <w:bidi w:val="0"/>
              <w:spacing w:after="0"/>
              <w:rPr>
                <w:sz w:val="21"/>
                <w:szCs w:val="21"/>
              </w:rPr>
            </w:pPr>
            <w:r>
              <w:rPr>
                <w:sz w:val="21"/>
                <w:szCs w:val="21"/>
              </w:rPr>
              <w:t>用于LCA或次要源</w:t>
            </w:r>
          </w:p>
        </w:tc>
        <w:tc>
          <w:tcPr>
            <w:tcW w:w="2952" w:type="dxa"/>
            <w:tcBorders>
              <w:top w:val="nil"/>
              <w:left w:val="nil"/>
              <w:bottom w:val="nil"/>
              <w:right w:val="nil"/>
            </w:tcBorders>
            <w:shd w:val="clear" w:color="auto" w:fill="FFFFFF"/>
            <w:vAlign w:val="center"/>
          </w:tcPr>
          <w:p w14:paraId="0C7D4D52">
            <w:pPr>
              <w:pStyle w:val="20"/>
              <w:bidi w:val="0"/>
              <w:spacing w:after="0"/>
              <w:rPr>
                <w:sz w:val="21"/>
                <w:szCs w:val="21"/>
                <w:lang w:eastAsia="zh-CN"/>
              </w:rPr>
            </w:pPr>
            <w:r>
              <w:rPr>
                <w:sz w:val="21"/>
                <w:szCs w:val="21"/>
                <w:lang w:eastAsia="zh-CN"/>
              </w:rPr>
              <w:t>开展适用性和时间地域检查</w:t>
            </w:r>
          </w:p>
        </w:tc>
      </w:tr>
      <w:tr w14:paraId="3400CB2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936" w:type="dxa"/>
            <w:tcBorders>
              <w:top w:val="nil"/>
              <w:left w:val="nil"/>
              <w:bottom w:val="single" w:color="000000" w:sz="12" w:space="0"/>
              <w:right w:val="nil"/>
            </w:tcBorders>
            <w:shd w:val="clear" w:color="auto" w:fill="FFFFFF"/>
            <w:vAlign w:val="center"/>
          </w:tcPr>
          <w:p w14:paraId="69E2782B">
            <w:pPr>
              <w:pStyle w:val="20"/>
              <w:bidi w:val="0"/>
              <w:spacing w:after="0"/>
              <w:rPr>
                <w:sz w:val="21"/>
                <w:szCs w:val="21"/>
              </w:rPr>
            </w:pPr>
            <w:r>
              <w:rPr>
                <w:sz w:val="21"/>
                <w:szCs w:val="21"/>
              </w:rPr>
              <w:t>D</w:t>
            </w:r>
          </w:p>
        </w:tc>
        <w:tc>
          <w:tcPr>
            <w:tcW w:w="3240" w:type="dxa"/>
            <w:tcBorders>
              <w:top w:val="nil"/>
              <w:left w:val="nil"/>
              <w:bottom w:val="single" w:color="000000" w:sz="12" w:space="0"/>
              <w:right w:val="nil"/>
            </w:tcBorders>
            <w:shd w:val="clear" w:color="auto" w:fill="FFFFFF"/>
            <w:vAlign w:val="center"/>
          </w:tcPr>
          <w:p w14:paraId="30290062">
            <w:pPr>
              <w:pStyle w:val="20"/>
              <w:bidi w:val="0"/>
              <w:spacing w:after="0"/>
              <w:rPr>
                <w:sz w:val="21"/>
                <w:szCs w:val="21"/>
              </w:rPr>
            </w:pPr>
            <w:r>
              <w:rPr>
                <w:sz w:val="21"/>
                <w:szCs w:val="21"/>
              </w:rPr>
              <w:t>行业默认/保守估算</w:t>
            </w:r>
          </w:p>
        </w:tc>
        <w:tc>
          <w:tcPr>
            <w:tcW w:w="2232" w:type="dxa"/>
            <w:tcBorders>
              <w:top w:val="nil"/>
              <w:left w:val="nil"/>
              <w:bottom w:val="single" w:color="000000" w:sz="12" w:space="0"/>
              <w:right w:val="nil"/>
            </w:tcBorders>
            <w:shd w:val="clear" w:color="auto" w:fill="FFFFFF"/>
            <w:vAlign w:val="center"/>
          </w:tcPr>
          <w:p w14:paraId="3000859F">
            <w:pPr>
              <w:pStyle w:val="20"/>
              <w:bidi w:val="0"/>
              <w:spacing w:after="0"/>
              <w:rPr>
                <w:sz w:val="21"/>
                <w:szCs w:val="21"/>
              </w:rPr>
            </w:pPr>
            <w:r>
              <w:rPr>
                <w:sz w:val="21"/>
                <w:szCs w:val="21"/>
              </w:rPr>
              <w:t>仅限缺数兜底</w:t>
            </w:r>
          </w:p>
        </w:tc>
        <w:tc>
          <w:tcPr>
            <w:tcW w:w="2952" w:type="dxa"/>
            <w:tcBorders>
              <w:top w:val="nil"/>
              <w:left w:val="nil"/>
              <w:bottom w:val="single" w:color="000000" w:sz="12" w:space="0"/>
              <w:right w:val="nil"/>
            </w:tcBorders>
            <w:shd w:val="clear" w:color="auto" w:fill="FFFFFF"/>
            <w:vAlign w:val="center"/>
          </w:tcPr>
          <w:p w14:paraId="1F12EC52">
            <w:pPr>
              <w:pStyle w:val="20"/>
              <w:bidi w:val="0"/>
              <w:spacing w:after="0"/>
              <w:rPr>
                <w:sz w:val="21"/>
                <w:szCs w:val="21"/>
                <w:lang w:eastAsia="zh-CN"/>
              </w:rPr>
            </w:pPr>
            <w:r>
              <w:rPr>
                <w:sz w:val="21"/>
                <w:szCs w:val="21"/>
                <w:lang w:eastAsia="zh-CN"/>
              </w:rPr>
              <w:t>显著标记并进入改进清单</w:t>
            </w:r>
          </w:p>
        </w:tc>
      </w:tr>
    </w:tbl>
    <w:p w14:paraId="34A61322">
      <w:pPr>
        <w:pStyle w:val="3"/>
        <w:bidi w:val="0"/>
      </w:pPr>
      <w:r>
        <w:t>4.4　因子选择与单位控制</w:t>
      </w:r>
    </w:p>
    <w:p w14:paraId="6238DA63">
      <w:pPr>
        <w:pStyle w:val="6"/>
        <w:numPr>
          <w:ilvl w:val="0"/>
          <w:numId w:val="2"/>
        </w:numPr>
        <w:ind w:left="425" w:leftChars="0" w:hanging="425" w:firstLineChars="0"/>
        <w:rPr>
          <w:rFonts w:eastAsia="宋体"/>
          <w:lang w:eastAsia="zh-CN"/>
        </w:rPr>
      </w:pPr>
      <w:r>
        <w:rPr>
          <w:rFonts w:eastAsia="宋体"/>
          <w:lang w:eastAsia="zh-CN"/>
        </w:rPr>
        <w:t>地域优先：省级适用因子优先于区域/全国因子，但必须服从具体报告规则；</w:t>
      </w:r>
    </w:p>
    <w:p w14:paraId="3A1EFC67">
      <w:pPr>
        <w:pStyle w:val="6"/>
        <w:numPr>
          <w:ilvl w:val="0"/>
          <w:numId w:val="2"/>
        </w:numPr>
        <w:ind w:left="425" w:leftChars="0" w:hanging="425" w:firstLineChars="0"/>
        <w:rPr>
          <w:rFonts w:eastAsia="宋体"/>
          <w:lang w:eastAsia="zh-CN"/>
        </w:rPr>
      </w:pPr>
      <w:r>
        <w:rPr>
          <w:rFonts w:eastAsia="宋体"/>
          <w:lang w:eastAsia="zh-CN"/>
        </w:rPr>
        <w:t>时间优先：优先选择与报告期最接近且已正式发布的因子；</w:t>
      </w:r>
    </w:p>
    <w:p w14:paraId="51C5DF99">
      <w:pPr>
        <w:pStyle w:val="6"/>
        <w:numPr>
          <w:ilvl w:val="0"/>
          <w:numId w:val="2"/>
        </w:numPr>
        <w:ind w:left="425" w:leftChars="0" w:hanging="425" w:firstLineChars="0"/>
        <w:rPr>
          <w:rFonts w:eastAsia="宋体"/>
          <w:lang w:eastAsia="zh-CN"/>
        </w:rPr>
      </w:pPr>
      <w:r>
        <w:rPr>
          <w:rFonts w:eastAsia="宋体"/>
          <w:lang w:eastAsia="zh-CN"/>
        </w:rPr>
        <w:t>技术优先：供应商特定数据优先于行业均值，但需可追溯和经审核；</w:t>
      </w:r>
    </w:p>
    <w:p w14:paraId="2F1FC4CE">
      <w:pPr>
        <w:pStyle w:val="6"/>
        <w:numPr>
          <w:ilvl w:val="0"/>
          <w:numId w:val="2"/>
        </w:numPr>
        <w:ind w:left="425" w:leftChars="0" w:hanging="425" w:firstLineChars="0"/>
        <w:rPr>
          <w:rFonts w:eastAsia="宋体"/>
          <w:lang w:eastAsia="zh-CN"/>
        </w:rPr>
      </w:pPr>
      <w:r>
        <w:rPr>
          <w:rFonts w:eastAsia="宋体"/>
          <w:lang w:eastAsia="zh-CN"/>
        </w:rPr>
        <w:t>单位分离：kgCO</w:t>
      </w:r>
      <w:r>
        <w:rPr>
          <w:rFonts w:ascii="Cambria Math" w:hAnsi="Cambria Math" w:eastAsia="宋体" w:cs="Cambria Math"/>
          <w:lang w:eastAsia="zh-CN"/>
        </w:rPr>
        <w:t>₂</w:t>
      </w:r>
      <w:r>
        <w:rPr>
          <w:rFonts w:eastAsia="宋体"/>
          <w:lang w:eastAsia="zh-CN"/>
        </w:rPr>
        <w:t>/kWh与kgCO</w:t>
      </w:r>
      <w:r>
        <w:rPr>
          <w:rFonts w:ascii="Cambria Math" w:hAnsi="Cambria Math" w:eastAsia="宋体" w:cs="Cambria Math"/>
          <w:lang w:eastAsia="zh-CN"/>
        </w:rPr>
        <w:t>₂</w:t>
      </w:r>
      <w:r>
        <w:rPr>
          <w:rFonts w:eastAsia="宋体"/>
          <w:lang w:eastAsia="zh-CN"/>
        </w:rPr>
        <w:t>e/kWh不得在无转换说明时混用；</w:t>
      </w:r>
    </w:p>
    <w:p w14:paraId="70CDCC9A">
      <w:pPr>
        <w:pStyle w:val="6"/>
        <w:numPr>
          <w:ilvl w:val="0"/>
          <w:numId w:val="2"/>
        </w:numPr>
        <w:ind w:left="425" w:leftChars="0" w:hanging="425" w:firstLineChars="0"/>
        <w:rPr>
          <w:rFonts w:eastAsia="宋体"/>
          <w:lang w:eastAsia="zh-CN"/>
        </w:rPr>
      </w:pPr>
      <w:r>
        <w:rPr>
          <w:rFonts w:eastAsia="宋体"/>
          <w:lang w:eastAsia="zh-CN"/>
        </w:rPr>
        <w:t>边界一致：发电端因子、消费端因子、含线损因子、碳足迹因子必须标明边界；</w:t>
      </w:r>
    </w:p>
    <w:p w14:paraId="222F31E0">
      <w:pPr>
        <w:pStyle w:val="6"/>
        <w:numPr>
          <w:ilvl w:val="0"/>
          <w:numId w:val="2"/>
        </w:numPr>
        <w:ind w:left="425" w:leftChars="0" w:hanging="425" w:firstLineChars="0"/>
        <w:rPr>
          <w:rFonts w:eastAsia="宋体"/>
          <w:lang w:eastAsia="zh-CN"/>
        </w:rPr>
      </w:pPr>
      <w:r>
        <w:rPr>
          <w:rFonts w:eastAsia="宋体"/>
          <w:lang w:eastAsia="zh-CN"/>
        </w:rPr>
        <w:t>版本冻结：一次计算任务只引用一个不可变因子快照。</w:t>
      </w:r>
    </w:p>
    <w:p w14:paraId="1620ABF0">
      <w:pPr>
        <w:pStyle w:val="2"/>
        <w:bidi w:val="0"/>
        <w:rPr>
          <w:lang w:eastAsia="zh-CN"/>
        </w:rPr>
      </w:pPr>
      <w:r>
        <w:rPr>
          <w:rFonts w:ascii="Arial" w:hAnsi="Arial"/>
          <w:lang w:eastAsia="zh-CN"/>
        </w:rPr>
        <w:br w:type="page"/>
      </w:r>
      <w:r>
        <w:rPr>
          <w:rFonts w:hint="eastAsia"/>
          <w:lang w:val="en-US" w:eastAsia="zh-CN"/>
        </w:rPr>
        <w:t>五、</w:t>
      </w:r>
      <w:r>
        <w:rPr>
          <w:lang w:eastAsia="zh-CN"/>
        </w:rPr>
        <w:t>核算方法</w:t>
      </w:r>
    </w:p>
    <w:p w14:paraId="1C45277A">
      <w:pPr>
        <w:pStyle w:val="3"/>
        <w:bidi w:val="0"/>
        <w:rPr>
          <w:lang w:eastAsia="zh-CN"/>
        </w:rPr>
      </w:pPr>
      <w:r>
        <w:rPr>
          <w:lang w:eastAsia="zh-CN"/>
        </w:rPr>
        <w:t>5.</w:t>
      </w:r>
      <w:r>
        <w:rPr>
          <w:rFonts w:hint="eastAsia"/>
          <w:lang w:val="en-US" w:eastAsia="zh-CN"/>
        </w:rPr>
        <w:t>1</w:t>
      </w:r>
      <w:r>
        <w:rPr>
          <w:lang w:eastAsia="zh-CN"/>
        </w:rPr>
        <w:t>　储能能量平衡与损耗</w:t>
      </w:r>
    </w:p>
    <w:p w14:paraId="1592B44D">
      <w:pPr>
        <w:bidi w:val="0"/>
        <w:rPr>
          <w:rFonts w:hint="eastAsia"/>
          <w:lang w:eastAsia="zh-CN"/>
        </w:rPr>
      </w:pPr>
      <w:r>
        <w:rPr>
          <w:rFonts w:hint="eastAsia"/>
          <w:lang w:eastAsia="zh-CN"/>
        </w:rPr>
        <w:t>储能充放电统一采用PCS交流侧电量作为计量基准；SOC用于跨周期能量校验。充电、放电发生在不同时段，不可简单做时段内充放电差值运算。</w:t>
      </w:r>
    </w:p>
    <w:p w14:paraId="64D7987E">
      <w:pPr>
        <w:pStyle w:val="23"/>
        <w:spacing w:after="0" w:afterAutospacing="0"/>
        <w:rPr>
          <w:rFonts w:eastAsia="宋体"/>
          <w:i w:val="0"/>
          <w:lang w:eastAsia="zh-CN"/>
        </w:rPr>
      </w:pPr>
      <m:oMathPara>
        <m:oMath>
          <m:r>
            <m:rPr/>
            <w:rPr>
              <w:rFonts w:eastAsia="宋体"/>
              <w:lang w:eastAsia="zh-CN"/>
            </w:rPr>
            <m:t>Δ</m:t>
          </m:r>
          <m:sSub>
            <m:sSubPr>
              <m:ctrlPr>
                <w:rPr>
                  <w:rFonts w:eastAsia="宋体"/>
                  <w:i/>
                </w:rPr>
              </m:ctrlPr>
            </m:sSubPr>
            <m:e>
              <m:r>
                <m:rPr/>
                <w:rPr>
                  <w:rFonts w:eastAsia="宋体"/>
                  <w:lang w:eastAsia="zh-CN"/>
                </w:rPr>
                <m:t>E</m:t>
              </m:r>
              <m:ctrlPr>
                <w:rPr>
                  <w:rFonts w:eastAsia="宋体"/>
                  <w:i/>
                </w:rPr>
              </m:ctrlPr>
            </m:e>
            <m:sub>
              <m:r>
                <m:rPr/>
                <w:rPr>
                  <w:rFonts w:eastAsia="宋体"/>
                  <w:lang w:eastAsia="zh-CN"/>
                </w:rPr>
                <m:t>bat</m:t>
              </m:r>
              <m:ctrlPr>
                <w:rPr>
                  <w:rFonts w:eastAsia="宋体"/>
                  <w:i/>
                </w:rPr>
              </m:ctrlPr>
            </m:sub>
          </m:sSub>
          <m:r>
            <m:rPr/>
            <w:rPr>
              <w:rFonts w:eastAsia="宋体"/>
              <w:lang w:eastAsia="zh-CN"/>
            </w:rPr>
            <m:t xml:space="preserve">= </m:t>
          </m:r>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bat</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end</m:t>
              </m:r>
              <m:ctrlPr>
                <w:rPr>
                  <w:rFonts w:hint="default" w:ascii="Cambria Math" w:hAnsi="Cambria Math" w:cs="Times New Roman"/>
                  <w:sz w:val="22"/>
                </w:rPr>
              </m:ctrlPr>
            </m:sub>
          </m:sSub>
          <m:r>
            <m:rPr/>
            <w:rPr>
              <w:rFonts w:eastAsia="宋体"/>
              <w:lang w:eastAsia="zh-CN"/>
            </w:rPr>
            <m:t xml:space="preserve">− </m:t>
          </m:r>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bat</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start</m:t>
              </m:r>
              <m:ctrlPr>
                <w:rPr>
                  <w:rFonts w:hint="default" w:ascii="Cambria Math" w:hAnsi="Cambria Math" w:cs="Times New Roman"/>
                  <w:sz w:val="22"/>
                </w:rPr>
              </m:ctrlPr>
            </m:sub>
          </m:sSub>
        </m:oMath>
      </m:oMathPara>
    </w:p>
    <w:p w14:paraId="1D1829DD">
      <w:pPr>
        <w:pStyle w:val="24"/>
        <w:spacing w:before="0" w:beforeAutospacing="0" w:after="0" w:afterAutospacing="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式中：</w:t>
      </w:r>
      <m:oMath>
        <m:r>
          <m:rPr>
            <m:nor/>
            <m:sty m:val="p"/>
          </m:rPr>
          <w:rPr>
            <w:rFonts w:hint="eastAsia" w:ascii="Times New Roman" w:hAnsi="Times New Roman" w:eastAsiaTheme="minorEastAsia" w:cstheme="minorEastAsia"/>
            <w:b w:val="0"/>
            <w:i w:val="0"/>
            <w:sz w:val="24"/>
            <w:szCs w:val="24"/>
          </w:rPr>
          <m:t>Δ</m:t>
        </m:r>
        <m:sSub>
          <m:sSubPr>
            <m:ctrlPr>
              <w:rPr>
                <w:rFonts w:hint="eastAsia" w:ascii="Cambria Math" w:hAnsi="Cambria Math" w:eastAsiaTheme="minorEastAsia" w:cstheme="minorEastAsia"/>
                <w:sz w:val="24"/>
                <w:szCs w:val="24"/>
              </w:rPr>
            </m:ctrlPr>
          </m:sSubPr>
          <m:e>
            <m:r>
              <m:rPr>
                <m:nor/>
              </m:rPr>
              <w:rPr>
                <w:rFonts w:hint="eastAsia" w:ascii="Times New Roman" w:hAnsi="Times New Roman" w:eastAsiaTheme="minorEastAsia" w:cstheme="minorEastAsia"/>
                <w:i/>
                <w:sz w:val="24"/>
                <w:szCs w:val="24"/>
              </w:rPr>
              <m:t>E</m:t>
            </m:r>
            <m:ctrlPr>
              <w:rPr>
                <w:rFonts w:hint="eastAsia" w:ascii="Cambria Math" w:hAnsi="Cambria Math" w:eastAsiaTheme="minorEastAsia" w:cstheme="minorEastAsia"/>
                <w:sz w:val="24"/>
                <w:szCs w:val="24"/>
              </w:rPr>
            </m:ctrlPr>
          </m:e>
          <m:sub>
            <m:r>
              <m:rPr>
                <m:nor/>
              </m:rPr>
              <w:rPr>
                <w:rFonts w:hint="eastAsia" w:ascii="Times New Roman" w:hAnsi="Times New Roman" w:eastAsiaTheme="minorEastAsia" w:cstheme="minorEastAsia"/>
                <w:i/>
                <w:sz w:val="24"/>
                <w:szCs w:val="24"/>
              </w:rPr>
              <m:t>bat</m:t>
            </m:r>
            <m:ctrlPr>
              <w:rPr>
                <w:rFonts w:hint="eastAsia" w:ascii="Cambria Math" w:hAnsi="Cambria Math" w:eastAsiaTheme="minorEastAsia" w:cstheme="minorEastAsia"/>
                <w:sz w:val="24"/>
                <w:szCs w:val="24"/>
              </w:rPr>
            </m:ctrlPr>
          </m:sub>
        </m:sSub>
      </m:oMath>
      <w:r>
        <w:rPr>
          <w:rFonts w:hint="eastAsia" w:asciiTheme="minorEastAsia" w:hAnsiTheme="minorEastAsia" w:eastAsiaTheme="minorEastAsia" w:cstheme="minorEastAsia"/>
          <w:sz w:val="24"/>
          <w:szCs w:val="24"/>
        </w:rPr>
        <w:t>为核算周期电池存储能量变化；</w:t>
      </w:r>
      <m:oMath>
        <m:sSub>
          <m:sSubPr>
            <m:ctrlPr>
              <w:rPr>
                <w:rFonts w:hint="eastAsia" w:ascii="Cambria Math" w:hAnsi="Cambria Math" w:eastAsiaTheme="minorEastAsia" w:cstheme="minorEastAsia"/>
                <w:sz w:val="24"/>
                <w:szCs w:val="24"/>
              </w:rPr>
            </m:ctrlPr>
          </m:sSubPr>
          <m:e>
            <m:r>
              <m:rPr>
                <m:nor/>
              </m:rPr>
              <w:rPr>
                <w:rFonts w:hint="eastAsia" w:ascii="Times New Roman" w:hAnsi="Times New Roman" w:eastAsiaTheme="minorEastAsia" w:cstheme="minorEastAsia"/>
                <w:i/>
                <w:sz w:val="24"/>
                <w:szCs w:val="24"/>
              </w:rPr>
              <m:t>E</m:t>
            </m:r>
            <m:ctrlPr>
              <w:rPr>
                <w:rFonts w:hint="eastAsia" w:ascii="Cambria Math" w:hAnsi="Cambria Math" w:eastAsiaTheme="minorEastAsia" w:cstheme="minorEastAsia"/>
                <w:sz w:val="24"/>
                <w:szCs w:val="24"/>
              </w:rPr>
            </m:ctrlPr>
          </m:e>
          <m:sub>
            <m:r>
              <m:rPr>
                <m:nor/>
              </m:rPr>
              <w:rPr>
                <w:rFonts w:hint="eastAsia" w:ascii="Times New Roman" w:hAnsi="Times New Roman" w:eastAsiaTheme="minorEastAsia" w:cstheme="minorEastAsia"/>
                <w:i/>
                <w:sz w:val="24"/>
                <w:szCs w:val="24"/>
              </w:rPr>
              <m:t>bat</m:t>
            </m:r>
            <m:r>
              <m:rPr>
                <m:nor/>
                <m:sty m:val="p"/>
              </m:rPr>
              <w:rPr>
                <w:rFonts w:hint="eastAsia" w:ascii="Times New Roman" w:hAnsi="Times New Roman" w:eastAsiaTheme="minorEastAsia" w:cstheme="minorEastAsia"/>
                <w:b w:val="0"/>
                <w:i w:val="0"/>
                <w:sz w:val="24"/>
                <w:szCs w:val="24"/>
              </w:rPr>
              <m:t>,</m:t>
            </m:r>
            <m:r>
              <m:rPr>
                <m:nor/>
              </m:rPr>
              <w:rPr>
                <w:rFonts w:hint="eastAsia" w:ascii="Times New Roman" w:hAnsi="Times New Roman" w:eastAsiaTheme="minorEastAsia" w:cstheme="minorEastAsia"/>
                <w:i/>
                <w:sz w:val="24"/>
                <w:szCs w:val="24"/>
              </w:rPr>
              <m:t>end</m:t>
            </m:r>
            <m:ctrlPr>
              <w:rPr>
                <w:rFonts w:hint="eastAsia" w:ascii="Cambria Math" w:hAnsi="Cambria Math" w:eastAsiaTheme="minorEastAsia" w:cstheme="minorEastAsia"/>
                <w:sz w:val="24"/>
                <w:szCs w:val="24"/>
              </w:rPr>
            </m:ctrlPr>
          </m:sub>
        </m:sSub>
      </m:oMath>
      <w:r>
        <w:rPr>
          <w:rFonts w:hint="eastAsia" w:asciiTheme="minorEastAsia" w:hAnsiTheme="minorEastAsia" w:eastAsiaTheme="minorEastAsia" w:cstheme="minorEastAsia"/>
          <w:sz w:val="24"/>
          <w:szCs w:val="24"/>
        </w:rPr>
        <w:t>、</w:t>
      </w:r>
      <m:oMath>
        <m:sSub>
          <m:sSubPr>
            <m:ctrlPr>
              <w:rPr>
                <w:rFonts w:hint="eastAsia" w:ascii="Cambria Math" w:hAnsi="Cambria Math" w:eastAsiaTheme="minorEastAsia" w:cstheme="minorEastAsia"/>
                <w:sz w:val="24"/>
                <w:szCs w:val="24"/>
              </w:rPr>
            </m:ctrlPr>
          </m:sSubPr>
          <m:e>
            <m:r>
              <m:rPr>
                <m:nor/>
              </m:rPr>
              <w:rPr>
                <w:rFonts w:hint="eastAsia" w:ascii="Times New Roman" w:hAnsi="Times New Roman" w:eastAsiaTheme="minorEastAsia" w:cstheme="minorEastAsia"/>
                <w:i/>
                <w:sz w:val="24"/>
                <w:szCs w:val="24"/>
              </w:rPr>
              <m:t>E</m:t>
            </m:r>
            <m:ctrlPr>
              <w:rPr>
                <w:rFonts w:hint="eastAsia" w:ascii="Cambria Math" w:hAnsi="Cambria Math" w:eastAsiaTheme="minorEastAsia" w:cstheme="minorEastAsia"/>
                <w:sz w:val="24"/>
                <w:szCs w:val="24"/>
              </w:rPr>
            </m:ctrlPr>
          </m:e>
          <m:sub>
            <m:r>
              <m:rPr>
                <m:nor/>
              </m:rPr>
              <w:rPr>
                <w:rFonts w:hint="eastAsia" w:ascii="Times New Roman" w:hAnsi="Times New Roman" w:eastAsiaTheme="minorEastAsia" w:cstheme="minorEastAsia"/>
                <w:i/>
                <w:sz w:val="24"/>
                <w:szCs w:val="24"/>
              </w:rPr>
              <m:t>bat</m:t>
            </m:r>
            <m:r>
              <m:rPr>
                <m:nor/>
                <m:sty m:val="p"/>
              </m:rPr>
              <w:rPr>
                <w:rFonts w:hint="eastAsia" w:ascii="Times New Roman" w:hAnsi="Times New Roman" w:eastAsiaTheme="minorEastAsia" w:cstheme="minorEastAsia"/>
                <w:b w:val="0"/>
                <w:i w:val="0"/>
                <w:sz w:val="24"/>
                <w:szCs w:val="24"/>
              </w:rPr>
              <m:t>,</m:t>
            </m:r>
            <m:r>
              <m:rPr>
                <m:nor/>
              </m:rPr>
              <w:rPr>
                <w:rFonts w:hint="eastAsia" w:ascii="Times New Roman" w:hAnsi="Times New Roman" w:eastAsiaTheme="minorEastAsia" w:cstheme="minorEastAsia"/>
                <w:i/>
                <w:sz w:val="24"/>
                <w:szCs w:val="24"/>
              </w:rPr>
              <m:t>start</m:t>
            </m:r>
            <m:ctrlPr>
              <w:rPr>
                <w:rFonts w:hint="eastAsia" w:ascii="Cambria Math" w:hAnsi="Cambria Math" w:eastAsiaTheme="minorEastAsia" w:cstheme="minorEastAsia"/>
                <w:sz w:val="24"/>
                <w:szCs w:val="24"/>
              </w:rPr>
            </m:ctrlPr>
          </m:sub>
        </m:sSub>
      </m:oMath>
      <w:r>
        <w:rPr>
          <w:rFonts w:hint="eastAsia" w:asciiTheme="minorEastAsia" w:hAnsiTheme="minorEastAsia" w:eastAsiaTheme="minorEastAsia" w:cstheme="minorEastAsia"/>
          <w:sz w:val="24"/>
          <w:szCs w:val="24"/>
        </w:rPr>
        <w:t>分别为周期结束、周期开始时刻电池存储能量。</w:t>
      </w:r>
    </w:p>
    <w:p w14:paraId="4E420627">
      <w:pPr>
        <w:pStyle w:val="24"/>
        <w:spacing w:before="0" w:beforeAutospacing="0" w:after="0" w:afterAutospacing="0"/>
        <w:rPr>
          <w:rFonts w:hint="eastAsia" w:asciiTheme="minorEastAsia" w:hAnsiTheme="minorEastAsia" w:eastAsiaTheme="minorEastAsia" w:cstheme="minorEastAsia"/>
          <w:sz w:val="24"/>
          <w:szCs w:val="24"/>
          <w:highlight w:val="yellow"/>
          <w:lang w:val="en-US" w:eastAsia="zh-CN"/>
        </w:rPr>
      </w:pPr>
      <w:r>
        <w:rPr>
          <w:rFonts w:hint="eastAsia" w:asciiTheme="minorEastAsia" w:hAnsiTheme="minorEastAsia" w:eastAsiaTheme="minorEastAsia" w:cstheme="minorEastAsia"/>
          <w:sz w:val="24"/>
          <w:szCs w:val="24"/>
          <w:highlight w:val="yellow"/>
          <w:lang w:val="en-US" w:eastAsia="zh-CN"/>
        </w:rPr>
        <w:t>储能与工艺即范围1的碳排无关</w:t>
      </w:r>
    </w:p>
    <w:p w14:paraId="57A56D9D">
      <w:pPr>
        <w:pStyle w:val="24"/>
        <w:spacing w:before="0" w:beforeAutospacing="0" w:after="0" w:afterAutospacing="0"/>
        <w:rPr>
          <w:rFonts w:hint="default" w:asciiTheme="minorEastAsia" w:hAnsiTheme="minorEastAsia" w:eastAsiaTheme="minorEastAsia" w:cstheme="minorEastAsia"/>
          <w:sz w:val="24"/>
          <w:szCs w:val="24"/>
          <w:highlight w:val="yellow"/>
          <w:lang w:val="en-US" w:eastAsia="zh-CN"/>
        </w:rPr>
      </w:pPr>
      <w:r>
        <w:rPr>
          <w:rFonts w:hint="eastAsia" w:asciiTheme="minorEastAsia" w:hAnsiTheme="minorEastAsia" w:eastAsiaTheme="minorEastAsia" w:cstheme="minorEastAsia"/>
          <w:sz w:val="24"/>
          <w:szCs w:val="24"/>
          <w:highlight w:val="yellow"/>
          <w:lang w:val="en-US" w:eastAsia="zh-CN"/>
        </w:rPr>
        <w:t>减排量=基准情景排放（模块一预测的逐时符合，没有储能，负荷全靠电网）-项目实际排放（模块二优化调度输出的</w:t>
      </w:r>
      <m:oMath>
        <m:sSub>
          <m:sSubPr>
            <m:ctrlPr>
              <w:rPr>
                <w:rFonts w:hint="default" w:ascii="Cambria Math" w:hAnsi="Cambria Math" w:cs="Times New Roman" w:eastAsiaTheme="minorEastAsia"/>
                <w:sz w:val="24"/>
                <w:highlight w:val="yellow"/>
              </w:rPr>
            </m:ctrlPr>
          </m:sSubPr>
          <m:e>
            <m:r>
              <m:rPr>
                <m:nor/>
              </m:rPr>
              <w:rPr>
                <w:rFonts w:hint="default" w:ascii="Times New Roman" w:hAnsi="Times New Roman" w:cs="Times New Roman" w:eastAsiaTheme="minorEastAsia"/>
                <w:i/>
                <w:sz w:val="24"/>
                <w:highlight w:val="yellow"/>
              </w:rPr>
              <m:t>P</m:t>
            </m:r>
            <m:ctrlPr>
              <w:rPr>
                <w:rFonts w:hint="default" w:ascii="Cambria Math" w:hAnsi="Cambria Math" w:cs="Times New Roman" w:eastAsiaTheme="minorEastAsia"/>
                <w:sz w:val="24"/>
                <w:highlight w:val="yellow"/>
              </w:rPr>
            </m:ctrlPr>
          </m:e>
          <m:sub>
            <m:r>
              <m:rPr>
                <m:nor/>
              </m:rPr>
              <w:rPr>
                <w:rFonts w:hint="default" w:ascii="Times New Roman" w:hAnsi="Times New Roman" w:cs="Times New Roman" w:eastAsiaTheme="minorEastAsia"/>
                <w:i/>
                <w:sz w:val="24"/>
                <w:highlight w:val="yellow"/>
              </w:rPr>
              <m:t>g</m:t>
            </m:r>
            <m:ctrlPr>
              <w:rPr>
                <w:rFonts w:hint="default" w:ascii="Cambria Math" w:hAnsi="Cambria Math" w:cs="Times New Roman" w:eastAsiaTheme="minorEastAsia"/>
                <w:sz w:val="24"/>
                <w:highlight w:val="yellow"/>
              </w:rPr>
            </m:ctrlPr>
          </m:sub>
        </m:sSub>
        <m:r>
          <m:rPr>
            <m:nor/>
          </m:rPr>
          <w:rPr>
            <w:rFonts w:hint="default" w:ascii="Times New Roman" w:hAnsi="Times New Roman" w:cs="Times New Roman" w:eastAsiaTheme="minorEastAsia"/>
            <w:i/>
            <w:sz w:val="24"/>
            <w:highlight w:val="yellow"/>
          </w:rPr>
          <m:t>rid</m:t>
        </m:r>
        <m:r>
          <m:rPr>
            <m:nor/>
            <m:sty m:val="p"/>
          </m:rPr>
          <w:rPr>
            <w:rFonts w:hint="default" w:ascii="Times New Roman" w:hAnsi="Times New Roman" w:cs="Times New Roman" w:eastAsiaTheme="minorEastAsia"/>
            <w:b w:val="0"/>
            <w:i w:val="0"/>
            <w:sz w:val="24"/>
            <w:highlight w:val="yellow"/>
          </w:rPr>
          <m:t>→</m:t>
        </m:r>
        <m:r>
          <m:rPr>
            <m:nor/>
          </m:rPr>
          <w:rPr>
            <w:rFonts w:hint="default" w:ascii="Times New Roman" w:hAnsi="Times New Roman" w:cs="Times New Roman" w:eastAsiaTheme="minorEastAsia"/>
            <w:i/>
            <w:sz w:val="24"/>
            <w:highlight w:val="yellow"/>
          </w:rPr>
          <m:t>load</m:t>
        </m:r>
        <m:r>
          <m:rPr>
            <m:nor/>
            <m:sty m:val="p"/>
          </m:rPr>
          <w:rPr>
            <w:rFonts w:hint="default" w:ascii="Times New Roman" w:hAnsi="Times New Roman" w:cs="Times New Roman" w:eastAsiaTheme="minorEastAsia"/>
            <w:b w:val="0"/>
            <w:i w:val="0"/>
            <w:sz w:val="24"/>
            <w:highlight w:val="yellow"/>
          </w:rPr>
          <m:t>(</m:t>
        </m:r>
        <m:r>
          <m:rPr>
            <m:nor/>
          </m:rPr>
          <w:rPr>
            <w:rFonts w:hint="default" w:ascii="Times New Roman" w:hAnsi="Times New Roman" w:cs="Times New Roman" w:eastAsiaTheme="minorEastAsia"/>
            <w:i/>
            <w:sz w:val="24"/>
            <w:highlight w:val="yellow"/>
          </w:rPr>
          <m:t>t</m:t>
        </m:r>
        <m:r>
          <m:rPr>
            <m:nor/>
            <m:sty m:val="p"/>
          </m:rPr>
          <w:rPr>
            <w:rFonts w:hint="default" w:ascii="Times New Roman" w:hAnsi="Times New Roman" w:cs="Times New Roman" w:eastAsiaTheme="minorEastAsia"/>
            <w:b w:val="0"/>
            <w:i w:val="0"/>
            <w:sz w:val="24"/>
            <w:highlight w:val="yellow"/>
          </w:rPr>
          <m:t>)+</m:t>
        </m:r>
        <m:sSub>
          <m:sSubPr>
            <m:ctrlPr>
              <w:rPr>
                <w:rFonts w:hint="default" w:ascii="Cambria Math" w:hAnsi="Cambria Math" w:cs="Times New Roman" w:eastAsiaTheme="minorEastAsia"/>
                <w:sz w:val="24"/>
                <w:highlight w:val="yellow"/>
              </w:rPr>
            </m:ctrlPr>
          </m:sSubPr>
          <m:e>
            <m:r>
              <m:rPr>
                <m:nor/>
              </m:rPr>
              <w:rPr>
                <w:rFonts w:hint="default" w:ascii="Times New Roman" w:hAnsi="Times New Roman" w:cs="Times New Roman" w:eastAsiaTheme="minorEastAsia"/>
                <w:i/>
                <w:sz w:val="24"/>
                <w:highlight w:val="yellow"/>
              </w:rPr>
              <m:t>P</m:t>
            </m:r>
            <m:ctrlPr>
              <w:rPr>
                <w:rFonts w:hint="default" w:ascii="Cambria Math" w:hAnsi="Cambria Math" w:cs="Times New Roman" w:eastAsiaTheme="minorEastAsia"/>
                <w:sz w:val="24"/>
                <w:highlight w:val="yellow"/>
              </w:rPr>
            </m:ctrlPr>
          </m:e>
          <m:sub>
            <m:r>
              <m:rPr>
                <m:nor/>
              </m:rPr>
              <w:rPr>
                <w:rFonts w:hint="default" w:ascii="Times New Roman" w:hAnsi="Times New Roman" w:cs="Times New Roman" w:eastAsiaTheme="minorEastAsia"/>
                <w:i/>
                <w:sz w:val="24"/>
                <w:highlight w:val="yellow"/>
              </w:rPr>
              <m:t>g</m:t>
            </m:r>
            <m:ctrlPr>
              <w:rPr>
                <w:rFonts w:hint="default" w:ascii="Cambria Math" w:hAnsi="Cambria Math" w:cs="Times New Roman" w:eastAsiaTheme="minorEastAsia"/>
                <w:sz w:val="24"/>
                <w:highlight w:val="yellow"/>
              </w:rPr>
            </m:ctrlPr>
          </m:sub>
        </m:sSub>
        <m:r>
          <m:rPr>
            <m:nor/>
          </m:rPr>
          <w:rPr>
            <w:rFonts w:hint="default" w:ascii="Times New Roman" w:hAnsi="Times New Roman" w:cs="Times New Roman" w:eastAsiaTheme="minorEastAsia"/>
            <w:i/>
            <w:sz w:val="24"/>
            <w:highlight w:val="yellow"/>
          </w:rPr>
          <m:t>rid</m:t>
        </m:r>
        <m:r>
          <m:rPr>
            <m:nor/>
            <m:sty m:val="p"/>
          </m:rPr>
          <w:rPr>
            <w:rFonts w:hint="default" w:ascii="Times New Roman" w:hAnsi="Times New Roman" w:cs="Times New Roman" w:eastAsiaTheme="minorEastAsia"/>
            <w:b w:val="0"/>
            <w:i w:val="0"/>
            <w:sz w:val="24"/>
            <w:highlight w:val="yellow"/>
          </w:rPr>
          <m:t>→</m:t>
        </m:r>
        <m:r>
          <m:rPr>
            <m:nor/>
          </m:rPr>
          <w:rPr>
            <w:rFonts w:hint="default" w:ascii="Times New Roman" w:hAnsi="Times New Roman" w:cs="Times New Roman" w:eastAsiaTheme="minorEastAsia"/>
            <w:i/>
            <w:sz w:val="24"/>
            <w:highlight w:val="yellow"/>
          </w:rPr>
          <m:t>ESS</m:t>
        </m:r>
        <m:r>
          <m:rPr>
            <m:nor/>
            <m:sty m:val="p"/>
          </m:rPr>
          <w:rPr>
            <w:rFonts w:hint="default" w:ascii="Times New Roman" w:hAnsi="Times New Roman" w:cs="Times New Roman" w:eastAsiaTheme="minorEastAsia"/>
            <w:b w:val="0"/>
            <w:i w:val="0"/>
            <w:sz w:val="24"/>
            <w:highlight w:val="yellow"/>
          </w:rPr>
          <m:t>(</m:t>
        </m:r>
        <m:r>
          <m:rPr>
            <m:nor/>
          </m:rPr>
          <w:rPr>
            <w:rFonts w:hint="default" w:ascii="Times New Roman" w:hAnsi="Times New Roman" w:cs="Times New Roman" w:eastAsiaTheme="minorEastAsia"/>
            <w:i/>
            <w:sz w:val="24"/>
            <w:highlight w:val="yellow"/>
          </w:rPr>
          <m:t>t</m:t>
        </m:r>
        <m:r>
          <m:rPr>
            <m:nor/>
            <m:sty m:val="p"/>
          </m:rPr>
          <w:rPr>
            <w:rFonts w:hint="default" w:ascii="Times New Roman" w:hAnsi="Times New Roman" w:cs="Times New Roman" w:eastAsiaTheme="minorEastAsia"/>
            <w:b w:val="0"/>
            <w:i w:val="0"/>
            <w:sz w:val="24"/>
            <w:highlight w:val="yellow"/>
          </w:rPr>
          <m:t>)</m:t>
        </m:r>
      </m:oMath>
      <w:r>
        <w:rPr>
          <w:rFonts w:hint="eastAsia" w:asciiTheme="minorEastAsia" w:hAnsiTheme="minorEastAsia" w:eastAsiaTheme="minorEastAsia" w:cstheme="minorEastAsia"/>
          <w:sz w:val="24"/>
          <w:szCs w:val="24"/>
          <w:highlight w:val="yellow"/>
          <w:lang w:val="en-US" w:eastAsia="zh-CN"/>
        </w:rPr>
        <w:t>）-泄露排放</w:t>
      </w:r>
    </w:p>
    <w:p w14:paraId="40E7DC7D">
      <w:pPr>
        <w:pStyle w:val="23"/>
        <w:spacing w:before="0" w:beforeAutospacing="0"/>
        <w:rPr>
          <w:rFonts w:hint="eastAsia" w:eastAsia="宋体"/>
          <w:sz w:val="24"/>
          <w:szCs w:val="28"/>
          <w:lang w:eastAsia="zh-CN"/>
        </w:rPr>
      </w:pPr>
      <w:r>
        <w:rPr>
          <w:rFonts w:eastAsia="宋体"/>
          <w:sz w:val="24"/>
          <w:szCs w:val="28"/>
          <w:lang w:eastAsia="zh-CN"/>
        </w:rPr>
        <w:t>同一统计期、同一能量基准</w:t>
      </w:r>
      <w:r>
        <w:rPr>
          <w:rFonts w:hint="eastAsia" w:eastAsia="宋体"/>
          <w:sz w:val="24"/>
          <w:szCs w:val="28"/>
          <w:lang w:val="en-US" w:eastAsia="zh-CN"/>
        </w:rPr>
        <w:t>下，储能总损耗</w:t>
      </w:r>
      <w:r>
        <w:rPr>
          <w:rFonts w:hint="eastAsia" w:eastAsia="宋体"/>
          <w:sz w:val="24"/>
          <w:szCs w:val="28"/>
          <w:lang w:eastAsia="zh-CN"/>
        </w:rPr>
        <w:t>:</w:t>
      </w:r>
    </w:p>
    <w:p w14:paraId="5840BC15">
      <w:pPr>
        <w:pStyle w:val="23"/>
        <w:spacing w:after="0" w:afterAutospacing="0"/>
        <w:jc w:val="center"/>
        <w:rPr>
          <w:rFonts w:ascii="Arial" w:hAnsi="Arial" w:eastAsia="宋体"/>
          <w:sz w:val="19"/>
          <w:lang w:eastAsia="zh-CN"/>
        </w:rPr>
      </w:pPr>
      <m:oMath>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loss</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c</m:t>
            </m:r>
            <m:r>
              <m:rPr>
                <m:nor/>
                <m:sty m:val="p"/>
              </m:rPr>
              <w:rPr>
                <w:rFonts w:hint="default" w:ascii="Times New Roman" w:hAnsi="Times New Roman" w:cs="Times New Roman"/>
                <w:b w:val="0"/>
                <w:i w:val="0"/>
                <w:sz w:val="22"/>
              </w:rPr>
              <m:t>h,</m:t>
            </m:r>
            <m:r>
              <m:rPr>
                <m:nor/>
              </m:rPr>
              <w:rPr>
                <w:rFonts w:hint="default" w:ascii="Times New Roman" w:hAnsi="Times New Roman" w:cs="Times New Roman"/>
                <w:i/>
                <w:sz w:val="22"/>
              </w:rPr>
              <m:t>ac</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dis</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ac</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−Δ</m:t>
        </m:r>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bat</m:t>
            </m:r>
            <m:ctrlPr>
              <w:rPr>
                <w:rFonts w:hint="default" w:ascii="Cambria Math" w:hAnsi="Cambria Math" w:cs="Times New Roman"/>
                <w:sz w:val="22"/>
              </w:rPr>
            </m:ctrlPr>
          </m:sub>
        </m:sSub>
      </m:oMath>
      <w:r>
        <w:rPr>
          <w:rFonts w:ascii="Arial" w:hAnsi="Arial" w:eastAsia="宋体"/>
          <w:sz w:val="19"/>
          <w:lang w:eastAsia="zh-CN"/>
        </w:rPr>
        <w:t xml:space="preserve">  </w:t>
      </w:r>
    </w:p>
    <w:p w14:paraId="337C9C45">
      <w:pPr>
        <w:bidi w:val="0"/>
        <w:spacing w:beforeAutospacing="0"/>
        <w:ind w:left="0" w:leftChars="0" w:firstLine="0" w:firstLineChars="0"/>
      </w:pPr>
      <w:r>
        <w:t>式中：</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loss</m:t>
            </m:r>
            <m:ctrlPr>
              <w:rPr>
                <w:rFonts w:hint="default" w:ascii="Cambria Math" w:hAnsi="Cambria Math" w:cs="Times New Roman"/>
                <w:sz w:val="22"/>
              </w:rPr>
            </m:ctrlPr>
          </m:sub>
        </m:sSub>
      </m:oMath>
      <w:r>
        <w:t>储能总能量损耗；</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c</m:t>
            </m:r>
            <m:r>
              <m:rPr>
                <m:nor/>
                <m:sty m:val="p"/>
              </m:rPr>
              <w:rPr>
                <w:rFonts w:hint="default" w:ascii="Times New Roman" w:hAnsi="Times New Roman" w:cs="Times New Roman"/>
                <w:b w:val="0"/>
                <w:i w:val="0"/>
                <w:sz w:val="22"/>
              </w:rPr>
              <m:t>h,</m:t>
            </m:r>
            <m:r>
              <m:rPr>
                <m:nor/>
              </m:rPr>
              <w:rPr>
                <w:rFonts w:hint="default" w:ascii="Times New Roman" w:hAnsi="Times New Roman" w:cs="Times New Roman"/>
                <w:i/>
                <w:sz w:val="22"/>
              </w:rPr>
              <m:t>ac</m:t>
            </m:r>
            <m:ctrlPr>
              <w:rPr>
                <w:rFonts w:hint="default" w:ascii="Cambria Math" w:hAnsi="Cambria Math" w:cs="Times New Roman"/>
                <w:sz w:val="22"/>
              </w:rPr>
            </m:ctrlPr>
          </m:sub>
        </m:sSub>
      </m:oMath>
      <w:r>
        <w:t>交流侧充电总电量；</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dis</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ac</m:t>
            </m:r>
            <m:ctrlPr>
              <w:rPr>
                <w:rFonts w:hint="default" w:ascii="Cambria Math" w:hAnsi="Cambria Math" w:cs="Times New Roman"/>
                <w:sz w:val="22"/>
              </w:rPr>
            </m:ctrlPr>
          </m:sub>
        </m:sSub>
      </m:oMath>
      <w:r>
        <w:t>交流侧放电总电量。该公式仅适用于期初、期末SOC可比场景。</w:t>
      </w:r>
    </w:p>
    <w:p w14:paraId="24650AE9">
      <w:pPr>
        <w:bidi w:val="0"/>
      </w:pPr>
      <w:r>
        <w:t>储能往返</w:t>
      </w:r>
      <w:r>
        <w:rPr>
          <w:rFonts w:hint="eastAsia"/>
          <w:lang w:val="en-US" w:eastAsia="zh-CN"/>
        </w:rPr>
        <w:t>充放电</w:t>
      </w:r>
      <w:r>
        <w:t>效率：</w:t>
      </w:r>
    </w:p>
    <w:p w14:paraId="76B310F1">
      <w:pPr>
        <w:pStyle w:val="23"/>
        <w:ind w:left="0" w:leftChars="0" w:firstLine="0" w:firstLineChars="0"/>
        <w:jc w:val="both"/>
        <w:rPr>
          <w:rFonts w:eastAsia="宋体"/>
          <w:lang w:eastAsia="zh-CN"/>
        </w:rPr>
      </w:pPr>
      <m:oMathPara>
        <m:oMath>
          <m:sSub>
            <m:sSubPr>
              <m:ctrlPr>
                <w:rPr>
                  <w:rFonts w:eastAsia="宋体"/>
                  <w:i/>
                  <w:lang w:eastAsia="zh-CN"/>
                </w:rPr>
              </m:ctrlPr>
            </m:sSubPr>
            <m:e>
              <m:r>
                <m:rPr/>
                <w:rPr>
                  <w:rFonts w:eastAsia="宋体"/>
                  <w:lang w:eastAsia="zh-CN"/>
                </w:rPr>
                <m:t>η</m:t>
              </m:r>
              <m:ctrlPr>
                <w:rPr>
                  <w:rFonts w:eastAsia="宋体"/>
                  <w:i/>
                  <w:lang w:eastAsia="zh-CN"/>
                </w:rPr>
              </m:ctrlPr>
            </m:e>
            <m:sub>
              <m:r>
                <m:rPr/>
                <w:rPr>
                  <w:rFonts w:eastAsia="宋体"/>
                  <w:lang w:eastAsia="zh-CN"/>
                </w:rPr>
                <m:t>rt</m:t>
              </m:r>
              <m:ctrlPr>
                <w:rPr>
                  <w:rFonts w:eastAsia="宋体"/>
                  <w:i/>
                  <w:lang w:eastAsia="zh-CN"/>
                </w:rPr>
              </m:ctrlPr>
            </m:sub>
          </m:sSub>
          <m:r>
            <m:rPr/>
            <w:rPr>
              <w:rFonts w:eastAsia="宋体"/>
              <w:lang w:eastAsia="zh-CN"/>
            </w:rPr>
            <m:t>=</m:t>
          </m:r>
          <m:f>
            <m:fPr>
              <m:ctrlPr>
                <w:rPr>
                  <w:rFonts w:eastAsia="宋体"/>
                  <w:i/>
                  <w:lang w:eastAsia="zh-CN"/>
                </w:rPr>
              </m:ctrlPr>
            </m:fPr>
            <m:num>
              <m:sSub>
                <m:sSubPr>
                  <m:ctrlPr>
                    <w:rPr>
                      <w:rFonts w:eastAsia="宋体"/>
                      <w:i/>
                      <w:lang w:eastAsia="zh-CN"/>
                    </w:rPr>
                  </m:ctrlPr>
                </m:sSubPr>
                <m:e>
                  <m:r>
                    <m:rPr/>
                    <w:rPr>
                      <w:rFonts w:eastAsia="宋体"/>
                      <w:lang w:eastAsia="zh-CN"/>
                    </w:rPr>
                    <m:t>E</m:t>
                  </m:r>
                  <m:ctrlPr>
                    <w:rPr>
                      <w:rFonts w:eastAsia="宋体"/>
                      <w:i/>
                      <w:lang w:eastAsia="zh-CN"/>
                    </w:rPr>
                  </m:ctrlPr>
                </m:e>
                <m:sub>
                  <m:r>
                    <m:rPr/>
                    <w:rPr>
                      <w:rFonts w:eastAsia="宋体"/>
                      <w:lang w:eastAsia="zh-CN"/>
                    </w:rPr>
                    <m:t>dis,ac</m:t>
                  </m:r>
                  <m:ctrlPr>
                    <w:rPr>
                      <w:rFonts w:eastAsia="宋体"/>
                      <w:i/>
                      <w:lang w:eastAsia="zh-CN"/>
                    </w:rPr>
                  </m:ctrlPr>
                </m:sub>
              </m:sSub>
              <m:ctrlPr>
                <w:rPr>
                  <w:rFonts w:eastAsia="宋体"/>
                  <w:i/>
                  <w:lang w:eastAsia="zh-CN"/>
                </w:rPr>
              </m:ctrlPr>
            </m:num>
            <m:den>
              <m:sSub>
                <m:sSubPr>
                  <m:ctrlPr>
                    <w:rPr>
                      <w:rFonts w:eastAsia="宋体"/>
                      <w:i/>
                      <w:lang w:eastAsia="zh-CN"/>
                    </w:rPr>
                  </m:ctrlPr>
                </m:sSubPr>
                <m:e>
                  <m:r>
                    <m:rPr/>
                    <w:rPr>
                      <w:rFonts w:eastAsia="宋体"/>
                      <w:lang w:eastAsia="zh-CN"/>
                    </w:rPr>
                    <m:t>E</m:t>
                  </m:r>
                  <m:ctrlPr>
                    <w:rPr>
                      <w:rFonts w:eastAsia="宋体"/>
                      <w:i/>
                      <w:lang w:eastAsia="zh-CN"/>
                    </w:rPr>
                  </m:ctrlPr>
                </m:e>
                <m:sub>
                  <m:r>
                    <m:rPr/>
                    <w:rPr>
                      <w:rFonts w:eastAsia="宋体"/>
                      <w:lang w:eastAsia="zh-CN"/>
                    </w:rPr>
                    <m:t>ch</m:t>
                  </m:r>
                  <m:ctrlPr>
                    <w:rPr>
                      <w:rFonts w:eastAsia="宋体"/>
                      <w:i/>
                      <w:lang w:eastAsia="zh-CN"/>
                    </w:rPr>
                  </m:ctrlPr>
                </m:sub>
              </m:sSub>
              <m:r>
                <m:rPr/>
                <w:rPr>
                  <w:rFonts w:eastAsia="宋体"/>
                  <w:lang w:eastAsia="zh-CN"/>
                </w:rPr>
                <m:t>,ac</m:t>
              </m:r>
              <m:ctrlPr>
                <w:rPr>
                  <w:rFonts w:eastAsia="宋体"/>
                  <w:i/>
                  <w:lang w:eastAsia="zh-CN"/>
                </w:rPr>
              </m:ctrlPr>
            </m:den>
          </m:f>
        </m:oMath>
      </m:oMathPara>
    </w:p>
    <w:p w14:paraId="4C907FDE">
      <w:pPr>
        <w:pStyle w:val="23"/>
        <w:rPr>
          <w:rFonts w:hint="default" w:eastAsia="宋体"/>
          <w:i w:val="0"/>
          <w:lang w:val="en-US" w:eastAsia="zh-CN"/>
        </w:rPr>
      </w:pPr>
      <w:r>
        <w:rPr>
          <w:rFonts w:hint="eastAsia" w:eastAsia="宋体"/>
          <w:i w:val="0"/>
          <w:lang w:val="en-US" w:eastAsia="zh-CN"/>
        </w:rPr>
        <w:t>储能损耗率：</w:t>
      </w:r>
    </w:p>
    <w:p w14:paraId="5E34FBFD">
      <w:pPr>
        <w:pStyle w:val="23"/>
        <w:rPr>
          <w:rFonts w:hint="eastAsia"/>
          <w:lang w:eastAsia="zh-CN"/>
        </w:rPr>
      </w:pPr>
      <m:oMathPara>
        <m:oMath>
          <m:sSub>
            <m:sSubPr>
              <m:ctrlPr>
                <w:rPr>
                  <w:rFonts w:eastAsia="宋体"/>
                  <w:i/>
                </w:rPr>
              </m:ctrlPr>
            </m:sSubPr>
            <m:e>
              <m:r>
                <m:rPr/>
                <w:rPr>
                  <w:rFonts w:eastAsia="宋体"/>
                </w:rPr>
                <m:t>r</m:t>
              </m:r>
              <m:ctrlPr>
                <w:rPr>
                  <w:rFonts w:eastAsia="宋体"/>
                  <w:i/>
                </w:rPr>
              </m:ctrlPr>
            </m:e>
            <m:sub>
              <m:r>
                <m:rPr/>
                <w:rPr>
                  <w:rFonts w:eastAsia="宋体"/>
                </w:rPr>
                <m:t>loss</m:t>
              </m:r>
              <m:ctrlPr>
                <w:rPr>
                  <w:rFonts w:eastAsia="宋体"/>
                  <w:i/>
                </w:rPr>
              </m:ctrlPr>
            </m:sub>
          </m:sSub>
          <m:r>
            <m:rPr/>
            <w:rPr>
              <w:rFonts w:eastAsia="宋体"/>
            </w:rPr>
            <m:t>=</m:t>
          </m:r>
          <m:f>
            <m:fPr>
              <m:ctrlPr>
                <w:rPr>
                  <w:rFonts w:eastAsia="宋体"/>
                  <w:i/>
                </w:rPr>
              </m:ctrlPr>
            </m:fPr>
            <m:num>
              <m:sSub>
                <m:sSubPr>
                  <m:ctrlPr>
                    <w:rPr>
                      <w:rFonts w:eastAsia="宋体"/>
                      <w:i/>
                    </w:rPr>
                  </m:ctrlPr>
                </m:sSubPr>
                <m:e>
                  <m:r>
                    <m:rPr/>
                    <w:rPr>
                      <w:rFonts w:eastAsia="宋体"/>
                    </w:rPr>
                    <m:t>E</m:t>
                  </m:r>
                  <m:ctrlPr>
                    <w:rPr>
                      <w:rFonts w:eastAsia="宋体"/>
                      <w:i/>
                    </w:rPr>
                  </m:ctrlPr>
                </m:e>
                <m:sub>
                  <m:r>
                    <m:rPr/>
                    <w:rPr>
                      <w:rFonts w:eastAsia="宋体"/>
                    </w:rPr>
                    <m:t>loss</m:t>
                  </m:r>
                  <m:ctrlPr>
                    <w:rPr>
                      <w:rFonts w:eastAsia="宋体"/>
                      <w:i/>
                    </w:rPr>
                  </m:ctrlPr>
                </m:sub>
              </m:sSub>
              <m:ctrlPr>
                <w:rPr>
                  <w:rFonts w:eastAsia="宋体"/>
                  <w:i/>
                </w:rPr>
              </m:ctrlPr>
            </m:num>
            <m:den>
              <m:sSub>
                <m:sSubPr>
                  <m:ctrlPr>
                    <w:rPr>
                      <w:rFonts w:eastAsia="宋体"/>
                      <w:i/>
                    </w:rPr>
                  </m:ctrlPr>
                </m:sSubPr>
                <m:e>
                  <m:r>
                    <m:rPr/>
                    <w:rPr>
                      <w:rFonts w:eastAsia="宋体"/>
                    </w:rPr>
                    <m:t>E</m:t>
                  </m:r>
                  <m:ctrlPr>
                    <w:rPr>
                      <w:rFonts w:eastAsia="宋体"/>
                      <w:i/>
                    </w:rPr>
                  </m:ctrlPr>
                </m:e>
                <m:sub>
                  <m:r>
                    <m:rPr/>
                    <w:rPr>
                      <w:rFonts w:eastAsia="宋体"/>
                    </w:rPr>
                    <m:t>ch,ac</m:t>
                  </m:r>
                  <m:ctrlPr>
                    <w:rPr>
                      <w:rFonts w:eastAsia="宋体"/>
                      <w:i/>
                    </w:rPr>
                  </m:ctrlPr>
                </m:sub>
              </m:sSub>
              <m:ctrlPr>
                <w:rPr>
                  <w:rFonts w:eastAsia="宋体"/>
                  <w:i/>
                </w:rPr>
              </m:ctrlPr>
            </m:den>
          </m:f>
          <m:r>
            <m:rPr/>
            <w:rPr>
              <w:rFonts w:eastAsia="宋体"/>
            </w:rPr>
            <m:t>× 100%</m:t>
          </m:r>
        </m:oMath>
      </m:oMathPara>
    </w:p>
    <w:p w14:paraId="1BB122D3">
      <w:pPr>
        <w:bidi w:val="0"/>
      </w:pPr>
      <w:r>
        <w:t xml:space="preserve">实际存储能量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b</m:t>
            </m:r>
            <m:r>
              <m:rPr>
                <m:nor/>
              </m:rPr>
              <w:rPr>
                <w:rFonts w:hint="default" w:cs="Times New Roman"/>
                <w:i/>
                <w:sz w:val="24"/>
                <w:lang w:val="en-US" w:eastAsia="zh-CN"/>
              </w:rPr>
              <m:t>at</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SOC</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r</m:t>
            </m:r>
            <m:r>
              <m:rPr>
                <m:nor/>
              </m:rPr>
              <w:rPr>
                <w:rFonts w:hint="default" w:cs="Times New Roman"/>
                <w:i/>
                <w:sz w:val="24"/>
                <w:lang w:val="en-US" w:eastAsia="zh-CN"/>
              </w:rPr>
              <m:t>ated</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SOH</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i w:val="0"/>
            <w:sz w:val="24"/>
          </w:rPr>
          <m:t>)</m:t>
        </m:r>
      </m:oMath>
    </w:p>
    <w:p w14:paraId="18F4E9E1">
      <w:pPr>
        <w:bidi w:val="0"/>
      </w:pPr>
      <w:r>
        <w:t>其中：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r</m:t>
            </m:r>
            <m:ctrlPr>
              <w:rPr>
                <w:rFonts w:hint="default" w:ascii="Cambria Math" w:hAnsi="Cambria Math" w:cs="Times New Roman"/>
                <w:sz w:val="24"/>
              </w:rPr>
            </m:ctrlPr>
          </m:sub>
        </m:sSub>
        <m:r>
          <m:rPr>
            <m:nor/>
          </m:rPr>
          <w:rPr>
            <w:rFonts w:hint="default" w:ascii="Times New Roman" w:hAnsi="Times New Roman" w:cs="Times New Roman"/>
            <w:i/>
            <w:sz w:val="24"/>
          </w:rPr>
          <m:t>ated</m:t>
        </m:r>
      </m:oMath>
      <w:r>
        <w:t>为电池额定容量（kWh），SOH为电池健康状态（%）</w:t>
      </w:r>
    </w:p>
    <w:p w14:paraId="31F6D148">
      <w:pPr>
        <w:bidi w:val="0"/>
      </w:pPr>
      <m:oMath>
        <m:r>
          <m:rPr>
            <m:nor/>
            <m:sty m:val="p"/>
          </m:rPr>
          <w:rPr>
            <w:rFonts w:hint="default" w:ascii="Times New Roman" w:hAnsi="Times New Roman" w:cs="Times New Roman"/>
            <w:i w:val="0"/>
            <w:sz w:val="24"/>
          </w:rPr>
          <m:t>可用容量=</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r</m:t>
            </m:r>
            <m:r>
              <m:rPr>
                <m:nor/>
              </m:rPr>
              <w:rPr>
                <w:rFonts w:hint="default" w:cs="Times New Roman"/>
                <w:i/>
                <w:sz w:val="24"/>
                <w:lang w:val="en-US" w:eastAsia="zh-CN"/>
              </w:rPr>
              <m:t>ated</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SOH</m:t>
        </m:r>
      </m:oMath>
      <w:r>
        <w:t>，随老化衰减，需定期校准</w:t>
      </w:r>
    </w:p>
    <w:p w14:paraId="07F18420">
      <w:pPr>
        <w:bidi w:val="0"/>
        <w:rPr>
          <w:rFonts w:hint="eastAsia"/>
          <w:lang w:eastAsia="zh-CN"/>
        </w:rPr>
      </w:pPr>
      <w:r>
        <w:rPr>
          <w:rFonts w:hint="eastAsia"/>
          <w:lang w:eastAsia="zh-CN"/>
        </w:rPr>
        <w:t>SOC百分比需要结合可用容量、SOH换算为能量；换算不可靠时，仅完整循环或SOC期初期末差值小于阈值的周期计算往返效率。</w:t>
      </w:r>
    </w:p>
    <w:p w14:paraId="69A2532E">
      <w:pPr>
        <w:bidi w:val="0"/>
        <w:rPr>
          <w:rFonts w:hint="eastAsia"/>
          <w:lang w:eastAsia="zh-CN"/>
        </w:rPr>
      </w:pPr>
      <w:r>
        <w:rPr>
          <w:rFonts w:hint="eastAsia"/>
          <w:lang w:eastAsia="zh-CN"/>
        </w:rPr>
        <w:t>当期初、期末 SOC差值&lt; 5%（或对应能量变化 &lt; 额定容量的 5%）时，</w:t>
      </w:r>
    </w:p>
    <w:p w14:paraId="733CB9EA">
      <w:pPr>
        <w:bidi w:val="0"/>
        <w:ind w:left="0" w:leftChars="0" w:firstLine="0" w:firstLineChars="0"/>
        <w:rPr>
          <w:rFonts w:hint="eastAsia"/>
          <w:lang w:eastAsia="zh-CN"/>
        </w:rPr>
      </w:pPr>
      <w:r>
        <w:rPr>
          <w:rFonts w:hint="eastAsia"/>
          <w:lang w:eastAsia="zh-CN"/>
        </w:rPr>
        <w:t>视为存储能量近似不变，损耗 ≈ 充电总量 − 放电总量，可计算往返效率。</w:t>
      </w:r>
    </w:p>
    <w:p w14:paraId="64B06D3F">
      <w:pPr>
        <w:bidi w:val="0"/>
        <w:rPr>
          <w:rFonts w:hint="eastAsia"/>
          <w:lang w:eastAsia="zh-CN"/>
        </w:rPr>
      </w:pPr>
      <w:r>
        <w:rPr>
          <w:rFonts w:hint="eastAsia"/>
          <w:lang w:eastAsia="zh-CN"/>
        </w:rPr>
        <w:t>超出该范围且非完整循环的周期，不计算</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rPr>
              <w:rPr>
                <w:rFonts w:hint="default" w:ascii="Times New Roman" w:hAnsi="Times New Roman" w:cs="Times New Roman"/>
                <w:i/>
                <w:sz w:val="24"/>
              </w:rPr>
              <m:t>r</m:t>
            </m:r>
            <m:r>
              <m:rPr>
                <m:nor/>
              </m:rPr>
              <w:rPr>
                <w:rFonts w:hint="default" w:cs="Times New Roman"/>
                <w:i/>
                <w:sz w:val="24"/>
                <w:lang w:val="en-US" w:eastAsia="zh-CN"/>
              </w:rPr>
              <m:t>t</m:t>
            </m:r>
            <m:ctrlPr>
              <w:rPr>
                <w:rFonts w:hint="default" w:ascii="Cambria Math" w:hAnsi="Cambria Math" w:cs="Times New Roman"/>
                <w:sz w:val="24"/>
              </w:rPr>
            </m:ctrlPr>
          </m:sub>
        </m:sSub>
      </m:oMath>
      <w:r>
        <w:rPr>
          <w:rFonts w:hint="eastAsia"/>
          <w:lang w:eastAsia="zh-CN"/>
        </w:rPr>
        <w:t>，仅记录充放电量。</w:t>
      </w:r>
    </w:p>
    <w:p w14:paraId="73772011">
      <w:pPr>
        <w:bidi w:val="0"/>
        <w:rPr>
          <w:rFonts w:hint="eastAsia"/>
          <w:lang w:eastAsia="zh-CN"/>
        </w:rPr>
      </w:pPr>
    </w:p>
    <w:p w14:paraId="50584F16">
      <w:pPr>
        <w:bidi w:val="0"/>
        <w:rPr>
          <w:rFonts w:hint="eastAsia"/>
          <w:lang w:eastAsia="zh-CN"/>
        </w:rPr>
      </w:pPr>
      <w:r>
        <w:rPr>
          <w:rFonts w:hint="eastAsia"/>
          <w:lang w:eastAsia="zh-CN"/>
        </w:rPr>
        <w:t>储能系统总损耗 = 电池内部转换损耗 + 辅助系统电耗(E</w:t>
      </w:r>
      <w:r>
        <w:rPr>
          <w:rFonts w:hint="eastAsia"/>
          <w:vertAlign w:val="subscript"/>
          <w:lang w:eastAsia="zh-CN"/>
        </w:rPr>
        <w:t>aux</w:t>
      </w:r>
      <w:r>
        <w:rPr>
          <w:rFonts w:hint="eastAsia"/>
          <w:lang w:eastAsia="zh-CN"/>
        </w:rPr>
        <w:t>)</w:t>
      </w:r>
    </w:p>
    <w:p w14:paraId="67F388C1">
      <w:pPr>
        <w:bidi w:val="0"/>
        <w:rPr>
          <w:rFonts w:hint="eastAsia"/>
          <w:lang w:eastAsia="zh-CN"/>
        </w:rPr>
      </w:pPr>
      <w:r>
        <w:rPr>
          <w:rFonts w:hint="eastAsia"/>
          <w:lang w:eastAsia="zh-CN"/>
        </w:rPr>
        <w:t>其中：</w:t>
      </w:r>
    </w:p>
    <w:p w14:paraId="3DEDD35A">
      <w:pPr>
        <w:bidi w:val="0"/>
        <w:rPr>
          <w:rFonts w:hint="eastAsia"/>
          <w:lang w:eastAsia="zh-CN"/>
        </w:rPr>
      </w:pPr>
      <w:r>
        <w:rPr>
          <w:rFonts w:hint="eastAsia"/>
          <w:lang w:eastAsia="zh-CN"/>
        </w:rPr>
        <w:t>- 电池内部损耗 = 充电量 − 放电量 − ΔE</w:t>
      </w:r>
      <w:r>
        <w:rPr>
          <w:rFonts w:hint="eastAsia"/>
          <w:vertAlign w:val="subscript"/>
          <w:lang w:eastAsia="zh-CN"/>
        </w:rPr>
        <w:t>bat</w:t>
      </w:r>
      <w:r>
        <w:rPr>
          <w:rFonts w:hint="eastAsia"/>
          <w:lang w:eastAsia="zh-CN"/>
        </w:rPr>
        <w:t>（由 η_rt 反映）</w:t>
      </w:r>
    </w:p>
    <w:p w14:paraId="5D804266">
      <w:pPr>
        <w:bidi w:val="0"/>
        <w:rPr>
          <w:rFonts w:hint="eastAsia"/>
          <w:lang w:eastAsia="zh-CN"/>
        </w:rPr>
      </w:pPr>
      <w:r>
        <w:rPr>
          <w:rFonts w:hint="eastAsia"/>
          <w:lang w:eastAsia="zh-CN"/>
        </w:rPr>
        <w:t>- 辅助电耗 = 温控(液冷/空调) + 消防 + 控制系统用电，单独计量</w:t>
      </w:r>
    </w:p>
    <w:p w14:paraId="1CD7A79E">
      <w:pPr>
        <w:bidi w:val="0"/>
        <w:rPr>
          <w:rFonts w:hint="eastAsia"/>
          <w:lang w:eastAsia="zh-CN"/>
        </w:rPr>
      </w:pPr>
      <w:r>
        <w:rPr>
          <w:rFonts w:hint="eastAsia"/>
          <w:lang w:eastAsia="zh-CN"/>
        </w:rPr>
        <w:t>两者在碳核算中分开归因：电池损耗体现在充放电效率中，辅助电耗单独乘因子算排放。</w:t>
      </w:r>
    </w:p>
    <w:p w14:paraId="7E70E4C9">
      <w:pPr>
        <w:pStyle w:val="3"/>
        <w:bidi w:val="0"/>
        <w:rPr>
          <w:lang w:eastAsia="zh-CN"/>
        </w:rPr>
      </w:pPr>
      <w:r>
        <w:rPr>
          <w:lang w:eastAsia="zh-CN"/>
        </w:rPr>
        <w:t>5.</w:t>
      </w:r>
      <w:r>
        <w:rPr>
          <w:rFonts w:hint="eastAsia"/>
          <w:lang w:val="en-US" w:eastAsia="zh-CN"/>
        </w:rPr>
        <w:t>2</w:t>
      </w:r>
      <w:r>
        <w:rPr>
          <w:lang w:eastAsia="zh-CN"/>
        </w:rPr>
        <w:t>　企业温室气体清单核算</w:t>
      </w:r>
    </w:p>
    <w:p w14:paraId="6CD0A44C">
      <w:pPr>
        <w:bidi w:val="0"/>
      </w:pPr>
      <w:r>
        <w:t>企业清单采用经典“活动数据 × 排放因子”核算方法。模块计算外购电力产生排放，接收工艺模块输出范围一结果；禁止将项目减排量作为负排放直接抵扣企业清单账面排放。</w:t>
      </w:r>
    </w:p>
    <w:p w14:paraId="246A05DA">
      <w:pPr>
        <w:bidi w:val="0"/>
        <w:rPr>
          <w:rFonts w:hint="default" w:eastAsia="宋体"/>
          <w:highlight w:val="yellow"/>
          <w:lang w:val="en-US" w:eastAsia="zh-CN"/>
        </w:rPr>
      </w:pPr>
      <w:r>
        <w:rPr>
          <w:rFonts w:hint="eastAsia"/>
          <w:highlight w:val="yellow"/>
          <w:lang w:val="en-US" w:eastAsia="zh-CN"/>
        </w:rPr>
        <w:t>污水厂处理过程中的直接排放=甲烷氧化亚氮+锅炉/发电机烧的天然气、柴油+制冷剂，灭火器泄露量。</w:t>
      </w:r>
    </w:p>
    <w:p w14:paraId="18AD21C6">
      <w:pPr>
        <w:pStyle w:val="23"/>
        <w:rPr>
          <w:rFonts w:eastAsia="宋体"/>
          <w:i w:val="0"/>
        </w:rPr>
      </w:pPr>
      <m:oMathPara>
        <m:oMath>
          <m:sSub>
            <m:sSubPr>
              <m:ctrlPr>
                <w:rPr>
                  <w:rFonts w:eastAsia="宋体"/>
                  <w:i/>
                </w:rPr>
              </m:ctrlPr>
            </m:sSubPr>
            <m:e>
              <m:r>
                <m:rPr/>
                <w:rPr>
                  <w:rFonts w:eastAsia="宋体"/>
                </w:rPr>
                <m:t>C</m:t>
              </m:r>
              <m:ctrlPr>
                <w:rPr>
                  <w:rFonts w:eastAsia="宋体"/>
                  <w:i/>
                </w:rPr>
              </m:ctrlPr>
            </m:e>
            <m:sub>
              <m:r>
                <m:rPr/>
                <w:rPr>
                  <w:rFonts w:eastAsia="宋体"/>
                </w:rPr>
                <m:t>scope1</m:t>
              </m:r>
              <m:ctrlPr>
                <w:rPr>
                  <w:rFonts w:eastAsia="宋体"/>
                  <w:i/>
                </w:rPr>
              </m:ctrlPr>
            </m:sub>
          </m:sSub>
          <m:r>
            <m:rPr/>
            <w:rPr>
              <w:rFonts w:eastAsia="宋体"/>
            </w:rPr>
            <m:t xml:space="preserve">= </m:t>
          </m:r>
          <m:sSub>
            <m:sSubPr>
              <m:ctrlPr>
                <w:rPr>
                  <w:rFonts w:eastAsia="宋体"/>
                  <w:i/>
                </w:rPr>
              </m:ctrlPr>
            </m:sSubPr>
            <m:e>
              <m:r>
                <m:rPr/>
                <w:rPr>
                  <w:rFonts w:eastAsia="宋体"/>
                </w:rPr>
                <m:t>M</m:t>
              </m:r>
              <m:ctrlPr>
                <w:rPr>
                  <w:rFonts w:eastAsia="宋体"/>
                  <w:i/>
                </w:rPr>
              </m:ctrlPr>
            </m:e>
            <m:sub>
              <m:r>
                <m:rPr/>
                <w:rPr>
                  <w:rFonts w:eastAsia="宋体"/>
                </w:rPr>
                <m:t>CH4</m:t>
              </m:r>
              <m:ctrlPr>
                <w:rPr>
                  <w:rFonts w:eastAsia="宋体"/>
                  <w:i/>
                </w:rPr>
              </m:ctrlPr>
            </m:sub>
          </m:sSub>
          <m:r>
            <m:rPr/>
            <w:rPr>
              <w:rFonts w:eastAsia="宋体"/>
            </w:rPr>
            <m:t>× GW</m:t>
          </m:r>
          <m:sSub>
            <m:sSubPr>
              <m:ctrlPr>
                <w:rPr>
                  <w:rFonts w:eastAsia="宋体"/>
                  <w:i/>
                </w:rPr>
              </m:ctrlPr>
            </m:sSubPr>
            <m:e>
              <m:r>
                <m:rPr/>
                <w:rPr>
                  <w:rFonts w:eastAsia="宋体"/>
                </w:rPr>
                <m:t>P</m:t>
              </m:r>
              <m:ctrlPr>
                <w:rPr>
                  <w:rFonts w:eastAsia="宋体"/>
                  <w:i/>
                </w:rPr>
              </m:ctrlPr>
            </m:e>
            <m:sub>
              <m:r>
                <m:rPr/>
                <w:rPr>
                  <w:rFonts w:eastAsia="宋体"/>
                </w:rPr>
                <m:t>CH4</m:t>
              </m:r>
              <m:ctrlPr>
                <w:rPr>
                  <w:rFonts w:eastAsia="宋体"/>
                  <w:i/>
                </w:rPr>
              </m:ctrlPr>
            </m:sub>
          </m:sSub>
          <m:r>
            <m:rPr/>
            <w:rPr>
              <w:rFonts w:eastAsia="宋体"/>
            </w:rPr>
            <m:t xml:space="preserve">+ </m:t>
          </m:r>
          <m:sSub>
            <m:sSubPr>
              <m:ctrlPr>
                <w:rPr>
                  <w:rFonts w:eastAsia="宋体"/>
                  <w:i/>
                </w:rPr>
              </m:ctrlPr>
            </m:sSubPr>
            <m:e>
              <m:r>
                <m:rPr/>
                <w:rPr>
                  <w:rFonts w:eastAsia="宋体"/>
                </w:rPr>
                <m:t>M</m:t>
              </m:r>
              <m:ctrlPr>
                <w:rPr>
                  <w:rFonts w:eastAsia="宋体"/>
                  <w:i/>
                </w:rPr>
              </m:ctrlPr>
            </m:e>
            <m:sub>
              <m:r>
                <m:rPr/>
                <w:rPr>
                  <w:rFonts w:eastAsia="宋体"/>
                </w:rPr>
                <m:t>N2O</m:t>
              </m:r>
              <m:ctrlPr>
                <w:rPr>
                  <w:rFonts w:eastAsia="宋体"/>
                  <w:i/>
                </w:rPr>
              </m:ctrlPr>
            </m:sub>
          </m:sSub>
          <m:r>
            <m:rPr/>
            <w:rPr>
              <w:rFonts w:eastAsia="宋体"/>
            </w:rPr>
            <m:t>× GW</m:t>
          </m:r>
          <m:sSub>
            <m:sSubPr>
              <m:ctrlPr>
                <w:rPr>
                  <w:rFonts w:eastAsia="宋体"/>
                  <w:i/>
                </w:rPr>
              </m:ctrlPr>
            </m:sSubPr>
            <m:e>
              <m:r>
                <m:rPr/>
                <w:rPr>
                  <w:rFonts w:eastAsia="宋体"/>
                </w:rPr>
                <m:t>P</m:t>
              </m:r>
              <m:ctrlPr>
                <w:rPr>
                  <w:rFonts w:eastAsia="宋体"/>
                  <w:i/>
                </w:rPr>
              </m:ctrlPr>
            </m:e>
            <m:sub>
              <m:r>
                <m:rPr/>
                <w:rPr>
                  <w:rFonts w:eastAsia="宋体"/>
                </w:rPr>
                <m:t>N2O</m:t>
              </m:r>
              <m:ctrlPr>
                <w:rPr>
                  <w:rFonts w:eastAsia="宋体"/>
                  <w:i/>
                </w:rPr>
              </m:ctrlPr>
            </m:sub>
          </m:sSub>
          <m:r>
            <m:rPr/>
            <w:rPr>
              <w:rFonts w:eastAsia="宋体"/>
            </w:rPr>
            <m:t>+ Σ</m:t>
          </m:r>
          <m:d>
            <m:dPr>
              <m:ctrlPr>
                <w:rPr>
                  <w:rFonts w:eastAsia="宋体"/>
                  <w:i/>
                </w:rPr>
              </m:ctrlPr>
            </m:dPr>
            <m:e>
              <m:sSub>
                <m:sSubPr>
                  <m:ctrlPr>
                    <w:rPr>
                      <w:rFonts w:eastAsia="宋体"/>
                      <w:i/>
                    </w:rPr>
                  </m:ctrlPr>
                </m:sSubPr>
                <m:e>
                  <m:r>
                    <m:rPr/>
                    <w:rPr>
                      <w:rFonts w:eastAsia="宋体"/>
                    </w:rPr>
                    <m:t>F</m:t>
                  </m:r>
                  <m:ctrlPr>
                    <w:rPr>
                      <w:rFonts w:eastAsia="宋体"/>
                      <w:i/>
                    </w:rPr>
                  </m:ctrlPr>
                </m:e>
                <m:sub>
                  <m:r>
                    <m:rPr/>
                    <w:rPr>
                      <w:rFonts w:eastAsia="宋体"/>
                    </w:rPr>
                    <m:t>j</m:t>
                  </m:r>
                  <m:ctrlPr>
                    <w:rPr>
                      <w:rFonts w:eastAsia="宋体"/>
                      <w:i/>
                    </w:rPr>
                  </m:ctrlPr>
                </m:sub>
              </m:sSub>
              <m:r>
                <m:rPr/>
                <w:rPr>
                  <w:rFonts w:eastAsia="宋体"/>
                </w:rPr>
                <m:t>× E</m:t>
              </m:r>
              <m:sSub>
                <m:sSubPr>
                  <m:ctrlPr>
                    <w:rPr>
                      <w:rFonts w:eastAsia="宋体"/>
                      <w:i/>
                    </w:rPr>
                  </m:ctrlPr>
                </m:sSubPr>
                <m:e>
                  <m:r>
                    <m:rPr/>
                    <w:rPr>
                      <w:rFonts w:eastAsia="宋体"/>
                    </w:rPr>
                    <m:t>F</m:t>
                  </m:r>
                  <m:ctrlPr>
                    <w:rPr>
                      <w:rFonts w:eastAsia="宋体"/>
                      <w:i/>
                    </w:rPr>
                  </m:ctrlPr>
                </m:e>
                <m:sub>
                  <m:r>
                    <m:rPr/>
                    <w:rPr>
                      <w:rFonts w:eastAsia="宋体"/>
                    </w:rPr>
                    <m:t>fuel</m:t>
                  </m:r>
                  <m:r>
                    <m:rPr>
                      <m:sty m:val="p"/>
                    </m:rPr>
                    <w:rPr>
                      <w:rFonts w:hint="default" w:eastAsia="宋体"/>
                      <w:lang w:val="en-US" w:eastAsia="zh-CN"/>
                    </w:rPr>
                    <m:t>,j</m:t>
                  </m:r>
                  <m:ctrlPr>
                    <w:rPr>
                      <w:rFonts w:eastAsia="宋体"/>
                      <w:i/>
                    </w:rPr>
                  </m:ctrlPr>
                </m:sub>
              </m:sSub>
              <m:ctrlPr>
                <w:rPr>
                  <w:rFonts w:eastAsia="宋体"/>
                  <w:i/>
                </w:rPr>
              </m:ctrlPr>
            </m:e>
          </m:d>
          <m:r>
            <m:rPr/>
            <w:rPr>
              <w:rFonts w:eastAsia="宋体"/>
            </w:rPr>
            <m:t xml:space="preserve">+ </m:t>
          </m:r>
          <m:sSub>
            <m:sSubPr>
              <m:ctrlPr>
                <w:rPr>
                  <w:rFonts w:eastAsia="宋体"/>
                  <w:i/>
                </w:rPr>
              </m:ctrlPr>
            </m:sSubPr>
            <m:e>
              <m:r>
                <m:rPr/>
                <w:rPr>
                  <w:rFonts w:eastAsia="宋体"/>
                </w:rPr>
                <m:t>C</m:t>
              </m:r>
              <m:ctrlPr>
                <w:rPr>
                  <w:rFonts w:eastAsia="宋体"/>
                  <w:i/>
                </w:rPr>
              </m:ctrlPr>
            </m:e>
            <m:sub>
              <m:r>
                <m:rPr/>
                <w:rPr>
                  <w:rFonts w:eastAsia="宋体"/>
                </w:rPr>
                <m:t>fugitive</m:t>
              </m:r>
              <m:ctrlPr>
                <w:rPr>
                  <w:rFonts w:eastAsia="宋体"/>
                  <w:i/>
                </w:rPr>
              </m:ctrlPr>
            </m:sub>
          </m:sSub>
        </m:oMath>
      </m:oMathPara>
    </w:p>
    <w:p w14:paraId="1A1C7756">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scope</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oMath>
      <w:r>
        <w:rPr>
          <w:rFonts w:hint="eastAsia" w:hAnsi="Cambria Math" w:cs="Times New Roman"/>
          <w:i w:val="0"/>
          <w:sz w:val="24"/>
          <w:lang w:val="en-US" w:eastAsia="zh-CN"/>
        </w:rPr>
        <w:t>是</w:t>
      </w:r>
      <w:r>
        <w:t>范围一总直接温室气体排放；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sSub>
              <m:sSubPr>
                <m:ctrlPr>
                  <w:rPr>
                    <w:rFonts w:hint="default" w:ascii="Cambria Math" w:hAnsi="Cambria Math" w:cs="Times New Roman"/>
                    <w:sz w:val="24"/>
                  </w:rPr>
                </m:ctrlPr>
              </m:sSubPr>
              <m:e>
                <m:r>
                  <m:rPr>
                    <m:nor/>
                  </m:rPr>
                  <w:rPr>
                    <w:rFonts w:hint="default" w:ascii="Times New Roman" w:hAnsi="Times New Roman" w:cs="Times New Roman"/>
                    <w:i/>
                    <w:sz w:val="24"/>
                  </w:rPr>
                  <m:t>CH</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4</m:t>
                </m:r>
                <m:ctrlPr>
                  <w:rPr>
                    <w:rFonts w:hint="default" w:ascii="Cambria Math" w:hAnsi="Cambria Math" w:cs="Times New Roman"/>
                    <w:sz w:val="24"/>
                  </w:rPr>
                </m:ctrlPr>
              </m:sub>
            </m:sSub>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sSub>
              <m:sSubPr>
                <m:ctrlPr>
                  <w:rPr>
                    <w:rFonts w:hint="default" w:ascii="Cambria Math" w:hAnsi="Cambria Math" w:cs="Times New Roman"/>
                    <w:sz w:val="24"/>
                  </w:rPr>
                </m:ctrlPr>
              </m:sSubPr>
              <m:e>
                <m:r>
                  <m:rPr>
                    <m:nor/>
                  </m:rPr>
                  <w:rPr>
                    <w:rFonts w:hint="default" w:ascii="Times New Roman" w:hAnsi="Times New Roman" w:cs="Times New Roman"/>
                    <w:i/>
                    <w:sz w:val="24"/>
                  </w:rPr>
                  <m:t>N</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rPr>
              <w:rPr>
                <w:rFonts w:hint="default" w:ascii="Times New Roman" w:hAnsi="Times New Roman" w:cs="Times New Roman"/>
                <w:i/>
                <w:sz w:val="24"/>
              </w:rPr>
              <m:t>O</m:t>
            </m:r>
            <m:ctrlPr>
              <w:rPr>
                <w:rFonts w:hint="default" w:ascii="Cambria Math" w:hAnsi="Cambria Math" w:cs="Times New Roman"/>
                <w:sz w:val="24"/>
              </w:rPr>
            </m:ctrlPr>
          </m:sub>
        </m:sSub>
      </m:oMath>
      <w:r>
        <w:rPr>
          <w:rFonts w:hint="eastAsia" w:hAnsi="Cambria Math" w:cs="Times New Roman"/>
          <w:i w:val="0"/>
          <w:sz w:val="24"/>
          <w:lang w:val="en-US" w:eastAsia="zh-CN"/>
        </w:rPr>
        <w:t>是</w:t>
      </w:r>
      <w:r>
        <w:t>甲烷、氧化亚氮产生量；</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GWP</m:t>
            </m:r>
            <m:ctrlPr>
              <w:rPr>
                <w:rFonts w:hint="default" w:ascii="Cambria Math" w:hAnsi="Cambria Math" w:cs="Times New Roman"/>
                <w:sz w:val="24"/>
              </w:rPr>
            </m:ctrlPr>
          </m:e>
          <m:sub>
            <m:sSub>
              <m:sSubPr>
                <m:ctrlPr>
                  <w:rPr>
                    <w:rFonts w:hint="default" w:ascii="Cambria Math" w:hAnsi="Cambria Math" w:cs="Times New Roman"/>
                    <w:sz w:val="24"/>
                  </w:rPr>
                </m:ctrlPr>
              </m:sSubPr>
              <m:e>
                <m:r>
                  <m:rPr>
                    <m:nor/>
                  </m:rPr>
                  <w:rPr>
                    <w:rFonts w:hint="default" w:ascii="Times New Roman" w:hAnsi="Times New Roman" w:cs="Times New Roman"/>
                    <w:i/>
                    <w:sz w:val="24"/>
                  </w:rPr>
                  <m:t>CH</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4</m:t>
                </m:r>
                <m:ctrlPr>
                  <w:rPr>
                    <w:rFonts w:hint="default" w:ascii="Cambria Math" w:hAnsi="Cambria Math" w:cs="Times New Roman"/>
                    <w:sz w:val="24"/>
                  </w:rPr>
                </m:ctrlPr>
              </m:sub>
            </m:sSub>
            <m:ctrlPr>
              <w:rPr>
                <w:rFonts w:hint="default" w:ascii="Cambria Math" w:hAnsi="Cambria Math" w:cs="Times New Roman"/>
                <w:sz w:val="24"/>
              </w:rPr>
            </m:ctrlPr>
          </m:sub>
        </m:sSub>
      </m:oMath>
      <w: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GWP</m:t>
            </m:r>
            <m:ctrlPr>
              <w:rPr>
                <w:rFonts w:hint="default" w:ascii="Cambria Math" w:hAnsi="Cambria Math" w:cs="Times New Roman"/>
                <w:sz w:val="24"/>
              </w:rPr>
            </m:ctrlPr>
          </m:e>
          <m:sub>
            <m:sSub>
              <m:sSubPr>
                <m:ctrlPr>
                  <w:rPr>
                    <w:rFonts w:hint="default" w:ascii="Cambria Math" w:hAnsi="Cambria Math" w:cs="Times New Roman"/>
                    <w:sz w:val="24"/>
                  </w:rPr>
                </m:ctrlPr>
              </m:sSubPr>
              <m:e>
                <m:r>
                  <m:rPr>
                    <m:nor/>
                  </m:rPr>
                  <w:rPr>
                    <w:rFonts w:hint="default" w:ascii="Times New Roman" w:hAnsi="Times New Roman" w:cs="Times New Roman"/>
                    <w:i/>
                    <w:sz w:val="24"/>
                  </w:rPr>
                  <m:t>N</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rPr>
              <w:rPr>
                <w:rFonts w:hint="default" w:ascii="Times New Roman" w:hAnsi="Times New Roman" w:cs="Times New Roman"/>
                <w:i/>
                <w:sz w:val="24"/>
              </w:rPr>
              <m:t>O</m:t>
            </m:r>
            <m:ctrlPr>
              <w:rPr>
                <w:rFonts w:hint="default" w:ascii="Cambria Math" w:hAnsi="Cambria Math" w:cs="Times New Roman"/>
                <w:sz w:val="24"/>
              </w:rPr>
            </m:ctrlPr>
          </m:sub>
        </m:sSub>
      </m:oMath>
      <w:r>
        <w:rPr>
          <w:rFonts w:hint="eastAsia" w:hAnsi="Cambria Math" w:cs="Times New Roman"/>
          <w:i w:val="0"/>
          <w:sz w:val="24"/>
          <w:lang w:val="en-US" w:eastAsia="zh-CN"/>
        </w:rPr>
        <w:t>是</w:t>
      </w:r>
      <w:r>
        <w:t>甲烷、氧化亚氮全球增温潜势</w:t>
      </w:r>
      <w:r>
        <w:rPr>
          <w:rFonts w:hint="eastAsia"/>
          <w:lang w:val="en-US" w:eastAsia="zh-CN"/>
        </w:rPr>
        <w:t>即</w:t>
      </w:r>
      <w:r>
        <w:rPr>
          <w:rFonts w:hint="eastAsia"/>
        </w:rPr>
        <w:t>CH</w:t>
      </w:r>
      <w:r>
        <w:rPr>
          <w:rFonts w:hint="eastAsia"/>
          <w:vertAlign w:val="subscript"/>
          <w:lang w:val="en-US" w:eastAsia="zh-CN"/>
        </w:rPr>
        <w:t>4</w:t>
      </w:r>
      <w:r>
        <w:rPr>
          <w:rFonts w:hint="eastAsia"/>
        </w:rPr>
        <w:t>、N</w:t>
      </w:r>
      <w:r>
        <w:rPr>
          <w:rFonts w:hint="eastAsia"/>
          <w:vertAlign w:val="subscript"/>
          <w:lang w:val="en-US" w:eastAsia="zh-CN"/>
        </w:rPr>
        <w:t>2</w:t>
      </w:r>
      <w:r>
        <w:rPr>
          <w:rFonts w:hint="eastAsia"/>
        </w:rPr>
        <w:t>O换算成等效 CO</w:t>
      </w:r>
      <w:r>
        <w:rPr>
          <w:rFonts w:hint="eastAsia"/>
          <w:vertAlign w:val="subscript"/>
          <w:lang w:val="en-US" w:eastAsia="zh-CN"/>
        </w:rPr>
        <w:t>2</w:t>
      </w:r>
      <w:r>
        <w:rPr>
          <w:rFonts w:hint="eastAsia"/>
        </w:rPr>
        <w:t>的系数</w:t>
      </w:r>
      <w: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oMath>
      <w:r>
        <w:rPr>
          <w:rFonts w:hint="eastAsia" w:hAnsi="Cambria Math" w:cs="Times New Roman"/>
          <w:i w:val="0"/>
          <w:sz w:val="24"/>
          <w:lang w:val="en-US" w:eastAsia="zh-CN"/>
        </w:rPr>
        <w:t>表示</w:t>
      </w:r>
      <w:r>
        <w:t>第</w:t>
      </w:r>
      <w:r>
        <w:rPr>
          <w:i/>
          <w:iCs/>
        </w:rPr>
        <w:t>j</w:t>
      </w:r>
      <w:r>
        <w:t>类燃料消耗量；</w:t>
      </w:r>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fuel</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ctrlPr>
              <w:rPr>
                <w:rFonts w:hint="default" w:ascii="Cambria Math" w:hAnsi="Cambria Math" w:cs="Times New Roman"/>
                <w:sz w:val="24"/>
              </w:rPr>
            </m:ctrlPr>
          </m:sub>
        </m:sSub>
      </m:oMath>
      <w:r>
        <w:rPr>
          <w:rFonts w:hint="eastAsia" w:hAnsi="Cambria Math" w:cs="Times New Roman"/>
          <w:i w:val="0"/>
          <w:sz w:val="24"/>
          <w:lang w:val="en-US" w:eastAsia="zh-CN"/>
        </w:rPr>
        <w:t>是</w:t>
      </w:r>
      <w:r>
        <w:t>第</w:t>
      </w:r>
      <w:r>
        <w:rPr>
          <w:i/>
          <w:iCs/>
        </w:rPr>
        <w:t>j</w:t>
      </w:r>
      <w:r>
        <w:t>类燃料排放因子；</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fugitive</m:t>
            </m:r>
            <m:ctrlPr>
              <w:rPr>
                <w:rFonts w:hint="default" w:ascii="Cambria Math" w:hAnsi="Cambria Math" w:cs="Times New Roman"/>
                <w:sz w:val="24"/>
              </w:rPr>
            </m:ctrlPr>
          </m:sub>
        </m:sSub>
      </m:oMath>
      <w:r>
        <w:rPr>
          <w:rFonts w:hint="eastAsia" w:hAnsi="Cambria Math" w:cs="Times New Roman"/>
          <w:i w:val="0"/>
          <w:sz w:val="24"/>
          <w:lang w:val="en-US" w:eastAsia="zh-CN"/>
        </w:rPr>
        <w:t>是</w:t>
      </w:r>
      <w:r>
        <w:t>设备介质泄漏产生排放。</w:t>
      </w:r>
    </w:p>
    <w:p w14:paraId="3C931901">
      <w:pPr>
        <w:bidi w:val="0"/>
        <w:rPr/>
      </w:pPr>
      <w:r>
        <w:t>CH₄ 排放（厌氧处理环节）：</w:t>
      </w:r>
    </w:p>
    <w:p w14:paraId="22A63112">
      <w:pPr>
        <w:bidi w:val="0"/>
        <w:ind w:left="0" w:leftChars="0" w:firstLine="0" w:firstLineChars="0"/>
        <w:rPr/>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C</m:t>
              </m:r>
              <m:r>
                <m:rPr>
                  <m:nor/>
                </m:rPr>
                <w:rPr>
                  <w:rFonts w:hint="default" w:cs="Times New Roman"/>
                  <w:i/>
                  <w:sz w:val="24"/>
                  <w:lang w:val="en-US" w:eastAsia="zh-CN"/>
                </w:rPr>
                <m:t>H</m:t>
              </m:r>
              <m:r>
                <m:rPr>
                  <m:nor/>
                  <m:sty m:val="p"/>
                </m:rPr>
                <w:rPr>
                  <w:rFonts w:hint="default" w:cs="Times New Roman"/>
                  <w:i w:val="0"/>
                  <w:sz w:val="24"/>
                  <w:lang w:val="en-US" w:eastAsia="zh-CN"/>
                </w:rPr>
                <m:t>4</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CO</m:t>
          </m:r>
          <m:sSub>
            <m:sSubPr>
              <m:ctrlPr>
                <w:rPr>
                  <w:rFonts w:hint="default" w:ascii="Cambria Math" w:hAnsi="Cambria Math" w:cs="Times New Roman"/>
                  <w:sz w:val="24"/>
                </w:rPr>
              </m:ctrlPr>
            </m:sSubPr>
            <m:e>
              <m:r>
                <m:rPr>
                  <m:nor/>
                </m:rPr>
                <w:rPr>
                  <w:rFonts w:hint="default" w:ascii="Times New Roman" w:hAnsi="Times New Roman" w:cs="Times New Roman"/>
                  <w:i/>
                  <w:sz w:val="24"/>
                </w:rPr>
                <m:t>D</m:t>
              </m:r>
              <m:ctrlPr>
                <w:rPr>
                  <w:rFonts w:hint="default" w:ascii="Cambria Math" w:hAnsi="Cambria Math" w:cs="Times New Roman"/>
                  <w:sz w:val="24"/>
                </w:rPr>
              </m:ctrlPr>
            </m:e>
            <m:sub>
              <m:r>
                <m:rPr>
                  <m:nor/>
                </m:rPr>
                <w:rPr>
                  <w:rFonts w:hint="default" w:ascii="Times New Roman" w:hAnsi="Times New Roman" w:cs="Times New Roman"/>
                  <w:i/>
                  <w:sz w:val="24"/>
                </w:rPr>
                <m:t>i</m:t>
              </m:r>
              <m:r>
                <m:rPr>
                  <m:nor/>
                </m:rPr>
                <w:rPr>
                  <w:rFonts w:hint="default" w:cs="Times New Roman"/>
                  <w:i/>
                  <w:sz w:val="24"/>
                  <w:lang w:val="en-US" w:eastAsia="zh-CN"/>
                </w:rPr>
                <m:t>n</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CO</m:t>
          </m:r>
          <m:sSub>
            <m:sSubPr>
              <m:ctrlPr>
                <w:rPr>
                  <w:rFonts w:hint="default" w:ascii="Cambria Math" w:hAnsi="Cambria Math" w:cs="Times New Roman"/>
                  <w:sz w:val="24"/>
                </w:rPr>
              </m:ctrlPr>
            </m:sSubPr>
            <m:e>
              <m:r>
                <m:rPr>
                  <m:nor/>
                </m:rPr>
                <w:rPr>
                  <w:rFonts w:hint="default" w:ascii="Times New Roman" w:hAnsi="Times New Roman" w:cs="Times New Roman"/>
                  <w:i/>
                  <w:sz w:val="24"/>
                </w:rPr>
                <m:t>D</m:t>
              </m:r>
              <m:ctrlPr>
                <w:rPr>
                  <w:rFonts w:hint="default" w:ascii="Cambria Math" w:hAnsi="Cambria Math" w:cs="Times New Roman"/>
                  <w:sz w:val="24"/>
                </w:rPr>
              </m:ctrlPr>
            </m:e>
            <m:sub>
              <m:r>
                <m:rPr>
                  <m:nor/>
                </m:rPr>
                <w:rPr>
                  <w:rFonts w:hint="default" w:ascii="Times New Roman" w:hAnsi="Times New Roman" w:cs="Times New Roman"/>
                  <w:i/>
                  <w:sz w:val="24"/>
                </w:rPr>
                <m:t>e</m:t>
              </m:r>
              <m:r>
                <m:rPr>
                  <m:nor/>
                </m:rPr>
                <w:rPr>
                  <w:rFonts w:hint="default" w:cs="Times New Roman"/>
                  <w:i/>
                  <w:sz w:val="24"/>
                  <w:lang w:val="en-US" w:eastAsia="zh-CN"/>
                </w:rPr>
                <m:t>ff</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CO</m:t>
          </m:r>
          <m:sSub>
            <m:sSubPr>
              <m:ctrlPr>
                <w:rPr>
                  <w:rFonts w:hint="default" w:ascii="Cambria Math" w:hAnsi="Cambria Math" w:cs="Times New Roman"/>
                  <w:sz w:val="24"/>
                </w:rPr>
              </m:ctrlPr>
            </m:sSubPr>
            <m:e>
              <m:r>
                <m:rPr>
                  <m:nor/>
                </m:rPr>
                <w:rPr>
                  <w:rFonts w:hint="default" w:ascii="Times New Roman" w:hAnsi="Times New Roman" w:cs="Times New Roman"/>
                  <w:i/>
                  <w:sz w:val="24"/>
                </w:rPr>
                <m:t>D</m:t>
              </m:r>
              <m:ctrlPr>
                <w:rPr>
                  <w:rFonts w:hint="default" w:ascii="Cambria Math" w:hAnsi="Cambria Math" w:cs="Times New Roman"/>
                  <w:sz w:val="24"/>
                </w:rPr>
              </m:ctrlPr>
            </m:e>
            <m:sub>
              <m:r>
                <m:rPr>
                  <m:nor/>
                </m:rPr>
                <w:rPr>
                  <w:rFonts w:hint="default" w:ascii="Times New Roman" w:hAnsi="Times New Roman" w:cs="Times New Roman"/>
                  <w:i/>
                  <w:sz w:val="24"/>
                </w:rPr>
                <m:t>s</m:t>
              </m:r>
              <m:r>
                <m:rPr>
                  <m:nor/>
                </m:rPr>
                <w:rPr>
                  <w:rFonts w:hint="default" w:cs="Times New Roman"/>
                  <w:i/>
                  <w:sz w:val="24"/>
                  <w:lang w:val="en-US" w:eastAsia="zh-CN"/>
                </w:rPr>
                <m:t>ludge</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MCF</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B</m:t>
          </m:r>
          <m:r>
            <m:rPr>
              <m:nor/>
              <m:sty m:val="p"/>
            </m:rPr>
            <w:rPr>
              <w:rFonts w:hint="default" w:ascii="Times New Roman" w:hAnsi="Times New Roman" w:cs="Times New Roman"/>
              <w:i w:val="0"/>
              <w:sz w:val="24"/>
            </w:rPr>
            <m:t>₀×</m:t>
          </m:r>
          <m:r>
            <m:rPr>
              <m:nor/>
            </m:rPr>
            <w:rPr>
              <w:rFonts w:hint="default" w:ascii="Times New Roman" w:hAnsi="Times New Roman" w:cs="Times New Roman"/>
              <w:i/>
              <w:sz w:val="24"/>
            </w:rPr>
            <m:t>GW</m:t>
          </m:r>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C</m:t>
              </m:r>
              <m:r>
                <m:rPr>
                  <m:nor/>
                </m:rPr>
                <w:rPr>
                  <w:rFonts w:hint="default" w:cs="Times New Roman"/>
                  <w:i/>
                  <w:sz w:val="24"/>
                  <w:lang w:val="en-US" w:eastAsia="zh-CN"/>
                </w:rPr>
                <m:t>H</m:t>
              </m:r>
              <m:r>
                <m:rPr>
                  <m:nor/>
                  <m:sty m:val="p"/>
                </m:rPr>
                <w:rPr>
                  <w:rFonts w:hint="default" w:cs="Times New Roman"/>
                  <w:i w:val="0"/>
                  <w:sz w:val="24"/>
                  <w:lang w:val="en-US" w:eastAsia="zh-CN"/>
                </w:rPr>
                <m:t>4</m:t>
              </m:r>
              <m:ctrlPr>
                <w:rPr>
                  <w:rFonts w:hint="default" w:ascii="Cambria Math" w:hAnsi="Cambria Math" w:cs="Times New Roman"/>
                  <w:sz w:val="24"/>
                </w:rPr>
              </m:ctrlPr>
            </m:sub>
          </m:sSub>
        </m:oMath>
      </m:oMathPara>
    </w:p>
    <w:p w14:paraId="748889DE">
      <w:pPr>
        <w:bidi w:val="0"/>
        <w:ind w:left="0" w:leftChars="0" w:firstLine="0" w:firstLineChars="0"/>
        <w:rPr/>
      </w:pPr>
      <w:r>
        <w:t>其中：</w:t>
      </w:r>
    </w:p>
    <w:p w14:paraId="2DD7B7E6">
      <w:pPr>
        <w:bidi w:val="0"/>
        <w:ind w:left="0" w:leftChars="0" w:firstLine="0" w:firstLineChars="0"/>
        <w:rPr/>
      </w:pPr>
      <w:r>
        <w:t>- COD</w:t>
      </w:r>
      <w:r>
        <w:rPr>
          <w:vertAlign w:val="subscript"/>
        </w:rPr>
        <w:t>in</w:t>
      </w:r>
      <w:r>
        <w:t>/COD</w:t>
      </w:r>
      <w:r>
        <w:rPr>
          <w:vertAlign w:val="subscript"/>
        </w:rPr>
        <w:t>eff</w:t>
      </w:r>
      <w:r>
        <w:t>：进/出水 COD 质量（kg）</w:t>
      </w:r>
    </w:p>
    <w:p w14:paraId="60E16DC4">
      <w:pPr>
        <w:bidi w:val="0"/>
        <w:ind w:left="0" w:leftChars="0" w:firstLine="0" w:firstLineChars="0"/>
        <w:rPr/>
      </w:pPr>
      <w:r>
        <w:t>- COD</w:t>
      </w:r>
      <w:r>
        <w:rPr>
          <w:vertAlign w:val="subscript"/>
        </w:rPr>
        <w:t>sludge</w:t>
      </w:r>
      <w:r>
        <w:t>：剩余污泥中 COD 量（kg）</w:t>
      </w:r>
    </w:p>
    <w:p w14:paraId="68A1C02F">
      <w:pPr>
        <w:bidi w:val="0"/>
        <w:ind w:left="0" w:leftChars="0" w:firstLine="0" w:firstLineChars="0"/>
        <w:rPr/>
      </w:pPr>
      <w:r>
        <w:t>- MCF：甲烷修正因子，好氧池取 0，厌氧池取 0.1~0.8（依工艺）</w:t>
      </w:r>
    </w:p>
    <w:p w14:paraId="1CECEA62">
      <w:pPr>
        <w:bidi w:val="0"/>
        <w:ind w:left="0" w:leftChars="0" w:firstLine="0" w:firstLineChars="0"/>
        <w:rPr/>
      </w:pPr>
      <w:r>
        <w:t>- B₀：最大产甲烷潜能，取 0.25 kg CH₄/kg COD（IPCC 默认值）</w:t>
      </w:r>
    </w:p>
    <w:p w14:paraId="59C13799">
      <w:pPr>
        <w:bidi w:val="0"/>
        <w:ind w:left="0" w:leftChars="0" w:firstLine="0" w:firstLineChars="0"/>
        <w:rPr/>
      </w:pPr>
      <w:r>
        <w:t>- GWP_CH4：取 28（IPCC AR5）或 27.9（AR6），需注明版本</w:t>
      </w:r>
    </w:p>
    <w:p w14:paraId="72F16781">
      <w:pPr>
        <w:bidi w:val="0"/>
        <w:ind w:left="0" w:leftChars="0" w:firstLine="480" w:firstLineChars="200"/>
        <w:rPr/>
      </w:pPr>
      <w:r>
        <w:t>N₂O 排放（硝化反硝化环节）：</w:t>
      </w:r>
    </w:p>
    <w:p w14:paraId="543BE8DE">
      <w:pPr>
        <w:bidi w:val="0"/>
        <w:ind w:left="0" w:leftChars="0" w:firstLine="0" w:firstLineChars="0"/>
        <w:rPr/>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N</m:t>
              </m:r>
              <m:r>
                <m:rPr>
                  <m:nor/>
                  <m:sty m:val="p"/>
                </m:rPr>
                <w:rPr>
                  <w:rFonts w:hint="default" w:cs="Times New Roman"/>
                  <w:i w:val="0"/>
                  <w:sz w:val="24"/>
                  <w:lang w:val="en-US" w:eastAsia="zh-CN"/>
                </w:rPr>
                <m:t>2O</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T</m:t>
          </m:r>
          <m:sSub>
            <m:sSubPr>
              <m:ctrlPr>
                <w:rPr>
                  <w:rFonts w:hint="default" w:ascii="Cambria Math" w:hAnsi="Cambria Math" w:cs="Times New Roman"/>
                  <w:sz w:val="24"/>
                </w:rPr>
              </m:ctrlPr>
            </m:sSubPr>
            <m:e>
              <m:r>
                <m:rPr>
                  <m:nor/>
                </m:rPr>
                <w:rPr>
                  <w:rFonts w:hint="default" w:ascii="Times New Roman" w:hAnsi="Times New Roman" w:cs="Times New Roman"/>
                  <w:i/>
                  <w:sz w:val="24"/>
                </w:rPr>
                <m:t>N</m:t>
              </m:r>
              <m:ctrlPr>
                <w:rPr>
                  <w:rFonts w:hint="default" w:ascii="Cambria Math" w:hAnsi="Cambria Math" w:cs="Times New Roman"/>
                  <w:sz w:val="24"/>
                </w:rPr>
              </m:ctrlPr>
            </m:e>
            <m:sub>
              <m:r>
                <m:rPr>
                  <m:nor/>
                </m:rPr>
                <w:rPr>
                  <w:rFonts w:hint="default" w:ascii="Times New Roman" w:hAnsi="Times New Roman" w:cs="Times New Roman"/>
                  <w:i/>
                  <w:sz w:val="24"/>
                </w:rPr>
                <m:t>i</m:t>
              </m:r>
              <m:r>
                <m:rPr>
                  <m:nor/>
                </m:rPr>
                <w:rPr>
                  <w:rFonts w:hint="default" w:cs="Times New Roman"/>
                  <w:i/>
                  <w:sz w:val="24"/>
                  <w:lang w:val="en-US" w:eastAsia="zh-CN"/>
                </w:rPr>
                <m:t>n</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T</m:t>
          </m:r>
          <m:sSub>
            <m:sSubPr>
              <m:ctrlPr>
                <w:rPr>
                  <w:rFonts w:hint="default" w:ascii="Cambria Math" w:hAnsi="Cambria Math" w:cs="Times New Roman"/>
                  <w:sz w:val="24"/>
                </w:rPr>
              </m:ctrlPr>
            </m:sSubPr>
            <m:e>
              <m:r>
                <m:rPr>
                  <m:nor/>
                </m:rPr>
                <w:rPr>
                  <w:rFonts w:hint="default" w:ascii="Times New Roman" w:hAnsi="Times New Roman" w:cs="Times New Roman"/>
                  <w:i/>
                  <w:sz w:val="24"/>
                </w:rPr>
                <m:t>N</m:t>
              </m:r>
              <m:ctrlPr>
                <w:rPr>
                  <w:rFonts w:hint="default" w:ascii="Cambria Math" w:hAnsi="Cambria Math" w:cs="Times New Roman"/>
                  <w:sz w:val="24"/>
                </w:rPr>
              </m:ctrlPr>
            </m:e>
            <m:sub>
              <m:r>
                <m:rPr>
                  <m:nor/>
                </m:rPr>
                <w:rPr>
                  <w:rFonts w:hint="default" w:ascii="Times New Roman" w:hAnsi="Times New Roman" w:cs="Times New Roman"/>
                  <w:i/>
                  <w:sz w:val="24"/>
                </w:rPr>
                <m:t>e</m:t>
              </m:r>
              <m:r>
                <m:rPr>
                  <m:nor/>
                </m:rPr>
                <w:rPr>
                  <w:rFonts w:hint="default" w:cs="Times New Roman"/>
                  <w:i/>
                  <w:sz w:val="24"/>
                  <w:lang w:val="en-US" w:eastAsia="zh-CN"/>
                </w:rPr>
                <m:t>ff</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N</m:t>
              </m:r>
              <m:r>
                <m:rPr>
                  <m:nor/>
                  <m:sty m:val="p"/>
                </m:rPr>
                <w:rPr>
                  <w:rFonts w:hint="default" w:cs="Times New Roman"/>
                  <w:i w:val="0"/>
                  <w:sz w:val="24"/>
                  <w:lang w:val="en-US" w:eastAsia="zh-CN"/>
                </w:rPr>
                <m:t>2O</m:t>
              </m:r>
              <m:ctrlPr>
                <w:rPr>
                  <w:rFonts w:hint="default" w:ascii="Cambria Math" w:hAnsi="Cambria Math" w:cs="Times New Roman"/>
                  <w:sz w:val="24"/>
                </w:rPr>
              </m:ctrlPr>
            </m:sub>
          </m:sSub>
          <m:r>
            <m:rPr>
              <m:nor/>
              <m:sty m:val="p"/>
            </m:rPr>
            <w:rPr>
              <w:rFonts w:hint="default" w:ascii="Times New Roman" w:hAnsi="Times New Roman" w:cs="Times New Roman"/>
              <w:i w:val="0"/>
              <w:sz w:val="24"/>
            </w:rPr>
            <m:t>×(44/28)×</m:t>
          </m:r>
          <m:r>
            <m:rPr>
              <m:nor/>
            </m:rPr>
            <w:rPr>
              <w:rFonts w:hint="default" w:ascii="Times New Roman" w:hAnsi="Times New Roman" w:cs="Times New Roman"/>
              <w:i/>
              <w:sz w:val="24"/>
            </w:rPr>
            <m:t>GW</m:t>
          </m:r>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N</m:t>
              </m:r>
              <m:r>
                <m:rPr>
                  <m:nor/>
                  <m:sty m:val="p"/>
                </m:rPr>
                <w:rPr>
                  <w:rFonts w:hint="default" w:cs="Times New Roman"/>
                  <w:i w:val="0"/>
                  <w:sz w:val="24"/>
                  <w:lang w:val="en-US" w:eastAsia="zh-CN"/>
                </w:rPr>
                <m:t>2O</m:t>
              </m:r>
              <m:ctrlPr>
                <w:rPr>
                  <w:rFonts w:hint="default" w:ascii="Cambria Math" w:hAnsi="Cambria Math" w:cs="Times New Roman"/>
                  <w:sz w:val="24"/>
                </w:rPr>
              </m:ctrlPr>
            </m:sub>
          </m:sSub>
        </m:oMath>
      </m:oMathPara>
    </w:p>
    <w:p w14:paraId="6229354D">
      <w:pPr>
        <w:bidi w:val="0"/>
        <w:ind w:left="0" w:leftChars="0" w:firstLine="0" w:firstLineChars="0"/>
        <w:rPr/>
      </w:pPr>
      <w:r>
        <w:t>其中：</w:t>
      </w:r>
    </w:p>
    <w:p w14:paraId="6B5F75CA">
      <w:pPr>
        <w:bidi w:val="0"/>
        <w:ind w:left="0" w:leftChars="0" w:firstLine="0" w:firstLineChars="0"/>
        <w:rPr/>
      </w:pPr>
      <w:r>
        <w:t>- TN_in/TN_eff：进/出水总氮质量（kg N）</w:t>
      </w:r>
    </w:p>
    <w:p w14:paraId="0B23384A">
      <w:pPr>
        <w:bidi w:val="0"/>
        <w:ind w:left="0" w:leftChars="0" w:firstLine="0" w:firstLineChars="0"/>
        <w:rPr/>
      </w:pPr>
      <w:r>
        <w:t>- EF_N2O：IPCC 默认 0.005 kg N₂O-N/kg N，国内实测可按工艺取 0.003~0.025</w:t>
      </w:r>
    </w:p>
    <w:p w14:paraId="4E1EF0E4">
      <w:pPr>
        <w:bidi w:val="0"/>
        <w:ind w:left="0" w:leftChars="0" w:firstLine="0" w:firstLineChars="0"/>
        <w:rPr/>
      </w:pPr>
      <w:r>
        <w:t>- 44/28：N₂O 与 N 的摩尔质量比</w:t>
      </w:r>
    </w:p>
    <w:p w14:paraId="4DF799BA">
      <w:pPr>
        <w:bidi w:val="0"/>
        <w:ind w:left="0" w:leftChars="0" w:firstLine="0" w:firstLineChars="0"/>
      </w:pPr>
      <w:r>
        <w:t>- GWP_N2O：取 265（AR5）或 273（AR6）</w:t>
      </w:r>
    </w:p>
    <w:p w14:paraId="0DA9886D">
      <w:pPr>
        <w:bidi w:val="0"/>
        <w:ind w:left="0" w:leftChars="0" w:firstLine="480" w:firstLineChars="200"/>
      </w:pPr>
      <w:r>
        <w:rPr>
          <w:rFonts w:hint="eastAsia"/>
        </w:rPr>
        <w:t>参考《城镇污水处理厂污染物去除协同控制温室气体核算技术指南（试行）》</w:t>
      </w:r>
    </w:p>
    <w:p w14:paraId="12AAB669">
      <w:pPr>
        <w:bidi w:val="0"/>
        <w:ind w:left="0" w:leftChars="0" w:firstLine="0" w:firstLineChars="0"/>
        <w:rPr>
          <w:rFonts w:hint="default" w:eastAsia="宋体"/>
          <w:lang w:val="en-US" w:eastAsia="zh-CN"/>
        </w:rPr>
      </w:pPr>
      <w:r>
        <w:rPr>
          <w:rFonts w:hint="eastAsia"/>
          <w:highlight w:val="yellow"/>
          <w:lang w:val="en-US" w:eastAsia="zh-CN"/>
        </w:rPr>
        <w:t>买电买热产生的间接排放=电网买点+外购热力</w:t>
      </w:r>
    </w:p>
    <w:p w14:paraId="44F56552">
      <w:pPr>
        <w:pStyle w:val="23"/>
        <w:rPr>
          <w:rFonts w:eastAsia="宋体"/>
          <w:i w:val="0"/>
        </w:rPr>
      </w:pPr>
      <m:oMathPara>
        <m:oMath>
          <m:sSub>
            <m:sSubPr>
              <m:ctrlPr>
                <w:rPr>
                  <w:rFonts w:eastAsia="宋体"/>
                  <w:i/>
                </w:rPr>
              </m:ctrlPr>
            </m:sSubPr>
            <m:e>
              <m:r>
                <m:rPr/>
                <w:rPr>
                  <w:rFonts w:eastAsia="宋体"/>
                </w:rPr>
                <m:t>C</m:t>
              </m:r>
              <m:ctrlPr>
                <w:rPr>
                  <w:rFonts w:eastAsia="宋体"/>
                  <w:i/>
                </w:rPr>
              </m:ctrlPr>
            </m:e>
            <m:sub>
              <m:r>
                <m:rPr/>
                <w:rPr>
                  <w:rFonts w:eastAsia="宋体"/>
                </w:rPr>
                <m:t>scope2</m:t>
              </m:r>
              <m:ctrlPr>
                <w:rPr>
                  <w:rFonts w:eastAsia="宋体"/>
                  <w:i/>
                </w:rPr>
              </m:ctrlPr>
            </m:sub>
          </m:sSub>
          <m:r>
            <m:rPr/>
            <w:rPr>
              <w:rFonts w:eastAsia="宋体"/>
            </w:rPr>
            <m:t xml:space="preserve">= </m:t>
          </m:r>
          <m:sSub>
            <m:sSubPr>
              <m:ctrlPr>
                <w:rPr>
                  <w:rFonts w:eastAsia="宋体"/>
                  <w:i/>
                </w:rPr>
              </m:ctrlPr>
            </m:sSubPr>
            <m:e>
              <m:r>
                <m:rPr/>
                <w:rPr>
                  <w:rFonts w:eastAsia="宋体"/>
                </w:rPr>
                <m:t>Σ</m:t>
              </m:r>
              <m:ctrlPr>
                <w:rPr>
                  <w:rFonts w:eastAsia="宋体"/>
                  <w:i/>
                </w:rPr>
              </m:ctrlPr>
            </m:e>
            <m:sub>
              <m:r>
                <m:rPr/>
                <w:rPr>
                  <w:rFonts w:eastAsia="宋体"/>
                </w:rPr>
                <m:t>t</m:t>
              </m:r>
              <m:ctrlPr>
                <w:rPr>
                  <w:rFonts w:eastAsia="宋体"/>
                  <w:i/>
                </w:rPr>
              </m:ctrlPr>
            </m:sub>
          </m:sSub>
          <m:d>
            <m:dPr>
              <m:begChr m:val="["/>
              <m:endChr m:val="]"/>
              <m:ctrlPr>
                <w:rPr>
                  <w:rFonts w:eastAsia="宋体"/>
                  <w:i/>
                </w:rPr>
              </m:ctrlPr>
            </m:dPr>
            <m:e>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grid</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import</m:t>
                  </m:r>
                  <m:ctrlPr>
                    <w:rPr>
                      <w:rFonts w:hint="default" w:ascii="Cambria Math" w:hAnsi="Cambria Math" w:cs="Times New Roman"/>
                      <w:sz w:val="24"/>
                    </w:rPr>
                  </m:ctrlPr>
                </m:sub>
              </m:sSub>
              <m:r>
                <m:rPr>
                  <m:sty m:val="p"/>
                </m:rPr>
                <w:rPr>
                  <w:rFonts w:hint="default" w:ascii="Times New Roman" w:hAnsi="Times New Roman" w:cs="Times New Roman"/>
                  <w:sz w:val="24"/>
                </w:rPr>
                <m:t>(</m:t>
              </m:r>
              <m:r>
                <m:rPr/>
                <w:rPr>
                  <w:rFonts w:hint="default" w:ascii="Times New Roman" w:hAnsi="Times New Roman" w:cs="Times New Roman"/>
                  <w:sz w:val="24"/>
                </w:rPr>
                <m:t>t</m:t>
              </m:r>
              <m:r>
                <m:rPr>
                  <m:sty m:val="p"/>
                </m:rPr>
                <w:rPr>
                  <w:rFonts w:hint="default" w:ascii="Times New Roman" w:hAnsi="Times New Roman" w:cs="Times New Roman"/>
                  <w:sz w:val="24"/>
                </w:rPr>
                <m:t>)</m:t>
              </m:r>
              <m:r>
                <m:rPr/>
                <w:rPr>
                  <w:rFonts w:eastAsia="宋体"/>
                </w:rPr>
                <m:t>× E</m:t>
              </m:r>
              <m:sSub>
                <m:sSubPr>
                  <m:ctrlPr>
                    <w:rPr>
                      <w:rFonts w:eastAsia="宋体"/>
                      <w:i/>
                    </w:rPr>
                  </m:ctrlPr>
                </m:sSubPr>
                <m:e>
                  <m:r>
                    <m:rPr/>
                    <w:rPr>
                      <w:rFonts w:eastAsia="宋体"/>
                    </w:rPr>
                    <m:t>F</m:t>
                  </m:r>
                  <m:ctrlPr>
                    <w:rPr>
                      <w:rFonts w:eastAsia="宋体"/>
                      <w:i/>
                    </w:rPr>
                  </m:ctrlPr>
                </m:e>
                <m:sub>
                  <m:r>
                    <m:rPr/>
                    <w:rPr>
                      <w:rFonts w:eastAsia="宋体"/>
                    </w:rPr>
                    <m:t>report</m:t>
                  </m:r>
                  <m:ctrlPr>
                    <w:rPr>
                      <w:rFonts w:eastAsia="宋体"/>
                      <w:i/>
                    </w:rPr>
                  </m:ctrlPr>
                </m:sub>
              </m:sSub>
              <m:ctrlPr>
                <w:rPr>
                  <w:rFonts w:eastAsia="宋体"/>
                  <w:i/>
                </w:rPr>
              </m:ctrlPr>
            </m:e>
          </m:d>
          <m:r>
            <m:rPr/>
            <w:rPr>
              <w:rFonts w:eastAsia="宋体"/>
            </w:rPr>
            <m:t xml:space="preserve">+ </m:t>
          </m:r>
          <m:sSub>
            <m:sSubPr>
              <m:ctrlPr>
                <w:rPr>
                  <w:rFonts w:eastAsia="宋体"/>
                  <w:i/>
                </w:rPr>
              </m:ctrlPr>
            </m:sSubPr>
            <m:e>
              <m:r>
                <m:rPr/>
                <w:rPr>
                  <w:rFonts w:eastAsia="宋体"/>
                </w:rPr>
                <m:t>C</m:t>
              </m:r>
              <m:ctrlPr>
                <w:rPr>
                  <w:rFonts w:eastAsia="宋体"/>
                  <w:i/>
                </w:rPr>
              </m:ctrlPr>
            </m:e>
            <m:sub>
              <m:r>
                <m:rPr/>
                <w:rPr>
                  <w:rFonts w:eastAsia="宋体"/>
                </w:rPr>
                <m:t>purchase</m:t>
              </m:r>
              <m:sSub>
                <m:sSubPr>
                  <m:ctrlPr>
                    <w:rPr>
                      <w:rFonts w:eastAsia="宋体"/>
                      <w:i/>
                    </w:rPr>
                  </m:ctrlPr>
                </m:sSubPr>
                <m:e>
                  <m:r>
                    <m:rPr/>
                    <w:rPr>
                      <w:rFonts w:eastAsia="宋体"/>
                    </w:rPr>
                    <m:t>d</m:t>
                  </m:r>
                  <m:ctrlPr>
                    <w:rPr>
                      <w:rFonts w:eastAsia="宋体"/>
                      <w:i/>
                    </w:rPr>
                  </m:ctrlPr>
                </m:e>
                <m:sub>
                  <m:r>
                    <m:rPr/>
                    <w:rPr>
                      <w:rFonts w:eastAsia="宋体"/>
                    </w:rPr>
                    <m:t>heat</m:t>
                  </m:r>
                  <m:ctrlPr>
                    <w:rPr>
                      <w:rFonts w:eastAsia="宋体"/>
                      <w:i/>
                    </w:rPr>
                  </m:ctrlPr>
                </m:sub>
              </m:sSub>
              <m:ctrlPr>
                <w:rPr>
                  <w:rFonts w:eastAsia="宋体"/>
                  <w:i/>
                </w:rPr>
              </m:ctrlPr>
            </m:sub>
          </m:sSub>
        </m:oMath>
      </m:oMathPara>
    </w:p>
    <w:p w14:paraId="0AD91C60">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scope</m:t>
            </m:r>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oMath>
      <w:r>
        <w:rPr>
          <w:rFonts w:hint="eastAsia" w:hAnsi="Cambria Math" w:cs="Times New Roman"/>
          <w:i w:val="0"/>
          <w:sz w:val="24"/>
          <w:lang w:val="en-US" w:eastAsia="zh-CN"/>
        </w:rPr>
        <w:t>是</w:t>
      </w:r>
      <w:r>
        <w:t>范围二外购能源间接排放；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grid</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import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oMath>
      <w:r>
        <w:rPr>
          <w:rFonts w:hint="eastAsia" w:cs="Times New Roman"/>
          <w:i w:val="0"/>
          <w:sz w:val="24"/>
          <w:lang w:val="en-US" w:eastAsia="zh-CN"/>
        </w:rPr>
        <w:t>是</w:t>
      </w:r>
      <w:r>
        <w:rPr>
          <w:i/>
          <w:iCs/>
        </w:rPr>
        <w:t>t</w:t>
      </w:r>
      <w:r>
        <w:t>时刻关口购电量；</w:t>
      </w:r>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report</m:t>
            </m:r>
            <m:ctrlPr>
              <w:rPr>
                <w:rFonts w:hint="default" w:ascii="Cambria Math" w:hAnsi="Cambria Math" w:cs="Times New Roman"/>
                <w:sz w:val="24"/>
              </w:rPr>
            </m:ctrlPr>
          </m:sub>
        </m:sSub>
      </m:oMath>
      <w:r>
        <w:rPr>
          <w:rFonts w:hint="eastAsia" w:hAnsi="Cambria Math" w:cs="Times New Roman"/>
          <w:i w:val="0"/>
          <w:sz w:val="24"/>
          <w:lang w:val="en-US" w:eastAsia="zh-CN"/>
        </w:rPr>
        <w:t>是</w:t>
      </w:r>
      <w:r>
        <w:t>企业报告电力排放因子；</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purc</m:t>
            </m:r>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ased</m:t>
            </m:r>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eat</m:t>
            </m:r>
            <m:ctrlPr>
              <w:rPr>
                <w:rFonts w:hint="default" w:ascii="Cambria Math" w:hAnsi="Cambria Math" w:cs="Times New Roman"/>
                <w:sz w:val="24"/>
              </w:rPr>
            </m:ctrlPr>
          </m:sub>
        </m:sSub>
      </m:oMath>
      <w:r>
        <w:rPr>
          <w:rFonts w:hint="eastAsia" w:hAnsi="Cambria Math" w:cs="Times New Roman"/>
          <w:i w:val="0"/>
          <w:sz w:val="24"/>
          <w:lang w:val="en-US" w:eastAsia="zh-CN"/>
        </w:rPr>
        <w:t>是</w:t>
      </w:r>
      <w:r>
        <w:t>外购热力对应排放。</w:t>
      </w:r>
    </w:p>
    <w:p w14:paraId="201023EC">
      <w:pPr>
        <w:pStyle w:val="3"/>
        <w:bidi w:val="0"/>
        <w:rPr>
          <w:lang w:eastAsia="zh-CN"/>
        </w:rPr>
      </w:pPr>
      <w:r>
        <w:rPr>
          <w:lang w:eastAsia="zh-CN"/>
        </w:rPr>
        <w:t>范围二排放的储能归因</w:t>
      </w:r>
    </w:p>
    <w:p w14:paraId="3D38A5AD">
      <w:pPr>
        <w:ind w:firstLine="440"/>
        <w:rPr>
          <w:lang w:eastAsia="zh-CN"/>
        </w:rPr>
      </w:pPr>
      <w:r>
        <w:rPr>
          <w:rFonts w:ascii="Arial" w:hAnsi="Arial"/>
          <w:sz w:val="22"/>
          <w:lang w:eastAsia="zh-CN"/>
        </w:rPr>
        <w:t>全厂范围二排放仍以关口购电为唯一总账。设备级子账可用于</w:t>
      </w:r>
      <w:r>
        <w:rPr>
          <w:rFonts w:hint="eastAsia" w:ascii="Arial" w:hAnsi="Arial"/>
          <w:sz w:val="22"/>
          <w:lang w:val="en-US" w:eastAsia="zh-CN"/>
        </w:rPr>
        <w:t>解析</w:t>
      </w:r>
      <w:r>
        <w:rPr>
          <w:rFonts w:ascii="Arial" w:hAnsi="Arial"/>
          <w:sz w:val="22"/>
          <w:lang w:eastAsia="zh-CN"/>
        </w:rPr>
        <w:t>储能</w:t>
      </w:r>
      <w:r>
        <w:rPr>
          <w:rFonts w:hint="eastAsia" w:ascii="Arial" w:hAnsi="Arial"/>
          <w:sz w:val="22"/>
          <w:lang w:val="en-US" w:eastAsia="zh-CN"/>
        </w:rPr>
        <w:t>带来</w:t>
      </w:r>
      <w:r>
        <w:rPr>
          <w:rFonts w:ascii="Arial" w:hAnsi="Arial"/>
          <w:sz w:val="22"/>
          <w:lang w:eastAsia="zh-CN"/>
        </w:rPr>
        <w:t>增量购电、辅助电耗和时移效应，子账合计必须与关口总账勾稽</w:t>
      </w:r>
      <w:r>
        <w:rPr>
          <w:rFonts w:hint="eastAsia" w:ascii="Arial" w:hAnsi="Arial"/>
          <w:sz w:val="22"/>
          <w:lang w:val="en-US" w:eastAsia="zh-CN"/>
        </w:rPr>
        <w:t>一致</w:t>
      </w:r>
      <w:r>
        <w:rPr>
          <w:rFonts w:ascii="Arial" w:hAnsi="Arial"/>
          <w:sz w:val="22"/>
          <w:lang w:eastAsia="zh-CN"/>
        </w:rPr>
        <w:t>。</w:t>
      </w:r>
    </w:p>
    <w:p w14:paraId="61EA8186">
      <w:pPr>
        <w:pStyle w:val="24"/>
      </w:pPr>
      <m:oMathPara>
        <m:oMath>
          <m:sSub>
            <m:sSubPr>
              <m:ctrlPr>
                <w:rPr>
                  <w:rFonts w:hint="default" w:ascii="Cambria Math" w:hAnsi="Cambria Math" w:cs="Times New Roman"/>
                  <w:sz w:val="22"/>
                </w:rPr>
              </m:ctrlPr>
            </m:sSubPr>
            <m:e>
              <m:r>
                <m:rPr>
                  <m:nor/>
                </m:rPr>
                <w:rPr>
                  <w:rFonts w:hint="default" w:ascii="Times New Roman" w:hAnsi="Times New Roman" w:cs="Times New Roman"/>
                  <w:i/>
                  <w:sz w:val="22"/>
                </w:rPr>
                <m:t>C</m:t>
              </m:r>
              <m:ctrlPr>
                <w:rPr>
                  <w:rFonts w:hint="default" w:ascii="Cambria Math" w:hAnsi="Cambria Math" w:cs="Times New Roman"/>
                  <w:sz w:val="22"/>
                </w:rPr>
              </m:ctrlPr>
            </m:e>
            <m:sub>
              <m:r>
                <m:rPr>
                  <m:nor/>
                </m:rPr>
                <w:rPr>
                  <w:rFonts w:hint="default" w:ascii="Times New Roman" w:hAnsi="Times New Roman" w:cs="Times New Roman"/>
                  <w:i/>
                  <w:sz w:val="22"/>
                </w:rPr>
                <m:t>grid</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plant</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nary>
            <m:naryPr>
              <m:chr m:val="∑"/>
              <m:limLoc m:val="subSup"/>
              <m:supHide m:val="1"/>
              <m:ctrlPr>
                <w:rPr>
                  <w:rFonts w:hint="default" w:ascii="Cambria Math" w:hAnsi="Cambria Math" w:cs="Times New Roman"/>
                  <w:sz w:val="22"/>
                </w:rPr>
              </m:ctrlPr>
            </m:naryPr>
            <m:sub>
              <m:r>
                <m:rPr>
                  <m:nor/>
                </m:rPr>
                <w:rPr>
                  <w:rFonts w:hint="default" w:ascii="Times New Roman" w:hAnsi="Times New Roman" w:cs="Times New Roman"/>
                  <w:i/>
                  <w:sz w:val="22"/>
                </w:rPr>
                <m:t>t</m:t>
              </m:r>
              <m:ctrlPr>
                <w:rPr>
                  <w:rFonts w:hint="default" w:ascii="Cambria Math" w:hAnsi="Cambria Math" w:cs="Times New Roman"/>
                  <w:sz w:val="22"/>
                </w:rPr>
              </m:ctrlPr>
            </m:sub>
            <m:sup>
              <m:ctrlPr>
                <w:rPr>
                  <w:rFonts w:hint="default" w:ascii="Cambria Math" w:hAnsi="Cambria Math" w:cs="Times New Roman"/>
                  <w:sz w:val="22"/>
                </w:rPr>
              </m:ctrlPr>
            </m:sup>
            <m:e>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grid</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import</m:t>
                  </m:r>
                  <m:ctrlPr>
                    <w:rPr>
                      <w:rFonts w:hint="default" w:ascii="Cambria Math" w:hAnsi="Cambria Math" w:cs="Times New Roman"/>
                      <w:sz w:val="22"/>
                    </w:rPr>
                  </m:ctrlPr>
                </m:sub>
              </m:sSub>
              <m:ctrlPr>
                <w:rPr>
                  <w:rFonts w:hint="default" w:ascii="Cambria Math" w:hAnsi="Cambria Math" w:cs="Times New Roman"/>
                  <w:sz w:val="22"/>
                </w:rPr>
              </m:ctrlPr>
            </m:e>
          </m:nary>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t</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E</m:t>
          </m:r>
          <m:sSub>
            <m:sSubPr>
              <m:ctrlPr>
                <w:rPr>
                  <w:rFonts w:hint="default" w:ascii="Cambria Math" w:hAnsi="Cambria Math" w:cs="Times New Roman"/>
                  <w:sz w:val="22"/>
                </w:rPr>
              </m:ctrlPr>
            </m:sSubPr>
            <m:e>
              <m:r>
                <m:rPr>
                  <m:nor/>
                </m:rPr>
                <w:rPr>
                  <w:rFonts w:hint="default" w:ascii="Times New Roman" w:hAnsi="Times New Roman" w:cs="Times New Roman"/>
                  <w:i/>
                  <w:sz w:val="22"/>
                </w:rPr>
                <m:t>F</m:t>
              </m:r>
              <m:ctrlPr>
                <w:rPr>
                  <w:rFonts w:hint="default" w:ascii="Cambria Math" w:hAnsi="Cambria Math" w:cs="Times New Roman"/>
                  <w:sz w:val="22"/>
                </w:rPr>
              </m:ctrlPr>
            </m:e>
            <m:sub>
              <m:r>
                <m:rPr>
                  <m:nor/>
                </m:rPr>
                <w:rPr>
                  <w:rFonts w:hint="default" w:ascii="Times New Roman" w:hAnsi="Times New Roman" w:cs="Times New Roman"/>
                  <w:i/>
                  <w:sz w:val="22"/>
                </w:rPr>
                <m:t>report</m:t>
              </m:r>
              <m:ctrlPr>
                <w:rPr>
                  <w:rFonts w:hint="default" w:ascii="Cambria Math" w:hAnsi="Cambria Math" w:cs="Times New Roman"/>
                  <w:sz w:val="22"/>
                </w:rPr>
              </m:ctrlPr>
            </m:sub>
          </m:sSub>
        </m:oMath>
      </m:oMathPara>
    </w:p>
    <w:p w14:paraId="59A86D0C">
      <w:pPr>
        <w:pStyle w:val="23"/>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式中：</w:t>
      </w:r>
      <m:oMath>
        <m:sSub>
          <m:sSubPr>
            <m:ctrlPr>
              <w:rPr>
                <w:rFonts w:hint="eastAsia" w:ascii="Cambria Math" w:hAnsi="Cambria Math" w:eastAsiaTheme="minorEastAsia" w:cstheme="minorEastAsia"/>
                <w:sz w:val="24"/>
                <w:szCs w:val="24"/>
              </w:rPr>
            </m:ctrlPr>
          </m:sSubPr>
          <m:e>
            <m:r>
              <m:rPr>
                <m:nor/>
              </m:rPr>
              <w:rPr>
                <w:rFonts w:hint="eastAsia" w:ascii="Times New Roman" w:hAnsi="Times New Roman" w:eastAsiaTheme="minorEastAsia" w:cstheme="minorEastAsia"/>
                <w:i/>
                <w:sz w:val="24"/>
                <w:szCs w:val="24"/>
              </w:rPr>
              <m:t>C</m:t>
            </m:r>
            <m:ctrlPr>
              <w:rPr>
                <w:rFonts w:hint="eastAsia" w:ascii="Cambria Math" w:hAnsi="Cambria Math" w:eastAsiaTheme="minorEastAsia" w:cstheme="minorEastAsia"/>
                <w:sz w:val="24"/>
                <w:szCs w:val="24"/>
              </w:rPr>
            </m:ctrlPr>
          </m:e>
          <m:sub>
            <m:r>
              <m:rPr>
                <m:nor/>
              </m:rPr>
              <w:rPr>
                <w:rFonts w:hint="eastAsia" w:ascii="Times New Roman" w:hAnsi="Times New Roman" w:eastAsiaTheme="minorEastAsia" w:cstheme="minorEastAsia"/>
                <w:i/>
                <w:sz w:val="24"/>
                <w:szCs w:val="24"/>
              </w:rPr>
              <m:t>grid</m:t>
            </m:r>
            <m:r>
              <m:rPr>
                <m:nor/>
                <m:sty m:val="p"/>
              </m:rPr>
              <w:rPr>
                <w:rFonts w:hint="eastAsia" w:ascii="Times New Roman" w:hAnsi="Times New Roman" w:eastAsiaTheme="minorEastAsia" w:cstheme="minorEastAsia"/>
                <w:b w:val="0"/>
                <w:i w:val="0"/>
                <w:sz w:val="24"/>
                <w:szCs w:val="24"/>
              </w:rPr>
              <m:t>,</m:t>
            </m:r>
            <m:r>
              <m:rPr>
                <m:nor/>
              </m:rPr>
              <w:rPr>
                <w:rFonts w:hint="eastAsia" w:ascii="Times New Roman" w:hAnsi="Times New Roman" w:eastAsiaTheme="minorEastAsia" w:cstheme="minorEastAsia"/>
                <w:i/>
                <w:sz w:val="24"/>
                <w:szCs w:val="24"/>
              </w:rPr>
              <m:t>plant</m:t>
            </m:r>
            <m:ctrlPr>
              <w:rPr>
                <w:rFonts w:hint="eastAsia" w:ascii="Cambria Math" w:hAnsi="Cambria Math" w:eastAsiaTheme="minorEastAsia" w:cstheme="minorEastAsia"/>
                <w:sz w:val="24"/>
                <w:szCs w:val="24"/>
              </w:rPr>
            </m:ctrlPr>
          </m:sub>
        </m:sSub>
      </m:oMath>
      <w:r>
        <w:rPr>
          <w:rFonts w:hint="eastAsia" w:asciiTheme="minorEastAsia" w:hAnsiTheme="minorEastAsia" w:eastAsiaTheme="minorEastAsia" w:cstheme="minorEastAsia"/>
          <w:sz w:val="24"/>
          <w:szCs w:val="24"/>
          <w:lang w:val="en-US" w:eastAsia="zh-CN"/>
        </w:rPr>
        <w:t>为全场关口购电总排放</w:t>
      </w:r>
    </w:p>
    <w:p w14:paraId="79C43A50">
      <w:pPr>
        <w:pStyle w:val="24"/>
      </w:pPr>
      <m:oMathPara>
        <m:oMath>
          <m:sSub>
            <m:sSubPr>
              <m:ctrlPr>
                <w:rPr>
                  <w:rFonts w:hint="default" w:ascii="Cambria Math" w:hAnsi="Cambria Math" w:cs="Times New Roman"/>
                  <w:sz w:val="22"/>
                </w:rPr>
              </m:ctrlPr>
            </m:sSubPr>
            <m:e>
              <m:r>
                <m:rPr>
                  <m:nor/>
                </m:rPr>
                <w:rPr>
                  <w:rFonts w:hint="default" w:ascii="Times New Roman" w:hAnsi="Times New Roman" w:cs="Times New Roman"/>
                  <w:i/>
                  <w:sz w:val="22"/>
                </w:rPr>
                <m:t>C</m:t>
              </m:r>
              <m:ctrlPr>
                <w:rPr>
                  <w:rFonts w:hint="default" w:ascii="Cambria Math" w:hAnsi="Cambria Math" w:cs="Times New Roman"/>
                  <w:sz w:val="22"/>
                </w:rPr>
              </m:ctrlPr>
            </m:e>
            <m:sub>
              <m:r>
                <m:rPr>
                  <m:nor/>
                </m:rPr>
                <w:rPr>
                  <w:rFonts w:hint="default" w:ascii="Times New Roman" w:hAnsi="Times New Roman" w:cs="Times New Roman"/>
                  <w:i/>
                  <w:sz w:val="22"/>
                </w:rPr>
                <m:t>storage</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c</m:t>
              </m:r>
              <m:r>
                <m:rPr>
                  <m:nor/>
                  <m:sty m:val="p"/>
                </m:rPr>
                <w:rPr>
                  <w:rFonts w:hint="default" w:ascii="Times New Roman" w:hAnsi="Times New Roman" w:cs="Times New Roman"/>
                  <w:b w:val="0"/>
                  <w:i w:val="0"/>
                  <w:sz w:val="22"/>
                </w:rPr>
                <m:t>h</m:t>
              </m:r>
              <m:r>
                <m:rPr>
                  <m:nor/>
                </m:rPr>
                <w:rPr>
                  <w:rFonts w:hint="default" w:ascii="Times New Roman" w:hAnsi="Times New Roman" w:cs="Times New Roman"/>
                  <w:i/>
                  <w:sz w:val="22"/>
                </w:rPr>
                <m:t>arge</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nary>
            <m:naryPr>
              <m:chr m:val="∑"/>
              <m:limLoc m:val="subSup"/>
              <m:supHide m:val="1"/>
              <m:ctrlPr>
                <w:rPr>
                  <w:rFonts w:hint="default" w:ascii="Cambria Math" w:hAnsi="Cambria Math" w:cs="Times New Roman"/>
                  <w:sz w:val="22"/>
                </w:rPr>
              </m:ctrlPr>
            </m:naryPr>
            <m:sub>
              <m:r>
                <m:rPr>
                  <m:nor/>
                </m:rPr>
                <w:rPr>
                  <w:rFonts w:hint="default" w:ascii="Times New Roman" w:hAnsi="Times New Roman" w:cs="Times New Roman"/>
                  <w:i/>
                  <w:sz w:val="22"/>
                </w:rPr>
                <m:t>t</m:t>
              </m:r>
              <m:ctrlPr>
                <w:rPr>
                  <w:rFonts w:hint="default" w:ascii="Cambria Math" w:hAnsi="Cambria Math" w:cs="Times New Roman"/>
                  <w:sz w:val="22"/>
                </w:rPr>
              </m:ctrlPr>
            </m:sub>
            <m:sup>
              <m:ctrlPr>
                <w:rPr>
                  <w:rFonts w:hint="default" w:ascii="Cambria Math" w:hAnsi="Cambria Math" w:cs="Times New Roman"/>
                  <w:sz w:val="22"/>
                </w:rPr>
              </m:ctrlPr>
            </m:sup>
            <m:e>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c</m:t>
                  </m:r>
                  <m:r>
                    <m:rPr>
                      <m:nor/>
                      <m:sty m:val="p"/>
                    </m:rPr>
                    <w:rPr>
                      <w:rFonts w:hint="default" w:ascii="Times New Roman" w:hAnsi="Times New Roman" w:cs="Times New Roman"/>
                      <w:b w:val="0"/>
                      <w:i w:val="0"/>
                      <w:sz w:val="22"/>
                    </w:rPr>
                    <m:t>h,</m:t>
                  </m:r>
                  <m:r>
                    <m:rPr>
                      <m:nor/>
                    </m:rPr>
                    <w:rPr>
                      <w:rFonts w:hint="default" w:ascii="Times New Roman" w:hAnsi="Times New Roman" w:cs="Times New Roman"/>
                      <w:i/>
                      <w:sz w:val="22"/>
                    </w:rPr>
                    <m:t>grid</m:t>
                  </m:r>
                  <m:ctrlPr>
                    <w:rPr>
                      <w:rFonts w:hint="default" w:ascii="Cambria Math" w:hAnsi="Cambria Math" w:cs="Times New Roman"/>
                      <w:sz w:val="22"/>
                    </w:rPr>
                  </m:ctrlPr>
                </m:sub>
              </m:sSub>
              <m:ctrlPr>
                <w:rPr>
                  <w:rFonts w:hint="default" w:ascii="Cambria Math" w:hAnsi="Cambria Math" w:cs="Times New Roman"/>
                  <w:sz w:val="22"/>
                </w:rPr>
              </m:ctrlPr>
            </m:e>
          </m:nary>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t</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E</m:t>
          </m:r>
          <m:sSub>
            <m:sSubPr>
              <m:ctrlPr>
                <w:rPr>
                  <w:rFonts w:hint="default" w:ascii="Cambria Math" w:hAnsi="Cambria Math" w:cs="Times New Roman"/>
                  <w:sz w:val="22"/>
                </w:rPr>
              </m:ctrlPr>
            </m:sSubPr>
            <m:e>
              <m:r>
                <m:rPr>
                  <m:nor/>
                </m:rPr>
                <w:rPr>
                  <w:rFonts w:hint="default" w:ascii="Times New Roman" w:hAnsi="Times New Roman" w:cs="Times New Roman"/>
                  <w:i/>
                  <w:sz w:val="22"/>
                </w:rPr>
                <m:t>F</m:t>
              </m:r>
              <m:ctrlPr>
                <w:rPr>
                  <w:rFonts w:hint="default" w:ascii="Cambria Math" w:hAnsi="Cambria Math" w:cs="Times New Roman"/>
                  <w:sz w:val="22"/>
                </w:rPr>
              </m:ctrlPr>
            </m:e>
            <m:sub>
              <m:r>
                <m:rPr>
                  <m:nor/>
                </m:rPr>
                <w:rPr>
                  <w:rFonts w:hint="default" w:ascii="Times New Roman" w:hAnsi="Times New Roman" w:cs="Times New Roman"/>
                  <w:i/>
                  <w:sz w:val="22"/>
                </w:rPr>
                <m:t>signal</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t</m:t>
          </m:r>
          <m:r>
            <m:rPr>
              <m:nor/>
              <m:sty m:val="p"/>
            </m:rPr>
            <w:rPr>
              <w:rFonts w:hint="default" w:ascii="Times New Roman" w:hAnsi="Times New Roman" w:cs="Times New Roman"/>
              <w:b w:val="0"/>
              <w:i w:val="0"/>
              <w:sz w:val="22"/>
            </w:rPr>
            <m:t>)</m:t>
          </m:r>
        </m:oMath>
      </m:oMathPara>
    </w:p>
    <w:p w14:paraId="061A071D">
      <w:pPr>
        <w:pStyle w:val="24"/>
        <w:rPr>
          <w:rFonts w:hint="eastAsia"/>
          <w:lang w:val="en-US" w:eastAsia="zh-CN"/>
        </w:rPr>
      </w:pPr>
      <w:r>
        <w:rPr>
          <w:rFonts w:hint="eastAsia" w:eastAsia="宋体"/>
          <w:lang w:val="en-US" w:eastAsia="zh-CN"/>
        </w:rPr>
        <w:t>式中：</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C</m:t>
            </m:r>
            <m:ctrlPr>
              <w:rPr>
                <w:rFonts w:hint="default" w:ascii="Cambria Math" w:hAnsi="Cambria Math" w:cs="Times New Roman"/>
                <w:sz w:val="22"/>
              </w:rPr>
            </m:ctrlPr>
          </m:e>
          <m:sub>
            <m:r>
              <m:rPr>
                <m:nor/>
              </m:rPr>
              <w:rPr>
                <w:rFonts w:hint="default" w:ascii="Times New Roman" w:hAnsi="Times New Roman" w:cs="Times New Roman"/>
                <w:i/>
                <w:sz w:val="22"/>
              </w:rPr>
              <m:t>storage</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c</m:t>
            </m:r>
            <m:r>
              <m:rPr>
                <m:nor/>
                <m:sty m:val="p"/>
              </m:rPr>
              <w:rPr>
                <w:rFonts w:hint="default" w:ascii="Times New Roman" w:hAnsi="Times New Roman" w:cs="Times New Roman"/>
                <w:b w:val="0"/>
                <w:i w:val="0"/>
                <w:sz w:val="22"/>
              </w:rPr>
              <m:t>h</m:t>
            </m:r>
            <m:r>
              <m:rPr>
                <m:nor/>
              </m:rPr>
              <w:rPr>
                <w:rFonts w:hint="default" w:ascii="Times New Roman" w:hAnsi="Times New Roman" w:cs="Times New Roman"/>
                <w:i/>
                <w:sz w:val="22"/>
              </w:rPr>
              <m:t>arge</m:t>
            </m:r>
            <m:ctrlPr>
              <w:rPr>
                <w:rFonts w:hint="default" w:ascii="Cambria Math" w:hAnsi="Cambria Math" w:cs="Times New Roman"/>
                <w:sz w:val="22"/>
              </w:rPr>
            </m:ctrlPr>
          </m:sub>
        </m:sSub>
      </m:oMath>
      <w:r>
        <w:rPr>
          <w:rFonts w:hint="eastAsia" w:hAnsi="Cambria Math" w:cs="Times New Roman"/>
          <w:i w:val="0"/>
          <w:sz w:val="22"/>
          <w:lang w:val="en-US" w:eastAsia="zh-CN"/>
        </w:rPr>
        <w:t>是储能充电对应碳排放；</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c</m:t>
            </m:r>
            <m:r>
              <m:rPr>
                <m:nor/>
                <m:sty m:val="p"/>
              </m:rPr>
              <w:rPr>
                <w:rFonts w:hint="default" w:ascii="Times New Roman" w:hAnsi="Times New Roman" w:cs="Times New Roman"/>
                <w:b w:val="0"/>
                <w:i w:val="0"/>
                <w:sz w:val="22"/>
              </w:rPr>
              <m:t>h,</m:t>
            </m:r>
            <m:r>
              <m:rPr>
                <m:nor/>
              </m:rPr>
              <w:rPr>
                <w:rFonts w:hint="default" w:ascii="Times New Roman" w:hAnsi="Times New Roman" w:cs="Times New Roman"/>
                <w:i/>
                <w:sz w:val="22"/>
              </w:rPr>
              <m:t>grid</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t</m:t>
        </m:r>
        <m:r>
          <m:rPr>
            <m:nor/>
            <m:sty m:val="p"/>
          </m:rPr>
          <w:rPr>
            <w:rFonts w:hint="default" w:ascii="Times New Roman" w:hAnsi="Times New Roman" w:cs="Times New Roman"/>
            <w:b w:val="0"/>
            <w:i w:val="0"/>
            <w:sz w:val="22"/>
          </w:rPr>
          <m:t>)</m:t>
        </m:r>
      </m:oMath>
      <w:r>
        <w:rPr>
          <w:rFonts w:hint="eastAsia" w:cs="Times New Roman"/>
          <w:b w:val="0"/>
          <w:i w:val="0"/>
          <w:sz w:val="22"/>
          <w:lang w:val="en-US" w:eastAsia="zh-CN"/>
        </w:rPr>
        <w:t>是t时段来自电网的充电电量；</w:t>
      </w:r>
      <m:oMath>
        <m:r>
          <m:rPr>
            <m:nor/>
          </m:rPr>
          <w:rPr>
            <w:rFonts w:hint="default" w:ascii="Times New Roman" w:hAnsi="Times New Roman" w:cs="Times New Roman"/>
            <w:i/>
            <w:sz w:val="22"/>
          </w:rPr>
          <m:t>E</m:t>
        </m:r>
        <m:sSub>
          <m:sSubPr>
            <m:ctrlPr>
              <w:rPr>
                <w:rFonts w:hint="default" w:ascii="Cambria Math" w:hAnsi="Cambria Math" w:cs="Times New Roman"/>
                <w:sz w:val="22"/>
              </w:rPr>
            </m:ctrlPr>
          </m:sSubPr>
          <m:e>
            <m:r>
              <m:rPr>
                <m:nor/>
              </m:rPr>
              <w:rPr>
                <w:rFonts w:hint="default" w:ascii="Times New Roman" w:hAnsi="Times New Roman" w:cs="Times New Roman"/>
                <w:i/>
                <w:sz w:val="22"/>
              </w:rPr>
              <m:t>F</m:t>
            </m:r>
            <m:ctrlPr>
              <w:rPr>
                <w:rFonts w:hint="default" w:ascii="Cambria Math" w:hAnsi="Cambria Math" w:cs="Times New Roman"/>
                <w:sz w:val="22"/>
              </w:rPr>
            </m:ctrlPr>
          </m:e>
          <m:sub>
            <m:r>
              <m:rPr>
                <m:nor/>
              </m:rPr>
              <w:rPr>
                <w:rFonts w:hint="default" w:ascii="Times New Roman" w:hAnsi="Times New Roman" w:cs="Times New Roman"/>
                <w:i/>
                <w:sz w:val="22"/>
              </w:rPr>
              <m:t>signal</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t</m:t>
        </m:r>
        <m:r>
          <m:rPr>
            <m:nor/>
            <m:sty m:val="p"/>
          </m:rPr>
          <w:rPr>
            <w:rFonts w:hint="default" w:ascii="Times New Roman" w:hAnsi="Times New Roman" w:cs="Times New Roman"/>
            <w:b w:val="0"/>
            <w:i w:val="0"/>
            <w:sz w:val="22"/>
          </w:rPr>
          <m:t>)</m:t>
        </m:r>
      </m:oMath>
      <w:r>
        <w:rPr>
          <w:rFonts w:hint="eastAsia"/>
          <w:lang w:val="en-US" w:eastAsia="zh-CN"/>
        </w:rPr>
        <w:t>为信号因子。</w:t>
      </w:r>
    </w:p>
    <w:p w14:paraId="271F22F2">
      <w:pPr>
        <w:pStyle w:val="24"/>
        <w:rPr>
          <w:rFonts w:eastAsia="宋体"/>
        </w:rPr>
      </w:pPr>
      <m:oMathPara>
        <m:oMath>
          <m:sSub>
            <m:sSubPr>
              <m:ctrlPr>
                <w:rPr>
                  <w:rFonts w:hint="default" w:ascii="Cambria Math" w:hAnsi="Cambria Math" w:cs="Times New Roman"/>
                  <w:sz w:val="22"/>
                </w:rPr>
              </m:ctrlPr>
            </m:sSubPr>
            <m:e>
              <m:r>
                <m:rPr>
                  <m:nor/>
                </m:rPr>
                <w:rPr>
                  <w:rFonts w:hint="default" w:ascii="Times New Roman" w:hAnsi="Times New Roman" w:cs="Times New Roman"/>
                  <w:i/>
                  <w:sz w:val="22"/>
                </w:rPr>
                <m:t>C</m:t>
              </m:r>
              <m:ctrlPr>
                <w:rPr>
                  <w:rFonts w:hint="default" w:ascii="Cambria Math" w:hAnsi="Cambria Math" w:cs="Times New Roman"/>
                  <w:sz w:val="22"/>
                </w:rPr>
              </m:ctrlPr>
            </m:e>
            <m:sub>
              <m:r>
                <m:rPr>
                  <m:nor/>
                </m:rPr>
                <w:rPr>
                  <w:rFonts w:hint="default" w:ascii="Times New Roman" w:hAnsi="Times New Roman" w:cs="Times New Roman"/>
                  <w:i/>
                  <w:sz w:val="22"/>
                </w:rPr>
                <m:t>aux</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nary>
            <m:naryPr>
              <m:chr m:val="∑"/>
              <m:limLoc m:val="subSup"/>
              <m:supHide m:val="1"/>
              <m:ctrlPr>
                <w:rPr>
                  <w:rFonts w:hint="default" w:ascii="Cambria Math" w:hAnsi="Cambria Math" w:cs="Times New Roman"/>
                  <w:sz w:val="22"/>
                </w:rPr>
              </m:ctrlPr>
            </m:naryPr>
            <m:sub>
              <m:r>
                <m:rPr>
                  <m:nor/>
                </m:rPr>
                <w:rPr>
                  <w:rFonts w:hint="default" w:ascii="Times New Roman" w:hAnsi="Times New Roman" w:cs="Times New Roman"/>
                  <w:i/>
                  <w:sz w:val="22"/>
                </w:rPr>
                <m:t>t</m:t>
              </m:r>
              <m:ctrlPr>
                <w:rPr>
                  <w:rFonts w:hint="default" w:ascii="Cambria Math" w:hAnsi="Cambria Math" w:cs="Times New Roman"/>
                  <w:sz w:val="22"/>
                </w:rPr>
              </m:ctrlPr>
            </m:sub>
            <m:sup>
              <m:ctrlPr>
                <w:rPr>
                  <w:rFonts w:hint="default" w:ascii="Cambria Math" w:hAnsi="Cambria Math" w:cs="Times New Roman"/>
                  <w:sz w:val="22"/>
                </w:rPr>
              </m:ctrlPr>
            </m:sup>
            <m:e>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aux</m:t>
                  </m:r>
                  <m:ctrlPr>
                    <w:rPr>
                      <w:rFonts w:hint="default" w:ascii="Cambria Math" w:hAnsi="Cambria Math" w:cs="Times New Roman"/>
                      <w:sz w:val="22"/>
                    </w:rPr>
                  </m:ctrlPr>
                </m:sub>
              </m:sSub>
              <m:ctrlPr>
                <w:rPr>
                  <w:rFonts w:hint="default" w:ascii="Cambria Math" w:hAnsi="Cambria Math" w:cs="Times New Roman"/>
                  <w:sz w:val="22"/>
                </w:rPr>
              </m:ctrlPr>
            </m:e>
          </m:nary>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t</m:t>
          </m:r>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E</m:t>
          </m:r>
          <m:sSub>
            <m:sSubPr>
              <m:ctrlPr>
                <w:rPr>
                  <w:rFonts w:hint="default" w:ascii="Cambria Math" w:hAnsi="Cambria Math" w:cs="Times New Roman"/>
                  <w:sz w:val="22"/>
                </w:rPr>
              </m:ctrlPr>
            </m:sSubPr>
            <m:e>
              <m:r>
                <m:rPr>
                  <m:nor/>
                </m:rPr>
                <w:rPr>
                  <w:rFonts w:hint="default" w:ascii="Times New Roman" w:hAnsi="Times New Roman" w:cs="Times New Roman"/>
                  <w:i/>
                  <w:sz w:val="22"/>
                </w:rPr>
                <m:t>F</m:t>
              </m:r>
              <m:ctrlPr>
                <w:rPr>
                  <w:rFonts w:hint="default" w:ascii="Cambria Math" w:hAnsi="Cambria Math" w:cs="Times New Roman"/>
                  <w:sz w:val="22"/>
                </w:rPr>
              </m:ctrlPr>
            </m:e>
            <m:sub>
              <m:r>
                <m:rPr>
                  <m:nor/>
                </m:rPr>
                <w:rPr>
                  <w:rFonts w:hint="default" w:ascii="Times New Roman" w:hAnsi="Times New Roman" w:cs="Times New Roman"/>
                  <w:i/>
                  <w:sz w:val="22"/>
                </w:rPr>
                <m:t>signal</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t</m:t>
          </m:r>
          <m:r>
            <m:rPr>
              <m:nor/>
              <m:sty m:val="p"/>
            </m:rPr>
            <w:rPr>
              <w:rFonts w:hint="default" w:ascii="Times New Roman" w:hAnsi="Times New Roman" w:cs="Times New Roman"/>
              <w:b w:val="0"/>
              <w:i w:val="0"/>
              <w:sz w:val="22"/>
            </w:rPr>
            <m:t>)</m:t>
          </m:r>
        </m:oMath>
      </m:oMathPara>
    </w:p>
    <w:p w14:paraId="22DC3CCE">
      <w:pPr>
        <w:ind w:firstLine="480"/>
        <w:rPr>
          <w:rFonts w:ascii="Arial" w:hAnsi="Arial"/>
          <w:sz w:val="22"/>
          <w:lang w:eastAsia="zh-CN"/>
        </w:rPr>
      </w:pPr>
      <w:r>
        <w:rPr>
          <w:rFonts w:hint="eastAsia" w:hAnsi="Cambria Math"/>
          <w:i w:val="0"/>
          <w:lang w:val="en-US" w:eastAsia="zh-CN"/>
        </w:rPr>
        <w:t>其中，</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C</m:t>
            </m:r>
            <m:ctrlPr>
              <w:rPr>
                <w:rFonts w:hint="default" w:ascii="Cambria Math" w:hAnsi="Cambria Math" w:cs="Times New Roman"/>
                <w:sz w:val="22"/>
              </w:rPr>
            </m:ctrlPr>
          </m:e>
          <m:sub>
            <m:r>
              <m:rPr>
                <m:nor/>
              </m:rPr>
              <w:rPr>
                <w:rFonts w:hint="default" w:ascii="Times New Roman" w:hAnsi="Times New Roman" w:cs="Times New Roman"/>
                <w:i/>
                <w:sz w:val="22"/>
              </w:rPr>
              <m:t>aux</m:t>
            </m:r>
            <m:ctrlPr>
              <w:rPr>
                <w:rFonts w:hint="default" w:ascii="Cambria Math" w:hAnsi="Cambria Math" w:cs="Times New Roman"/>
                <w:sz w:val="22"/>
              </w:rPr>
            </m:ctrlPr>
          </m:sub>
        </m:sSub>
      </m:oMath>
      <w:r>
        <w:rPr>
          <w:rFonts w:hint="eastAsia" w:hAnsi="Cambria Math" w:cs="Times New Roman"/>
          <w:i w:val="0"/>
          <w:sz w:val="22"/>
          <w:lang w:val="en-US" w:eastAsia="zh-CN"/>
        </w:rPr>
        <w:t>是储能辅助系统电耗排放，</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E</m:t>
            </m:r>
            <m:ctrlPr>
              <w:rPr>
                <w:rFonts w:hint="default" w:ascii="Cambria Math" w:hAnsi="Cambria Math" w:cs="Times New Roman"/>
                <w:sz w:val="22"/>
              </w:rPr>
            </m:ctrlPr>
          </m:e>
          <m:sub>
            <m:r>
              <m:rPr>
                <m:nor/>
              </m:rPr>
              <w:rPr>
                <w:rFonts w:hint="default" w:ascii="Times New Roman" w:hAnsi="Times New Roman" w:cs="Times New Roman"/>
                <w:i/>
                <w:sz w:val="22"/>
              </w:rPr>
              <m:t>aux</m:t>
            </m:r>
            <m:ctrlPr>
              <w:rPr>
                <w:rFonts w:hint="default" w:ascii="Cambria Math" w:hAnsi="Cambria Math" w:cs="Times New Roman"/>
                <w:sz w:val="22"/>
              </w:rPr>
            </m:ctrlPr>
          </m:sub>
        </m:sSub>
      </m:oMath>
      <w:r>
        <w:rPr>
          <w:rFonts w:hint="eastAsia" w:hAnsi="Cambria Math" w:cs="Times New Roman"/>
          <w:i w:val="0"/>
          <w:sz w:val="22"/>
          <w:lang w:val="en-US" w:eastAsia="zh-CN"/>
        </w:rPr>
        <w:t>(t)是t时段储能辅助电耗。</w:t>
      </w:r>
      <m:oMath>
        <m:r>
          <m:rPr>
            <m:nor/>
          </m:rPr>
          <w:rPr>
            <w:rFonts w:hint="default" w:ascii="Times New Roman" w:hAnsi="Times New Roman" w:cs="Times New Roman"/>
            <w:i/>
            <w:sz w:val="22"/>
          </w:rPr>
          <m:t>E</m:t>
        </m:r>
        <m:sSub>
          <m:sSubPr>
            <m:ctrlPr>
              <w:rPr>
                <w:rFonts w:hint="default" w:ascii="Cambria Math" w:hAnsi="Cambria Math" w:cs="Times New Roman"/>
                <w:sz w:val="22"/>
              </w:rPr>
            </m:ctrlPr>
          </m:sSubPr>
          <m:e>
            <m:r>
              <m:rPr>
                <m:nor/>
              </m:rPr>
              <w:rPr>
                <w:rFonts w:hint="default" w:ascii="Times New Roman" w:hAnsi="Times New Roman" w:cs="Times New Roman"/>
                <w:i/>
                <w:sz w:val="22"/>
              </w:rPr>
              <m:t>F</m:t>
            </m:r>
            <m:ctrlPr>
              <w:rPr>
                <w:rFonts w:hint="default" w:ascii="Cambria Math" w:hAnsi="Cambria Math" w:cs="Times New Roman"/>
                <w:sz w:val="22"/>
              </w:rPr>
            </m:ctrlPr>
          </m:e>
          <m:sub>
            <m:r>
              <m:rPr>
                <m:nor/>
              </m:rPr>
              <w:rPr>
                <w:rFonts w:hint="default" w:ascii="Times New Roman" w:hAnsi="Times New Roman" w:cs="Times New Roman"/>
                <w:i/>
                <w:sz w:val="22"/>
              </w:rPr>
              <m:t>signal</m:t>
            </m:r>
            <m:ctrlPr>
              <w:rPr>
                <w:rFonts w:hint="default" w:ascii="Cambria Math" w:hAnsi="Cambria Math" w:cs="Times New Roman"/>
                <w:sz w:val="22"/>
              </w:rPr>
            </m:ctrlPr>
          </m:sub>
        </m:sSub>
        <m:r>
          <m:rPr>
            <m:nor/>
            <m:sty m:val="p"/>
          </m:rPr>
          <w:rPr>
            <w:rFonts w:hint="default" w:ascii="Times New Roman" w:hAnsi="Times New Roman" w:cs="Times New Roman"/>
            <w:b w:val="0"/>
            <w:i w:val="0"/>
            <w:sz w:val="22"/>
          </w:rPr>
          <m:t>(</m:t>
        </m:r>
        <m:r>
          <m:rPr>
            <m:nor/>
          </m:rPr>
          <w:rPr>
            <w:rFonts w:hint="default" w:ascii="Times New Roman" w:hAnsi="Times New Roman" w:cs="Times New Roman"/>
            <w:i/>
            <w:sz w:val="22"/>
          </w:rPr>
          <m:t>t</m:t>
        </m:r>
        <m:r>
          <m:rPr>
            <m:nor/>
            <m:sty m:val="p"/>
          </m:rPr>
          <w:rPr>
            <w:rFonts w:hint="default" w:ascii="Times New Roman" w:hAnsi="Times New Roman" w:cs="Times New Roman"/>
            <w:b w:val="0"/>
            <w:i w:val="0"/>
            <w:sz w:val="22"/>
          </w:rPr>
          <m:t>)</m:t>
        </m:r>
      </m:oMath>
      <w:r>
        <w:rPr>
          <w:rFonts w:ascii="Arial" w:hAnsi="Arial"/>
          <w:sz w:val="22"/>
          <w:lang w:eastAsia="zh-CN"/>
        </w:rPr>
        <w:t>在正式企业清单子账中取</w:t>
      </w:r>
      <m:oMath>
        <m:r>
          <m:rPr/>
          <w:rPr>
            <w:rFonts w:ascii="Cambria Math" w:hAnsi="Cambria Math"/>
            <w:lang w:eastAsia="zh-CN"/>
          </w:rPr>
          <m:t>E</m:t>
        </m:r>
        <m:sSub>
          <m:sSubPr>
            <m:ctrlPr>
              <w:rPr>
                <w:rFonts w:ascii="Cambria Math" w:hAnsi="Cambria Math"/>
                <w:i/>
              </w:rPr>
            </m:ctrlPr>
          </m:sSubPr>
          <m:e>
            <m:r>
              <m:rPr/>
              <w:rPr>
                <w:rFonts w:ascii="Cambria Math" w:hAnsi="Cambria Math"/>
                <w:lang w:eastAsia="zh-CN"/>
              </w:rPr>
              <m:t>F</m:t>
            </m:r>
            <m:ctrlPr>
              <w:rPr>
                <w:rFonts w:ascii="Cambria Math" w:hAnsi="Cambria Math"/>
                <w:i/>
              </w:rPr>
            </m:ctrlPr>
          </m:e>
          <m:sub>
            <m:r>
              <m:rPr/>
              <w:rPr>
                <w:rFonts w:ascii="Cambria Math" w:hAnsi="Cambria Math"/>
                <w:lang w:eastAsia="zh-CN"/>
              </w:rPr>
              <m:t>report</m:t>
            </m:r>
            <m:ctrlPr>
              <w:rPr>
                <w:rFonts w:ascii="Cambria Math" w:hAnsi="Cambria Math"/>
                <w:i/>
              </w:rPr>
            </m:ctrlPr>
          </m:sub>
        </m:sSub>
      </m:oMath>
      <w:r>
        <w:rPr>
          <w:rFonts w:ascii="Arial" w:hAnsi="Arial"/>
          <w:sz w:val="22"/>
          <w:lang w:eastAsia="zh-CN"/>
        </w:rPr>
        <w:t>；</w:t>
      </w:r>
      <w:r>
        <w:rPr>
          <w:rFonts w:hint="eastAsia" w:ascii="Arial" w:hAnsi="Arial"/>
          <w:sz w:val="22"/>
          <w:lang w:val="en-US" w:eastAsia="zh-CN"/>
        </w:rPr>
        <w:t>调度策略分析场景</w:t>
      </w:r>
      <w:r>
        <w:rPr>
          <w:rFonts w:ascii="Arial" w:hAnsi="Arial"/>
          <w:sz w:val="22"/>
          <w:lang w:eastAsia="zh-CN"/>
        </w:rPr>
        <w:t>取</w:t>
      </w:r>
      <m:oMath>
        <m:r>
          <m:rPr/>
          <w:rPr>
            <w:rFonts w:ascii="Cambria Math" w:hAnsi="Cambria Math"/>
            <w:lang w:eastAsia="zh-CN"/>
          </w:rPr>
          <m:t>E</m:t>
        </m:r>
        <m:sSub>
          <m:sSubPr>
            <m:ctrlPr>
              <w:rPr>
                <w:rFonts w:ascii="Cambria Math" w:hAnsi="Cambria Math"/>
                <w:i/>
                <w:lang w:eastAsia="zh-CN"/>
              </w:rPr>
            </m:ctrlPr>
          </m:sSubPr>
          <m:e>
            <m:r>
              <m:rPr/>
              <w:rPr>
                <w:rFonts w:ascii="Cambria Math" w:hAnsi="Cambria Math"/>
                <w:lang w:eastAsia="zh-CN"/>
              </w:rPr>
              <m:t>F</m:t>
            </m:r>
            <m:ctrlPr>
              <w:rPr>
                <w:rFonts w:ascii="Cambria Math" w:hAnsi="Cambria Math"/>
                <w:i/>
                <w:lang w:eastAsia="zh-CN"/>
              </w:rPr>
            </m:ctrlPr>
          </m:e>
          <m:sub>
            <m:r>
              <m:rPr/>
              <w:rPr>
                <w:rFonts w:ascii="Cambria Math" w:hAnsi="Cambria Math"/>
                <w:lang w:eastAsia="zh-CN"/>
              </w:rPr>
              <m:t>opt</m:t>
            </m:r>
            <m:d>
              <m:dPr>
                <m:ctrlPr>
                  <w:rPr>
                    <w:rFonts w:ascii="Cambria Math" w:hAnsi="Cambria Math"/>
                    <w:i/>
                    <w:lang w:eastAsia="zh-CN"/>
                  </w:rPr>
                </m:ctrlPr>
              </m:dPr>
              <m:e>
                <m:r>
                  <m:rPr/>
                  <w:rPr>
                    <w:rFonts w:ascii="Cambria Math" w:hAnsi="Cambria Math"/>
                    <w:lang w:eastAsia="zh-CN"/>
                  </w:rPr>
                  <m:t>t</m:t>
                </m:r>
                <m:ctrlPr>
                  <w:rPr>
                    <w:rFonts w:ascii="Cambria Math" w:hAnsi="Cambria Math"/>
                    <w:i/>
                    <w:lang w:eastAsia="zh-CN"/>
                  </w:rPr>
                </m:ctrlPr>
              </m:e>
            </m:d>
            <m:ctrlPr>
              <w:rPr>
                <w:rFonts w:ascii="Cambria Math" w:hAnsi="Cambria Math"/>
                <w:i/>
                <w:lang w:eastAsia="zh-CN"/>
              </w:rPr>
            </m:ctrlPr>
          </m:sub>
        </m:sSub>
      </m:oMath>
      <w:r>
        <w:rPr>
          <w:rFonts w:ascii="Arial" w:hAnsi="Arial"/>
          <w:sz w:val="22"/>
          <w:lang w:eastAsia="zh-CN"/>
        </w:rPr>
        <w:t>。两</w:t>
      </w:r>
      <w:r>
        <w:rPr>
          <w:rFonts w:hint="eastAsia" w:ascii="Arial" w:hAnsi="Arial"/>
          <w:sz w:val="22"/>
          <w:lang w:val="en-US" w:eastAsia="zh-CN"/>
        </w:rPr>
        <w:t>类</w:t>
      </w:r>
      <w:r>
        <w:rPr>
          <w:rFonts w:ascii="Arial" w:hAnsi="Arial"/>
          <w:sz w:val="22"/>
          <w:lang w:eastAsia="zh-CN"/>
        </w:rPr>
        <w:t>结果使用不同字段名</w:t>
      </w:r>
      <w:r>
        <w:rPr>
          <w:rFonts w:hint="eastAsia" w:ascii="Arial" w:hAnsi="Arial"/>
          <w:sz w:val="22"/>
          <w:lang w:eastAsia="zh-CN"/>
        </w:rPr>
        <w:t>，</w:t>
      </w:r>
      <w:r>
        <w:rPr>
          <w:rFonts w:hint="eastAsia" w:ascii="Arial" w:hAnsi="Arial"/>
          <w:sz w:val="22"/>
          <w:lang w:val="en-US" w:eastAsia="zh-CN"/>
        </w:rPr>
        <w:t>禁止</w:t>
      </w:r>
      <w:r>
        <w:rPr>
          <w:rFonts w:ascii="Arial" w:hAnsi="Arial"/>
          <w:sz w:val="22"/>
          <w:lang w:eastAsia="zh-CN"/>
        </w:rPr>
        <w:t>报表</w:t>
      </w:r>
      <w:r>
        <w:rPr>
          <w:rFonts w:hint="eastAsia" w:ascii="Arial" w:hAnsi="Arial"/>
          <w:sz w:val="22"/>
          <w:lang w:val="en-US" w:eastAsia="zh-CN"/>
        </w:rPr>
        <w:t>直接</w:t>
      </w:r>
      <w:r>
        <w:rPr>
          <w:rFonts w:ascii="Arial" w:hAnsi="Arial"/>
          <w:sz w:val="22"/>
          <w:lang w:eastAsia="zh-CN"/>
        </w:rPr>
        <w:t>覆盖。</w:t>
      </w:r>
    </w:p>
    <w:p w14:paraId="70C7E257">
      <w:pPr>
        <w:ind w:firstLine="480"/>
        <w:rPr>
          <w:rFonts w:ascii="Arial" w:hAnsi="Arial"/>
          <w:sz w:val="22"/>
          <w:lang w:eastAsia="zh-CN"/>
        </w:rPr>
      </w:pPr>
      <w:r>
        <w:rPr>
          <w:rFonts w:ascii="Arial" w:hAnsi="Arial"/>
          <w:sz w:val="22"/>
          <w:lang w:eastAsia="zh-CN"/>
        </w:rPr>
        <w:t>储能归因排放存在两个并行结果，不得互相覆盖：</w:t>
      </w:r>
    </w:p>
    <w:p w14:paraId="6E72EA04">
      <w:pPr>
        <w:ind w:firstLine="480"/>
        <w:rPr>
          <w:rFonts w:ascii="Arial" w:hAnsi="Arial"/>
          <w:sz w:val="22"/>
          <w:lang w:eastAsia="zh-CN"/>
        </w:rPr>
      </w:pPr>
      <w:r>
        <w:rPr>
          <w:rFonts w:ascii="Arial" w:hAnsi="Arial"/>
          <w:sz w:val="22"/>
          <w:lang w:eastAsia="zh-CN"/>
        </w:rPr>
        <w:t>- 报告口径：E_ch × EF_report，用于年度企业清单，因子固定，结果可审计</w:t>
      </w:r>
    </w:p>
    <w:p w14:paraId="3C119AAD">
      <w:pPr>
        <w:ind w:firstLine="480"/>
        <w:rPr>
          <w:rFonts w:ascii="Arial" w:hAnsi="Arial"/>
          <w:sz w:val="22"/>
          <w:lang w:eastAsia="zh-CN"/>
        </w:rPr>
      </w:pPr>
      <w:r>
        <w:rPr>
          <w:rFonts w:ascii="Arial" w:hAnsi="Arial"/>
          <w:sz w:val="22"/>
          <w:lang w:eastAsia="zh-CN"/>
        </w:rPr>
        <w:t>- 调度口径：E_ch(t) × EF_opt(t)，用于分析"什么时段充电更低碳"，因子逐时变化，</w:t>
      </w:r>
    </w:p>
    <w:p w14:paraId="4997CA62">
      <w:pPr>
        <w:ind w:firstLine="480"/>
        <w:rPr>
          <w:rFonts w:ascii="Arial" w:hAnsi="Arial"/>
          <w:sz w:val="22"/>
          <w:lang w:eastAsia="zh-CN"/>
        </w:rPr>
      </w:pPr>
      <w:r>
        <w:rPr>
          <w:rFonts w:ascii="Arial" w:hAnsi="Arial"/>
          <w:sz w:val="22"/>
          <w:lang w:eastAsia="zh-CN"/>
        </w:rPr>
        <w:t xml:space="preserve">  结果仅作内部决策参考，不对外作为正式排放数据</w:t>
      </w:r>
    </w:p>
    <w:p w14:paraId="2E6504EE">
      <w:pPr>
        <w:ind w:firstLine="480"/>
        <w:rPr>
          <w:rFonts w:ascii="Arial" w:hAnsi="Arial"/>
          <w:sz w:val="22"/>
          <w:lang w:eastAsia="zh-CN"/>
        </w:rPr>
      </w:pPr>
      <w:r>
        <w:rPr>
          <w:rFonts w:ascii="Arial" w:hAnsi="Arial"/>
          <w:sz w:val="22"/>
          <w:lang w:eastAsia="zh-CN"/>
        </w:rPr>
        <w:t>两者在数据库中使用不同字段名（emission_report / emission_opt），大屏展示时标注口径标签。</w:t>
      </w:r>
    </w:p>
    <w:p w14:paraId="20FCC969">
      <w:pPr>
        <w:pStyle w:val="3"/>
        <w:bidi w:val="0"/>
        <w:rPr>
          <w:rFonts w:hint="eastAsia" w:eastAsia="黑体"/>
          <w:lang w:eastAsia="zh-CN"/>
        </w:rPr>
      </w:pPr>
      <w:r>
        <w:t>SOC碳存量与放电碳强度</w:t>
      </w:r>
      <w:r>
        <w:rPr>
          <w:rFonts w:hint="eastAsia"/>
          <w:lang w:eastAsia="zh-CN"/>
        </w:rPr>
        <w:t>（不改变企业关口总账，仅用于调度解释与绿电分析）</w:t>
      </w:r>
    </w:p>
    <w:p w14:paraId="7880D4F9">
      <w:pPr>
        <w:bidi w:val="0"/>
      </w:pPr>
      <w:r>
        <w:t>建立电池碳存量状态变量，追踪储能内部存储电力来源与放电碳强度，服务调度解释与绿电消纳分析，该计算不改变企业关口清单核算结果。</w:t>
      </w:r>
    </w:p>
    <w:p w14:paraId="4C74C668">
      <w:pPr>
        <w:ind w:firstLine="440"/>
        <w:rPr>
          <w:rFonts w:hint="eastAsia"/>
          <w:sz w:val="28"/>
          <w:szCs w:val="22"/>
          <w:lang w:eastAsia="zh-CN"/>
        </w:rPr>
      </w:pPr>
      <w:r>
        <w:rPr>
          <w:rFonts w:ascii="Arial" w:hAnsi="Arial"/>
          <w:sz w:val="24"/>
          <w:szCs w:val="22"/>
          <w:lang w:eastAsia="zh-CN"/>
        </w:rPr>
        <w:t>放电前</w:t>
      </w:r>
      <w:r>
        <w:rPr>
          <w:rFonts w:hint="eastAsia" w:ascii="Arial" w:hAnsi="Arial"/>
          <w:sz w:val="24"/>
          <w:szCs w:val="22"/>
          <w:lang w:val="en-US" w:eastAsia="zh-CN"/>
        </w:rPr>
        <w:t>电池</w:t>
      </w:r>
      <w:r>
        <w:rPr>
          <w:rFonts w:ascii="Arial" w:hAnsi="Arial"/>
          <w:sz w:val="24"/>
          <w:szCs w:val="22"/>
          <w:lang w:eastAsia="zh-CN"/>
        </w:rPr>
        <w:t>单位存储能量碳含量</w:t>
      </w:r>
      <w:r>
        <w:rPr>
          <w:rFonts w:hint="eastAsia"/>
          <w:sz w:val="28"/>
          <w:szCs w:val="22"/>
          <w:lang w:eastAsia="zh-CN"/>
        </w:rPr>
        <w:t>:</w:t>
      </w:r>
    </w:p>
    <w:p w14:paraId="7885B290">
      <w:pPr>
        <w:ind w:left="0" w:leftChars="0" w:firstLine="0" w:firstLineChars="0"/>
        <w:jc w:val="center"/>
        <w:rPr>
          <w:rFonts w:hint="default"/>
          <w:i w:val="0"/>
        </w:rPr>
      </w:pPr>
      <m:oMathPara>
        <m:oMathParaPr>
          <m:jc m:val="center"/>
        </m:oMathParaPr>
        <m:oMath>
          <m:r>
            <m:rPr/>
            <w:rPr>
              <w:rFonts w:hint="default" w:ascii="Cambria Math"/>
            </w:rPr>
            <m:t>q(t−1)=</m:t>
          </m:r>
          <m:f>
            <m:fPr>
              <m:ctrlPr>
                <w:rPr>
                  <w:rFonts w:hint="default" w:ascii="Cambria Math"/>
                </w:rPr>
              </m:ctrlPr>
            </m:fPr>
            <m:num>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(t−1)</m:t>
              </m:r>
              <m:ctrlPr>
                <w:rPr>
                  <w:rFonts w:hint="default" w:ascii="Cambria Math"/>
                </w:rPr>
              </m:ctrlPr>
            </m:num>
            <m:den>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bat</m:t>
                  </m:r>
                  <m:ctrlPr>
                    <w:rPr>
                      <w:rFonts w:hint="default" w:ascii="Cambria Math"/>
                    </w:rPr>
                  </m:ctrlPr>
                </m:sub>
              </m:sSub>
              <m:r>
                <m:rPr/>
                <w:rPr>
                  <w:rFonts w:hint="default" w:ascii="Cambria Math"/>
                </w:rPr>
                <m:t>(t−1)</m:t>
              </m:r>
              <m:ctrlPr>
                <w:rPr>
                  <w:rFonts w:hint="default" w:ascii="Cambria Math"/>
                </w:rPr>
              </m:ctrlPr>
            </m:den>
          </m:f>
        </m:oMath>
      </m:oMathPara>
    </w:p>
    <w:p w14:paraId="168EBA9D">
      <w:pPr>
        <w:bidi w:val="0"/>
        <w:ind w:left="0" w:leftChars="0" w:firstLine="0" w:firstLineChars="0"/>
      </w:pPr>
      <w:r>
        <w:t>式中：</w:t>
      </w:r>
      <m:oMath>
        <m:r>
          <m:rPr/>
          <w:rPr>
            <w:rFonts w:hint="default" w:ascii="Cambria Math"/>
          </w:rPr>
          <m:t>q(t−1)</m:t>
        </m:r>
      </m:oMath>
      <w:r>
        <w:t>为t‑1时刻电池单位储能碳含量；</w:t>
      </w:r>
      <m:oMath>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(t−1)</m:t>
        </m:r>
      </m:oMath>
      <w:r>
        <w:rPr>
          <w:rFonts w:hint="eastAsia"/>
          <w:i w:val="0"/>
          <w:lang w:val="en-US" w:eastAsia="zh-CN"/>
        </w:rPr>
        <w:t>是</w:t>
      </w:r>
      <w:r>
        <w:t>t‑1时刻电池总碳存量；</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bat</m:t>
            </m:r>
            <m:ctrlPr>
              <w:rPr>
                <w:rFonts w:hint="default" w:ascii="Cambria Math"/>
              </w:rPr>
            </m:ctrlPr>
          </m:sub>
        </m:sSub>
        <m:r>
          <m:rPr/>
          <w:rPr>
            <w:rFonts w:hint="default" w:ascii="Cambria Math"/>
          </w:rPr>
          <m:t>(t−1)</m:t>
        </m:r>
      </m:oMath>
      <w:r>
        <w:rPr>
          <w:rFonts w:hint="eastAsia"/>
          <w:i w:val="0"/>
          <w:lang w:val="en-US" w:eastAsia="zh-CN"/>
        </w:rPr>
        <w:t>是</w:t>
      </w:r>
      <w:r>
        <w:t>t‑1时刻电池存储电量。</w:t>
      </w:r>
    </w:p>
    <w:p w14:paraId="0F3D52A9">
      <w:pPr>
        <w:bidi w:val="0"/>
        <w:ind w:left="0" w:leftChars="0" w:firstLine="480" w:firstLineChars="200"/>
        <w:rPr>
          <w:rFonts w:hint="default" w:eastAsia="宋体"/>
          <w:lang w:val="en-US" w:eastAsia="zh-CN"/>
        </w:rPr>
      </w:pPr>
      <w:r>
        <w:rPr>
          <w:rFonts w:hint="eastAsia"/>
          <w:lang w:val="en-US" w:eastAsia="zh-CN"/>
        </w:rPr>
        <w:t>电池碳存量时序迭代：</w:t>
      </w:r>
    </w:p>
    <w:p w14:paraId="22F9EF1E">
      <w:pPr>
        <w:pStyle w:val="23"/>
        <w:ind w:left="0"/>
        <w:rPr>
          <w:rFonts w:hint="default"/>
          <w:i w:val="0"/>
        </w:rPr>
      </w:pPr>
      <m:oMathPara>
        <m:oMath>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(t)=</m:t>
          </m:r>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(t−1)+</m:t>
          </m:r>
          <m:nary>
            <m:naryPr>
              <m:chr m:val="∑"/>
              <m:limLoc m:val="subSup"/>
              <m:supHide m:val="1"/>
              <m:ctrlPr>
                <w:rPr>
                  <w:rFonts w:hint="default" w:ascii="Cambria Math"/>
                </w:rPr>
              </m:ctrlPr>
            </m:naryPr>
            <m:sub>
              <m:r>
                <m:rPr/>
                <w:rPr>
                  <w:rFonts w:hint="default" w:ascii="Cambria Math"/>
                </w:rPr>
                <m:t>s</m:t>
              </m:r>
              <m:ctrlPr>
                <w:rPr>
                  <w:rFonts w:hint="default" w:ascii="Cambria Math"/>
                </w:rPr>
              </m:ctrlPr>
            </m:sub>
            <m:sup>
              <m:ctrlPr>
                <w:rPr>
                  <w:rFonts w:hint="default" w:ascii="Cambria Math"/>
                </w:rPr>
              </m:ctrlPr>
            </m:sup>
            <m:e>
              <m:r>
                <m:rPr/>
                <w:rPr>
                  <w:rFonts w:hint="default" w:ascii="Cambria Math"/>
                </w:rPr>
                <m:t>[</m:t>
              </m:r>
              <m:ctrlPr>
                <w:rPr>
                  <w:rFonts w:hint="default" w:ascii="Cambria Math"/>
                </w:rPr>
              </m:ctrlPr>
            </m:e>
          </m:nary>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ch,s</m:t>
              </m:r>
              <m:ctrlPr>
                <w:rPr>
                  <w:rFonts w:hint="default" w:ascii="Cambria Math"/>
                </w:rPr>
              </m:ctrlPr>
            </m:sub>
          </m:sSub>
          <m:r>
            <m:rPr/>
            <w:rPr>
              <w:rFonts w:hint="default" w:ascii="Cambria Math"/>
            </w:rPr>
            <m:t>(t)×E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s</m:t>
              </m:r>
              <m:ctrlPr>
                <w:rPr>
                  <w:rFonts w:hint="default" w:ascii="Cambria Math"/>
                </w:rPr>
              </m:ctrlPr>
            </m:sub>
          </m:sSub>
          <m:r>
            <m:rPr/>
            <w:rPr>
              <w:rFonts w:hint="default" w:ascii="Cambria Math"/>
            </w:rPr>
            <m:t>(t)]−q(t−1)×</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withdraw</m:t>
              </m:r>
              <m:ctrlPr>
                <w:rPr>
                  <w:rFonts w:hint="default" w:ascii="Cambria Math"/>
                </w:rPr>
              </m:ctrlPr>
            </m:sub>
          </m:sSub>
          <m:r>
            <m:rPr/>
            <w:rPr>
              <w:rFonts w:hint="default" w:ascii="Cambria Math"/>
            </w:rPr>
            <m:t>(t)</m:t>
          </m:r>
        </m:oMath>
      </m:oMathPara>
    </w:p>
    <w:p w14:paraId="19BA5F3C">
      <w:pPr>
        <w:pStyle w:val="23"/>
        <w:ind w:left="0"/>
        <w:rPr>
          <w:rFonts w:hint="eastAsia" w:ascii="宋体" w:hAnsi="宋体" w:eastAsia="宋体" w:cs="宋体"/>
          <w:i w:val="0"/>
          <w:sz w:val="24"/>
          <w:szCs w:val="24"/>
          <w:lang w:val="en-US" w:eastAsia="zh-CN"/>
        </w:rPr>
      </w:pPr>
      <w:r>
        <w:rPr>
          <w:rFonts w:hint="eastAsia" w:ascii="宋体" w:hAnsi="宋体" w:eastAsia="宋体" w:cs="宋体"/>
          <w:sz w:val="24"/>
          <w:szCs w:val="24"/>
        </w:rPr>
        <w:t>式中：</w:t>
      </w:r>
      <m:oMath>
        <m:sSub>
          <m:sSubPr>
            <m:ctrlPr>
              <w:rPr>
                <w:rFonts w:hint="eastAsia" w:ascii="Cambria Math" w:hAnsi="Cambria Math" w:eastAsia="宋体" w:cs="宋体"/>
                <w:sz w:val="24"/>
                <w:szCs w:val="24"/>
              </w:rPr>
            </m:ctrlPr>
          </m:sSubPr>
          <m:e>
            <m:r>
              <m:rPr/>
              <w:rPr>
                <w:rFonts w:hint="eastAsia" w:ascii="Times New Roman" w:hAnsi="Times New Roman" w:eastAsia="宋体" w:cs="宋体"/>
                <w:sz w:val="24"/>
                <w:szCs w:val="24"/>
              </w:rPr>
              <m:t>B</m:t>
            </m:r>
            <m:ctrlPr>
              <w:rPr>
                <w:rFonts w:hint="eastAsia" w:ascii="Cambria Math" w:hAnsi="Cambria Math" w:eastAsia="宋体" w:cs="宋体"/>
                <w:sz w:val="24"/>
                <w:szCs w:val="24"/>
              </w:rPr>
            </m:ctrlPr>
          </m:e>
          <m:sub>
            <m:r>
              <m:rPr/>
              <w:rPr>
                <w:rFonts w:hint="eastAsia" w:ascii="Times New Roman" w:hAnsi="Times New Roman" w:eastAsia="宋体" w:cs="宋体"/>
                <w:sz w:val="24"/>
                <w:szCs w:val="24"/>
              </w:rPr>
              <m:t>C</m:t>
            </m:r>
            <m:ctrlPr>
              <w:rPr>
                <w:rFonts w:hint="eastAsia" w:ascii="Cambria Math" w:hAnsi="Cambria Math" w:eastAsia="宋体" w:cs="宋体"/>
                <w:sz w:val="24"/>
                <w:szCs w:val="24"/>
              </w:rPr>
            </m:ctrlPr>
          </m:sub>
        </m:sSub>
        <m:r>
          <m:rPr/>
          <w:rPr>
            <w:rFonts w:hint="eastAsia" w:ascii="Times New Roman" w:hAnsi="Times New Roman" w:eastAsia="宋体" w:cs="宋体"/>
            <w:sz w:val="24"/>
            <w:szCs w:val="24"/>
          </w:rPr>
          <m:t>(t)</m:t>
        </m:r>
      </m:oMath>
      <w:r>
        <w:rPr>
          <w:rFonts w:hint="eastAsia" w:ascii="宋体" w:hAnsi="宋体" w:eastAsia="宋体" w:cs="宋体"/>
          <w:i w:val="0"/>
          <w:sz w:val="24"/>
          <w:szCs w:val="24"/>
          <w:lang w:val="en-US" w:eastAsia="zh-CN"/>
        </w:rPr>
        <w:t>是t</w:t>
      </w:r>
      <w:r>
        <w:rPr>
          <w:rFonts w:hint="eastAsia" w:ascii="宋体" w:hAnsi="宋体" w:eastAsia="宋体" w:cs="宋体"/>
          <w:sz w:val="24"/>
          <w:szCs w:val="24"/>
        </w:rPr>
        <w:t>时刻电池碳存量；</w:t>
      </w:r>
      <w:r>
        <w:rPr>
          <w:rFonts w:hint="eastAsia" w:ascii="宋体" w:hAnsi="宋体" w:eastAsia="宋体" w:cs="宋体"/>
          <w:sz w:val="24"/>
          <w:szCs w:val="24"/>
          <w:lang w:val="en-US" w:eastAsia="zh-CN"/>
        </w:rPr>
        <w:t>s</w:t>
      </w:r>
      <w:r>
        <w:rPr>
          <w:rFonts w:hint="eastAsia" w:ascii="宋体" w:hAnsi="宋体" w:eastAsia="宋体" w:cs="宋体"/>
          <w:sz w:val="24"/>
          <w:szCs w:val="24"/>
        </w:rPr>
        <w:t>代表充电来源（电网、光伏、沼气等）；</w:t>
      </w:r>
      <m:oMath>
        <m:sSub>
          <m:sSubPr>
            <m:ctrlPr>
              <w:rPr>
                <w:rFonts w:hint="eastAsia" w:ascii="Cambria Math" w:hAnsi="Cambria Math" w:eastAsia="宋体" w:cs="宋体"/>
                <w:sz w:val="24"/>
                <w:szCs w:val="24"/>
              </w:rPr>
            </m:ctrlPr>
          </m:sSubPr>
          <m:e>
            <m:r>
              <m:rPr/>
              <w:rPr>
                <w:rFonts w:hint="eastAsia" w:ascii="Times New Roman" w:hAnsi="Times New Roman" w:eastAsia="宋体" w:cs="宋体"/>
                <w:sz w:val="24"/>
                <w:szCs w:val="24"/>
              </w:rPr>
              <m:t>E</m:t>
            </m:r>
            <m:ctrlPr>
              <w:rPr>
                <w:rFonts w:hint="eastAsia" w:ascii="Cambria Math" w:hAnsi="Cambria Math" w:eastAsia="宋体" w:cs="宋体"/>
                <w:sz w:val="24"/>
                <w:szCs w:val="24"/>
              </w:rPr>
            </m:ctrlPr>
          </m:e>
          <m:sub>
            <m:r>
              <m:rPr/>
              <w:rPr>
                <w:rFonts w:hint="eastAsia" w:ascii="Times New Roman" w:hAnsi="Times New Roman" w:eastAsia="宋体" w:cs="宋体"/>
                <w:sz w:val="24"/>
                <w:szCs w:val="24"/>
              </w:rPr>
              <m:t>ch,s</m:t>
            </m:r>
            <m:ctrlPr>
              <w:rPr>
                <w:rFonts w:hint="eastAsia" w:ascii="Cambria Math" w:hAnsi="Cambria Math" w:eastAsia="宋体" w:cs="宋体"/>
                <w:sz w:val="24"/>
                <w:szCs w:val="24"/>
              </w:rPr>
            </m:ctrlPr>
          </m:sub>
        </m:sSub>
        <m:r>
          <m:rPr/>
          <w:rPr>
            <w:rFonts w:hint="eastAsia" w:ascii="Times New Roman" w:hAnsi="Times New Roman" w:eastAsia="宋体" w:cs="宋体"/>
            <w:sz w:val="24"/>
            <w:szCs w:val="24"/>
          </w:rPr>
          <m:t>(t)</m:t>
        </m:r>
      </m:oMath>
      <w:r>
        <w:rPr>
          <w:rFonts w:hint="eastAsia" w:ascii="宋体" w:hAnsi="宋体" w:eastAsia="宋体" w:cs="宋体"/>
          <w:i w:val="0"/>
          <w:sz w:val="24"/>
          <w:szCs w:val="24"/>
          <w:lang w:val="en-US" w:eastAsia="zh-CN"/>
        </w:rPr>
        <w:t>是</w:t>
      </w:r>
      <w:r>
        <w:rPr>
          <w:rFonts w:hint="eastAsia" w:ascii="宋体" w:hAnsi="宋体" w:eastAsia="宋体" w:cs="宋体"/>
          <w:sz w:val="24"/>
          <w:szCs w:val="24"/>
        </w:rPr>
        <w:t>来自</w:t>
      </w:r>
      <w:r>
        <w:rPr>
          <w:rFonts w:hint="eastAsia" w:ascii="宋体" w:hAnsi="宋体" w:eastAsia="宋体" w:cs="宋体"/>
          <w:sz w:val="24"/>
          <w:szCs w:val="24"/>
          <w:lang w:val="en-US" w:eastAsia="zh-CN"/>
        </w:rPr>
        <w:t>s</w:t>
      </w:r>
      <w:r>
        <w:rPr>
          <w:rFonts w:hint="eastAsia" w:ascii="宋体" w:hAnsi="宋体" w:eastAsia="宋体" w:cs="宋体"/>
          <w:sz w:val="24"/>
          <w:szCs w:val="24"/>
        </w:rPr>
        <w:t>源的充电电量；</w:t>
      </w:r>
      <m:oMath>
        <m:r>
          <m:rPr/>
          <w:rPr>
            <w:rFonts w:hint="eastAsia" w:ascii="Times New Roman" w:hAnsi="Times New Roman" w:eastAsia="宋体" w:cs="宋体"/>
            <w:sz w:val="24"/>
            <w:szCs w:val="24"/>
          </w:rPr>
          <m:t>E</m:t>
        </m:r>
        <m:sSub>
          <m:sSubPr>
            <m:ctrlPr>
              <w:rPr>
                <w:rFonts w:hint="eastAsia" w:ascii="Cambria Math" w:hAnsi="Cambria Math" w:eastAsia="宋体" w:cs="宋体"/>
                <w:sz w:val="24"/>
                <w:szCs w:val="24"/>
              </w:rPr>
            </m:ctrlPr>
          </m:sSubPr>
          <m:e>
            <m:r>
              <m:rPr/>
              <w:rPr>
                <w:rFonts w:hint="eastAsia" w:ascii="Times New Roman" w:hAnsi="Times New Roman" w:eastAsia="宋体" w:cs="宋体"/>
                <w:sz w:val="24"/>
                <w:szCs w:val="24"/>
              </w:rPr>
              <m:t>F</m:t>
            </m:r>
            <m:ctrlPr>
              <w:rPr>
                <w:rFonts w:hint="eastAsia" w:ascii="Cambria Math" w:hAnsi="Cambria Math" w:eastAsia="宋体" w:cs="宋体"/>
                <w:sz w:val="24"/>
                <w:szCs w:val="24"/>
              </w:rPr>
            </m:ctrlPr>
          </m:e>
          <m:sub>
            <m:r>
              <m:rPr/>
              <w:rPr>
                <w:rFonts w:hint="eastAsia" w:ascii="Times New Roman" w:hAnsi="Times New Roman" w:eastAsia="宋体" w:cs="宋体"/>
                <w:sz w:val="24"/>
                <w:szCs w:val="24"/>
              </w:rPr>
              <m:t>s</m:t>
            </m:r>
            <m:ctrlPr>
              <w:rPr>
                <w:rFonts w:hint="eastAsia" w:ascii="Cambria Math" w:hAnsi="Cambria Math" w:eastAsia="宋体" w:cs="宋体"/>
                <w:sz w:val="24"/>
                <w:szCs w:val="24"/>
              </w:rPr>
            </m:ctrlPr>
          </m:sub>
        </m:sSub>
        <m:r>
          <m:rPr/>
          <w:rPr>
            <w:rFonts w:hint="eastAsia" w:ascii="Times New Roman" w:hAnsi="Times New Roman" w:eastAsia="宋体" w:cs="宋体"/>
            <w:sz w:val="24"/>
            <w:szCs w:val="24"/>
          </w:rPr>
          <m:t>(t)</m:t>
        </m:r>
      </m:oMath>
      <w:r>
        <w:rPr>
          <w:rFonts w:hint="eastAsia" w:ascii="宋体" w:hAnsi="宋体" w:eastAsia="宋体" w:cs="宋体"/>
          <w:sz w:val="24"/>
          <w:szCs w:val="24"/>
        </w:rPr>
        <w:t>对应来源碳因子；</w:t>
      </w:r>
      <m:oMath>
        <m:sSub>
          <m:sSubPr>
            <m:ctrlPr>
              <w:rPr>
                <w:rFonts w:hint="eastAsia" w:ascii="Cambria Math" w:hAnsi="Cambria Math" w:eastAsia="宋体" w:cs="宋体"/>
                <w:sz w:val="24"/>
                <w:szCs w:val="24"/>
              </w:rPr>
            </m:ctrlPr>
          </m:sSubPr>
          <m:e>
            <m:r>
              <m:rPr/>
              <w:rPr>
                <w:rFonts w:hint="eastAsia" w:ascii="Times New Roman" w:hAnsi="Times New Roman" w:eastAsia="宋体" w:cs="宋体"/>
                <w:sz w:val="24"/>
                <w:szCs w:val="24"/>
              </w:rPr>
              <m:t>E</m:t>
            </m:r>
            <m:ctrlPr>
              <w:rPr>
                <w:rFonts w:hint="eastAsia" w:ascii="Cambria Math" w:hAnsi="Cambria Math" w:eastAsia="宋体" w:cs="宋体"/>
                <w:sz w:val="24"/>
                <w:szCs w:val="24"/>
              </w:rPr>
            </m:ctrlPr>
          </m:e>
          <m:sub>
            <m:r>
              <m:rPr/>
              <w:rPr>
                <w:rFonts w:hint="eastAsia" w:ascii="Times New Roman" w:hAnsi="Times New Roman" w:eastAsia="宋体" w:cs="宋体"/>
                <w:sz w:val="24"/>
                <w:szCs w:val="24"/>
              </w:rPr>
              <m:t>withdraw</m:t>
            </m:r>
            <m:ctrlPr>
              <w:rPr>
                <w:rFonts w:hint="eastAsia" w:ascii="Cambria Math" w:hAnsi="Cambria Math" w:eastAsia="宋体" w:cs="宋体"/>
                <w:sz w:val="24"/>
                <w:szCs w:val="24"/>
              </w:rPr>
            </m:ctrlPr>
          </m:sub>
        </m:sSub>
        <m:r>
          <m:rPr/>
          <w:rPr>
            <w:rFonts w:hint="eastAsia" w:ascii="Times New Roman" w:hAnsi="Times New Roman" w:eastAsia="宋体" w:cs="宋体"/>
            <w:sz w:val="24"/>
            <w:szCs w:val="24"/>
          </w:rPr>
          <m:t>(t)</m:t>
        </m:r>
      </m:oMath>
      <w:r>
        <w:rPr>
          <w:rFonts w:hint="eastAsia" w:ascii="宋体" w:hAnsi="宋体" w:eastAsia="宋体" w:cs="宋体"/>
          <w:i w:val="0"/>
          <w:sz w:val="24"/>
          <w:szCs w:val="24"/>
          <w:lang w:val="en-US" w:eastAsia="zh-CN"/>
        </w:rPr>
        <w:t>是电池内部提取电量。</w:t>
      </w:r>
    </w:p>
    <w:p w14:paraId="54CC9F42">
      <w:pPr>
        <w:pStyle w:val="23"/>
        <w:ind w:left="0" w:firstLine="480" w:firstLineChars="200"/>
        <w:rPr>
          <w:rFonts w:hint="eastAsia" w:ascii="宋体" w:hAnsi="宋体" w:eastAsia="宋体" w:cs="宋体"/>
          <w:i w:val="0"/>
          <w:sz w:val="24"/>
          <w:szCs w:val="24"/>
        </w:rPr>
      </w:pPr>
      <w:r>
        <w:rPr>
          <w:rFonts w:hint="eastAsia" w:ascii="宋体" w:hAnsi="宋体" w:eastAsia="宋体" w:cs="宋体"/>
          <w:i w:val="0"/>
          <w:sz w:val="24"/>
          <w:szCs w:val="24"/>
          <w:lang w:val="en-US" w:eastAsia="zh-CN"/>
        </w:rPr>
        <w:t>放电输出碳强度：</w:t>
      </w:r>
    </w:p>
    <w:p w14:paraId="5F7E651C">
      <w:pPr>
        <w:pStyle w:val="23"/>
        <w:rPr>
          <w:rFonts w:eastAsia="宋体"/>
        </w:rPr>
      </w:pPr>
      <m:oMathPara>
        <m:oMath>
          <m:sSub>
            <m:sSubPr>
              <m:ctrlPr>
                <w:rPr>
                  <w:rFonts w:hint="default" w:ascii="Cambria Math"/>
                </w:rPr>
              </m:ctrlPr>
            </m:sSubPr>
            <m:e>
              <m:r>
                <m:rPr/>
                <w:rPr>
                  <w:rFonts w:hint="default" w:ascii="Cambria Math"/>
                </w:rPr>
                <m:t>I</m:t>
              </m:r>
              <m:ctrlPr>
                <w:rPr>
                  <w:rFonts w:hint="default" w:ascii="Cambria Math"/>
                </w:rPr>
              </m:ctrlPr>
            </m:e>
            <m:sub>
              <m:r>
                <m:rPr/>
                <w:rPr>
                  <w:rFonts w:hint="default" w:ascii="Cambria Math"/>
                </w:rPr>
                <m:t>dis</m:t>
              </m:r>
              <m:ctrlPr>
                <w:rPr>
                  <w:rFonts w:hint="default" w:ascii="Cambria Math"/>
                </w:rPr>
              </m:ctrlPr>
            </m:sub>
          </m:sSub>
          <m:r>
            <m:rPr/>
            <w:rPr>
              <w:rFonts w:hint="default" w:ascii="Cambria Math"/>
            </w:rPr>
            <m:t>(t)=q(t−1)×</m:t>
          </m:r>
          <m:f>
            <m:fPr>
              <m:ctrlPr>
                <w:rPr>
                  <w:rFonts w:hint="default" w:ascii="Cambria Math"/>
                </w:rPr>
              </m:ctrlPr>
            </m:fPr>
            <m:num>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withdraw</m:t>
                  </m:r>
                  <m:ctrlPr>
                    <w:rPr>
                      <w:rFonts w:hint="default" w:ascii="Cambria Math"/>
                    </w:rPr>
                  </m:ctrlPr>
                </m:sub>
              </m:sSub>
              <m:r>
                <m:rPr/>
                <w:rPr>
                  <w:rFonts w:hint="default" w:ascii="Cambria Math"/>
                </w:rPr>
                <m:t>(t)</m:t>
              </m:r>
              <m:ctrlPr>
                <w:rPr>
                  <w:rFonts w:hint="default" w:ascii="Cambria Math"/>
                </w:rPr>
              </m:ctrlPr>
            </m:num>
            <m:den>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dis,ac</m:t>
                  </m:r>
                  <m:ctrlPr>
                    <w:rPr>
                      <w:rFonts w:hint="default" w:ascii="Cambria Math"/>
                    </w:rPr>
                  </m:ctrlPr>
                </m:sub>
              </m:sSub>
              <m:r>
                <m:rPr/>
                <w:rPr>
                  <w:rFonts w:hint="default" w:ascii="Cambria Math"/>
                </w:rPr>
                <m:t>(t)</m:t>
              </m:r>
              <m:ctrlPr>
                <w:rPr>
                  <w:rFonts w:hint="default" w:ascii="Cambria Math"/>
                </w:rPr>
              </m:ctrlPr>
            </m:den>
          </m:f>
        </m:oMath>
      </m:oMathPara>
    </w:p>
    <w:p w14:paraId="70F78848">
      <w:pPr>
        <w:bidi w:val="0"/>
        <w:ind w:left="0" w:leftChars="0" w:firstLine="0" w:firstLineChars="0"/>
      </w:pPr>
      <w:r>
        <w:t>式中：</w:t>
      </w:r>
      <m:oMath>
        <m:sSub>
          <m:sSubPr>
            <m:ctrlPr>
              <w:rPr>
                <w:rFonts w:hint="default" w:ascii="Cambria Math"/>
              </w:rPr>
            </m:ctrlPr>
          </m:sSubPr>
          <m:e>
            <m:r>
              <m:rPr/>
              <w:rPr>
                <w:rFonts w:hint="default" w:ascii="Cambria Math"/>
              </w:rPr>
              <m:t>I</m:t>
            </m:r>
            <m:ctrlPr>
              <w:rPr>
                <w:rFonts w:hint="default" w:ascii="Cambria Math"/>
              </w:rPr>
            </m:ctrlPr>
          </m:e>
          <m:sub>
            <m:r>
              <m:rPr/>
              <w:rPr>
                <w:rFonts w:hint="default" w:ascii="Cambria Math"/>
              </w:rPr>
              <m:t>dis</m:t>
            </m:r>
            <m:ctrlPr>
              <w:rPr>
                <w:rFonts w:hint="default" w:ascii="Cambria Math"/>
              </w:rPr>
            </m:ctrlPr>
          </m:sub>
        </m:sSub>
        <m:r>
          <m:rPr/>
          <w:rPr>
            <w:rFonts w:hint="default" w:ascii="Cambria Math"/>
          </w:rPr>
          <m:t>(t)</m:t>
        </m:r>
      </m:oMath>
      <w:r>
        <w:t>交流侧放电碳强度；</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dis,ac</m:t>
            </m:r>
            <m:ctrlPr>
              <w:rPr>
                <w:rFonts w:hint="default" w:ascii="Cambria Math"/>
              </w:rPr>
            </m:ctrlPr>
          </m:sub>
        </m:sSub>
        <m:r>
          <m:rPr/>
          <w:rPr>
            <w:rFonts w:hint="default" w:ascii="Cambria Math"/>
          </w:rPr>
          <m:t>(t)</m:t>
        </m:r>
      </m:oMath>
      <w:r>
        <w:t>交流侧实际放电电量。</w:t>
      </w:r>
    </w:p>
    <w:p w14:paraId="64296EE1">
      <w:pPr>
        <w:ind w:firstLine="480"/>
        <w:rPr>
          <w:rFonts w:hint="eastAsia" w:ascii="Arial" w:hAnsi="Arial" w:eastAsia="宋体"/>
          <w:sz w:val="22"/>
          <w:lang w:val="en-US" w:eastAsia="zh-CN"/>
        </w:rPr>
      </w:pPr>
      <w:r>
        <w:t>电池SOC接近0时设置数值稳定阈值；多来源混合充电采用质量守恒，不使用后进先出等未约定归属规</w:t>
      </w:r>
      <w:r>
        <w:rPr>
          <w:rFonts w:hint="eastAsia"/>
          <w:lang w:val="en-US" w:eastAsia="zh-CN"/>
        </w:rPr>
        <w:t>则。</w:t>
      </w:r>
    </w:p>
    <w:p w14:paraId="57AE5DC7">
      <w:pPr>
        <w:bidi w:val="0"/>
        <w:ind w:left="0" w:leftChars="0" w:firstLine="0" w:firstLineChars="0"/>
      </w:pPr>
    </w:p>
    <w:p w14:paraId="5ABC005A">
      <w:pPr>
        <w:bidi w:val="0"/>
        <w:ind w:left="0" w:leftChars="0" w:firstLine="0" w:firstLineChars="0"/>
        <w:rPr>
          <w:rFonts w:hint="default" w:eastAsia="宋体"/>
          <w:highlight w:val="yellow"/>
          <w:lang w:val="en-US" w:eastAsia="zh-CN"/>
        </w:rPr>
      </w:pPr>
      <w:r>
        <w:rPr>
          <w:rFonts w:hint="eastAsia"/>
          <w:highlight w:val="yellow"/>
          <w:lang w:val="en-US" w:eastAsia="zh-CN"/>
        </w:rPr>
        <w:t>第三部分是其他间接排放药剂、污泥外运、员工通勤等</w:t>
      </w:r>
    </w:p>
    <w:p w14:paraId="153CE411">
      <w:pPr>
        <w:pStyle w:val="23"/>
        <w:spacing w:after="0" w:afterAutospacing="0"/>
        <w:rPr>
          <w:rFonts w:eastAsia="宋体"/>
          <w:i w:val="0"/>
        </w:rPr>
      </w:pPr>
      <m:oMathPara>
        <m:oMath>
          <m:sSub>
            <m:sSubPr>
              <m:ctrlPr>
                <w:rPr>
                  <w:rFonts w:eastAsia="宋体"/>
                  <w:i/>
                </w:rPr>
              </m:ctrlPr>
            </m:sSubPr>
            <m:e>
              <m:r>
                <m:rPr/>
                <w:rPr>
                  <w:rFonts w:eastAsia="宋体"/>
                </w:rPr>
                <m:t>C</m:t>
              </m:r>
              <m:ctrlPr>
                <w:rPr>
                  <w:rFonts w:eastAsia="宋体"/>
                  <w:i/>
                </w:rPr>
              </m:ctrlPr>
            </m:e>
            <m:sub>
              <m:r>
                <m:rPr/>
                <w:rPr>
                  <w:rFonts w:eastAsia="宋体"/>
                </w:rPr>
                <m:t>plant</m:t>
              </m:r>
              <m:ctrlPr>
                <w:rPr>
                  <w:rFonts w:eastAsia="宋体"/>
                  <w:i/>
                </w:rPr>
              </m:ctrlPr>
            </m:sub>
          </m:sSub>
          <m:r>
            <m:rPr/>
            <w:rPr>
              <w:rFonts w:eastAsia="宋体"/>
            </w:rPr>
            <m:t xml:space="preserve">= </m:t>
          </m:r>
          <m:sSub>
            <m:sSubPr>
              <m:ctrlPr>
                <w:rPr>
                  <w:rFonts w:eastAsia="宋体"/>
                  <w:i/>
                </w:rPr>
              </m:ctrlPr>
            </m:sSubPr>
            <m:e>
              <m:r>
                <m:rPr/>
                <w:rPr>
                  <w:rFonts w:eastAsia="宋体"/>
                </w:rPr>
                <m:t>C</m:t>
              </m:r>
              <m:ctrlPr>
                <w:rPr>
                  <w:rFonts w:eastAsia="宋体"/>
                  <w:i/>
                </w:rPr>
              </m:ctrlPr>
            </m:e>
            <m:sub>
              <m:r>
                <m:rPr/>
                <w:rPr>
                  <w:rFonts w:eastAsia="宋体"/>
                </w:rPr>
                <m:t>scope1</m:t>
              </m:r>
              <m:ctrlPr>
                <w:rPr>
                  <w:rFonts w:eastAsia="宋体"/>
                  <w:i/>
                </w:rPr>
              </m:ctrlPr>
            </m:sub>
          </m:sSub>
          <m:r>
            <m:rPr/>
            <w:rPr>
              <w:rFonts w:eastAsia="宋体"/>
            </w:rPr>
            <m:t xml:space="preserve">+ </m:t>
          </m:r>
          <m:sSub>
            <m:sSubPr>
              <m:ctrlPr>
                <w:rPr>
                  <w:rFonts w:eastAsia="宋体"/>
                  <w:i/>
                </w:rPr>
              </m:ctrlPr>
            </m:sSubPr>
            <m:e>
              <m:r>
                <m:rPr/>
                <w:rPr>
                  <w:rFonts w:eastAsia="宋体"/>
                </w:rPr>
                <m:t>C</m:t>
              </m:r>
              <m:ctrlPr>
                <w:rPr>
                  <w:rFonts w:eastAsia="宋体"/>
                  <w:i/>
                </w:rPr>
              </m:ctrlPr>
            </m:e>
            <m:sub>
              <m:r>
                <m:rPr/>
                <w:rPr>
                  <w:rFonts w:eastAsia="宋体"/>
                </w:rPr>
                <m:t>scope2</m:t>
              </m:r>
              <m:ctrlPr>
                <w:rPr>
                  <w:rFonts w:eastAsia="宋体"/>
                  <w:i/>
                </w:rPr>
              </m:ctrlPr>
            </m:sub>
          </m:sSub>
          <m:r>
            <m:rPr/>
            <w:rPr>
              <w:rFonts w:eastAsia="宋体"/>
            </w:rPr>
            <m:t xml:space="preserve">+ </m:t>
          </m:r>
          <m:sSub>
            <m:sSubPr>
              <m:ctrlPr>
                <w:rPr>
                  <w:rFonts w:eastAsia="宋体"/>
                  <w:i/>
                </w:rPr>
              </m:ctrlPr>
            </m:sSubPr>
            <m:e>
              <m:r>
                <m:rPr/>
                <w:rPr>
                  <w:rFonts w:eastAsia="宋体"/>
                </w:rPr>
                <m:t>C</m:t>
              </m:r>
              <m:ctrlPr>
                <w:rPr>
                  <w:rFonts w:eastAsia="宋体"/>
                  <w:i/>
                </w:rPr>
              </m:ctrlPr>
            </m:e>
            <m:sub>
              <m:r>
                <m:rPr/>
                <w:rPr>
                  <w:rFonts w:eastAsia="宋体"/>
                </w:rPr>
                <m:t>scope3,reported</m:t>
              </m:r>
              <m:ctrlPr>
                <w:rPr>
                  <w:rFonts w:eastAsia="宋体"/>
                  <w:i/>
                </w:rPr>
              </m:ctrlPr>
            </m:sub>
          </m:sSub>
        </m:oMath>
      </m:oMathPara>
    </w:p>
    <w:p w14:paraId="6C8AD2F8">
      <w:pPr>
        <w:pStyle w:val="24"/>
        <w:spacing w:before="0" w:beforeAutospacing="0" w:after="0" w:afterAutospacing="0"/>
        <w:rPr>
          <w:rFonts w:hint="eastAsia" w:asciiTheme="minorEastAsia" w:hAnsiTheme="minorEastAsia" w:eastAsiaTheme="minorEastAsia" w:cstheme="minorEastAsia"/>
          <w:i w:val="0"/>
          <w:sz w:val="24"/>
          <w:szCs w:val="24"/>
        </w:rPr>
      </w:pPr>
      <w:r>
        <w:rPr>
          <w:rFonts w:hint="eastAsia" w:asciiTheme="minorEastAsia" w:hAnsiTheme="minorEastAsia" w:eastAsiaTheme="minorEastAsia" w:cstheme="minorEastAsia"/>
          <w:sz w:val="24"/>
          <w:szCs w:val="24"/>
          <w:lang w:val="en-US" w:eastAsia="zh-CN"/>
        </w:rPr>
        <w:t>式中：</w:t>
      </w:r>
      <m:oMath>
        <m:sSub>
          <m:sSubPr>
            <m:ctrlPr>
              <w:rPr>
                <w:rFonts w:hint="eastAsia" w:ascii="Cambria Math" w:hAnsi="Cambria Math" w:eastAsiaTheme="minorEastAsia" w:cstheme="minorEastAsia"/>
                <w:sz w:val="24"/>
                <w:szCs w:val="24"/>
              </w:rPr>
            </m:ctrlPr>
          </m:sSubPr>
          <m:e>
            <m:r>
              <m:rPr>
                <m:nor/>
              </m:rPr>
              <w:rPr>
                <w:rFonts w:hint="eastAsia" w:ascii="Times New Roman" w:hAnsi="Times New Roman" w:eastAsiaTheme="minorEastAsia" w:cstheme="minorEastAsia"/>
                <w:i/>
                <w:sz w:val="24"/>
                <w:szCs w:val="24"/>
              </w:rPr>
              <m:t>C</m:t>
            </m:r>
            <m:ctrlPr>
              <w:rPr>
                <w:rFonts w:hint="eastAsia" w:ascii="Cambria Math" w:hAnsi="Cambria Math" w:eastAsiaTheme="minorEastAsia" w:cstheme="minorEastAsia"/>
                <w:sz w:val="24"/>
                <w:szCs w:val="24"/>
              </w:rPr>
            </m:ctrlPr>
          </m:e>
          <m:sub>
            <m:r>
              <m:rPr>
                <m:nor/>
              </m:rPr>
              <w:rPr>
                <w:rFonts w:hint="eastAsia" w:ascii="Times New Roman" w:hAnsi="Times New Roman" w:eastAsiaTheme="minorEastAsia" w:cstheme="minorEastAsia"/>
                <w:i/>
                <w:sz w:val="24"/>
                <w:szCs w:val="24"/>
              </w:rPr>
              <m:t>plant</m:t>
            </m:r>
            <m:ctrlPr>
              <w:rPr>
                <w:rFonts w:hint="eastAsia" w:ascii="Cambria Math" w:hAnsi="Cambria Math" w:eastAsiaTheme="minorEastAsia" w:cstheme="minorEastAsia"/>
                <w:sz w:val="24"/>
                <w:szCs w:val="24"/>
              </w:rPr>
            </m:ctrlPr>
          </m:sub>
        </m:sSub>
      </m:oMath>
      <w:r>
        <w:rPr>
          <w:rFonts w:hint="eastAsia" w:asciiTheme="minorEastAsia" w:hAnsiTheme="minorEastAsia" w:eastAsiaTheme="minorEastAsia" w:cstheme="minorEastAsia"/>
          <w:i w:val="0"/>
          <w:sz w:val="24"/>
          <w:szCs w:val="24"/>
          <w:lang w:val="en-US" w:eastAsia="zh-CN"/>
        </w:rPr>
        <w:t>是</w:t>
      </w:r>
      <w:r>
        <w:rPr>
          <w:rFonts w:hint="eastAsia" w:asciiTheme="minorEastAsia" w:hAnsiTheme="minorEastAsia" w:eastAsiaTheme="minorEastAsia" w:cstheme="minorEastAsia"/>
          <w:sz w:val="24"/>
          <w:szCs w:val="24"/>
        </w:rPr>
        <w:t>水厂企业清单总排放；</w:t>
      </w:r>
      <m:oMath>
        <m:sSub>
          <m:sSubPr>
            <m:ctrlPr>
              <w:rPr>
                <w:rFonts w:hint="eastAsia" w:ascii="Cambria Math" w:hAnsi="Cambria Math" w:eastAsiaTheme="minorEastAsia" w:cstheme="minorEastAsia"/>
                <w:sz w:val="24"/>
                <w:szCs w:val="24"/>
              </w:rPr>
            </m:ctrlPr>
          </m:sSubPr>
          <m:e>
            <m:r>
              <m:rPr>
                <m:nor/>
              </m:rPr>
              <w:rPr>
                <w:rFonts w:hint="eastAsia" w:ascii="Times New Roman" w:hAnsi="Times New Roman" w:eastAsiaTheme="minorEastAsia" w:cstheme="minorEastAsia"/>
                <w:i/>
                <w:sz w:val="24"/>
                <w:szCs w:val="24"/>
              </w:rPr>
              <m:t>C</m:t>
            </m:r>
            <m:ctrlPr>
              <w:rPr>
                <w:rFonts w:hint="eastAsia" w:ascii="Cambria Math" w:hAnsi="Cambria Math" w:eastAsiaTheme="minorEastAsia" w:cstheme="minorEastAsia"/>
                <w:sz w:val="24"/>
                <w:szCs w:val="24"/>
              </w:rPr>
            </m:ctrlPr>
          </m:e>
          <m:sub>
            <m:r>
              <m:rPr>
                <m:nor/>
              </m:rPr>
              <w:rPr>
                <w:rFonts w:hint="eastAsia" w:ascii="Times New Roman" w:hAnsi="Times New Roman" w:eastAsiaTheme="minorEastAsia" w:cstheme="minorEastAsia"/>
                <w:i/>
                <w:sz w:val="24"/>
                <w:szCs w:val="24"/>
              </w:rPr>
              <m:t>scope</m:t>
            </m:r>
            <m:r>
              <m:rPr>
                <m:nor/>
                <m:sty m:val="p"/>
              </m:rPr>
              <w:rPr>
                <w:rFonts w:hint="eastAsia" w:ascii="Times New Roman" w:hAnsi="Times New Roman" w:eastAsiaTheme="minorEastAsia" w:cstheme="minorEastAsia"/>
                <w:b w:val="0"/>
                <w:i w:val="0"/>
                <w:sz w:val="24"/>
                <w:szCs w:val="24"/>
              </w:rPr>
              <m:t>3,</m:t>
            </m:r>
            <m:r>
              <m:rPr>
                <m:nor/>
              </m:rPr>
              <w:rPr>
                <w:rFonts w:hint="eastAsia" w:ascii="Times New Roman" w:hAnsi="Times New Roman" w:eastAsiaTheme="minorEastAsia" w:cstheme="minorEastAsia"/>
                <w:i/>
                <w:sz w:val="24"/>
                <w:szCs w:val="24"/>
              </w:rPr>
              <m:t>reported</m:t>
            </m:r>
            <m:ctrlPr>
              <w:rPr>
                <w:rFonts w:hint="eastAsia" w:ascii="Cambria Math" w:hAnsi="Cambria Math" w:eastAsiaTheme="minorEastAsia" w:cstheme="minorEastAsia"/>
                <w:sz w:val="24"/>
                <w:szCs w:val="24"/>
              </w:rPr>
            </m:ctrlPr>
          </m:sub>
        </m:sSub>
      </m:oMath>
      <w:r>
        <w:rPr>
          <w:rFonts w:hint="eastAsia" w:asciiTheme="minorEastAsia" w:hAnsiTheme="minorEastAsia" w:eastAsiaTheme="minorEastAsia" w:cstheme="minorEastAsia"/>
          <w:i w:val="0"/>
          <w:sz w:val="24"/>
          <w:szCs w:val="24"/>
          <w:lang w:val="en-US" w:eastAsia="zh-CN"/>
        </w:rPr>
        <w:t>是</w:t>
      </w:r>
      <w:r>
        <w:rPr>
          <w:rFonts w:hint="eastAsia" w:asciiTheme="minorEastAsia" w:hAnsiTheme="minorEastAsia" w:eastAsiaTheme="minorEastAsia" w:cstheme="minorEastAsia"/>
          <w:sz w:val="24"/>
          <w:szCs w:val="24"/>
        </w:rPr>
        <w:t>选报的范围三排放。</w:t>
      </w:r>
    </w:p>
    <w:p w14:paraId="0B42CFAD">
      <w:pPr>
        <w:bidi w:val="0"/>
        <w:spacing w:beforeAutospacing="0"/>
      </w:pPr>
      <w:r>
        <w:t>上网电量</w:t>
      </w:r>
      <w:r>
        <w:rPr>
          <w:rFonts w:hint="eastAsia"/>
          <w:lang w:eastAsia="zh-CN"/>
        </w:rPr>
        <w:t>（</w:t>
      </w:r>
      <w:r>
        <w:rPr>
          <w:rFonts w:hint="eastAsia"/>
          <w:highlight w:val="yellow"/>
          <w:lang w:val="en-US" w:eastAsia="zh-CN"/>
        </w:rPr>
        <w:t>发电厂剩余电不并入电网卖出直接丢弃</w:t>
      </w:r>
      <w:r>
        <w:rPr>
          <w:rFonts w:hint="eastAsia"/>
          <w:lang w:eastAsia="zh-CN"/>
        </w:rPr>
        <w:t>）</w:t>
      </w:r>
      <w:r>
        <w:t>按照报告规则单独列示；无标准明确许可时，不能直接使用上网电量乘以排放因子抵扣购入电力排放。</w:t>
      </w:r>
    </w:p>
    <w:p w14:paraId="487E67AD">
      <w:pPr>
        <w:bidi w:val="0"/>
        <w:spacing w:beforeAutospacing="0"/>
        <w:rPr/>
      </w:pPr>
      <w:r>
        <w:t>上网电量处理：</w:t>
      </w:r>
    </w:p>
    <w:p w14:paraId="7E4636D7">
      <w:pPr>
        <w:bidi w:val="0"/>
        <w:spacing w:beforeAutospacing="0"/>
        <w:rPr/>
      </w:pPr>
      <w:r>
        <w:t>1. 企业清单中，购入电力排放 = 关口净购电量 × EF_report（即购电−上网后的净值），</w:t>
      </w:r>
    </w:p>
    <w:p w14:paraId="3CD443D5">
      <w:pPr>
        <w:bidi w:val="0"/>
        <w:spacing w:beforeAutospacing="0"/>
        <w:rPr/>
      </w:pPr>
      <w:r>
        <w:t xml:space="preserve">   前提是关口表为双向计量表；</w:t>
      </w:r>
    </w:p>
    <w:p w14:paraId="7102C34D">
      <w:pPr>
        <w:bidi w:val="0"/>
        <w:spacing w:beforeAutospacing="0"/>
        <w:rPr/>
      </w:pPr>
      <w:r>
        <w:t>2. 若关口表只计量购电、上网单独计量，则购电排放全额计算，上网电量单独列示为</w:t>
      </w:r>
    </w:p>
    <w:p w14:paraId="2BC5C15E">
      <w:pPr>
        <w:bidi w:val="0"/>
        <w:spacing w:beforeAutospacing="0"/>
        <w:rPr/>
      </w:pPr>
      <w:r>
        <w:t xml:space="preserve">   "外销电力"，不直接抵扣；</w:t>
      </w:r>
    </w:p>
    <w:p w14:paraId="731E296C">
      <w:pPr>
        <w:bidi w:val="0"/>
        <w:spacing w:beforeAutospacing="0"/>
        <w:rPr/>
      </w:pPr>
      <w:r>
        <w:t>3. 若主张上网电量的环境属性（零碳/减排），必须持有绿证、碳普惠核证等</w:t>
      </w:r>
    </w:p>
    <w:p w14:paraId="0E7D7B97">
      <w:pPr>
        <w:bidi w:val="0"/>
        <w:spacing w:beforeAutospacing="0"/>
      </w:pPr>
      <w:r>
        <w:t xml:space="preserve">   合规凭证，按对应方法学单独计算，不得自行乘因子扣减。</w:t>
      </w:r>
    </w:p>
    <w:p w14:paraId="0E78F3E0">
      <w:pPr>
        <w:pStyle w:val="3"/>
        <w:bidi w:val="0"/>
        <w:rPr>
          <w:lang w:eastAsia="zh-CN"/>
        </w:rPr>
      </w:pPr>
      <w:r>
        <w:rPr>
          <w:lang w:eastAsia="zh-CN"/>
        </w:rPr>
        <w:t>5.</w:t>
      </w:r>
      <w:r>
        <w:rPr>
          <w:rFonts w:hint="eastAsia"/>
          <w:lang w:val="en-US" w:eastAsia="zh-CN"/>
        </w:rPr>
        <w:t>3</w:t>
      </w:r>
      <w:r>
        <w:rPr>
          <w:lang w:eastAsia="zh-CN"/>
        </w:rPr>
        <w:t>　项目运行减排量</w:t>
      </w:r>
    </w:p>
    <w:p w14:paraId="63421C75">
      <w:pPr>
        <w:bidi w:val="0"/>
        <w:rPr>
          <w:rFonts w:hint="default" w:eastAsia="宋体"/>
          <w:lang w:val="en-US" w:eastAsia="zh-CN"/>
        </w:rPr>
      </w:pPr>
      <w:r>
        <w:t>在污水处理服务水平保持一致前提下，以基准排放减去项目实际排放，扣减泄漏排放得到运行减排。若无合规方法学、无法证明额外性，仅能表述为“内部评估排放变化/避免排放”，不得宣称可交易碳减排量。</w:t>
      </w:r>
      <w:r>
        <w:rPr>
          <w:rFonts w:hint="eastAsia"/>
          <w:lang w:val="en-US" w:eastAsia="zh-CN"/>
        </w:rPr>
        <w:t>(</w:t>
      </w:r>
      <w:r>
        <w:rPr>
          <w:rFonts w:hint="eastAsia"/>
          <w:highlight w:val="yellow"/>
          <w:lang w:val="en-US" w:eastAsia="zh-CN"/>
        </w:rPr>
        <w:t>有无光伏</w:t>
      </w:r>
      <w:r>
        <w:rPr>
          <w:rFonts w:hint="eastAsia"/>
          <w:lang w:val="en-US" w:eastAsia="zh-CN"/>
        </w:rPr>
        <w:t>)全部上网vs光伏+储能</w:t>
      </w:r>
    </w:p>
    <w:p w14:paraId="4EC837FD">
      <w:pPr>
        <w:pStyle w:val="23"/>
        <w:rPr>
          <w:rFonts w:hint="default"/>
          <w:i w:val="0"/>
        </w:rPr>
      </w:pPr>
      <m:oMathPara>
        <m:oMath>
          <m:r>
            <m:rPr/>
            <w:rPr>
              <w:rFonts w:hint="default" w:ascii="Cambria Math"/>
            </w:rPr>
            <m:t>B</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y</m:t>
              </m:r>
              <m:ctrlPr>
                <w:rPr>
                  <w:rFonts w:hint="default" w:ascii="Cambria Math"/>
                </w:rPr>
              </m:ctrlPr>
            </m:sub>
          </m:sSub>
          <m:r>
            <m:rPr/>
            <w:rPr>
              <w:rFonts w:hint="default" w:ascii="Cambria Math"/>
            </w:rPr>
            <m:t>=</m:t>
          </m:r>
          <m:nary>
            <m:naryPr>
              <m:chr m:val="∑"/>
              <m:limLoc m:val="subSup"/>
              <m:supHide m:val="1"/>
              <m:ctrlPr>
                <w:rPr>
                  <w:rFonts w:hint="default" w:ascii="Cambria Math"/>
                </w:rPr>
              </m:ctrlPr>
            </m:naryPr>
            <m:sub>
              <m:r>
                <m:rPr/>
                <w:rPr>
                  <w:rFonts w:hint="default" w:ascii="Cambria Math"/>
                </w:rPr>
                <m:t>t</m:t>
              </m:r>
              <m:ctrlPr>
                <w:rPr>
                  <w:rFonts w:hint="default" w:ascii="Cambria Math"/>
                </w:rPr>
              </m:ctrlPr>
            </m:sub>
            <m:sup>
              <m:ctrlPr>
                <w:rPr>
                  <w:rFonts w:hint="default" w:ascii="Cambria Math"/>
                </w:rPr>
              </m:ctrlPr>
            </m:sup>
            <m:e>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grid,base</m:t>
                  </m:r>
                  <m:ctrlPr>
                    <w:rPr>
                      <w:rFonts w:hint="default" w:ascii="Cambria Math"/>
                    </w:rPr>
                  </m:ctrlPr>
                </m:sub>
              </m:sSub>
              <m:ctrlPr>
                <w:rPr>
                  <w:rFonts w:hint="default" w:ascii="Cambria Math"/>
                </w:rPr>
              </m:ctrlPr>
            </m:e>
          </m:nary>
          <m:r>
            <m:rPr/>
            <w:rPr>
              <w:rFonts w:hint="default" w:ascii="Cambria Math"/>
            </w:rPr>
            <m:t>(t)×E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base</m:t>
              </m:r>
              <m:ctrlPr>
                <w:rPr>
                  <w:rFonts w:hint="default" w:ascii="Cambria Math"/>
                </w:rPr>
              </m:ctrlPr>
            </m:sub>
          </m:sSub>
          <m:r>
            <m:rPr/>
            <w:rPr>
              <w:rFonts w:hint="default" w:ascii="Cambria Math"/>
            </w:rPr>
            <m:t>(t)+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scope1,base</m:t>
              </m:r>
              <m:ctrlPr>
                <w:rPr>
                  <w:rFonts w:hint="default" w:ascii="Cambria Math"/>
                </w:rPr>
              </m:ctrlPr>
            </m:sub>
          </m:sSub>
        </m:oMath>
      </m:oMathPara>
    </w:p>
    <w:p w14:paraId="7849862F">
      <w:pPr>
        <w:bidi w:val="0"/>
        <w:ind w:left="0" w:leftChars="0" w:firstLine="0" w:firstLineChars="0"/>
        <w:rPr>
          <w:rFonts w:hint="default"/>
          <w:i w:val="0"/>
        </w:rPr>
      </w:pPr>
      <w:r>
        <w:t>式中：</w:t>
      </w:r>
      <m:oMath>
        <m:r>
          <m:rPr/>
          <w:rPr>
            <w:rFonts w:hint="default" w:ascii="Cambria Math"/>
          </w:rPr>
          <m:t>B</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y</m:t>
            </m:r>
            <m:ctrlPr>
              <w:rPr>
                <w:rFonts w:hint="default" w:ascii="Cambria Math"/>
              </w:rPr>
            </m:ctrlPr>
          </m:sub>
        </m:sSub>
      </m:oMath>
      <w:r>
        <w:t>第y年基准情景总排放；</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grid,base</m:t>
            </m:r>
            <m:ctrlPr>
              <w:rPr>
                <w:rFonts w:hint="default" w:ascii="Cambria Math"/>
              </w:rPr>
            </m:ctrlPr>
          </m:sub>
        </m:sSub>
      </m:oMath>
      <w:r>
        <w:t>(t)</w:t>
      </w:r>
      <w:r>
        <w:rPr>
          <w:rFonts w:hint="eastAsia"/>
          <w:lang w:val="en-US" w:eastAsia="zh-CN"/>
        </w:rPr>
        <w:t>是</w:t>
      </w:r>
      <w:r>
        <w:t>基准情景t时刻购电量；</w:t>
      </w:r>
      <m:oMath>
        <m:r>
          <m:rPr/>
          <w:rPr>
            <w:rFonts w:hint="default" w:ascii="Cambria Math"/>
          </w:rPr>
          <m: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base</m:t>
            </m:r>
            <m:ctrlPr>
              <w:rPr>
                <w:rFonts w:hint="default" w:ascii="Cambria Math"/>
              </w:rPr>
            </m:ctrlPr>
          </m:sub>
        </m:sSub>
        <m:r>
          <m:rPr/>
          <w:rPr>
            <w:rFonts w:hint="default" w:ascii="Cambria Math"/>
          </w:rPr>
          <m:t>(t)</m:t>
        </m:r>
      </m:oMath>
      <w:r>
        <w:t>基准情景时变碳因子；</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scope1,base</m:t>
            </m:r>
            <m:ctrlPr>
              <w:rPr>
                <w:rFonts w:hint="default" w:ascii="Cambria Math"/>
              </w:rPr>
            </m:ctrlPr>
          </m:sub>
        </m:sSub>
      </m:oMath>
      <w:r>
        <w:rPr>
          <w:rFonts w:hint="eastAsia"/>
          <w:i w:val="0"/>
          <w:lang w:val="en-US" w:eastAsia="zh-CN"/>
        </w:rPr>
        <w:t>是</w:t>
      </w:r>
      <w:r>
        <w:t>基准情景范围一排放。</w:t>
      </w:r>
    </w:p>
    <w:p w14:paraId="7218B5C1">
      <w:pPr>
        <w:pStyle w:val="23"/>
        <w:rPr>
          <w:rFonts w:hint="default"/>
          <w:i w:val="0"/>
        </w:rPr>
      </w:pPr>
      <m:oMathPara>
        <m:oMath>
          <m:r>
            <m:rPr/>
            <w:rPr>
              <w:rFonts w:hint="default" w:ascii="Cambria Math"/>
            </w:rPr>
            <m:t>P</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y</m:t>
              </m:r>
              <m:ctrlPr>
                <w:rPr>
                  <w:rFonts w:hint="default" w:ascii="Cambria Math"/>
                </w:rPr>
              </m:ctrlPr>
            </m:sub>
          </m:sSub>
          <m:r>
            <m:rPr/>
            <w:rPr>
              <w:rFonts w:hint="default" w:ascii="Cambria Math"/>
            </w:rPr>
            <m:t>=</m:t>
          </m:r>
          <m:nary>
            <m:naryPr>
              <m:chr m:val="∑"/>
              <m:limLoc m:val="subSup"/>
              <m:supHide m:val="1"/>
              <m:ctrlPr>
                <w:rPr>
                  <w:rFonts w:hint="default" w:ascii="Cambria Math"/>
                </w:rPr>
              </m:ctrlPr>
            </m:naryPr>
            <m:sub>
              <m:r>
                <m:rPr/>
                <w:rPr>
                  <w:rFonts w:hint="default" w:ascii="Cambria Math"/>
                </w:rPr>
                <m:t>t</m:t>
              </m:r>
              <m:ctrlPr>
                <w:rPr>
                  <w:rFonts w:hint="default" w:ascii="Cambria Math"/>
                </w:rPr>
              </m:ctrlPr>
            </m:sub>
            <m:sup>
              <m:ctrlPr>
                <w:rPr>
                  <w:rFonts w:hint="default" w:ascii="Cambria Math"/>
                </w:rPr>
              </m:ctrlPr>
            </m:sup>
            <m:e>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grid,proj</m:t>
                  </m:r>
                  <m:ctrlPr>
                    <w:rPr>
                      <w:rFonts w:hint="default" w:ascii="Cambria Math"/>
                    </w:rPr>
                  </m:ctrlPr>
                </m:sub>
              </m:sSub>
              <m:ctrlPr>
                <w:rPr>
                  <w:rFonts w:hint="default" w:ascii="Cambria Math"/>
                </w:rPr>
              </m:ctrlPr>
            </m:e>
          </m:nary>
          <m:r>
            <m:rPr/>
            <w:rPr>
              <w:rFonts w:hint="default" w:ascii="Cambria Math"/>
            </w:rPr>
            <m:t>(t)×E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proj</m:t>
              </m:r>
              <m:ctrlPr>
                <w:rPr>
                  <w:rFonts w:hint="default" w:ascii="Cambria Math"/>
                </w:rPr>
              </m:ctrlPr>
            </m:sub>
          </m:sSub>
          <m:r>
            <m:rPr/>
            <w:rPr>
              <w:rFonts w:hint="default" w:ascii="Cambria Math"/>
            </w:rPr>
            <m:t>(t)+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scope1,proj</m:t>
              </m:r>
              <m:ctrlPr>
                <w:rPr>
                  <w:rFonts w:hint="default" w:ascii="Cambria Math"/>
                </w:rPr>
              </m:ctrlPr>
            </m:sub>
          </m:sSub>
        </m:oMath>
      </m:oMathPara>
    </w:p>
    <w:p w14:paraId="21E2281A">
      <w:pPr>
        <w:bidi w:val="0"/>
        <w:ind w:left="0" w:leftChars="0" w:firstLine="0" w:firstLineChars="0"/>
        <w:rPr>
          <w:rFonts w:hint="default"/>
          <w:i w:val="0"/>
        </w:rPr>
      </w:pPr>
      <w:r>
        <w:t>式中：</w:t>
      </w:r>
      <m:oMath>
        <m:r>
          <m:rPr/>
          <w:rPr>
            <w:rFonts w:hint="default" w:ascii="Cambria Math"/>
          </w:rPr>
          <m:t>P</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y</m:t>
            </m:r>
            <m:ctrlPr>
              <w:rPr>
                <w:rFonts w:hint="default" w:ascii="Cambria Math"/>
              </w:rPr>
            </m:ctrlPr>
          </m:sub>
        </m:sSub>
      </m:oMath>
      <w:r>
        <w:t>第y年项目实际情景总排放；</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grid,proj</m:t>
            </m:r>
            <m:ctrlPr>
              <w:rPr>
                <w:rFonts w:hint="default" w:ascii="Cambria Math"/>
              </w:rPr>
            </m:ctrlPr>
          </m:sub>
        </m:sSub>
      </m:oMath>
      <w:r>
        <w:t>(t)</w:t>
      </w:r>
      <w:r>
        <w:rPr>
          <w:rFonts w:hint="eastAsia"/>
          <w:lang w:val="en-US" w:eastAsia="zh-CN"/>
        </w:rPr>
        <w:t>是</w:t>
      </w:r>
      <w:r>
        <w:t>项目情景t时刻购电量；</w:t>
      </w:r>
      <m:oMath>
        <m:r>
          <m:rPr/>
          <w:rPr>
            <w:rFonts w:hint="default" w:ascii="Cambria Math"/>
          </w:rPr>
          <m: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proj</m:t>
            </m:r>
            <m:ctrlPr>
              <w:rPr>
                <w:rFonts w:hint="default" w:ascii="Cambria Math"/>
              </w:rPr>
            </m:ctrlPr>
          </m:sub>
        </m:sSub>
        <m:r>
          <m:rPr/>
          <w:rPr>
            <w:rFonts w:hint="default" w:ascii="Cambria Math"/>
          </w:rPr>
          <m:t>(t)</m:t>
        </m:r>
      </m:oMath>
      <w:r>
        <w:t>项目情景时变碳因子；</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scope1,proj</m:t>
            </m:r>
            <m:ctrlPr>
              <w:rPr>
                <w:rFonts w:hint="default" w:ascii="Cambria Math"/>
              </w:rPr>
            </m:ctrlPr>
          </m:sub>
        </m:sSub>
      </m:oMath>
      <w:r>
        <w:t>项目情景范围一排放。</w:t>
      </w:r>
    </w:p>
    <w:p w14:paraId="3901ACF1">
      <w:pPr>
        <w:pStyle w:val="23"/>
        <w:rPr>
          <w:rFonts w:eastAsia="宋体"/>
          <w:i w:val="0"/>
          <w:color w:val="0000FF"/>
        </w:rPr>
      </w:pPr>
      <m:oMathPara>
        <m:oMath>
          <m:r>
            <m:rPr/>
            <w:rPr>
              <w:rFonts w:eastAsia="宋体"/>
            </w:rPr>
            <m:t>E</m:t>
          </m:r>
          <m:sSub>
            <m:sSubPr>
              <m:ctrlPr>
                <w:rPr>
                  <w:rFonts w:eastAsia="宋体"/>
                  <w:i/>
                </w:rPr>
              </m:ctrlPr>
            </m:sSubPr>
            <m:e>
              <m:r>
                <m:rPr/>
                <w:rPr>
                  <w:rFonts w:eastAsia="宋体"/>
                </w:rPr>
                <m:t>R</m:t>
              </m:r>
              <m:ctrlPr>
                <w:rPr>
                  <w:rFonts w:eastAsia="宋体"/>
                  <w:i/>
                </w:rPr>
              </m:ctrlPr>
            </m:e>
            <m:sub>
              <m:r>
                <m:rPr/>
                <w:rPr>
                  <w:rFonts w:eastAsia="宋体"/>
                </w:rPr>
                <m:t>op</m:t>
              </m:r>
              <m:r>
                <m:rPr>
                  <m:sty m:val="p"/>
                </m:rPr>
                <w:rPr>
                  <w:rFonts w:hint="default" w:eastAsia="宋体"/>
                  <w:lang w:val="en-US" w:eastAsia="zh-CN"/>
                </w:rPr>
                <m:t>,y</m:t>
              </m:r>
              <m:ctrlPr>
                <w:rPr>
                  <w:rFonts w:eastAsia="宋体"/>
                  <w:i/>
                </w:rPr>
              </m:ctrlPr>
            </m:sub>
          </m:sSub>
          <m:r>
            <m:rPr/>
            <w:rPr>
              <w:rFonts w:eastAsia="宋体"/>
            </w:rPr>
            <m:t xml:space="preserve"> = B</m:t>
          </m:r>
          <m:sSub>
            <m:sSubPr>
              <m:ctrlPr>
                <w:rPr>
                  <w:rFonts w:eastAsia="宋体"/>
                  <w:i/>
                </w:rPr>
              </m:ctrlPr>
            </m:sSubPr>
            <m:e>
              <m:r>
                <m:rPr/>
                <w:rPr>
                  <w:rFonts w:eastAsia="宋体"/>
                </w:rPr>
                <m:t>E</m:t>
              </m:r>
              <m:ctrlPr>
                <w:rPr>
                  <w:rFonts w:eastAsia="宋体"/>
                  <w:i/>
                </w:rPr>
              </m:ctrlPr>
            </m:e>
            <m:sub>
              <m:r>
                <m:rPr/>
                <w:rPr>
                  <w:rFonts w:eastAsia="宋体"/>
                </w:rPr>
                <m:t>y</m:t>
              </m:r>
              <m:ctrlPr>
                <w:rPr>
                  <w:rFonts w:eastAsia="宋体"/>
                  <w:i/>
                </w:rPr>
              </m:ctrlPr>
            </m:sub>
          </m:sSub>
          <m:r>
            <m:rPr/>
            <w:rPr>
              <w:rFonts w:eastAsia="宋体"/>
            </w:rPr>
            <m:t>− P</m:t>
          </m:r>
          <m:sSub>
            <m:sSubPr>
              <m:ctrlPr>
                <w:rPr>
                  <w:rFonts w:eastAsia="宋体"/>
                  <w:i/>
                </w:rPr>
              </m:ctrlPr>
            </m:sSubPr>
            <m:e>
              <m:r>
                <m:rPr/>
                <w:rPr>
                  <w:rFonts w:eastAsia="宋体"/>
                </w:rPr>
                <m:t>E</m:t>
              </m:r>
              <m:ctrlPr>
                <w:rPr>
                  <w:rFonts w:eastAsia="宋体"/>
                  <w:i/>
                </w:rPr>
              </m:ctrlPr>
            </m:e>
            <m:sub>
              <m:r>
                <m:rPr/>
                <w:rPr>
                  <w:rFonts w:eastAsia="宋体"/>
                </w:rPr>
                <m:t>y</m:t>
              </m:r>
              <m:ctrlPr>
                <w:rPr>
                  <w:rFonts w:eastAsia="宋体"/>
                  <w:i/>
                </w:rPr>
              </m:ctrlPr>
            </m:sub>
          </m:sSub>
          <m:r>
            <m:rPr/>
            <w:rPr>
              <w:rFonts w:eastAsia="宋体"/>
            </w:rPr>
            <m:t>−</m:t>
          </m:r>
          <m:r>
            <m:rPr/>
            <w:rPr>
              <w:rFonts w:eastAsia="宋体"/>
              <w:color w:val="0000FF"/>
            </w:rPr>
            <m:t xml:space="preserve"> L</m:t>
          </m:r>
          <m:sSub>
            <m:sSubPr>
              <m:ctrlPr>
                <w:rPr>
                  <w:rFonts w:eastAsia="宋体"/>
                  <w:i/>
                  <w:color w:val="0000FF"/>
                </w:rPr>
              </m:ctrlPr>
            </m:sSubPr>
            <m:e>
              <m:r>
                <m:rPr/>
                <w:rPr>
                  <w:rFonts w:eastAsia="宋体"/>
                  <w:color w:val="0000FF"/>
                </w:rPr>
                <m:t>E</m:t>
              </m:r>
              <m:ctrlPr>
                <w:rPr>
                  <w:rFonts w:eastAsia="宋体"/>
                  <w:i/>
                  <w:color w:val="0000FF"/>
                </w:rPr>
              </m:ctrlPr>
            </m:e>
            <m:sub>
              <m:r>
                <m:rPr/>
                <w:rPr>
                  <w:rFonts w:eastAsia="宋体"/>
                  <w:color w:val="0000FF"/>
                </w:rPr>
                <m:t>y</m:t>
              </m:r>
              <m:ctrlPr>
                <w:rPr>
                  <w:rFonts w:eastAsia="宋体"/>
                  <w:i/>
                  <w:color w:val="0000FF"/>
                </w:rPr>
              </m:ctrlPr>
            </m:sub>
          </m:sSub>
        </m:oMath>
      </m:oMathPara>
    </w:p>
    <w:p w14:paraId="2AC8D3D9">
      <w:pPr>
        <w:bidi w:val="0"/>
        <w:ind w:left="0" w:leftChars="0" w:firstLine="0" w:firstLineChars="0"/>
      </w:pPr>
      <w:r>
        <w:t>式中：</w:t>
      </w:r>
      <m:oMath>
        <m:r>
          <m:rPr/>
          <w:rPr>
            <w:rFonts w:eastAsia="宋体"/>
          </w:rPr>
          <m:t>E</m:t>
        </m:r>
        <m:sSub>
          <m:sSubPr>
            <m:ctrlPr>
              <w:rPr>
                <w:rFonts w:eastAsia="宋体"/>
                <w:i/>
              </w:rPr>
            </m:ctrlPr>
          </m:sSubPr>
          <m:e>
            <m:r>
              <m:rPr/>
              <w:rPr>
                <w:rFonts w:eastAsia="宋体"/>
              </w:rPr>
              <m:t>R</m:t>
            </m:r>
            <m:ctrlPr>
              <w:rPr>
                <w:rFonts w:eastAsia="宋体"/>
                <w:i/>
              </w:rPr>
            </m:ctrlPr>
          </m:e>
          <m:sub>
            <m:r>
              <m:rPr/>
              <w:rPr>
                <w:rFonts w:eastAsia="宋体"/>
              </w:rPr>
              <m:t>op</m:t>
            </m:r>
            <m:r>
              <m:rPr>
                <m:sty m:val="p"/>
              </m:rPr>
              <w:rPr>
                <w:rFonts w:hint="default" w:eastAsia="宋体"/>
                <w:lang w:val="en-US" w:eastAsia="zh-CN"/>
              </w:rPr>
              <m:t>,y</m:t>
            </m:r>
            <m:ctrlPr>
              <w:rPr>
                <w:rFonts w:eastAsia="宋体"/>
                <w:i/>
              </w:rPr>
            </m:ctrlPr>
          </m:sub>
        </m:sSub>
        <m:r>
          <m:rPr/>
          <w:rPr>
            <w:rFonts w:eastAsia="宋体"/>
          </w:rPr>
          <m:t xml:space="preserve"> </m:t>
        </m:r>
      </m:oMath>
      <w:r>
        <w:t>第y年储能运行减排量；</w:t>
      </w:r>
      <m:oMath>
        <m:r>
          <m:rPr/>
          <w:rPr>
            <w:rFonts w:eastAsia="宋体"/>
          </w:rPr>
          <m:t>L</m:t>
        </m:r>
        <m:sSub>
          <m:sSubPr>
            <m:ctrlPr>
              <w:rPr>
                <w:rFonts w:eastAsia="宋体"/>
                <w:i/>
              </w:rPr>
            </m:ctrlPr>
          </m:sSubPr>
          <m:e>
            <m:r>
              <m:rPr/>
              <w:rPr>
                <w:rFonts w:eastAsia="宋体"/>
              </w:rPr>
              <m:t>E</m:t>
            </m:r>
            <m:ctrlPr>
              <w:rPr>
                <w:rFonts w:eastAsia="宋体"/>
                <w:i/>
              </w:rPr>
            </m:ctrlPr>
          </m:e>
          <m:sub>
            <m:r>
              <m:rPr/>
              <w:rPr>
                <w:rFonts w:eastAsia="宋体"/>
              </w:rPr>
              <m:t>y</m:t>
            </m:r>
            <m:ctrlPr>
              <w:rPr>
                <w:rFonts w:eastAsia="宋体"/>
                <w:i/>
              </w:rPr>
            </m:ctrlPr>
          </m:sub>
        </m:sSub>
      </m:oMath>
      <w:r>
        <w:t>泄漏排放。</w:t>
      </w:r>
    </w:p>
    <w:p w14:paraId="6F13F565">
      <w:pPr>
        <w:bidi w:val="0"/>
        <w:ind w:left="0" w:leftChars="0" w:firstLine="480" w:firstLineChars="200"/>
        <w:rPr>
          <w:rFonts w:hint="default" w:eastAsia="宋体"/>
          <w:lang w:val="en-US" w:eastAsia="zh-CN"/>
        </w:rPr>
      </w:pPr>
      <w:r>
        <w:rPr>
          <w:rFonts w:hint="default" w:eastAsia="宋体"/>
          <w:lang w:val="en-US" w:eastAsia="zh-CN"/>
        </w:rPr>
        <w:t>泄漏排放</w:t>
      </w:r>
      <w:r>
        <w:rPr>
          <w:rFonts w:hint="default" w:eastAsia="宋体"/>
          <w:color w:val="0000FF"/>
          <w:lang w:val="en-US" w:eastAsia="zh-CN"/>
        </w:rPr>
        <w:t xml:space="preserve"> LE </w:t>
      </w:r>
      <w:r>
        <w:rPr>
          <w:rFonts w:hint="default" w:eastAsia="宋体"/>
          <w:lang w:val="en-US" w:eastAsia="zh-CN"/>
        </w:rPr>
        <w:t>指项目实施导致的、基准情景中不存在的额外排放，包括：</w:t>
      </w:r>
    </w:p>
    <w:p w14:paraId="5DFD70D5">
      <w:pPr>
        <w:bidi w:val="0"/>
        <w:ind w:left="0" w:leftChars="0" w:firstLine="0" w:firstLineChars="0"/>
        <w:rPr>
          <w:rFonts w:hint="default" w:eastAsia="宋体"/>
          <w:lang w:val="en-US" w:eastAsia="zh-CN"/>
        </w:rPr>
      </w:pPr>
      <w:r>
        <w:rPr>
          <w:rFonts w:hint="default" w:eastAsia="宋体"/>
          <w:lang w:val="en-US" w:eastAsia="zh-CN"/>
        </w:rPr>
        <w:t>1. 储能辅助系统电耗排放（温控、消防、控制）——基准情景无储能，故无此项</w:t>
      </w:r>
    </w:p>
    <w:p w14:paraId="2375FCB1">
      <w:pPr>
        <w:bidi w:val="0"/>
        <w:ind w:left="0" w:leftChars="0" w:firstLine="0" w:firstLineChars="0"/>
        <w:rPr>
          <w:rFonts w:hint="default" w:eastAsia="宋体"/>
          <w:lang w:val="en-US" w:eastAsia="zh-CN"/>
        </w:rPr>
      </w:pPr>
      <w:r>
        <w:rPr>
          <w:rFonts w:hint="default" w:eastAsia="宋体"/>
          <w:lang w:val="en-US" w:eastAsia="zh-CN"/>
        </w:rPr>
        <w:t>2. 储能设备运行维护导致的额外排放（如定期更换部件的运输、安装）</w:t>
      </w:r>
    </w:p>
    <w:p w14:paraId="0073FD88">
      <w:pPr>
        <w:bidi w:val="0"/>
        <w:ind w:left="0" w:leftChars="0" w:firstLine="0" w:firstLineChars="0"/>
        <w:rPr>
          <w:rFonts w:hint="default" w:eastAsia="宋体"/>
          <w:lang w:val="en-US" w:eastAsia="zh-CN"/>
        </w:rPr>
      </w:pPr>
      <w:r>
        <w:rPr>
          <w:rFonts w:hint="default" w:eastAsia="宋体"/>
          <w:lang w:val="en-US" w:eastAsia="zh-CN"/>
        </w:rPr>
        <w:t>3. 因储能调度导致工艺设备运行方式改变而产生的增量排放（如有）</w:t>
      </w:r>
    </w:p>
    <w:p w14:paraId="6D423E7F">
      <w:pPr>
        <w:bidi w:val="0"/>
        <w:ind w:left="0" w:leftChars="0" w:firstLine="0" w:firstLineChars="0"/>
        <w:rPr>
          <w:rFonts w:hint="default" w:eastAsia="宋体"/>
          <w:lang w:val="en-US" w:eastAsia="zh-CN"/>
        </w:rPr>
      </w:pPr>
      <w:r>
        <w:rPr>
          <w:rFonts w:hint="default" w:eastAsia="宋体"/>
          <w:lang w:val="en-US" w:eastAsia="zh-CN"/>
        </w:rPr>
        <w:t>LE = E_aux × EF + 运维增量排放</w:t>
      </w:r>
    </w:p>
    <w:p w14:paraId="2EF47028">
      <w:pPr>
        <w:bidi w:val="0"/>
        <w:ind w:left="0" w:leftChars="0" w:firstLine="0" w:firstLineChars="0"/>
        <w:rPr>
          <w:rFonts w:hint="default" w:eastAsia="宋体"/>
          <w:lang w:val="en-US" w:eastAsia="zh-CN"/>
        </w:rPr>
      </w:pPr>
      <w:r>
        <w:rPr>
          <w:rFonts w:hint="default" w:eastAsia="宋体"/>
          <w:lang w:val="en-US" w:eastAsia="zh-CN"/>
        </w:rPr>
        <w:t>若项目阶段暂不考虑运维增量，LE 至少包含辅助电耗排放，不得设为 0。</w:t>
      </w:r>
    </w:p>
    <w:p w14:paraId="48BD67A8">
      <w:pPr>
        <w:bidi w:val="0"/>
      </w:pPr>
      <w:r>
        <w:t>储能仅改变用电时序，</w:t>
      </w:r>
      <m:oMath>
        <m:r>
          <m:rPr/>
          <w:rPr>
            <w:rFonts w:ascii="Cambria Math" w:hAnsi="Cambria Math"/>
            <w:lang w:eastAsia="zh-CN"/>
          </w:rPr>
          <m:t>E</m:t>
        </m:r>
        <m:sSub>
          <m:sSubPr>
            <m:ctrlPr>
              <w:rPr>
                <w:rFonts w:ascii="Cambria Math" w:hAnsi="Cambria Math"/>
                <w:i/>
                <w:lang w:eastAsia="zh-CN"/>
              </w:rPr>
            </m:ctrlPr>
          </m:sSubPr>
          <m:e>
            <m:r>
              <m:rPr/>
              <w:rPr>
                <w:rFonts w:ascii="Cambria Math" w:hAnsi="Cambria Math"/>
                <w:lang w:eastAsia="zh-CN"/>
              </w:rPr>
              <m:t>F</m:t>
            </m:r>
            <m:ctrlPr>
              <w:rPr>
                <w:rFonts w:ascii="Cambria Math" w:hAnsi="Cambria Math"/>
                <w:i/>
                <w:lang w:eastAsia="zh-CN"/>
              </w:rPr>
            </m:ctrlPr>
          </m:e>
          <m:sub>
            <m:r>
              <m:rPr/>
              <w:rPr>
                <w:rFonts w:ascii="Cambria Math" w:hAnsi="Cambria Math"/>
                <w:lang w:eastAsia="zh-CN"/>
              </w:rPr>
              <m:t>base</m:t>
            </m:r>
            <m:d>
              <m:dPr>
                <m:ctrlPr>
                  <w:rPr>
                    <w:rFonts w:ascii="Cambria Math" w:hAnsi="Cambria Math"/>
                    <w:i/>
                    <w:lang w:eastAsia="zh-CN"/>
                  </w:rPr>
                </m:ctrlPr>
              </m:dPr>
              <m:e>
                <m:r>
                  <m:rPr/>
                  <w:rPr>
                    <w:rFonts w:ascii="Cambria Math" w:hAnsi="Cambria Math"/>
                    <w:lang w:eastAsia="zh-CN"/>
                  </w:rPr>
                  <m:t>t</m:t>
                </m:r>
                <m:ctrlPr>
                  <w:rPr>
                    <w:rFonts w:ascii="Cambria Math" w:hAnsi="Cambria Math"/>
                    <w:i/>
                    <w:lang w:eastAsia="zh-CN"/>
                  </w:rPr>
                </m:ctrlPr>
              </m:e>
            </m:d>
            <m:ctrlPr>
              <w:rPr>
                <w:rFonts w:ascii="Cambria Math" w:hAnsi="Cambria Math"/>
                <w:i/>
                <w:lang w:eastAsia="zh-CN"/>
              </w:rPr>
            </m:ctrlPr>
          </m:sub>
        </m:sSub>
      </m:oMath>
      <w:r>
        <w:t>、</w:t>
      </w:r>
      <m:oMath>
        <m:r>
          <m:rPr/>
          <w:rPr>
            <w:rFonts w:ascii="Cambria Math" w:hAnsi="Cambria Math"/>
            <w:lang w:eastAsia="zh-CN"/>
          </w:rPr>
          <m:t>E</m:t>
        </m:r>
        <m:sSub>
          <m:sSubPr>
            <m:ctrlPr>
              <w:rPr>
                <w:rFonts w:ascii="Cambria Math" w:hAnsi="Cambria Math"/>
                <w:i/>
                <w:lang w:eastAsia="zh-CN"/>
              </w:rPr>
            </m:ctrlPr>
          </m:sSubPr>
          <m:e>
            <m:r>
              <m:rPr/>
              <w:rPr>
                <w:rFonts w:ascii="Cambria Math" w:hAnsi="Cambria Math"/>
                <w:lang w:eastAsia="zh-CN"/>
              </w:rPr>
              <m:t>F</m:t>
            </m:r>
            <m:ctrlPr>
              <w:rPr>
                <w:rFonts w:ascii="Cambria Math" w:hAnsi="Cambria Math"/>
                <w:i/>
                <w:lang w:eastAsia="zh-CN"/>
              </w:rPr>
            </m:ctrlPr>
          </m:e>
          <m:sub>
            <m:r>
              <m:rPr/>
              <w:rPr>
                <w:rFonts w:ascii="Cambria Math" w:hAnsi="Cambria Math"/>
                <w:lang w:eastAsia="zh-CN"/>
              </w:rPr>
              <m:t>proj</m:t>
            </m:r>
            <m:d>
              <m:dPr>
                <m:ctrlPr>
                  <w:rPr>
                    <w:rFonts w:ascii="Cambria Math" w:hAnsi="Cambria Math"/>
                    <w:i/>
                    <w:lang w:eastAsia="zh-CN"/>
                  </w:rPr>
                </m:ctrlPr>
              </m:dPr>
              <m:e>
                <m:r>
                  <m:rPr/>
                  <w:rPr>
                    <w:rFonts w:ascii="Cambria Math" w:hAnsi="Cambria Math"/>
                    <w:lang w:eastAsia="zh-CN"/>
                  </w:rPr>
                  <m:t>t</m:t>
                </m:r>
                <m:ctrlPr>
                  <w:rPr>
                    <w:rFonts w:ascii="Cambria Math" w:hAnsi="Cambria Math"/>
                    <w:i/>
                    <w:lang w:eastAsia="zh-CN"/>
                  </w:rPr>
                </m:ctrlPr>
              </m:e>
            </m:d>
            <m:ctrlPr>
              <w:rPr>
                <w:rFonts w:ascii="Cambria Math" w:hAnsi="Cambria Math"/>
                <w:i/>
                <w:lang w:eastAsia="zh-CN"/>
              </w:rPr>
            </m:ctrlPr>
          </m:sub>
        </m:sSub>
      </m:oMath>
      <w:r>
        <w:t>使用同一套时变因子，粒度保持一致。若采用年度固定报告因子，储能效率损耗会增加总购电，</w:t>
      </w:r>
      <m:oMath>
        <m:r>
          <m:rPr/>
          <w:rPr>
            <w:rFonts w:eastAsia="宋体"/>
          </w:rPr>
          <m:t>E</m:t>
        </m:r>
        <m:sSub>
          <m:sSubPr>
            <m:ctrlPr>
              <w:rPr>
                <w:rFonts w:eastAsia="宋体"/>
                <w:i/>
              </w:rPr>
            </m:ctrlPr>
          </m:sSubPr>
          <m:e>
            <m:r>
              <m:rPr/>
              <w:rPr>
                <w:rFonts w:eastAsia="宋体"/>
              </w:rPr>
              <m:t>R</m:t>
            </m:r>
            <m:ctrlPr>
              <w:rPr>
                <w:rFonts w:eastAsia="宋体"/>
                <w:i/>
              </w:rPr>
            </m:ctrlPr>
          </m:e>
          <m:sub>
            <m:r>
              <m:rPr/>
              <w:rPr>
                <w:rFonts w:eastAsia="宋体"/>
              </w:rPr>
              <m:t>op</m:t>
            </m:r>
            <m:r>
              <m:rPr>
                <m:sty m:val="p"/>
              </m:rPr>
              <w:rPr>
                <w:rFonts w:hint="default" w:eastAsia="宋体"/>
                <w:lang w:val="en-US" w:eastAsia="zh-CN"/>
              </w:rPr>
              <m:t>,y</m:t>
            </m:r>
            <m:ctrlPr>
              <w:rPr>
                <w:rFonts w:eastAsia="宋体"/>
                <w:i/>
              </w:rPr>
            </m:ctrlPr>
          </m:sub>
        </m:sSub>
      </m:oMath>
      <w:r>
        <w:t>有可能为负值，计算结果必须如实保留。</w:t>
      </w:r>
    </w:p>
    <w:p w14:paraId="122F1CC3">
      <w:pPr>
        <w:pStyle w:val="3"/>
        <w:bidi w:val="0"/>
        <w:rPr>
          <w:lang w:eastAsia="zh-CN"/>
        </w:rPr>
      </w:pPr>
      <w:r>
        <w:rPr>
          <w:lang w:eastAsia="zh-CN"/>
        </w:rPr>
        <w:t>5.</w:t>
      </w:r>
      <w:r>
        <w:rPr>
          <w:rFonts w:hint="eastAsia"/>
          <w:lang w:val="en-US" w:eastAsia="zh-CN"/>
        </w:rPr>
        <w:t>4</w:t>
      </w:r>
      <w:r>
        <w:rPr>
          <w:lang w:eastAsia="zh-CN"/>
        </w:rPr>
        <w:t>储能全生命周期碳足迹</w:t>
      </w:r>
    </w:p>
    <w:p w14:paraId="1ED4C19D">
      <w:pPr>
        <w:bidi w:val="0"/>
      </w:pPr>
      <w:r>
        <w:t>LCA核算覆盖原材料零部件、制造、运输安装、运维、退役处置。运行购电如已计入企业清单，LCA仅独立展示该阶段；计算净项目绩效，只扣除相对基准情景新增的生命周期排放，避免重复计算。</w:t>
      </w:r>
    </w:p>
    <w:p w14:paraId="791F9919">
      <w:pPr>
        <w:pStyle w:val="23"/>
        <w:rPr>
          <w:rFonts w:hint="default"/>
          <w:i w:val="0"/>
        </w:rPr>
      </w:pPr>
      <m:oMathPara>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material</m:t>
              </m:r>
              <m:ctrlPr>
                <w:rPr>
                  <w:rFonts w:hint="default" w:ascii="Cambria Math"/>
                </w:rPr>
              </m:ctrlPr>
            </m:sub>
          </m:sSub>
          <m:r>
            <m:rPr/>
            <w:rPr>
              <w:rFonts w:hint="default" w:ascii="Cambria Math"/>
            </w:rPr>
            <m:t>=</m:t>
          </m:r>
          <m:nary>
            <m:naryPr>
              <m:chr m:val="∑"/>
              <m:limLoc m:val="subSup"/>
              <m:supHide m:val="1"/>
              <m:ctrlPr>
                <w:rPr>
                  <w:rFonts w:hint="default" w:ascii="Cambria Math"/>
                </w:rPr>
              </m:ctrlPr>
            </m:naryPr>
            <m:sub>
              <m:r>
                <m:rPr/>
                <w:rPr>
                  <w:rFonts w:hint="default" w:ascii="Cambria Math"/>
                </w:rPr>
                <m:t>i</m:t>
              </m:r>
              <m:ctrlPr>
                <w:rPr>
                  <w:rFonts w:hint="default" w:ascii="Cambria Math"/>
                </w:rPr>
              </m:ctrlPr>
            </m:sub>
            <m:sup>
              <m:ctrlPr>
                <w:rPr>
                  <w:rFonts w:hint="default" w:ascii="Cambria Math"/>
                </w:rPr>
              </m:ctrlPr>
            </m:sup>
            <m:e>
              <m:sSub>
                <m:sSubPr>
                  <m:ctrlPr>
                    <w:rPr>
                      <w:rFonts w:hint="default" w:ascii="Cambria Math"/>
                    </w:rPr>
                  </m:ctrlPr>
                </m:sSubPr>
                <m:e>
                  <m:r>
                    <m:rPr/>
                    <w:rPr>
                      <w:rFonts w:hint="default" w:ascii="Cambria Math"/>
                    </w:rPr>
                    <m:t>M</m:t>
                  </m:r>
                  <m:ctrlPr>
                    <w:rPr>
                      <w:rFonts w:hint="default" w:ascii="Cambria Math"/>
                    </w:rPr>
                  </m:ctrlPr>
                </m:e>
                <m:sub>
                  <m:r>
                    <m:rPr/>
                    <w:rPr>
                      <w:rFonts w:hint="default" w:ascii="Cambria Math"/>
                    </w:rPr>
                    <m:t>i</m:t>
                  </m:r>
                  <m:ctrlPr>
                    <w:rPr>
                      <w:rFonts w:hint="default" w:ascii="Cambria Math"/>
                    </w:rPr>
                  </m:ctrlPr>
                </m:sub>
              </m:sSub>
              <m:ctrlPr>
                <w:rPr>
                  <w:rFonts w:hint="default" w:ascii="Cambria Math"/>
                </w:rPr>
              </m:ctrlPr>
            </m:e>
          </m:nary>
          <m:r>
            <m:rPr/>
            <w:rPr>
              <w:rFonts w:hint="default" w:ascii="Cambria Math"/>
            </w:rPr>
            <m: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material,i</m:t>
              </m:r>
              <m:ctrlPr>
                <w:rPr>
                  <w:rFonts w:hint="default" w:ascii="Cambria Math"/>
                </w:rPr>
              </m:ctrlPr>
            </m:sub>
          </m:sSub>
        </m:oMath>
      </m:oMathPara>
    </w:p>
    <w:p w14:paraId="740AE85F">
      <w:pPr>
        <w:bidi w:val="0"/>
        <w:ind w:left="0" w:leftChars="0" w:firstLine="0" w:firstLineChars="0"/>
        <w:rPr>
          <w:rFonts w:hint="default"/>
          <w:i w:val="0"/>
        </w:rPr>
      </w:pPr>
      <w:r>
        <w:t>式中：</w:t>
      </w:r>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material</m:t>
            </m:r>
            <m:ctrlPr>
              <w:rPr>
                <w:rFonts w:hint="default" w:ascii="Cambria Math"/>
              </w:rPr>
            </m:ctrlPr>
          </m:sub>
        </m:sSub>
      </m:oMath>
      <w:r>
        <w:t>原材料阶段排放；</w:t>
      </w:r>
      <w:r>
        <w:rPr>
          <w:rFonts w:hint="eastAsia"/>
          <w:lang w:val="en-US" w:eastAsia="zh-CN"/>
        </w:rPr>
        <w:t>M</w:t>
      </w:r>
      <w:r>
        <w:rPr>
          <w:rFonts w:hint="eastAsia"/>
          <w:vertAlign w:val="subscript"/>
          <w:lang w:val="en-US" w:eastAsia="zh-CN"/>
        </w:rPr>
        <w:t>i</w:t>
      </w:r>
      <w:r>
        <w:t>第</w:t>
      </w:r>
      <w:r>
        <w:rPr>
          <w:rFonts w:hint="eastAsia"/>
          <w:lang w:val="en-US" w:eastAsia="zh-CN"/>
        </w:rPr>
        <w:t>i</w:t>
      </w:r>
      <w:r>
        <w:t>类材料质量；</w:t>
      </w:r>
      <m:oMath>
        <m:r>
          <m:rPr/>
          <w:rPr>
            <w:rFonts w:hint="default" w:ascii="Cambria Math"/>
          </w:rPr>
          <m: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material,i</m:t>
            </m:r>
            <m:ctrlPr>
              <w:rPr>
                <w:rFonts w:hint="default" w:ascii="Cambria Math"/>
              </w:rPr>
            </m:ctrlPr>
          </m:sub>
        </m:sSub>
      </m:oMath>
      <w:r>
        <w:t>材料排放因子。</w:t>
      </w:r>
    </w:p>
    <w:p w14:paraId="60814532">
      <w:pPr>
        <w:pStyle w:val="23"/>
        <w:rPr>
          <w:rFonts w:hint="default"/>
          <w:i w:val="0"/>
        </w:rPr>
      </w:pPr>
      <m:oMathPara>
        <m:oMath>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manufacture</m:t>
              </m:r>
              <m:ctrlPr>
                <w:rPr>
                  <w:rFonts w:hint="default" w:ascii="Cambria Math"/>
                </w:rPr>
              </m:ctrlPr>
            </m:sub>
          </m:sSub>
          <m:r>
            <m:rPr/>
            <w:rPr>
              <w:rFonts w:hint="default" w:ascii="Cambria Math"/>
            </w:rPr>
            <m:t>=</m:t>
          </m:r>
          <m:nary>
            <m:naryPr>
              <m:chr m:val="∑"/>
              <m:limLoc m:val="subSup"/>
              <m:supHide m:val="1"/>
              <m:ctrlPr>
                <w:rPr>
                  <w:rFonts w:hint="default" w:ascii="Cambria Math"/>
                </w:rPr>
              </m:ctrlPr>
            </m:naryPr>
            <m:sub>
              <m:r>
                <m:rPr/>
                <w:rPr>
                  <w:rFonts w:hint="default" w:ascii="Cambria Math"/>
                </w:rPr>
                <m:t>k</m:t>
              </m:r>
              <m:ctrlPr>
                <w:rPr>
                  <w:rFonts w:hint="default" w:ascii="Cambria Math"/>
                </w:rPr>
              </m:ctrlPr>
            </m:sub>
            <m:sup>
              <m:ctrlPr>
                <w:rPr>
                  <w:rFonts w:hint="default" w:ascii="Cambria Math"/>
                </w:rPr>
              </m:ctrlPr>
            </m:sup>
            <m:e>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k</m:t>
                  </m:r>
                  <m:ctrlPr>
                    <w:rPr>
                      <w:rFonts w:hint="default" w:ascii="Cambria Math"/>
                    </w:rPr>
                  </m:ctrlPr>
                </m:sub>
              </m:sSub>
              <m:ctrlPr>
                <w:rPr>
                  <w:rFonts w:hint="default" w:ascii="Cambria Math"/>
                </w:rPr>
              </m:ctrlPr>
            </m:e>
          </m:nary>
          <m:r>
            <m:rPr/>
            <w:rPr>
              <w:rFonts w:hint="default" w:ascii="Cambria Math"/>
            </w:rPr>
            <m: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energy,k</m:t>
              </m:r>
              <m:ctrlPr>
                <w:rPr>
                  <w:rFonts w:hint="default" w:ascii="Cambria Math"/>
                </w:rPr>
              </m:ctrlPr>
            </m:sub>
          </m:sSub>
          <m:r>
            <m:rPr/>
            <w:rPr>
              <w:rFonts w:hint="default" w:ascii="Cambria Math"/>
            </w:rPr>
            <m:t>+</m:t>
          </m:r>
          <m:nary>
            <m:naryPr>
              <m:chr m:val="∑"/>
              <m:limLoc m:val="subSup"/>
              <m:supHide m:val="1"/>
              <m:ctrlPr>
                <w:rPr>
                  <w:rFonts w:hint="default" w:ascii="Cambria Math"/>
                </w:rPr>
              </m:ctrlPr>
            </m:naryPr>
            <m:sub>
              <m:r>
                <m:rPr/>
                <w:rPr>
                  <w:rFonts w:hint="default" w:ascii="Cambria Math"/>
                </w:rPr>
                <m:t>i</m:t>
              </m:r>
              <m:ctrlPr>
                <w:rPr>
                  <w:rFonts w:hint="default" w:ascii="Cambria Math"/>
                </w:rPr>
              </m:ctrlPr>
            </m:sub>
            <m:sup>
              <m:ctrlPr>
                <w:rPr>
                  <w:rFonts w:hint="default" w:ascii="Cambria Math"/>
                </w:rPr>
              </m:ctrlPr>
            </m:sup>
            <m:e>
              <m:sSub>
                <m:sSubPr>
                  <m:ctrlPr>
                    <w:rPr>
                      <w:rFonts w:hint="default" w:ascii="Cambria Math"/>
                    </w:rPr>
                  </m:ctrlPr>
                </m:sSubPr>
                <m:e>
                  <m:r>
                    <m:rPr/>
                    <w:rPr>
                      <w:rFonts w:hint="default" w:ascii="Cambria Math"/>
                    </w:rPr>
                    <m:t>M</m:t>
                  </m:r>
                  <m:ctrlPr>
                    <w:rPr>
                      <w:rFonts w:hint="default" w:ascii="Cambria Math"/>
                    </w:rPr>
                  </m:ctrlPr>
                </m:e>
                <m:sub>
                  <m:r>
                    <m:rPr/>
                    <w:rPr>
                      <w:rFonts w:hint="default" w:ascii="Cambria Math"/>
                    </w:rPr>
                    <m:t>waste,i</m:t>
                  </m:r>
                  <m:ctrlPr>
                    <w:rPr>
                      <w:rFonts w:hint="default" w:ascii="Cambria Math"/>
                    </w:rPr>
                  </m:ctrlPr>
                </m:sub>
              </m:sSub>
              <m:ctrlPr>
                <w:rPr>
                  <w:rFonts w:hint="default" w:ascii="Cambria Math"/>
                </w:rPr>
              </m:ctrlPr>
            </m:e>
          </m:nary>
          <m:r>
            <m:rPr/>
            <w:rPr>
              <w:rFonts w:hint="default" w:ascii="Cambria Math"/>
            </w:rPr>
            <m:t>×E</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waste,i</m:t>
              </m:r>
              <m:ctrlPr>
                <w:rPr>
                  <w:rFonts w:hint="default" w:ascii="Cambria Math"/>
                </w:rPr>
              </m:ctrlPr>
            </m:sub>
          </m:sSub>
        </m:oMath>
      </m:oMathPara>
    </w:p>
    <w:p w14:paraId="02D789B6">
      <w:pPr>
        <w:bidi w:val="0"/>
        <w:ind w:left="0" w:leftChars="0" w:firstLine="0" w:firstLineChars="0"/>
      </w:pPr>
      <w:r>
        <w:t>式中：</w:t>
      </w:r>
      <m:oMath>
        <m:sSub>
          <m:sSubPr>
            <m:ctrlPr>
              <w:rPr>
                <w:rFonts w:hint="default" w:ascii="Cambria Math" w:hAnsi="Cambria Math"/>
              </w:rPr>
            </m:ctrlPr>
          </m:sSubPr>
          <m:e>
            <m:r>
              <m:rPr>
                <m:sty m:val="p"/>
              </m:rPr>
              <w:rPr>
                <w:rFonts w:hint="default" w:ascii="Times New Roman" w:hAnsi="Times New Roman"/>
              </w:rPr>
              <m:t>C</m:t>
            </m:r>
            <m:ctrlPr>
              <w:rPr>
                <w:rFonts w:hint="default" w:ascii="Cambria Math" w:hAnsi="Cambria Math"/>
              </w:rPr>
            </m:ctrlPr>
          </m:e>
          <m:sub>
            <m:r>
              <m:rPr>
                <m:sty m:val="p"/>
              </m:rPr>
              <w:rPr>
                <w:rFonts w:hint="default" w:ascii="Times New Roman" w:hAnsi="Times New Roman"/>
              </w:rPr>
              <m:t>manufacture</m:t>
            </m:r>
            <m:ctrlPr>
              <w:rPr>
                <w:rFonts w:hint="default" w:ascii="Cambria Math" w:hAnsi="Cambria Math"/>
              </w:rPr>
            </m:ctrlPr>
          </m:sub>
        </m:sSub>
      </m:oMath>
      <w:r>
        <w:t>制造阶段排放；</w:t>
      </w:r>
      <m:oMath>
        <m:sSub>
          <m:sSubPr>
            <m:ctrlPr>
              <w:rPr>
                <w:rFonts w:hint="default" w:ascii="Cambria Math" w:hAnsi="Cambria Math"/>
              </w:rPr>
            </m:ctrlPr>
          </m:sSubPr>
          <m:e>
            <m:r>
              <m:rPr>
                <m:sty m:val="p"/>
              </m:rPr>
              <w:rPr>
                <w:rFonts w:hint="default" w:ascii="Times New Roman" w:hAnsi="Times New Roman"/>
              </w:rPr>
              <m:t>E</m:t>
            </m:r>
            <m:ctrlPr>
              <w:rPr>
                <w:rFonts w:hint="default" w:ascii="Cambria Math" w:hAnsi="Cambria Math"/>
              </w:rPr>
            </m:ctrlPr>
          </m:e>
          <m:sub>
            <m:r>
              <m:rPr>
                <m:sty m:val="p"/>
              </m:rPr>
              <w:rPr>
                <w:rFonts w:hint="default" w:ascii="Times New Roman" w:hAnsi="Times New Roman"/>
              </w:rPr>
              <m:t>k</m:t>
            </m:r>
            <m:ctrlPr>
              <w:rPr>
                <w:rFonts w:hint="default" w:ascii="Cambria Math" w:hAnsi="Cambria Math"/>
              </w:rPr>
            </m:ctrlPr>
          </m:sub>
        </m:sSub>
      </m:oMath>
      <w:r>
        <w:t>制造第k类能源消耗量；</w:t>
      </w:r>
      <m:oMath>
        <m:r>
          <m:rPr>
            <m:sty m:val="p"/>
          </m:rPr>
          <w:rPr>
            <w:rFonts w:hint="default" w:ascii="Times New Roman" w:hAnsi="Times New Roman"/>
          </w:rPr>
          <m:t>E</m:t>
        </m:r>
        <m:sSub>
          <m:sSubPr>
            <m:ctrlPr>
              <w:rPr>
                <w:rFonts w:hint="default" w:ascii="Cambria Math" w:hAnsi="Cambria Math"/>
              </w:rPr>
            </m:ctrlPr>
          </m:sSubPr>
          <m:e>
            <m:r>
              <m:rPr>
                <m:sty m:val="p"/>
              </m:rPr>
              <w:rPr>
                <w:rFonts w:hint="default" w:ascii="Times New Roman" w:hAnsi="Times New Roman"/>
              </w:rPr>
              <m:t>F</m:t>
            </m:r>
            <m:ctrlPr>
              <w:rPr>
                <w:rFonts w:hint="default" w:ascii="Cambria Math" w:hAnsi="Cambria Math"/>
              </w:rPr>
            </m:ctrlPr>
          </m:e>
          <m:sub>
            <m:r>
              <m:rPr>
                <m:sty m:val="p"/>
              </m:rPr>
              <w:rPr>
                <w:rFonts w:hint="default" w:ascii="Times New Roman" w:hAnsi="Times New Roman"/>
              </w:rPr>
              <m:t>energy,k</m:t>
            </m:r>
            <m:ctrlPr>
              <w:rPr>
                <w:rFonts w:hint="default" w:ascii="Cambria Math" w:hAnsi="Cambria Math"/>
              </w:rPr>
            </m:ctrlPr>
          </m:sub>
        </m:sSub>
      </m:oMath>
      <w:r>
        <w:t>能源因子；</w:t>
      </w:r>
      <m:oMath>
        <m:sSub>
          <m:sSubPr>
            <m:ctrlPr>
              <w:rPr>
                <w:rFonts w:hint="default" w:ascii="Cambria Math" w:hAnsi="Cambria Math"/>
              </w:rPr>
            </m:ctrlPr>
          </m:sSubPr>
          <m:e>
            <m:r>
              <m:rPr>
                <m:sty m:val="p"/>
              </m:rPr>
              <w:rPr>
                <w:rFonts w:hint="default" w:ascii="Times New Roman" w:hAnsi="Times New Roman"/>
              </w:rPr>
              <m:t>M</m:t>
            </m:r>
            <m:ctrlPr>
              <w:rPr>
                <w:rFonts w:hint="default" w:ascii="Cambria Math" w:hAnsi="Cambria Math"/>
              </w:rPr>
            </m:ctrlPr>
          </m:e>
          <m:sub>
            <m:r>
              <m:rPr>
                <m:sty m:val="p"/>
              </m:rPr>
              <w:rPr>
                <w:rFonts w:hint="default" w:ascii="Times New Roman" w:hAnsi="Times New Roman"/>
              </w:rPr>
              <m:t>waste,i</m:t>
            </m:r>
            <m:ctrlPr>
              <w:rPr>
                <w:rFonts w:hint="default" w:ascii="Cambria Math" w:hAnsi="Cambria Math"/>
              </w:rPr>
            </m:ctrlPr>
          </m:sub>
        </m:sSub>
      </m:oMath>
      <w:r>
        <w:t>废弃物量；</w:t>
      </w:r>
      <m:oMath>
        <m:r>
          <m:rPr>
            <m:sty m:val="p"/>
          </m:rPr>
          <w:rPr>
            <w:rFonts w:hint="default" w:ascii="Times New Roman" w:hAnsi="Times New Roman"/>
          </w:rPr>
          <m:t>E</m:t>
        </m:r>
        <m:sSub>
          <m:sSubPr>
            <m:ctrlPr>
              <w:rPr>
                <w:rFonts w:hint="default" w:ascii="Cambria Math" w:hAnsi="Cambria Math"/>
              </w:rPr>
            </m:ctrlPr>
          </m:sSubPr>
          <m:e>
            <m:r>
              <m:rPr>
                <m:sty m:val="p"/>
              </m:rPr>
              <w:rPr>
                <w:rFonts w:hint="default" w:ascii="Times New Roman" w:hAnsi="Times New Roman"/>
              </w:rPr>
              <m:t>F</m:t>
            </m:r>
            <m:ctrlPr>
              <w:rPr>
                <w:rFonts w:hint="default" w:ascii="Cambria Math" w:hAnsi="Cambria Math"/>
              </w:rPr>
            </m:ctrlPr>
          </m:e>
          <m:sub>
            <m:r>
              <m:rPr>
                <m:sty m:val="p"/>
              </m:rPr>
              <w:rPr>
                <w:rFonts w:hint="default" w:ascii="Times New Roman" w:hAnsi="Times New Roman"/>
              </w:rPr>
              <m:t>waste,i</m:t>
            </m:r>
            <m:ctrlPr>
              <w:rPr>
                <w:rFonts w:hint="default" w:ascii="Cambria Math" w:hAnsi="Cambria Math"/>
              </w:rPr>
            </m:ctrlPr>
          </m:sub>
        </m:sSub>
      </m:oMath>
      <w:r>
        <w:t>废弃物处理因子。</w:t>
      </w:r>
    </w:p>
    <w:p w14:paraId="62D34DE8">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transport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nary>
            <m:naryPr>
              <m:chr m:val="∑"/>
              <m:limLoc m:val="subSup"/>
              <m:supHide m:val="1"/>
              <m:ctrlPr>
                <w:rPr>
                  <w:rFonts w:hint="default" w:ascii="Cambria Math" w:hAnsi="Cambria Math" w:cs="Times New Roman"/>
                  <w:sz w:val="24"/>
                </w:rPr>
              </m:ctrlPr>
            </m:naryPr>
            <m:sub>
              <m:r>
                <m:rPr>
                  <m:nor/>
                </m:rPr>
                <w:rPr>
                  <w:rFonts w:hint="default" w:ascii="Times New Roman" w:hAnsi="Times New Roman" w:cs="Times New Roman"/>
                  <w:i/>
                  <w:sz w:val="24"/>
                </w:rPr>
                <m:t>j</m:t>
              </m:r>
              <m:ctrlPr>
                <w:rPr>
                  <w:rFonts w:hint="default" w:ascii="Cambria Math" w:hAnsi="Cambria Math" w:cs="Times New Roman"/>
                  <w:sz w:val="24"/>
                </w:rPr>
              </m:ctrlPr>
            </m:sub>
            <m:sup>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ctrlPr>
                <w:rPr>
                  <w:rFonts w:hint="default" w:ascii="Cambria Math" w:hAnsi="Cambria Math" w:cs="Times New Roman"/>
                  <w:sz w:val="24"/>
                </w:rPr>
              </m:ctrlPr>
            </m:e>
          </m:nary>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D</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transport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ctrlPr>
                <w:rPr>
                  <w:rFonts w:hint="default" w:ascii="Cambria Math" w:hAnsi="Cambria Math" w:cs="Times New Roman"/>
                  <w:sz w:val="24"/>
                </w:rPr>
              </m:ctrlPr>
            </m:sub>
          </m:sSub>
        </m:oMath>
      </m:oMathPara>
    </w:p>
    <w:p w14:paraId="7B65FF69">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transport</m:t>
            </m:r>
            <m:ctrlPr>
              <w:rPr>
                <w:rFonts w:hint="default" w:ascii="Cambria Math" w:hAnsi="Cambria Math" w:cs="Times New Roman"/>
                <w:sz w:val="24"/>
              </w:rPr>
            </m:ctrlPr>
          </m:sub>
        </m:sSub>
      </m:oMath>
      <w:r>
        <w:t>运输阶段排放；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oMath>
      <w:r>
        <w:t>运输货物质量；</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D</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oMath>
      <w:r>
        <w:t>运输距离；</w:t>
      </w:r>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transport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ctrlPr>
              <w:rPr>
                <w:rFonts w:hint="default" w:ascii="Cambria Math" w:hAnsi="Cambria Math" w:cs="Times New Roman"/>
                <w:sz w:val="24"/>
              </w:rPr>
            </m:ctrlPr>
          </m:sub>
        </m:sSub>
      </m:oMath>
      <w:r>
        <w:t>运输排放因子。</w:t>
      </w:r>
    </w:p>
    <w:p w14:paraId="4D90FFCF">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install</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install</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electricity</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nary>
            <m:naryPr>
              <m:chr m:val="∑"/>
              <m:limLoc m:val="subSup"/>
              <m:supHide m:val="1"/>
              <m:ctrlPr>
                <w:rPr>
                  <w:rFonts w:hint="default" w:ascii="Cambria Math" w:hAnsi="Cambria Math" w:cs="Times New Roman"/>
                  <w:sz w:val="24"/>
                </w:rPr>
              </m:ctrlPr>
            </m:naryPr>
            <m:sub>
              <m:r>
                <m:rPr>
                  <m:nor/>
                </m:rPr>
                <w:rPr>
                  <w:rFonts w:hint="default" w:ascii="Times New Roman" w:hAnsi="Times New Roman" w:cs="Times New Roman"/>
                  <w:i/>
                  <w:sz w:val="24"/>
                </w:rPr>
                <m:t>m</m:t>
              </m:r>
              <m:ctrlPr>
                <w:rPr>
                  <w:rFonts w:hint="default" w:ascii="Cambria Math" w:hAnsi="Cambria Math" w:cs="Times New Roman"/>
                  <w:sz w:val="24"/>
                </w:rPr>
              </m:ctrlPr>
            </m:sub>
            <m:sup>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m</m:t>
                  </m:r>
                  <m:ctrlPr>
                    <w:rPr>
                      <w:rFonts w:hint="default" w:ascii="Cambria Math" w:hAnsi="Cambria Math" w:cs="Times New Roman"/>
                      <w:sz w:val="24"/>
                    </w:rPr>
                  </m:ctrlPr>
                </m:sub>
              </m:sSub>
              <m:ctrlPr>
                <w:rPr>
                  <w:rFonts w:hint="default" w:ascii="Cambria Math" w:hAnsi="Cambria Math" w:cs="Times New Roman"/>
                  <w:sz w:val="24"/>
                </w:rPr>
              </m:ctrlPr>
            </m:e>
          </m:nary>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m</m:t>
              </m:r>
              <m:ctrlPr>
                <w:rPr>
                  <w:rFonts w:hint="default" w:ascii="Cambria Math" w:hAnsi="Cambria Math" w:cs="Times New Roman"/>
                  <w:sz w:val="24"/>
                </w:rPr>
              </m:ctrlPr>
            </m:sub>
          </m:sSub>
        </m:oMath>
      </m:oMathPara>
    </w:p>
    <w:p w14:paraId="17B5D58C">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install</m:t>
            </m:r>
            <m:ctrlPr>
              <w:rPr>
                <w:rFonts w:hint="default" w:ascii="Cambria Math" w:hAnsi="Cambria Math" w:cs="Times New Roman"/>
                <w:sz w:val="24"/>
              </w:rPr>
            </m:ctrlPr>
          </m:sub>
        </m:sSub>
      </m:oMath>
      <w:r>
        <w:t>安装阶段排放；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install</m:t>
            </m:r>
            <m:ctrlPr>
              <w:rPr>
                <w:rFonts w:hint="default" w:ascii="Cambria Math" w:hAnsi="Cambria Math" w:cs="Times New Roman"/>
                <w:sz w:val="24"/>
              </w:rPr>
            </m:ctrlPr>
          </m:sub>
        </m:sSub>
      </m:oMath>
      <w:r>
        <w:t>安装耗电量；</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m</m:t>
            </m:r>
            <m:ctrlPr>
              <w:rPr>
                <w:rFonts w:hint="default" w:ascii="Cambria Math" w:hAnsi="Cambria Math" w:cs="Times New Roman"/>
                <w:sz w:val="24"/>
              </w:rPr>
            </m:ctrlPr>
          </m:sub>
        </m:sSub>
      </m:oMath>
      <w:r>
        <w:t>第m类安装物料；</w:t>
      </w:r>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m</m:t>
            </m:r>
            <m:ctrlPr>
              <w:rPr>
                <w:rFonts w:hint="default" w:ascii="Cambria Math" w:hAnsi="Cambria Math" w:cs="Times New Roman"/>
                <w:sz w:val="24"/>
              </w:rPr>
            </m:ctrlPr>
          </m:sub>
        </m:sSub>
      </m:oMath>
      <w:r>
        <w:t>物料因子。</w:t>
      </w:r>
    </w:p>
    <w:p w14:paraId="3CE9E54F">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maintenance</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nary>
            <m:naryPr>
              <m:chr m:val="∑"/>
              <m:limLoc m:val="subSup"/>
              <m:supHide m:val="1"/>
              <m:ctrlPr>
                <w:rPr>
                  <w:rFonts w:hint="default" w:ascii="Cambria Math" w:hAnsi="Cambria Math" w:cs="Times New Roman"/>
                  <w:sz w:val="24"/>
                </w:rPr>
              </m:ctrlPr>
            </m:naryPr>
            <m:sub>
              <m:r>
                <m:rPr>
                  <m:nor/>
                </m:rPr>
                <w:rPr>
                  <w:rFonts w:hint="default" w:ascii="Times New Roman" w:hAnsi="Times New Roman" w:cs="Times New Roman"/>
                  <w:i/>
                  <w:sz w:val="24"/>
                </w:rPr>
                <m:t>r</m:t>
              </m:r>
              <m:ctrlPr>
                <w:rPr>
                  <w:rFonts w:hint="default" w:ascii="Cambria Math" w:hAnsi="Cambria Math" w:cs="Times New Roman"/>
                  <w:sz w:val="24"/>
                </w:rPr>
              </m:ctrlPr>
            </m:sub>
            <m:sup>
              <m:ctrlPr>
                <w:rPr>
                  <w:rFonts w:hint="default" w:ascii="Cambria Math" w:hAnsi="Cambria Math" w:cs="Times New Roman"/>
                  <w:sz w:val="24"/>
                </w:rPr>
              </m:ctrlPr>
            </m:sup>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nary>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replacement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r</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transport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r</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treatment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r</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m:oMathPara>
    </w:p>
    <w:p w14:paraId="09D53B88">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maintenance</m:t>
            </m:r>
            <m:ctrlPr>
              <w:rPr>
                <w:rFonts w:hint="default" w:ascii="Cambria Math" w:hAnsi="Cambria Math" w:cs="Times New Roman"/>
                <w:sz w:val="24"/>
              </w:rPr>
            </m:ctrlPr>
          </m:sub>
        </m:sSub>
      </m:oMath>
      <w:r>
        <w:t>运维阶段总排放；下标r代表第r次部件更换事件。</w:t>
      </w:r>
    </w:p>
    <w:p w14:paraId="4757FE53">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EOL</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dismantle</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transport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EOL</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treatment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recyclingcredit</m:t>
              </m:r>
              <m:ctrlPr>
                <w:rPr>
                  <w:rFonts w:hint="default" w:ascii="Cambria Math" w:hAnsi="Cambria Math" w:cs="Times New Roman"/>
                  <w:sz w:val="24"/>
                </w:rPr>
              </m:ctrlPr>
            </m:sub>
          </m:sSub>
        </m:oMath>
      </m:oMathPara>
    </w:p>
    <w:p w14:paraId="7E22774E">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EOL</m:t>
            </m:r>
            <m:ctrlPr>
              <w:rPr>
                <w:rFonts w:hint="default" w:ascii="Cambria Math" w:hAnsi="Cambria Math" w:cs="Times New Roman"/>
                <w:sz w:val="24"/>
              </w:rPr>
            </m:ctrlPr>
          </m:sub>
        </m:sSub>
      </m:oMath>
      <w:r>
        <w:t>退役处置净排放；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dismantle</m:t>
            </m:r>
            <m:ctrlPr>
              <w:rPr>
                <w:rFonts w:hint="default" w:ascii="Cambria Math" w:hAnsi="Cambria Math" w:cs="Times New Roman"/>
                <w:sz w:val="24"/>
              </w:rPr>
            </m:ctrlPr>
          </m:sub>
        </m:sSub>
      </m:oMath>
      <w:r>
        <w:t>拆解排放；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transport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EOL</m:t>
            </m:r>
            <m:ctrlPr>
              <w:rPr>
                <w:rFonts w:hint="default" w:ascii="Cambria Math" w:hAnsi="Cambria Math" w:cs="Times New Roman"/>
                <w:sz w:val="24"/>
              </w:rPr>
            </m:ctrlPr>
          </m:sub>
        </m:sSub>
      </m:oMath>
      <w:r>
        <w:t>退役运输排放；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treatment</m:t>
            </m:r>
            <m:ctrlPr>
              <w:rPr>
                <w:rFonts w:hint="default" w:ascii="Cambria Math" w:hAnsi="Cambria Math" w:cs="Times New Roman"/>
                <w:sz w:val="24"/>
              </w:rPr>
            </m:ctrlPr>
          </m:sub>
        </m:sSub>
      </m:oMath>
      <w:r>
        <w:t>废弃物处置排放；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recyclingcredit</m:t>
            </m:r>
            <m:ctrlPr>
              <w:rPr>
                <w:rFonts w:hint="default" w:ascii="Cambria Math" w:hAnsi="Cambria Math" w:cs="Times New Roman"/>
                <w:sz w:val="24"/>
              </w:rPr>
            </m:ctrlPr>
          </m:sub>
        </m:sSub>
      </m:oMath>
      <w:r>
        <w:t>材料回收抵减排放。</w:t>
      </w:r>
    </w:p>
    <w:p w14:paraId="6EA6DBFF">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embodied</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material</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manufacture</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transport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install</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maintenance</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EOL</m:t>
              </m:r>
              <m:ctrlPr>
                <w:rPr>
                  <w:rFonts w:hint="default" w:ascii="Cambria Math" w:hAnsi="Cambria Math" w:cs="Times New Roman"/>
                  <w:sz w:val="24"/>
                </w:rPr>
              </m:ctrlPr>
            </m:sub>
          </m:sSub>
        </m:oMath>
      </m:oMathPara>
    </w:p>
    <w:p w14:paraId="51B0D51E">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embodied</m:t>
            </m:r>
            <m:ctrlPr>
              <w:rPr>
                <w:rFonts w:hint="default" w:ascii="Cambria Math" w:hAnsi="Cambria Math" w:cs="Times New Roman"/>
                <w:sz w:val="24"/>
              </w:rPr>
            </m:ctrlPr>
          </m:sub>
        </m:sSub>
      </m:oMath>
      <w:r>
        <w:t>储能设备全生命周期总</w:t>
      </w:r>
      <w:r>
        <w:rPr>
          <w:rFonts w:hint="eastAsia"/>
          <w:lang w:val="en-US" w:eastAsia="zh-CN"/>
        </w:rPr>
        <w:t>隐含</w:t>
      </w:r>
      <w:r>
        <w:t>碳。</w:t>
      </w:r>
    </w:p>
    <w:p w14:paraId="0825AEA3">
      <w:pPr>
        <w:pStyle w:val="3"/>
        <w:bidi w:val="0"/>
        <w:rPr>
          <w:lang w:eastAsia="zh-CN"/>
        </w:rPr>
      </w:pPr>
      <w:r>
        <w:rPr>
          <w:rFonts w:hint="eastAsia"/>
          <w:lang w:val="en-US" w:eastAsia="zh-CN"/>
        </w:rPr>
        <w:t>隐含碳</w:t>
      </w:r>
      <w:r>
        <w:rPr>
          <w:lang w:eastAsia="zh-CN"/>
        </w:rPr>
        <w:t>强度与期间分摊</w:t>
      </w:r>
    </w:p>
    <w:p w14:paraId="28A95D83">
      <w:pPr>
        <w:ind w:firstLine="440"/>
        <w:rPr>
          <w:rFonts w:hint="eastAsia" w:ascii="Arial" w:hAnsi="Arial"/>
          <w:sz w:val="22"/>
          <w:lang w:val="en-US" w:eastAsia="zh-CN"/>
        </w:rPr>
      </w:pPr>
      <w:r>
        <w:rPr>
          <w:rFonts w:ascii="Arial" w:hAnsi="Arial"/>
          <w:sz w:val="22"/>
          <w:lang w:eastAsia="zh-CN"/>
        </w:rPr>
        <w:t>规划阶段用设计寿命交付电量计算前瞻强度</w:t>
      </w:r>
      <w:r>
        <w:rPr>
          <w:rFonts w:hint="eastAsia" w:ascii="Arial" w:hAnsi="Arial"/>
          <w:sz w:val="22"/>
          <w:lang w:eastAsia="zh-CN"/>
        </w:rPr>
        <w:t>；</w:t>
      </w:r>
      <w:r>
        <w:rPr>
          <w:rFonts w:hint="eastAsia" w:ascii="Arial" w:hAnsi="Arial"/>
          <w:sz w:val="22"/>
          <w:lang w:val="en-US" w:eastAsia="zh-CN"/>
        </w:rPr>
        <w:t>实际</w:t>
      </w:r>
      <w:r>
        <w:rPr>
          <w:rFonts w:ascii="Arial" w:hAnsi="Arial"/>
          <w:sz w:val="22"/>
          <w:lang w:eastAsia="zh-CN"/>
        </w:rPr>
        <w:t>运行阶段</w:t>
      </w:r>
      <w:r>
        <w:rPr>
          <w:rFonts w:hint="eastAsia" w:ascii="Arial" w:hAnsi="Arial"/>
          <w:sz w:val="22"/>
          <w:lang w:eastAsia="zh-CN"/>
        </w:rPr>
        <w:t>，</w:t>
      </w:r>
      <w:r>
        <w:rPr>
          <w:rFonts w:hint="eastAsia" w:ascii="Arial" w:hAnsi="Arial"/>
          <w:sz w:val="22"/>
          <w:lang w:val="en-US" w:eastAsia="zh-CN"/>
        </w:rPr>
        <w:t>基于</w:t>
      </w:r>
      <w:r>
        <w:rPr>
          <w:rFonts w:ascii="Arial" w:hAnsi="Arial"/>
          <w:sz w:val="22"/>
          <w:lang w:eastAsia="zh-CN"/>
        </w:rPr>
        <w:t>交流侧</w:t>
      </w:r>
      <w:r>
        <w:rPr>
          <w:rFonts w:hint="eastAsia" w:ascii="Arial" w:hAnsi="Arial"/>
          <w:sz w:val="22"/>
          <w:lang w:val="en-US" w:eastAsia="zh-CN"/>
        </w:rPr>
        <w:t>实际</w:t>
      </w:r>
      <w:r>
        <w:rPr>
          <w:rFonts w:ascii="Arial" w:hAnsi="Arial"/>
          <w:sz w:val="22"/>
          <w:lang w:eastAsia="zh-CN"/>
        </w:rPr>
        <w:t>放电量</w:t>
      </w:r>
      <w:r>
        <w:rPr>
          <w:rFonts w:hint="eastAsia" w:ascii="Arial" w:hAnsi="Arial"/>
          <w:sz w:val="22"/>
          <w:lang w:val="en-US" w:eastAsia="zh-CN"/>
        </w:rPr>
        <w:t>做周期</w:t>
      </w:r>
      <w:r>
        <w:rPr>
          <w:rFonts w:ascii="Arial" w:hAnsi="Arial"/>
          <w:sz w:val="22"/>
          <w:lang w:eastAsia="zh-CN"/>
        </w:rPr>
        <w:t>分摊</w:t>
      </w:r>
      <w:r>
        <w:rPr>
          <w:rFonts w:hint="eastAsia" w:ascii="Arial" w:hAnsi="Arial"/>
          <w:sz w:val="22"/>
          <w:lang w:eastAsia="zh-CN"/>
        </w:rPr>
        <w:t>。</w:t>
      </w:r>
      <w:r>
        <w:rPr>
          <w:rFonts w:hint="eastAsia" w:ascii="Arial" w:hAnsi="Arial"/>
          <w:sz w:val="22"/>
          <w:lang w:val="en-US" w:eastAsia="zh-CN"/>
        </w:rPr>
        <w:t>当设备</w:t>
      </w:r>
      <w:r>
        <w:rPr>
          <w:rFonts w:ascii="Arial" w:hAnsi="Arial"/>
          <w:sz w:val="22"/>
          <w:lang w:eastAsia="zh-CN"/>
        </w:rPr>
        <w:t>容量、寿命</w:t>
      </w:r>
      <w:r>
        <w:rPr>
          <w:rFonts w:hint="eastAsia" w:ascii="Arial" w:hAnsi="Arial"/>
          <w:sz w:val="22"/>
          <w:lang w:eastAsia="zh-CN"/>
        </w:rPr>
        <w:t>、</w:t>
      </w:r>
      <w:r>
        <w:rPr>
          <w:rFonts w:ascii="Arial" w:hAnsi="Arial"/>
          <w:sz w:val="22"/>
          <w:lang w:eastAsia="zh-CN"/>
        </w:rPr>
        <w:t>替换计划发生重大变化时重估</w:t>
      </w:r>
      <w:r>
        <w:rPr>
          <w:rFonts w:hint="eastAsia" w:ascii="Arial" w:hAnsi="Arial"/>
          <w:sz w:val="22"/>
          <w:lang w:eastAsia="zh-CN"/>
        </w:rPr>
        <w:t>；</w:t>
      </w:r>
      <w:r>
        <w:rPr>
          <w:rFonts w:ascii="Arial" w:hAnsi="Arial"/>
          <w:sz w:val="22"/>
          <w:lang w:eastAsia="zh-CN"/>
        </w:rPr>
        <w:t>重估</w:t>
      </w:r>
      <w:r>
        <w:rPr>
          <w:rFonts w:hint="eastAsia" w:ascii="Arial" w:hAnsi="Arial"/>
          <w:sz w:val="22"/>
          <w:lang w:val="en-US" w:eastAsia="zh-CN"/>
        </w:rPr>
        <w:t>仅作用后续周期，报告规则强制追溯除外。</w:t>
      </w:r>
    </w:p>
    <w:p w14:paraId="28D2D31E">
      <w:pPr>
        <w:ind w:firstLine="440"/>
        <w:rPr>
          <w:rFonts w:hint="default" w:ascii="Arial" w:hAnsi="Arial"/>
          <w:sz w:val="22"/>
          <w:lang w:val="en-US" w:eastAsia="zh-CN"/>
        </w:rPr>
      </w:pPr>
      <w:r>
        <w:rPr>
          <w:rFonts w:hint="eastAsia" w:ascii="Arial" w:hAnsi="Arial"/>
          <w:sz w:val="22"/>
          <w:lang w:val="en-US" w:eastAsia="zh-CN"/>
        </w:rPr>
        <w:t>设计寿命总可交付交流电量：</w:t>
      </w:r>
    </w:p>
    <w:p w14:paraId="04752A35">
      <w:pPr>
        <w:pStyle w:val="23"/>
        <w:rPr>
          <w:i w:val="0"/>
        </w:rPr>
      </w:pPr>
      <m:oMathPara>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life,design</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rated</m:t>
              </m:r>
              <m:ctrlPr>
                <w:rPr>
                  <w:rFonts w:hint="default" w:ascii="Cambria Math"/>
                </w:rPr>
              </m:ctrlPr>
            </m:sub>
          </m:sSub>
          <m:r>
            <m:rPr/>
            <w:rPr>
              <w:rFonts w:hint="default" w:ascii="Cambria Math"/>
            </w:rPr>
            <m:t>×DoD×</m:t>
          </m:r>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EFC</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η</m:t>
              </m:r>
              <m:ctrlPr>
                <w:rPr>
                  <w:rFonts w:hint="default" w:ascii="Cambria Math"/>
                </w:rPr>
              </m:ctrlPr>
            </m:e>
            <m:sub>
              <m:r>
                <m:rPr/>
                <w:rPr>
                  <w:rFonts w:hint="default" w:ascii="Cambria Math"/>
                </w:rPr>
                <m:t>dis</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availability</m:t>
              </m:r>
              <m:ctrlPr>
                <w:rPr>
                  <w:rFonts w:hint="default" w:ascii="Cambria Math"/>
                </w:rPr>
              </m:ctrlPr>
            </m:sub>
          </m:sSub>
        </m:oMath>
      </m:oMathPara>
    </w:p>
    <w:p w14:paraId="0B703AF4">
      <w:pPr>
        <w:bidi w:val="0"/>
        <w:ind w:left="0" w:leftChars="0" w:firstLine="0" w:firstLineChars="0"/>
      </w:pPr>
      <w:r>
        <w:t>式中：</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life,design</m:t>
            </m:r>
            <m:ctrlPr>
              <w:rPr>
                <w:rFonts w:hint="default" w:ascii="Cambria Math"/>
              </w:rPr>
            </m:ctrlPr>
          </m:sub>
        </m:sSub>
      </m:oMath>
      <w:r>
        <w:t>设计寿命总交付电量；</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rated</m:t>
            </m:r>
            <m:ctrlPr>
              <w:rPr>
                <w:rFonts w:hint="default" w:ascii="Cambria Math"/>
              </w:rPr>
            </m:ctrlPr>
          </m:sub>
        </m:sSub>
      </m:oMath>
      <w:r>
        <w:t>储能额定容量；</w:t>
      </w:r>
      <m:oMath>
        <m:r>
          <m:rPr/>
          <w:rPr>
            <w:rFonts w:hint="default" w:ascii="Cambria Math"/>
          </w:rPr>
          <m:t>DoD</m:t>
        </m:r>
      </m:oMath>
      <w:r>
        <w:t>$放电深度；</w:t>
      </w:r>
      <m:oMath>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EFC</m:t>
            </m:r>
            <m:ctrlPr>
              <w:rPr>
                <w:rFonts w:hint="default" w:ascii="Cambria Math"/>
              </w:rPr>
            </m:ctrlPr>
          </m:sub>
        </m:sSub>
      </m:oMath>
      <w:r>
        <w:t>等效全循环次数；</w:t>
      </w:r>
      <m:oMath>
        <m:sSub>
          <m:sSubPr>
            <m:ctrlPr>
              <w:rPr>
                <w:rFonts w:hint="default" w:ascii="Cambria Math"/>
              </w:rPr>
            </m:ctrlPr>
          </m:sSubPr>
          <m:e>
            <m:r>
              <m:rPr/>
              <w:rPr>
                <w:rFonts w:hint="default" w:ascii="Cambria Math"/>
              </w:rPr>
              <m:t>η</m:t>
            </m:r>
            <m:ctrlPr>
              <w:rPr>
                <w:rFonts w:hint="default" w:ascii="Cambria Math"/>
              </w:rPr>
            </m:ctrlPr>
          </m:e>
          <m:sub>
            <m:r>
              <m:rPr/>
              <w:rPr>
                <w:rFonts w:hint="default" w:ascii="Cambria Math"/>
              </w:rPr>
              <m:t>dis</m:t>
            </m:r>
            <m:ctrlPr>
              <w:rPr>
                <w:rFonts w:hint="default" w:ascii="Cambria Math"/>
              </w:rPr>
            </m:ctrlPr>
          </m:sub>
        </m:sSub>
      </m:oMath>
      <w:r>
        <w:t>放电效率；</w:t>
      </w:r>
      <m:oMath>
        <m:sSub>
          <m:sSubPr>
            <m:ctrlPr>
              <w:rPr>
                <w:rFonts w:hint="default" w:ascii="Cambria Math"/>
              </w:rPr>
            </m:ctrlPr>
          </m:sSubPr>
          <m:e>
            <m:r>
              <m:rPr/>
              <w:rPr>
                <w:rFonts w:hint="default" w:ascii="Cambria Math"/>
              </w:rPr>
              <m:t>k</m:t>
            </m:r>
            <m:ctrlPr>
              <w:rPr>
                <w:rFonts w:hint="default" w:ascii="Cambria Math"/>
              </w:rPr>
            </m:ctrlPr>
          </m:e>
          <m:sub>
            <m:r>
              <m:rPr/>
              <w:rPr>
                <w:rFonts w:hint="default" w:ascii="Cambria Math"/>
              </w:rPr>
              <m:t>availability</m:t>
            </m:r>
            <m:ctrlPr>
              <w:rPr>
                <w:rFonts w:hint="default" w:ascii="Cambria Math"/>
              </w:rPr>
            </m:ctrlPr>
          </m:sub>
        </m:sSub>
      </m:oMath>
      <w:r>
        <w:t>设备可用系数。</w:t>
      </w:r>
    </w:p>
    <w:p w14:paraId="67401D3A">
      <w:pPr>
        <w:bidi w:val="0"/>
      </w:pPr>
      <w:r>
        <w:t>设计隐含碳强度：</w:t>
      </w:r>
    </w:p>
    <w:p w14:paraId="10D569AA">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emb</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design</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embodied</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life</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design</m:t>
                  </m:r>
                  <m:ctrlPr>
                    <w:rPr>
                      <w:rFonts w:hint="default" w:ascii="Cambria Math" w:hAnsi="Cambria Math" w:cs="Times New Roman"/>
                      <w:sz w:val="24"/>
                    </w:rPr>
                  </m:ctrlPr>
                </m:sub>
              </m:sSub>
              <m:ctrlPr>
                <w:rPr>
                  <w:rFonts w:hint="default" w:ascii="Cambria Math" w:hAnsi="Cambria Math" w:cs="Times New Roman"/>
                  <w:sz w:val="24"/>
                </w:rPr>
              </m:ctrlPr>
            </m:den>
          </m:f>
          <m:r>
            <m:rPr>
              <m:nor/>
              <m:sty m:val="p"/>
            </m:rPr>
            <w:rPr>
              <w:rFonts w:hint="default" w:ascii="Times New Roman" w:hAnsi="Times New Roman" w:cs="Times New Roman"/>
              <w:b w:val="0"/>
              <w:i w:val="0"/>
              <w:sz w:val="24"/>
            </w:rPr>
            <m:t> </m:t>
          </m:r>
          <m:r>
            <m:rPr>
              <m:nor/>
              <m:sty m:val="p"/>
            </m:rPr>
            <w:rPr>
              <w:rFonts w:hint="default" w:ascii="Times New Roman" w:hAnsi="Times New Roman" w:cs="Times New Roman"/>
              <w:b w:val="0"/>
              <w:i w:val="0"/>
              <w:color w:val="0000FF"/>
              <w:sz w:val="24"/>
            </w:rPr>
            <m:t>(单位：kgC</m:t>
          </m:r>
          <m:sSub>
            <m:sSubPr>
              <m:ctrlPr>
                <w:rPr>
                  <w:rFonts w:hint="default" w:ascii="Cambria Math" w:hAnsi="Cambria Math" w:cs="Times New Roman"/>
                  <w:color w:val="0000FF"/>
                  <w:sz w:val="24"/>
                </w:rPr>
              </m:ctrlPr>
            </m:sSubPr>
            <m:e>
              <m:r>
                <m:rPr>
                  <m:nor/>
                  <m:sty m:val="p"/>
                </m:rPr>
                <w:rPr>
                  <w:rFonts w:hint="default" w:ascii="Times New Roman" w:hAnsi="Times New Roman" w:cs="Times New Roman"/>
                  <w:b w:val="0"/>
                  <w:i w:val="0"/>
                  <w:color w:val="0000FF"/>
                  <w:sz w:val="24"/>
                </w:rPr>
                <m:t>O</m:t>
              </m:r>
              <m:ctrlPr>
                <w:rPr>
                  <w:rFonts w:hint="default" w:ascii="Cambria Math" w:hAnsi="Cambria Math" w:cs="Times New Roman"/>
                  <w:color w:val="0000FF"/>
                  <w:sz w:val="24"/>
                </w:rPr>
              </m:ctrlPr>
            </m:e>
            <m:sub>
              <m:r>
                <m:rPr>
                  <m:nor/>
                  <m:sty m:val="p"/>
                </m:rPr>
                <w:rPr>
                  <w:rFonts w:hint="default" w:ascii="Times New Roman" w:hAnsi="Times New Roman" w:cs="Times New Roman"/>
                  <w:b w:val="0"/>
                  <w:i w:val="0"/>
                  <w:color w:val="0000FF"/>
                  <w:sz w:val="24"/>
                </w:rPr>
                <m:t>2</m:t>
              </m:r>
              <m:ctrlPr>
                <w:rPr>
                  <w:rFonts w:hint="default" w:ascii="Cambria Math" w:hAnsi="Cambria Math" w:cs="Times New Roman"/>
                  <w:color w:val="0000FF"/>
                  <w:sz w:val="24"/>
                </w:rPr>
              </m:ctrlPr>
            </m:sub>
          </m:sSub>
          <m:r>
            <m:rPr>
              <m:nor/>
              <m:sty m:val="p"/>
            </m:rPr>
            <w:rPr>
              <w:rFonts w:hint="default" w:ascii="Times New Roman" w:hAnsi="Times New Roman" w:cs="Times New Roman"/>
              <w:b w:val="0"/>
              <w:i w:val="0"/>
              <w:color w:val="0000FF"/>
              <w:sz w:val="24"/>
            </w:rPr>
            <m:t>e/kW</m:t>
          </m:r>
          <m:sSub>
            <m:sSubPr>
              <m:ctrlPr>
                <w:rPr>
                  <w:rFonts w:hint="default" w:ascii="Cambria Math" w:hAnsi="Cambria Math" w:cs="Times New Roman"/>
                  <w:color w:val="0000FF"/>
                  <w:sz w:val="24"/>
                </w:rPr>
              </m:ctrlPr>
            </m:sSubPr>
            <m:e>
              <m:r>
                <m:rPr>
                  <m:nor/>
                  <m:sty m:val="p"/>
                </m:rPr>
                <w:rPr>
                  <w:rFonts w:hint="default" w:ascii="Times New Roman" w:hAnsi="Times New Roman" w:cs="Times New Roman"/>
                  <w:b w:val="0"/>
                  <w:i w:val="0"/>
                  <w:color w:val="0000FF"/>
                  <w:sz w:val="24"/>
                </w:rPr>
                <m:t>h</m:t>
              </m:r>
              <m:ctrlPr>
                <w:rPr>
                  <w:rFonts w:hint="default" w:ascii="Cambria Math" w:hAnsi="Cambria Math" w:cs="Times New Roman"/>
                  <w:color w:val="0000FF"/>
                  <w:sz w:val="24"/>
                </w:rPr>
              </m:ctrlPr>
            </m:e>
            <m:sub>
              <m:r>
                <m:rPr>
                  <m:nor/>
                  <m:sty m:val="p"/>
                </m:rPr>
                <w:rPr>
                  <w:rFonts w:hint="default" w:ascii="Times New Roman" w:hAnsi="Times New Roman" w:cs="Times New Roman"/>
                  <w:b w:val="0"/>
                  <w:i w:val="0"/>
                  <w:color w:val="0000FF"/>
                  <w:sz w:val="24"/>
                </w:rPr>
                <m:t>AC,delivered</m:t>
              </m:r>
              <m:ctrlPr>
                <w:rPr>
                  <w:rFonts w:hint="default" w:ascii="Cambria Math" w:hAnsi="Cambria Math" w:cs="Times New Roman"/>
                  <w:color w:val="0000FF"/>
                  <w:sz w:val="24"/>
                </w:rPr>
              </m:ctrlPr>
            </m:sub>
          </m:sSub>
          <m:r>
            <m:rPr>
              <m:nor/>
              <m:sty m:val="p"/>
            </m:rPr>
            <w:rPr>
              <w:rFonts w:hint="default" w:ascii="Times New Roman" w:hAnsi="Times New Roman" w:cs="Times New Roman"/>
              <w:b w:val="0"/>
              <w:i w:val="0"/>
              <w:color w:val="0000FF"/>
              <w:sz w:val="24"/>
            </w:rPr>
            <m:t>)</m:t>
          </m:r>
        </m:oMath>
      </m:oMathPara>
    </w:p>
    <w:p w14:paraId="0B2556DC">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emb</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design</m:t>
            </m:r>
            <m:ctrlPr>
              <w:rPr>
                <w:rFonts w:hint="default" w:ascii="Cambria Math" w:hAnsi="Cambria Math" w:cs="Times New Roman"/>
                <w:sz w:val="24"/>
              </w:rPr>
            </m:ctrlPr>
          </m:sub>
        </m:sSub>
      </m:oMath>
      <w:r>
        <w:t>基于设计参数的储能隐含碳强度。</w:t>
      </w:r>
    </w:p>
    <w:p w14:paraId="6B3C7411">
      <w:pPr>
        <w:bidi w:val="0"/>
      </w:pPr>
      <w:r>
        <w:t>单周期可分摊隐含碳（不超过剩余未分摊总隐含碳）：</w:t>
      </w:r>
    </w:p>
    <w:p w14:paraId="29C1C608">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alloc</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unc>
            <m:funcPr>
              <m:ctrlPr>
                <w:rPr>
                  <w:rFonts w:hint="default" w:ascii="Cambria Math" w:hAnsi="Cambria Math" w:cs="Times New Roman"/>
                  <w:sz w:val="24"/>
                </w:rPr>
              </m:ctrlPr>
            </m:funcPr>
            <m:fName>
              <m:limLow>
                <m:limLowPr>
                  <m:ctrlPr>
                    <w:rPr>
                      <w:rFonts w:hint="default" w:ascii="Cambria Math" w:hAnsi="Cambria Math" w:cs="Times New Roman"/>
                      <w:sz w:val="24"/>
                    </w:rPr>
                  </m:ctrlPr>
                </m:limLowPr>
                <m:e>
                  <m:r>
                    <m:rPr>
                      <m:nor/>
                      <m:sty m:val="p"/>
                    </m:rPr>
                    <w:rPr>
                      <w:rFonts w:hint="default" w:ascii="Times New Roman" w:hAnsi="Times New Roman" w:cs="Times New Roman"/>
                      <w:b w:val="0"/>
                      <w:i w:val="0"/>
                      <w:sz w:val="24"/>
                    </w:rPr>
                    <m:t>min</m:t>
                  </m:r>
                  <m:ctrlPr>
                    <w:rPr>
                      <w:rFonts w:hint="default" w:ascii="Cambria Math" w:hAnsi="Cambria Math" w:cs="Times New Roman"/>
                      <w:sz w:val="24"/>
                    </w:rPr>
                  </m:ctrlPr>
                </m:e>
                <m:lim>
                  <m:r>
                    <m:rPr>
                      <m:sty m:val="p"/>
                    </m:rPr>
                    <w:rPr>
                      <w:rFonts w:hint="default" w:ascii="Cambria Math" w:hAnsi="Cambria Math" w:cs="Times New Roman"/>
                      <w:sz w:val="24"/>
                      <w:lang w:val="en-US" w:eastAsia="zh-CN"/>
                    </w:rPr>
                    <m:t xml:space="preserve"> </m:t>
                  </m:r>
                  <m:ctrlPr>
                    <w:rPr>
                      <w:rFonts w:hint="default" w:ascii="Cambria Math" w:hAnsi="Cambria Math" w:cs="Times New Roman"/>
                      <w:sz w:val="24"/>
                    </w:rPr>
                  </m:ctrlPr>
                </m:lim>
              </m:limLow>
              <m:ctrlPr>
                <w:rPr>
                  <w:rFonts w:hint="default" w:ascii="Cambria Math" w:hAnsi="Cambria Math" w:cs="Times New Roman"/>
                  <w:sz w:val="24"/>
                </w:rPr>
              </m:ctrlPr>
            </m:fName>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func>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emb</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current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dis</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 xml:space="preserve">, </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embodied</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alloc</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cumulative</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m:oMathPara>
    </w:p>
    <w:p w14:paraId="6102721E">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alloc</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oMath>
      <w:r>
        <w:t>第p周期分摊隐含碳；</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emb</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current</m:t>
            </m:r>
            <m:ctrlPr>
              <w:rPr>
                <w:rFonts w:hint="default" w:ascii="Cambria Math" w:hAnsi="Cambria Math" w:cs="Times New Roman"/>
                <w:sz w:val="24"/>
              </w:rPr>
            </m:ctrlPr>
          </m:sub>
        </m:sSub>
      </m:oMath>
      <w:r>
        <w:t>当前实际隐含碳强度；</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dis</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oMath>
      <w:r>
        <w:t>第p周期交流放电量；</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alloc</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cumulative</m:t>
            </m:r>
            <m:ctrlPr>
              <w:rPr>
                <w:rFonts w:hint="default" w:ascii="Cambria Math" w:hAnsi="Cambria Math" w:cs="Times New Roman"/>
                <w:sz w:val="24"/>
              </w:rPr>
            </m:ctrlPr>
          </m:sub>
        </m:sSub>
      </m:oMath>
      <w:r>
        <w:t>累计已经分摊隐含碳。</w:t>
      </w:r>
    </w:p>
    <w:p w14:paraId="2163E3FF">
      <w:pPr>
        <w:bidi w:val="0"/>
      </w:pPr>
      <w:r>
        <w:t>周期净生命周期减排量：</w:t>
      </w:r>
    </w:p>
    <w:p w14:paraId="204D0388">
      <w:pPr>
        <w:bidi w:val="0"/>
      </w:pPr>
      <m:oMathPara>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net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op</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alloc</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incremental</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oMath>
      </m:oMathPara>
    </w:p>
    <w:p w14:paraId="27F22416">
      <w:pPr>
        <w:bidi w:val="0"/>
        <w:ind w:left="0" w:leftChars="0" w:firstLine="0" w:firstLineChars="0"/>
      </w:pPr>
      <w:r>
        <w:t>式中：</w:t>
      </w:r>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net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oMath>
      <w:r>
        <w:t>第p周期净生命周期减排；</w:t>
      </w:r>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op</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oMath>
      <w:r>
        <w:t>周期运行减排；</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alloc</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incremental</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oMath>
      <w:r>
        <w:t>周期增量分摊隐含碳。</w:t>
      </w:r>
    </w:p>
    <w:p w14:paraId="1EE4015C">
      <w:pPr>
        <w:bidi w:val="0"/>
      </w:pPr>
      <w:r>
        <w:t>如果基准情景同样需要配套基础设施，对比时只考虑双方生命周期增量排放，不要单边扣除项目全部设备隐含碳。</w:t>
      </w:r>
    </w:p>
    <w:p w14:paraId="11219D97">
      <w:pPr>
        <w:pStyle w:val="3"/>
        <w:bidi w:val="0"/>
        <w:rPr>
          <w:lang w:eastAsia="zh-CN"/>
        </w:rPr>
      </w:pPr>
      <w:r>
        <w:rPr>
          <w:lang w:eastAsia="zh-CN"/>
        </w:rPr>
        <w:t>碳强度与协同绩效指标</w:t>
      </w:r>
    </w:p>
    <w:p w14:paraId="193A9955">
      <w:pPr>
        <w:bidi w:val="0"/>
      </w:pPr>
      <w:r>
        <w:t>污水处理碳排放强度（按处理水量）：</w:t>
      </w:r>
    </w:p>
    <w:p w14:paraId="09FD4F22">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water</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plant</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treated</m:t>
                  </m:r>
                  <m:ctrlPr>
                    <w:rPr>
                      <w:rFonts w:hint="default" w:ascii="Cambria Math" w:hAnsi="Cambria Math" w:cs="Times New Roman"/>
                      <w:sz w:val="24"/>
                    </w:rPr>
                  </m:ctrlPr>
                </m:sub>
              </m:sSub>
              <m:ctrlPr>
                <w:rPr>
                  <w:rFonts w:hint="default" w:ascii="Cambria Math" w:hAnsi="Cambria Math" w:cs="Times New Roman"/>
                  <w:sz w:val="24"/>
                </w:rPr>
              </m:ctrlPr>
            </m:den>
          </m:f>
          <m:r>
            <m:rPr>
              <m:nor/>
              <m:sty m:val="p"/>
            </m:rPr>
            <w:rPr>
              <w:rFonts w:hint="default" w:ascii="Times New Roman" w:hAnsi="Times New Roman" w:cs="Times New Roman"/>
              <w:b w:val="0"/>
              <w:i w:val="0"/>
              <w:sz w:val="24"/>
            </w:rPr>
            <m:t> </m:t>
          </m:r>
          <m:r>
            <m:rPr>
              <m:nor/>
              <m:sty m:val="p"/>
            </m:rPr>
            <w:rPr>
              <w:rFonts w:hint="default" w:ascii="Times New Roman" w:hAnsi="Times New Roman" w:cs="Times New Roman"/>
              <w:b w:val="0"/>
              <w:i w:val="0"/>
              <w:color w:val="0000FF"/>
              <w:sz w:val="24"/>
            </w:rPr>
            <m:t>(单位：kgC</m:t>
          </m:r>
          <m:sSub>
            <m:sSubPr>
              <m:ctrlPr>
                <w:rPr>
                  <w:rFonts w:hint="default" w:ascii="Cambria Math" w:hAnsi="Cambria Math" w:cs="Times New Roman"/>
                  <w:color w:val="0000FF"/>
                  <w:sz w:val="24"/>
                </w:rPr>
              </m:ctrlPr>
            </m:sSubPr>
            <m:e>
              <m:r>
                <m:rPr>
                  <m:nor/>
                  <m:sty m:val="p"/>
                </m:rPr>
                <w:rPr>
                  <w:rFonts w:hint="default" w:ascii="Times New Roman" w:hAnsi="Times New Roman" w:cs="Times New Roman"/>
                  <w:b w:val="0"/>
                  <w:i w:val="0"/>
                  <w:color w:val="0000FF"/>
                  <w:sz w:val="24"/>
                </w:rPr>
                <m:t>O</m:t>
              </m:r>
              <m:ctrlPr>
                <w:rPr>
                  <w:rFonts w:hint="default" w:ascii="Cambria Math" w:hAnsi="Cambria Math" w:cs="Times New Roman"/>
                  <w:color w:val="0000FF"/>
                  <w:sz w:val="24"/>
                </w:rPr>
              </m:ctrlPr>
            </m:e>
            <m:sub>
              <m:r>
                <m:rPr>
                  <m:nor/>
                  <m:sty m:val="p"/>
                </m:rPr>
                <w:rPr>
                  <w:rFonts w:hint="default" w:ascii="Times New Roman" w:hAnsi="Times New Roman" w:cs="Times New Roman"/>
                  <w:b w:val="0"/>
                  <w:i w:val="0"/>
                  <w:color w:val="0000FF"/>
                  <w:sz w:val="24"/>
                </w:rPr>
                <m:t>2</m:t>
              </m:r>
              <m:ctrlPr>
                <w:rPr>
                  <w:rFonts w:hint="default" w:ascii="Cambria Math" w:hAnsi="Cambria Math" w:cs="Times New Roman"/>
                  <w:color w:val="0000FF"/>
                  <w:sz w:val="24"/>
                </w:rPr>
              </m:ctrlPr>
            </m:sub>
          </m:sSub>
          <m:r>
            <m:rPr>
              <m:nor/>
              <m:sty m:val="p"/>
            </m:rPr>
            <w:rPr>
              <w:rFonts w:hint="default" w:ascii="Times New Roman" w:hAnsi="Times New Roman" w:cs="Times New Roman"/>
              <w:b w:val="0"/>
              <w:i w:val="0"/>
              <w:color w:val="0000FF"/>
              <w:sz w:val="24"/>
            </w:rPr>
            <m:t>e/</m:t>
          </m:r>
          <m:sSup>
            <m:sSupPr>
              <m:ctrlPr>
                <w:rPr>
                  <w:rFonts w:hint="default" w:ascii="Cambria Math" w:hAnsi="Cambria Math" w:cs="Times New Roman"/>
                  <w:color w:val="0000FF"/>
                  <w:sz w:val="24"/>
                </w:rPr>
              </m:ctrlPr>
            </m:sSupPr>
            <m:e>
              <m:r>
                <m:rPr>
                  <m:nor/>
                  <m:sty m:val="p"/>
                </m:rPr>
                <w:rPr>
                  <w:rFonts w:hint="default" w:ascii="Times New Roman" w:hAnsi="Times New Roman" w:cs="Times New Roman"/>
                  <w:b w:val="0"/>
                  <w:i w:val="0"/>
                  <w:color w:val="0000FF"/>
                  <w:sz w:val="24"/>
                </w:rPr>
                <m:t>m</m:t>
              </m:r>
              <m:ctrlPr>
                <w:rPr>
                  <w:rFonts w:hint="default" w:ascii="Cambria Math" w:hAnsi="Cambria Math" w:cs="Times New Roman"/>
                  <w:color w:val="0000FF"/>
                  <w:sz w:val="24"/>
                </w:rPr>
              </m:ctrlPr>
            </m:e>
            <m:sup>
              <m:r>
                <m:rPr>
                  <m:nor/>
                  <m:sty m:val="p"/>
                </m:rPr>
                <w:rPr>
                  <w:rFonts w:hint="default" w:ascii="Times New Roman" w:hAnsi="Times New Roman" w:cs="Times New Roman"/>
                  <w:b w:val="0"/>
                  <w:i w:val="0"/>
                  <w:color w:val="0000FF"/>
                  <w:sz w:val="24"/>
                </w:rPr>
                <m:t>3</m:t>
              </m:r>
              <m:ctrlPr>
                <w:rPr>
                  <w:rFonts w:hint="default" w:ascii="Cambria Math" w:hAnsi="Cambria Math" w:cs="Times New Roman"/>
                  <w:color w:val="0000FF"/>
                  <w:sz w:val="24"/>
                </w:rPr>
              </m:ctrlPr>
            </m:sup>
          </m:sSup>
          <m:r>
            <m:rPr>
              <m:nor/>
              <m:sty m:val="p"/>
            </m:rPr>
            <w:rPr>
              <w:rFonts w:hint="default" w:ascii="Times New Roman" w:hAnsi="Times New Roman" w:cs="Times New Roman"/>
              <w:b w:val="0"/>
              <w:i w:val="0"/>
              <w:color w:val="0000FF"/>
              <w:sz w:val="24"/>
            </w:rPr>
            <m:t>)</m:t>
          </m:r>
        </m:oMath>
      </m:oMathPara>
    </w:p>
    <w:p w14:paraId="65C13446">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water</m:t>
            </m:r>
            <m:ctrlPr>
              <w:rPr>
                <w:rFonts w:hint="default" w:ascii="Cambria Math" w:hAnsi="Cambria Math" w:cs="Times New Roman"/>
                <w:sz w:val="24"/>
              </w:rPr>
            </m:ctrlPr>
          </m:sub>
        </m:sSub>
      </m:oMath>
      <w:r>
        <w:t>单位水处理量碳排放强度；</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treated</m:t>
            </m:r>
            <m:ctrlPr>
              <w:rPr>
                <w:rFonts w:hint="default" w:ascii="Cambria Math" w:hAnsi="Cambria Math" w:cs="Times New Roman"/>
                <w:sz w:val="24"/>
              </w:rPr>
            </m:ctrlPr>
          </m:sub>
        </m:sSub>
      </m:oMath>
      <w:r>
        <w:t>报告期污水处理总量。</w:t>
      </w:r>
    </w:p>
    <w:p w14:paraId="4F9AFBAF">
      <w:pPr>
        <w:bidi w:val="0"/>
      </w:pPr>
      <w:r>
        <w:t>按COD去除量碳排放强度：</w:t>
      </w:r>
    </w:p>
    <w:p w14:paraId="40ABBA03">
      <w:pPr>
        <w:bidi w:val="0"/>
        <w:rPr>
          <w:color w:val="0000FF"/>
        </w:rPr>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COD</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plant</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rPr>
                    <w:rPr>
                      <w:rFonts w:hint="default" w:ascii="Times New Roman" w:hAnsi="Times New Roman" w:cs="Times New Roman"/>
                      <w:i/>
                      <w:sz w:val="24"/>
                    </w:rPr>
                    <m:t>COD</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removed</m:t>
                  </m:r>
                  <m:ctrlPr>
                    <w:rPr>
                      <w:rFonts w:hint="default" w:ascii="Cambria Math" w:hAnsi="Cambria Math" w:cs="Times New Roman"/>
                      <w:sz w:val="24"/>
                    </w:rPr>
                  </m:ctrlPr>
                </m:sub>
              </m:sSub>
              <m:ctrlPr>
                <w:rPr>
                  <w:rFonts w:hint="default" w:ascii="Cambria Math" w:hAnsi="Cambria Math" w:cs="Times New Roman"/>
                  <w:sz w:val="24"/>
                </w:rPr>
              </m:ctrlPr>
            </m:den>
          </m:f>
          <m:r>
            <m:rPr>
              <m:nor/>
              <m:sty m:val="p"/>
            </m:rPr>
            <w:rPr>
              <w:rFonts w:hint="default" w:ascii="Times New Roman" w:hAnsi="Times New Roman" w:cs="Times New Roman"/>
              <w:b w:val="0"/>
              <w:i w:val="0"/>
              <w:sz w:val="24"/>
            </w:rPr>
            <m:t> </m:t>
          </m:r>
          <m:r>
            <m:rPr>
              <m:nor/>
              <m:sty m:val="p"/>
            </m:rPr>
            <w:rPr>
              <w:rFonts w:hint="default" w:ascii="Times New Roman" w:hAnsi="Times New Roman" w:cs="Times New Roman"/>
              <w:b w:val="0"/>
              <w:i w:val="0"/>
              <w:color w:val="0000FF"/>
              <w:sz w:val="24"/>
            </w:rPr>
            <m:t>(单位：kgC</m:t>
          </m:r>
          <m:sSub>
            <m:sSubPr>
              <m:ctrlPr>
                <w:rPr>
                  <w:rFonts w:hint="default" w:ascii="Cambria Math" w:hAnsi="Cambria Math" w:cs="Times New Roman"/>
                  <w:color w:val="0000FF"/>
                  <w:sz w:val="24"/>
                </w:rPr>
              </m:ctrlPr>
            </m:sSubPr>
            <m:e>
              <m:r>
                <m:rPr>
                  <m:nor/>
                  <m:sty m:val="p"/>
                </m:rPr>
                <w:rPr>
                  <w:rFonts w:hint="default" w:ascii="Times New Roman" w:hAnsi="Times New Roman" w:cs="Times New Roman"/>
                  <w:b w:val="0"/>
                  <w:i w:val="0"/>
                  <w:color w:val="0000FF"/>
                  <w:sz w:val="24"/>
                </w:rPr>
                <m:t>O</m:t>
              </m:r>
              <m:ctrlPr>
                <w:rPr>
                  <w:rFonts w:hint="default" w:ascii="Cambria Math" w:hAnsi="Cambria Math" w:cs="Times New Roman"/>
                  <w:color w:val="0000FF"/>
                  <w:sz w:val="24"/>
                </w:rPr>
              </m:ctrlPr>
            </m:e>
            <m:sub>
              <m:r>
                <m:rPr>
                  <m:nor/>
                  <m:sty m:val="p"/>
                </m:rPr>
                <w:rPr>
                  <w:rFonts w:hint="default" w:ascii="Times New Roman" w:hAnsi="Times New Roman" w:cs="Times New Roman"/>
                  <w:b w:val="0"/>
                  <w:i w:val="0"/>
                  <w:color w:val="0000FF"/>
                  <w:sz w:val="24"/>
                </w:rPr>
                <m:t>2</m:t>
              </m:r>
              <m:ctrlPr>
                <w:rPr>
                  <w:rFonts w:hint="default" w:ascii="Cambria Math" w:hAnsi="Cambria Math" w:cs="Times New Roman"/>
                  <w:color w:val="0000FF"/>
                  <w:sz w:val="24"/>
                </w:rPr>
              </m:ctrlPr>
            </m:sub>
          </m:sSub>
          <m:r>
            <m:rPr>
              <m:nor/>
              <m:sty m:val="p"/>
            </m:rPr>
            <w:rPr>
              <w:rFonts w:hint="default" w:ascii="Times New Roman" w:hAnsi="Times New Roman" w:cs="Times New Roman"/>
              <w:b w:val="0"/>
              <w:i w:val="0"/>
              <w:color w:val="0000FF"/>
              <w:sz w:val="24"/>
            </w:rPr>
            <m:t>e/kg CO</m:t>
          </m:r>
          <m:sSub>
            <m:sSubPr>
              <m:ctrlPr>
                <w:rPr>
                  <w:rFonts w:hint="default" w:ascii="Cambria Math" w:hAnsi="Cambria Math" w:cs="Times New Roman"/>
                  <w:color w:val="0000FF"/>
                  <w:sz w:val="24"/>
                </w:rPr>
              </m:ctrlPr>
            </m:sSubPr>
            <m:e>
              <m:r>
                <m:rPr>
                  <m:nor/>
                  <m:sty m:val="p"/>
                </m:rPr>
                <w:rPr>
                  <w:rFonts w:hint="default" w:ascii="Times New Roman" w:hAnsi="Times New Roman" w:cs="Times New Roman"/>
                  <w:b w:val="0"/>
                  <w:i w:val="0"/>
                  <w:color w:val="0000FF"/>
                  <w:sz w:val="24"/>
                </w:rPr>
                <m:t>D</m:t>
              </m:r>
              <m:ctrlPr>
                <w:rPr>
                  <w:rFonts w:hint="default" w:ascii="Cambria Math" w:hAnsi="Cambria Math" w:cs="Times New Roman"/>
                  <w:color w:val="0000FF"/>
                  <w:sz w:val="24"/>
                </w:rPr>
              </m:ctrlPr>
            </m:e>
            <m:sub>
              <m:r>
                <m:rPr>
                  <m:nor/>
                  <m:sty m:val="p"/>
                </m:rPr>
                <w:rPr>
                  <w:rFonts w:hint="default" w:ascii="Times New Roman" w:hAnsi="Times New Roman" w:cs="Times New Roman"/>
                  <w:b w:val="0"/>
                  <w:i w:val="0"/>
                  <w:color w:val="0000FF"/>
                  <w:sz w:val="24"/>
                </w:rPr>
                <m:t>removed</m:t>
              </m:r>
              <m:ctrlPr>
                <w:rPr>
                  <w:rFonts w:hint="default" w:ascii="Cambria Math" w:hAnsi="Cambria Math" w:cs="Times New Roman"/>
                  <w:color w:val="0000FF"/>
                  <w:sz w:val="24"/>
                </w:rPr>
              </m:ctrlPr>
            </m:sub>
          </m:sSub>
          <m:r>
            <m:rPr>
              <m:nor/>
              <m:sty m:val="p"/>
            </m:rPr>
            <w:rPr>
              <w:rFonts w:hint="default" w:ascii="Times New Roman" w:hAnsi="Times New Roman" w:cs="Times New Roman"/>
              <w:b w:val="0"/>
              <w:i w:val="0"/>
              <w:color w:val="0000FF"/>
              <w:sz w:val="24"/>
            </w:rPr>
            <m:t>)</m:t>
          </m:r>
        </m:oMath>
      </m:oMathPara>
    </w:p>
    <w:p w14:paraId="0BACBBFF">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COD</m:t>
            </m:r>
            <m:ctrlPr>
              <w:rPr>
                <w:rFonts w:hint="default" w:ascii="Cambria Math" w:hAnsi="Cambria Math" w:cs="Times New Roman"/>
                <w:sz w:val="24"/>
              </w:rPr>
            </m:ctrlPr>
          </m:sub>
        </m:sSub>
      </m:oMath>
      <w:r>
        <w:t>单位COD去除碳排放强度；</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rPr>
              <w:rPr>
                <w:rFonts w:hint="default" w:ascii="Times New Roman" w:hAnsi="Times New Roman" w:cs="Times New Roman"/>
                <w:i/>
                <w:sz w:val="24"/>
              </w:rPr>
              <m:t>COD</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removed</m:t>
            </m:r>
            <m:ctrlPr>
              <w:rPr>
                <w:rFonts w:hint="default" w:ascii="Cambria Math" w:hAnsi="Cambria Math" w:cs="Times New Roman"/>
                <w:sz w:val="24"/>
              </w:rPr>
            </m:ctrlPr>
          </m:sub>
        </m:sSub>
      </m:oMath>
      <w:r>
        <w:t>去除总质量。</w:t>
      </w:r>
    </w:p>
    <w:p w14:paraId="4420B3EB">
      <w:pPr>
        <w:bidi w:val="0"/>
      </w:pPr>
      <w:r>
        <w:t>储能服务全周期强度：</w:t>
      </w:r>
    </w:p>
    <w:p w14:paraId="38281331">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storage</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c</m:t>
                  </m:r>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arge</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aux</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alloc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dis</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ac</m:t>
                  </m:r>
                  <m:ctrlPr>
                    <w:rPr>
                      <w:rFonts w:hint="default" w:ascii="Cambria Math" w:hAnsi="Cambria Math" w:cs="Times New Roman"/>
                      <w:sz w:val="24"/>
                    </w:rPr>
                  </m:ctrlPr>
                </m:sub>
              </m:sSub>
              <m:ctrlPr>
                <w:rPr>
                  <w:rFonts w:hint="default" w:ascii="Cambria Math" w:hAnsi="Cambria Math" w:cs="Times New Roman"/>
                  <w:sz w:val="24"/>
                </w:rPr>
              </m:ctrlPr>
            </m:den>
          </m:f>
          <m:r>
            <m:rPr>
              <m:nor/>
              <m:sty m:val="p"/>
            </m:rPr>
            <w:rPr>
              <w:rFonts w:hint="default" w:ascii="Times New Roman" w:hAnsi="Times New Roman" w:cs="Times New Roman"/>
              <w:b w:val="0"/>
              <w:i w:val="0"/>
              <w:sz w:val="24"/>
            </w:rPr>
            <m:t> </m:t>
          </m:r>
          <m:r>
            <m:rPr>
              <m:nor/>
              <m:sty m:val="p"/>
            </m:rPr>
            <w:rPr>
              <w:rFonts w:hint="default" w:ascii="Times New Roman" w:hAnsi="Times New Roman" w:cs="Times New Roman"/>
              <w:b w:val="0"/>
              <w:i w:val="0"/>
              <w:color w:val="0000FF"/>
              <w:sz w:val="24"/>
            </w:rPr>
            <m:t>(单位：kgC</m:t>
          </m:r>
          <m:sSub>
            <m:sSubPr>
              <m:ctrlPr>
                <w:rPr>
                  <w:rFonts w:hint="default" w:ascii="Cambria Math" w:hAnsi="Cambria Math" w:cs="Times New Roman"/>
                  <w:color w:val="0000FF"/>
                  <w:sz w:val="24"/>
                </w:rPr>
              </m:ctrlPr>
            </m:sSubPr>
            <m:e>
              <m:r>
                <m:rPr>
                  <m:nor/>
                  <m:sty m:val="p"/>
                </m:rPr>
                <w:rPr>
                  <w:rFonts w:hint="default" w:ascii="Times New Roman" w:hAnsi="Times New Roman" w:cs="Times New Roman"/>
                  <w:b w:val="0"/>
                  <w:i w:val="0"/>
                  <w:color w:val="0000FF"/>
                  <w:sz w:val="24"/>
                </w:rPr>
                <m:t>O</m:t>
              </m:r>
              <m:ctrlPr>
                <w:rPr>
                  <w:rFonts w:hint="default" w:ascii="Cambria Math" w:hAnsi="Cambria Math" w:cs="Times New Roman"/>
                  <w:color w:val="0000FF"/>
                  <w:sz w:val="24"/>
                </w:rPr>
              </m:ctrlPr>
            </m:e>
            <m:sub>
              <m:r>
                <m:rPr>
                  <m:nor/>
                  <m:sty m:val="p"/>
                </m:rPr>
                <w:rPr>
                  <w:rFonts w:hint="default" w:ascii="Times New Roman" w:hAnsi="Times New Roman" w:cs="Times New Roman"/>
                  <w:b w:val="0"/>
                  <w:i w:val="0"/>
                  <w:color w:val="0000FF"/>
                  <w:sz w:val="24"/>
                </w:rPr>
                <m:t>2</m:t>
              </m:r>
              <m:ctrlPr>
                <w:rPr>
                  <w:rFonts w:hint="default" w:ascii="Cambria Math" w:hAnsi="Cambria Math" w:cs="Times New Roman"/>
                  <w:color w:val="0000FF"/>
                  <w:sz w:val="24"/>
                </w:rPr>
              </m:ctrlPr>
            </m:sub>
          </m:sSub>
          <m:r>
            <m:rPr>
              <m:nor/>
              <m:sty m:val="p"/>
            </m:rPr>
            <w:rPr>
              <w:rFonts w:hint="default" w:ascii="Times New Roman" w:hAnsi="Times New Roman" w:cs="Times New Roman"/>
              <w:b w:val="0"/>
              <w:i w:val="0"/>
              <w:color w:val="0000FF"/>
              <w:sz w:val="24"/>
            </w:rPr>
            <m:t>e/kW</m:t>
          </m:r>
          <m:sSub>
            <m:sSubPr>
              <m:ctrlPr>
                <w:rPr>
                  <w:rFonts w:hint="default" w:ascii="Cambria Math" w:hAnsi="Cambria Math" w:cs="Times New Roman"/>
                  <w:color w:val="0000FF"/>
                  <w:sz w:val="24"/>
                </w:rPr>
              </m:ctrlPr>
            </m:sSubPr>
            <m:e>
              <m:r>
                <m:rPr>
                  <m:nor/>
                  <m:sty m:val="p"/>
                </m:rPr>
                <w:rPr>
                  <w:rFonts w:hint="default" w:ascii="Times New Roman" w:hAnsi="Times New Roman" w:cs="Times New Roman"/>
                  <w:b w:val="0"/>
                  <w:i w:val="0"/>
                  <w:color w:val="0000FF"/>
                  <w:sz w:val="24"/>
                </w:rPr>
                <m:t>h</m:t>
              </m:r>
              <m:ctrlPr>
                <w:rPr>
                  <w:rFonts w:hint="default" w:ascii="Cambria Math" w:hAnsi="Cambria Math" w:cs="Times New Roman"/>
                  <w:color w:val="0000FF"/>
                  <w:sz w:val="24"/>
                </w:rPr>
              </m:ctrlPr>
            </m:e>
            <m:sub>
              <m:r>
                <m:rPr>
                  <m:nor/>
                  <m:sty m:val="p"/>
                </m:rPr>
                <w:rPr>
                  <w:rFonts w:hint="default" w:ascii="Times New Roman" w:hAnsi="Times New Roman" w:cs="Times New Roman"/>
                  <w:b w:val="0"/>
                  <w:i w:val="0"/>
                  <w:color w:val="0000FF"/>
                  <w:sz w:val="24"/>
                </w:rPr>
                <m:t>AC,delivered</m:t>
              </m:r>
              <m:ctrlPr>
                <w:rPr>
                  <w:rFonts w:hint="default" w:ascii="Cambria Math" w:hAnsi="Cambria Math" w:cs="Times New Roman"/>
                  <w:color w:val="0000FF"/>
                  <w:sz w:val="24"/>
                </w:rPr>
              </m:ctrlPr>
            </m:sub>
          </m:sSub>
          <m:r>
            <m:rPr>
              <m:nor/>
              <m:sty m:val="p"/>
            </m:rPr>
            <w:rPr>
              <w:rFonts w:hint="default" w:ascii="Times New Roman" w:hAnsi="Times New Roman" w:cs="Times New Roman"/>
              <w:b w:val="0"/>
              <w:i w:val="0"/>
              <w:color w:val="0000FF"/>
              <w:sz w:val="24"/>
            </w:rPr>
            <m:t>)</m:t>
          </m:r>
        </m:oMath>
      </m:oMathPara>
    </w:p>
    <w:p w14:paraId="5C81F07C">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storage</m:t>
            </m:r>
            <m:ctrlPr>
              <w:rPr>
                <w:rFonts w:hint="default" w:ascii="Cambria Math" w:hAnsi="Cambria Math" w:cs="Times New Roman"/>
                <w:sz w:val="24"/>
              </w:rPr>
            </m:ctrlPr>
          </m:sub>
        </m:sSub>
      </m:oMath>
      <w:r>
        <w:t>储能服务综合碳强度；</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c</m:t>
            </m:r>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arge</m:t>
            </m:r>
            <m:ctrlPr>
              <w:rPr>
                <w:rFonts w:hint="default" w:ascii="Cambria Math" w:hAnsi="Cambria Math" w:cs="Times New Roman"/>
                <w:sz w:val="24"/>
              </w:rPr>
            </m:ctrlPr>
          </m:sub>
        </m:sSub>
      </m:oMath>
      <w:r>
        <w:t>充电对应排放；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aux</m:t>
            </m:r>
            <m:ctrlPr>
              <w:rPr>
                <w:rFonts w:hint="default" w:ascii="Cambria Math" w:hAnsi="Cambria Math" w:cs="Times New Roman"/>
                <w:sz w:val="24"/>
              </w:rPr>
            </m:ctrlPr>
          </m:sub>
        </m:sSub>
      </m:oMath>
      <w:r>
        <w:t>辅助电耗排放；</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alloc</m:t>
            </m:r>
            <m:ctrlPr>
              <w:rPr>
                <w:rFonts w:hint="default" w:ascii="Cambria Math" w:hAnsi="Cambria Math" w:cs="Times New Roman"/>
                <w:sz w:val="24"/>
              </w:rPr>
            </m:ctrlPr>
          </m:sub>
        </m:sSub>
      </m:oMath>
      <w:r>
        <w:t>周期分摊隐含碳；</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dis</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ac</m:t>
            </m:r>
            <m:ctrlPr>
              <w:rPr>
                <w:rFonts w:hint="default" w:ascii="Cambria Math" w:hAnsi="Cambria Math" w:cs="Times New Roman"/>
                <w:sz w:val="24"/>
              </w:rPr>
            </m:ctrlPr>
          </m:sub>
        </m:sSub>
      </m:oMath>
      <w:r>
        <w:t>交流侧放电总量。</w:t>
      </w:r>
    </w:p>
    <w:p w14:paraId="3330BD50">
      <w:pPr>
        <w:bidi w:val="0"/>
      </w:pPr>
      <w:r>
        <w:t>运行减排率：</w:t>
      </w:r>
    </w:p>
    <w:p w14:paraId="7676BE50">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carbon</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op</m:t>
                  </m:r>
                  <m:ctrlPr>
                    <w:rPr>
                      <w:rFonts w:hint="default" w:ascii="Cambria Math" w:hAnsi="Cambria Math" w:cs="Times New Roman"/>
                      <w:sz w:val="24"/>
                    </w:rPr>
                  </m:ctrlPr>
                </m:sub>
              </m:sSub>
              <m:ctrlPr>
                <w:rPr>
                  <w:rFonts w:hint="default" w:ascii="Cambria Math" w:hAnsi="Cambria Math" w:cs="Times New Roman"/>
                  <w:sz w:val="24"/>
                </w:rPr>
              </m:ctrlPr>
            </m:num>
            <m:den>
              <m:r>
                <m:rPr>
                  <m:nor/>
                </m:rPr>
                <w:rPr>
                  <w:rFonts w:hint="default" w:ascii="Times New Roman" w:hAnsi="Times New Roman" w:cs="Times New Roman"/>
                  <w:i/>
                  <w:sz w:val="24"/>
                </w:rPr>
                <m:t>BE</m:t>
              </m:r>
              <m:ctrlPr>
                <w:rPr>
                  <w:rFonts w:hint="default" w:ascii="Cambria Math" w:hAnsi="Cambria Math" w:cs="Times New Roman"/>
                  <w:sz w:val="24"/>
                </w:rPr>
              </m:ctrlPr>
            </m:den>
          </m:f>
          <m:r>
            <m:rPr>
              <m:nor/>
              <m:sty m:val="p"/>
            </m:rPr>
            <w:rPr>
              <w:rFonts w:hint="default" w:ascii="Times New Roman" w:hAnsi="Times New Roman" w:cs="Times New Roman"/>
              <w:b w:val="0"/>
              <w:i w:val="0"/>
              <w:sz w:val="24"/>
            </w:rPr>
            <m:t>×100%</m:t>
          </m:r>
        </m:oMath>
      </m:oMathPara>
    </w:p>
    <w:p w14:paraId="60B07DFE">
      <w:pPr>
        <w:bidi w:val="0"/>
        <w:ind w:left="0" w:leftChars="0" w:firstLine="0" w:firstLineChars="0"/>
      </w:pPr>
      <w:r>
        <w:t>式中：</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carbon</m:t>
            </m:r>
            <m:ctrlPr>
              <w:rPr>
                <w:rFonts w:hint="default" w:ascii="Cambria Math" w:hAnsi="Cambria Math" w:cs="Times New Roman"/>
                <w:sz w:val="24"/>
              </w:rPr>
            </m:ctrlPr>
          </m:sub>
        </m:sSub>
      </m:oMath>
      <w:r>
        <w:t>运行减排率；</w:t>
      </w:r>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op</m:t>
            </m:r>
            <m:ctrlPr>
              <w:rPr>
                <w:rFonts w:hint="default" w:ascii="Cambria Math" w:hAnsi="Cambria Math" w:cs="Times New Roman"/>
                <w:sz w:val="24"/>
              </w:rPr>
            </m:ctrlPr>
          </m:sub>
        </m:sSub>
      </m:oMath>
      <w:r>
        <w:t>运行减排量；BE基准情景排放。</w:t>
      </w:r>
    </w:p>
    <w:p w14:paraId="372C8986">
      <w:pPr>
        <w:bidi w:val="0"/>
      </w:pPr>
      <w:r>
        <w:t>输出强度指标同时展示分子分母、核算边界、数据质量等级；处理水量、COD去除量低于阈值输出空值告警，禁止用0填充。</w:t>
      </w:r>
    </w:p>
    <w:p w14:paraId="40729D2A">
      <w:pPr>
        <w:bidi w:val="0"/>
        <w:rPr>
          <w:lang w:eastAsia="zh-CN"/>
        </w:rPr>
      </w:pPr>
    </w:p>
    <w:p w14:paraId="0C0DAC7D">
      <w:pPr>
        <w:pStyle w:val="2"/>
        <w:bidi w:val="0"/>
        <w:rPr>
          <w:lang w:eastAsia="zh-CN"/>
        </w:rPr>
      </w:pPr>
      <w:r>
        <w:rPr>
          <w:rFonts w:hint="eastAsia"/>
          <w:lang w:val="en-US" w:eastAsia="zh-CN"/>
        </w:rPr>
        <w:t>六、</w:t>
      </w:r>
      <w:r>
        <w:rPr>
          <w:lang w:eastAsia="zh-CN"/>
        </w:rPr>
        <w:t>异常处理、质量控制与不确定度</w:t>
      </w:r>
    </w:p>
    <w:p w14:paraId="039EE6EB">
      <w:pPr>
        <w:pStyle w:val="3"/>
        <w:bidi w:val="0"/>
        <w:rPr>
          <w:lang w:eastAsia="zh-CN"/>
        </w:rPr>
      </w:pPr>
      <w:r>
        <w:rPr>
          <w:rFonts w:hint="eastAsia"/>
          <w:lang w:val="en-US" w:eastAsia="zh-CN"/>
        </w:rPr>
        <w:t>6</w:t>
      </w:r>
      <w:r>
        <w:rPr>
          <w:lang w:eastAsia="zh-CN"/>
        </w:rPr>
        <w:t>.1　异常处理</w:t>
      </w:r>
    </w:p>
    <w:p w14:paraId="020D7EFF">
      <w:pPr>
        <w:pStyle w:val="18"/>
        <w:bidi w:val="0"/>
        <w:rPr>
          <w:lang w:eastAsia="zh-CN"/>
        </w:rPr>
      </w:pPr>
      <w:r>
        <w:rPr>
          <w:lang w:eastAsia="zh-CN"/>
        </w:rPr>
        <w:t>表1</w:t>
      </w:r>
      <w:r>
        <w:rPr>
          <w:rFonts w:hint="eastAsia"/>
          <w:lang w:val="en-US" w:eastAsia="zh-CN"/>
        </w:rPr>
        <w:t>3</w:t>
      </w:r>
      <w:r>
        <w:rPr>
          <w:lang w:eastAsia="zh-CN"/>
        </w:rPr>
        <w:t>　异常处理矩阵</w:t>
      </w:r>
    </w:p>
    <w:tbl>
      <w:tblPr>
        <w:tblStyle w:val="10"/>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800"/>
        <w:gridCol w:w="2160"/>
        <w:gridCol w:w="4104"/>
        <w:gridCol w:w="1296"/>
      </w:tblGrid>
      <w:tr w14:paraId="54449CA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tblHeader/>
        </w:trPr>
        <w:tc>
          <w:tcPr>
            <w:tcW w:w="1800" w:type="dxa"/>
            <w:tcBorders>
              <w:top w:val="single" w:color="000000" w:sz="12" w:space="0"/>
              <w:left w:val="nil"/>
              <w:bottom w:val="single" w:color="000000" w:sz="4" w:space="0"/>
              <w:right w:val="nil"/>
              <w:tl2br w:val="nil"/>
            </w:tcBorders>
            <w:shd w:val="clear" w:color="auto" w:fill="FFFFFF"/>
            <w:tcMar>
              <w:top w:w="90" w:type="dxa"/>
              <w:left w:w="120" w:type="dxa"/>
              <w:bottom w:w="90" w:type="dxa"/>
              <w:right w:w="120" w:type="dxa"/>
            </w:tcMar>
            <w:vAlign w:val="center"/>
          </w:tcPr>
          <w:p w14:paraId="5ACDA3E6">
            <w:pPr>
              <w:pStyle w:val="20"/>
              <w:bidi w:val="0"/>
              <w:rPr>
                <w:sz w:val="21"/>
                <w:szCs w:val="21"/>
              </w:rPr>
            </w:pPr>
            <w:r>
              <w:rPr>
                <w:sz w:val="21"/>
                <w:szCs w:val="21"/>
              </w:rPr>
              <w:t>异常</w:t>
            </w:r>
          </w:p>
        </w:tc>
        <w:tc>
          <w:tcPr>
            <w:tcW w:w="2160"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1E158F4B">
            <w:pPr>
              <w:pStyle w:val="20"/>
              <w:bidi w:val="0"/>
              <w:rPr>
                <w:sz w:val="21"/>
                <w:szCs w:val="21"/>
              </w:rPr>
            </w:pPr>
            <w:r>
              <w:rPr>
                <w:sz w:val="21"/>
                <w:szCs w:val="21"/>
              </w:rPr>
              <w:t>条件</w:t>
            </w:r>
          </w:p>
        </w:tc>
        <w:tc>
          <w:tcPr>
            <w:tcW w:w="4104"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3C26E778">
            <w:pPr>
              <w:pStyle w:val="20"/>
              <w:bidi w:val="0"/>
              <w:rPr>
                <w:sz w:val="21"/>
                <w:szCs w:val="21"/>
              </w:rPr>
            </w:pPr>
            <w:r>
              <w:rPr>
                <w:sz w:val="21"/>
                <w:szCs w:val="21"/>
              </w:rPr>
              <w:t>处理</w:t>
            </w:r>
          </w:p>
        </w:tc>
        <w:tc>
          <w:tcPr>
            <w:tcW w:w="1296" w:type="dxa"/>
            <w:tcBorders>
              <w:top w:val="single" w:color="000000" w:sz="12" w:space="0"/>
              <w:left w:val="nil"/>
              <w:bottom w:val="single" w:color="000000" w:sz="4" w:space="0"/>
              <w:right w:val="nil"/>
            </w:tcBorders>
            <w:shd w:val="clear" w:color="auto" w:fill="FFFFFF"/>
            <w:tcMar>
              <w:top w:w="90" w:type="dxa"/>
              <w:left w:w="120" w:type="dxa"/>
              <w:bottom w:w="90" w:type="dxa"/>
              <w:right w:w="120" w:type="dxa"/>
            </w:tcMar>
            <w:vAlign w:val="center"/>
          </w:tcPr>
          <w:p w14:paraId="3B8ABB6A">
            <w:pPr>
              <w:pStyle w:val="20"/>
              <w:bidi w:val="0"/>
              <w:rPr>
                <w:sz w:val="21"/>
                <w:szCs w:val="21"/>
              </w:rPr>
            </w:pPr>
            <w:r>
              <w:rPr>
                <w:sz w:val="21"/>
                <w:szCs w:val="21"/>
              </w:rPr>
              <w:t>标记</w:t>
            </w:r>
          </w:p>
        </w:tc>
      </w:tr>
      <w:tr w14:paraId="6FF6B8B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80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673AE05A">
            <w:pPr>
              <w:pStyle w:val="20"/>
              <w:bidi w:val="0"/>
              <w:rPr>
                <w:sz w:val="21"/>
                <w:szCs w:val="21"/>
              </w:rPr>
            </w:pPr>
            <w:r>
              <w:rPr>
                <w:sz w:val="21"/>
                <w:szCs w:val="21"/>
              </w:rPr>
              <w:t>关口电量缺失</w:t>
            </w:r>
          </w:p>
        </w:tc>
        <w:tc>
          <w:tcPr>
            <w:tcW w:w="216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58BDB82E">
            <w:pPr>
              <w:pStyle w:val="20"/>
              <w:bidi w:val="0"/>
              <w:rPr>
                <w:sz w:val="21"/>
                <w:szCs w:val="21"/>
              </w:rPr>
            </w:pPr>
            <w:r>
              <w:rPr>
                <w:sz w:val="21"/>
                <w:szCs w:val="21"/>
              </w:rPr>
              <w:t>单点缺失</w:t>
            </w:r>
          </w:p>
        </w:tc>
        <w:tc>
          <w:tcPr>
            <w:tcW w:w="4104"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014FB49A">
            <w:pPr>
              <w:pStyle w:val="20"/>
              <w:bidi w:val="0"/>
              <w:rPr>
                <w:sz w:val="21"/>
                <w:szCs w:val="21"/>
                <w:lang w:eastAsia="zh-CN"/>
              </w:rPr>
            </w:pPr>
            <w:r>
              <w:rPr>
                <w:sz w:val="21"/>
                <w:szCs w:val="21"/>
                <w:lang w:eastAsia="zh-CN"/>
              </w:rPr>
              <w:t>短缺口可按相邻累计表差值恢复；否则该时段不出正式结果</w:t>
            </w:r>
          </w:p>
        </w:tc>
        <w:tc>
          <w:tcPr>
            <w:tcW w:w="1296"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69D01D08">
            <w:pPr>
              <w:pStyle w:val="20"/>
              <w:bidi w:val="0"/>
              <w:rPr>
                <w:sz w:val="21"/>
                <w:szCs w:val="21"/>
              </w:rPr>
            </w:pPr>
            <w:r>
              <w:rPr>
                <w:sz w:val="21"/>
                <w:szCs w:val="21"/>
              </w:rPr>
              <w:t>estimated/blocked</w:t>
            </w:r>
          </w:p>
        </w:tc>
      </w:tr>
      <w:tr w14:paraId="70B9FFD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671A0120">
            <w:pPr>
              <w:pStyle w:val="20"/>
              <w:bidi w:val="0"/>
              <w:rPr>
                <w:sz w:val="21"/>
                <w:szCs w:val="21"/>
              </w:rPr>
            </w:pPr>
            <w:r>
              <w:rPr>
                <w:sz w:val="21"/>
                <w:szCs w:val="21"/>
              </w:rPr>
              <w:t>PCS数据缺失</w:t>
            </w:r>
          </w:p>
        </w:tc>
        <w:tc>
          <w:tcPr>
            <w:tcW w:w="2160" w:type="dxa"/>
            <w:tcBorders>
              <w:top w:val="nil"/>
              <w:left w:val="nil"/>
              <w:bottom w:val="nil"/>
              <w:right w:val="nil"/>
            </w:tcBorders>
            <w:shd w:val="clear" w:color="auto" w:fill="FFFFFF"/>
            <w:tcMar>
              <w:top w:w="90" w:type="dxa"/>
              <w:left w:w="120" w:type="dxa"/>
              <w:bottom w:w="90" w:type="dxa"/>
              <w:right w:w="120" w:type="dxa"/>
            </w:tcMar>
            <w:vAlign w:val="center"/>
          </w:tcPr>
          <w:p w14:paraId="6BAA1A24">
            <w:pPr>
              <w:pStyle w:val="20"/>
              <w:bidi w:val="0"/>
              <w:rPr>
                <w:sz w:val="21"/>
                <w:szCs w:val="21"/>
                <w:lang w:eastAsia="zh-CN"/>
              </w:rPr>
            </w:pPr>
            <w:r>
              <w:rPr>
                <w:sz w:val="21"/>
                <w:szCs w:val="21"/>
                <w:lang w:eastAsia="zh-CN"/>
              </w:rPr>
              <w:t>关口完整、设备级缺失</w:t>
            </w:r>
          </w:p>
        </w:tc>
        <w:tc>
          <w:tcPr>
            <w:tcW w:w="4104" w:type="dxa"/>
            <w:tcBorders>
              <w:top w:val="nil"/>
              <w:left w:val="nil"/>
              <w:bottom w:val="nil"/>
              <w:right w:val="nil"/>
            </w:tcBorders>
            <w:shd w:val="clear" w:color="auto" w:fill="FFFFFF"/>
            <w:tcMar>
              <w:top w:w="90" w:type="dxa"/>
              <w:left w:w="120" w:type="dxa"/>
              <w:bottom w:w="90" w:type="dxa"/>
              <w:right w:w="120" w:type="dxa"/>
            </w:tcMar>
            <w:vAlign w:val="center"/>
          </w:tcPr>
          <w:p w14:paraId="77B9B808">
            <w:pPr>
              <w:pStyle w:val="20"/>
              <w:bidi w:val="0"/>
              <w:rPr>
                <w:sz w:val="21"/>
                <w:szCs w:val="21"/>
                <w:lang w:eastAsia="zh-CN"/>
              </w:rPr>
            </w:pPr>
            <w:r>
              <w:rPr>
                <w:sz w:val="21"/>
                <w:szCs w:val="21"/>
                <w:lang w:eastAsia="zh-CN"/>
              </w:rPr>
              <w:t>企业清单照常；储能子账降级或暂停</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14:paraId="2AD60CE9">
            <w:pPr>
              <w:pStyle w:val="20"/>
              <w:bidi w:val="0"/>
              <w:rPr>
                <w:sz w:val="21"/>
                <w:szCs w:val="21"/>
              </w:rPr>
            </w:pPr>
            <w:r>
              <w:rPr>
                <w:sz w:val="21"/>
                <w:szCs w:val="21"/>
              </w:rPr>
              <w:t>partial</w:t>
            </w:r>
          </w:p>
        </w:tc>
      </w:tr>
      <w:tr w14:paraId="323DC51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2A97BF1B">
            <w:pPr>
              <w:pStyle w:val="20"/>
              <w:bidi w:val="0"/>
              <w:rPr>
                <w:sz w:val="21"/>
                <w:szCs w:val="21"/>
              </w:rPr>
            </w:pPr>
            <m:oMath>
              <m:r>
                <m:rPr>
                  <m:sty m:val="p"/>
                </m:rPr>
                <w:rPr>
                  <w:rFonts w:ascii="Times New Roman" w:hAnsi="Times New Roman"/>
                  <w:sz w:val="21"/>
                  <w:szCs w:val="21"/>
                </w:rPr>
                <m:t>E</m:t>
              </m:r>
              <m:sSub>
                <m:sSubPr>
                  <m:ctrlPr>
                    <w:rPr>
                      <w:rFonts w:ascii="Cambria Math" w:hAnsi="Cambria Math"/>
                      <w:sz w:val="21"/>
                      <w:szCs w:val="21"/>
                    </w:rPr>
                  </m:ctrlPr>
                </m:sSubPr>
                <m:e>
                  <m:r>
                    <m:rPr>
                      <m:sty m:val="p"/>
                    </m:rPr>
                    <w:rPr>
                      <w:rFonts w:ascii="Times New Roman" w:hAnsi="Times New Roman"/>
                      <w:sz w:val="21"/>
                      <w:szCs w:val="21"/>
                    </w:rPr>
                    <m:t>F</m:t>
                  </m:r>
                  <m:ctrlPr>
                    <w:rPr>
                      <w:rFonts w:ascii="Cambria Math" w:hAnsi="Cambria Math"/>
                      <w:sz w:val="21"/>
                      <w:szCs w:val="21"/>
                    </w:rPr>
                  </m:ctrlPr>
                </m:e>
                <m:sub>
                  <m:r>
                    <m:rPr>
                      <m:sty m:val="p"/>
                    </m:rPr>
                    <w:rPr>
                      <w:rFonts w:ascii="Times New Roman" w:hAnsi="Times New Roman"/>
                      <w:sz w:val="21"/>
                      <w:szCs w:val="21"/>
                    </w:rPr>
                    <m:t>report</m:t>
                  </m:r>
                  <m:ctrlPr>
                    <w:rPr>
                      <w:rFonts w:ascii="Cambria Math" w:hAnsi="Cambria Math"/>
                      <w:sz w:val="21"/>
                      <w:szCs w:val="21"/>
                    </w:rPr>
                  </m:ctrlPr>
                </m:sub>
              </m:sSub>
            </m:oMath>
            <w:r>
              <w:rPr>
                <w:sz w:val="21"/>
                <w:szCs w:val="21"/>
              </w:rPr>
              <w:t>缺失</w:t>
            </w:r>
          </w:p>
        </w:tc>
        <w:tc>
          <w:tcPr>
            <w:tcW w:w="2160" w:type="dxa"/>
            <w:tcBorders>
              <w:top w:val="nil"/>
              <w:left w:val="nil"/>
              <w:bottom w:val="nil"/>
              <w:right w:val="nil"/>
            </w:tcBorders>
            <w:shd w:val="clear" w:color="auto" w:fill="FFFFFF"/>
            <w:tcMar>
              <w:top w:w="90" w:type="dxa"/>
              <w:left w:w="120" w:type="dxa"/>
              <w:bottom w:w="90" w:type="dxa"/>
              <w:right w:w="120" w:type="dxa"/>
            </w:tcMar>
            <w:vAlign w:val="center"/>
          </w:tcPr>
          <w:p w14:paraId="1A8B420E">
            <w:pPr>
              <w:pStyle w:val="20"/>
              <w:bidi w:val="0"/>
              <w:rPr>
                <w:sz w:val="21"/>
                <w:szCs w:val="21"/>
              </w:rPr>
            </w:pPr>
            <w:r>
              <w:rPr>
                <w:sz w:val="21"/>
                <w:szCs w:val="21"/>
              </w:rPr>
              <w:t>无适用有效因子</w:t>
            </w:r>
          </w:p>
        </w:tc>
        <w:tc>
          <w:tcPr>
            <w:tcW w:w="4104" w:type="dxa"/>
            <w:tcBorders>
              <w:top w:val="nil"/>
              <w:left w:val="nil"/>
              <w:bottom w:val="nil"/>
              <w:right w:val="nil"/>
            </w:tcBorders>
            <w:shd w:val="clear" w:color="auto" w:fill="FFFFFF"/>
            <w:tcMar>
              <w:top w:w="90" w:type="dxa"/>
              <w:left w:w="120" w:type="dxa"/>
              <w:bottom w:w="90" w:type="dxa"/>
              <w:right w:w="120" w:type="dxa"/>
            </w:tcMar>
            <w:vAlign w:val="center"/>
          </w:tcPr>
          <w:p w14:paraId="6B71E55B">
            <w:pPr>
              <w:pStyle w:val="20"/>
              <w:bidi w:val="0"/>
              <w:rPr>
                <w:sz w:val="21"/>
                <w:szCs w:val="21"/>
                <w:lang w:eastAsia="zh-CN"/>
              </w:rPr>
            </w:pPr>
            <w:r>
              <w:rPr>
                <w:sz w:val="21"/>
                <w:szCs w:val="21"/>
                <w:lang w:eastAsia="zh-CN"/>
              </w:rPr>
              <w:t>阻止正式报告；不得静默使用旧默认值</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14:paraId="0B78BED6">
            <w:pPr>
              <w:pStyle w:val="20"/>
              <w:bidi w:val="0"/>
              <w:rPr>
                <w:sz w:val="21"/>
                <w:szCs w:val="21"/>
              </w:rPr>
            </w:pPr>
            <w:r>
              <w:rPr>
                <w:sz w:val="21"/>
                <w:szCs w:val="21"/>
              </w:rPr>
              <w:t>blocked</w:t>
            </w:r>
          </w:p>
        </w:tc>
      </w:tr>
      <w:tr w14:paraId="691CC98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06BE3FA0">
            <w:pPr>
              <w:pStyle w:val="20"/>
              <w:bidi w:val="0"/>
              <w:rPr>
                <w:sz w:val="21"/>
                <w:szCs w:val="21"/>
              </w:rPr>
            </w:pPr>
            <m:oMath>
              <m:r>
                <m:rPr>
                  <m:sty m:val="p"/>
                </m:rPr>
                <w:rPr>
                  <w:rFonts w:ascii="Times New Roman" w:hAnsi="Times New Roman"/>
                  <w:sz w:val="21"/>
                  <w:szCs w:val="21"/>
                </w:rPr>
                <m:t>E</m:t>
              </m:r>
              <m:sSub>
                <m:sSubPr>
                  <m:ctrlPr>
                    <w:rPr>
                      <w:rFonts w:ascii="Cambria Math" w:hAnsi="Cambria Math"/>
                      <w:sz w:val="21"/>
                      <w:szCs w:val="21"/>
                    </w:rPr>
                  </m:ctrlPr>
                </m:sSubPr>
                <m:e>
                  <m:r>
                    <m:rPr>
                      <m:sty m:val="p"/>
                    </m:rPr>
                    <w:rPr>
                      <w:rFonts w:ascii="Times New Roman" w:hAnsi="Times New Roman"/>
                      <w:sz w:val="21"/>
                      <w:szCs w:val="21"/>
                    </w:rPr>
                    <m:t>F</m:t>
                  </m:r>
                  <m:ctrlPr>
                    <w:rPr>
                      <w:rFonts w:ascii="Cambria Math" w:hAnsi="Cambria Math"/>
                      <w:sz w:val="21"/>
                      <w:szCs w:val="21"/>
                    </w:rPr>
                  </m:ctrlPr>
                </m:e>
                <m:sub>
                  <m:r>
                    <m:rPr>
                      <m:sty m:val="p"/>
                    </m:rPr>
                    <w:rPr>
                      <w:rFonts w:ascii="Times New Roman" w:hAnsi="Times New Roman"/>
                      <w:sz w:val="21"/>
                      <w:szCs w:val="21"/>
                    </w:rPr>
                    <m:t>opt</m:t>
                  </m:r>
                  <m:ctrlPr>
                    <w:rPr>
                      <w:rFonts w:ascii="Cambria Math" w:hAnsi="Cambria Math"/>
                      <w:sz w:val="21"/>
                      <w:szCs w:val="21"/>
                    </w:rPr>
                  </m:ctrlPr>
                </m:sub>
              </m:sSub>
            </m:oMath>
            <w:r>
              <w:rPr>
                <w:sz w:val="21"/>
                <w:szCs w:val="21"/>
              </w:rPr>
              <w:t>缺失</w:t>
            </w:r>
          </w:p>
        </w:tc>
        <w:tc>
          <w:tcPr>
            <w:tcW w:w="2160" w:type="dxa"/>
            <w:tcBorders>
              <w:top w:val="nil"/>
              <w:left w:val="nil"/>
              <w:bottom w:val="nil"/>
              <w:right w:val="nil"/>
            </w:tcBorders>
            <w:shd w:val="clear" w:color="auto" w:fill="FFFFFF"/>
            <w:tcMar>
              <w:top w:w="90" w:type="dxa"/>
              <w:left w:w="120" w:type="dxa"/>
              <w:bottom w:w="90" w:type="dxa"/>
              <w:right w:w="120" w:type="dxa"/>
            </w:tcMar>
            <w:vAlign w:val="center"/>
          </w:tcPr>
          <w:p w14:paraId="4B9B88CF">
            <w:pPr>
              <w:pStyle w:val="20"/>
              <w:bidi w:val="0"/>
              <w:rPr>
                <w:sz w:val="21"/>
                <w:szCs w:val="21"/>
              </w:rPr>
            </w:pPr>
            <w:r>
              <w:rPr>
                <w:sz w:val="21"/>
                <w:szCs w:val="21"/>
              </w:rPr>
              <w:t>动态信号中断</w:t>
            </w:r>
          </w:p>
        </w:tc>
        <w:tc>
          <w:tcPr>
            <w:tcW w:w="4104" w:type="dxa"/>
            <w:tcBorders>
              <w:top w:val="nil"/>
              <w:left w:val="nil"/>
              <w:bottom w:val="nil"/>
              <w:right w:val="nil"/>
            </w:tcBorders>
            <w:shd w:val="clear" w:color="auto" w:fill="FFFFFF"/>
            <w:tcMar>
              <w:top w:w="90" w:type="dxa"/>
              <w:left w:w="120" w:type="dxa"/>
              <w:bottom w:w="90" w:type="dxa"/>
              <w:right w:w="120" w:type="dxa"/>
            </w:tcMar>
            <w:vAlign w:val="center"/>
          </w:tcPr>
          <w:p w14:paraId="28DC4312">
            <w:pPr>
              <w:pStyle w:val="20"/>
              <w:bidi w:val="0"/>
              <w:rPr>
                <w:sz w:val="21"/>
                <w:szCs w:val="21"/>
                <w:lang w:eastAsia="zh-CN"/>
              </w:rPr>
            </w:pPr>
            <w:r>
              <w:rPr>
                <w:sz w:val="21"/>
                <w:szCs w:val="21"/>
                <w:lang w:eastAsia="zh-CN"/>
              </w:rPr>
              <w:t>回退最近批准曲线或年度平均，优化结果标记低置信度</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14:paraId="2505C329">
            <w:pPr>
              <w:pStyle w:val="20"/>
              <w:bidi w:val="0"/>
              <w:rPr>
                <w:sz w:val="21"/>
                <w:szCs w:val="21"/>
              </w:rPr>
            </w:pPr>
            <w:r>
              <w:rPr>
                <w:sz w:val="21"/>
                <w:szCs w:val="21"/>
              </w:rPr>
              <w:t>fallback</w:t>
            </w:r>
          </w:p>
        </w:tc>
      </w:tr>
      <w:tr w14:paraId="42AF4A4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106BD40D">
            <w:pPr>
              <w:pStyle w:val="20"/>
              <w:bidi w:val="0"/>
              <w:rPr>
                <w:sz w:val="21"/>
                <w:szCs w:val="21"/>
              </w:rPr>
            </w:pPr>
            <w:r>
              <w:rPr>
                <w:sz w:val="21"/>
                <w:szCs w:val="21"/>
              </w:rPr>
              <w:t>SOC越界/跳变</w:t>
            </w:r>
          </w:p>
        </w:tc>
        <w:tc>
          <w:tcPr>
            <w:tcW w:w="2160" w:type="dxa"/>
            <w:tcBorders>
              <w:top w:val="nil"/>
              <w:left w:val="nil"/>
              <w:bottom w:val="nil"/>
              <w:right w:val="nil"/>
            </w:tcBorders>
            <w:shd w:val="clear" w:color="auto" w:fill="FFFFFF"/>
            <w:tcMar>
              <w:top w:w="90" w:type="dxa"/>
              <w:left w:w="120" w:type="dxa"/>
              <w:bottom w:w="90" w:type="dxa"/>
              <w:right w:w="120" w:type="dxa"/>
            </w:tcMar>
            <w:vAlign w:val="center"/>
          </w:tcPr>
          <w:p w14:paraId="13B2BD4F">
            <w:pPr>
              <w:pStyle w:val="20"/>
              <w:bidi w:val="0"/>
              <w:rPr>
                <w:sz w:val="21"/>
                <w:szCs w:val="21"/>
                <w:lang w:eastAsia="zh-CN"/>
              </w:rPr>
            </w:pPr>
            <w:r>
              <w:rPr>
                <w:sz w:val="21"/>
                <w:szCs w:val="21"/>
                <w:lang w:eastAsia="zh-CN"/>
              </w:rPr>
              <w:t>超物理范围或瞬时大跳</w:t>
            </w:r>
          </w:p>
        </w:tc>
        <w:tc>
          <w:tcPr>
            <w:tcW w:w="4104" w:type="dxa"/>
            <w:tcBorders>
              <w:top w:val="nil"/>
              <w:left w:val="nil"/>
              <w:bottom w:val="nil"/>
              <w:right w:val="nil"/>
            </w:tcBorders>
            <w:shd w:val="clear" w:color="auto" w:fill="FFFFFF"/>
            <w:tcMar>
              <w:top w:w="90" w:type="dxa"/>
              <w:left w:w="120" w:type="dxa"/>
              <w:bottom w:w="90" w:type="dxa"/>
              <w:right w:w="120" w:type="dxa"/>
            </w:tcMar>
            <w:vAlign w:val="center"/>
          </w:tcPr>
          <w:p w14:paraId="4B153739">
            <w:pPr>
              <w:pStyle w:val="20"/>
              <w:bidi w:val="0"/>
              <w:rPr>
                <w:sz w:val="21"/>
                <w:szCs w:val="21"/>
                <w:lang w:eastAsia="zh-CN"/>
              </w:rPr>
            </w:pPr>
            <w:r>
              <w:rPr>
                <w:sz w:val="21"/>
                <w:szCs w:val="21"/>
                <w:lang w:eastAsia="zh-CN"/>
              </w:rPr>
              <w:t>隔离异常点，转用表计能量；触发BMS检查</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14:paraId="07F4500A">
            <w:pPr>
              <w:pStyle w:val="20"/>
              <w:bidi w:val="0"/>
              <w:rPr>
                <w:sz w:val="21"/>
                <w:szCs w:val="21"/>
              </w:rPr>
            </w:pPr>
            <w:r>
              <w:rPr>
                <w:sz w:val="21"/>
                <w:szCs w:val="21"/>
              </w:rPr>
              <w:t>suspect</w:t>
            </w:r>
          </w:p>
        </w:tc>
      </w:tr>
      <w:tr w14:paraId="2E46BD0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59C24E6D">
            <w:pPr>
              <w:pStyle w:val="20"/>
              <w:bidi w:val="0"/>
              <w:rPr>
                <w:sz w:val="21"/>
                <w:szCs w:val="21"/>
              </w:rPr>
            </w:pPr>
            <w:r>
              <w:rPr>
                <w:sz w:val="21"/>
                <w:szCs w:val="21"/>
              </w:rPr>
              <w:t>同时充放电</w:t>
            </w:r>
          </w:p>
        </w:tc>
        <w:tc>
          <w:tcPr>
            <w:tcW w:w="2160" w:type="dxa"/>
            <w:tcBorders>
              <w:top w:val="nil"/>
              <w:left w:val="nil"/>
              <w:bottom w:val="nil"/>
              <w:right w:val="nil"/>
            </w:tcBorders>
            <w:shd w:val="clear" w:color="auto" w:fill="FFFFFF"/>
            <w:tcMar>
              <w:top w:w="90" w:type="dxa"/>
              <w:left w:w="120" w:type="dxa"/>
              <w:bottom w:w="90" w:type="dxa"/>
              <w:right w:w="120" w:type="dxa"/>
            </w:tcMar>
            <w:vAlign w:val="center"/>
          </w:tcPr>
          <w:p w14:paraId="0E479F5D">
            <w:pPr>
              <w:pStyle w:val="20"/>
              <w:bidi w:val="0"/>
              <w:rPr>
                <w:sz w:val="21"/>
                <w:szCs w:val="21"/>
                <w:lang w:eastAsia="zh-CN"/>
              </w:rPr>
            </w:pPr>
            <m:oMath>
              <m:sSub>
                <m:sSubPr>
                  <m:ctrlPr>
                    <w:rPr>
                      <w:rFonts w:ascii="Cambria Math" w:hAnsi="Cambria Math"/>
                      <w:sz w:val="21"/>
                      <w:szCs w:val="21"/>
                      <w:lang w:eastAsia="zh-CN"/>
                    </w:rPr>
                  </m:ctrlPr>
                </m:sSubPr>
                <m:e>
                  <m:r>
                    <m:rPr>
                      <m:sty m:val="p"/>
                    </m:rPr>
                    <w:rPr>
                      <w:rFonts w:ascii="Times New Roman" w:hAnsi="Times New Roman"/>
                      <w:sz w:val="21"/>
                      <w:szCs w:val="21"/>
                      <w:lang w:eastAsia="zh-CN"/>
                    </w:rPr>
                    <m:t>P</m:t>
                  </m:r>
                  <m:ctrlPr>
                    <w:rPr>
                      <w:rFonts w:ascii="Cambria Math" w:hAnsi="Cambria Math"/>
                      <w:sz w:val="21"/>
                      <w:szCs w:val="21"/>
                      <w:lang w:eastAsia="zh-CN"/>
                    </w:rPr>
                  </m:ctrlPr>
                </m:e>
                <m:sub>
                  <m:r>
                    <m:rPr>
                      <m:sty m:val="p"/>
                    </m:rPr>
                    <w:rPr>
                      <w:rFonts w:ascii="Times New Roman" w:hAnsi="Times New Roman"/>
                      <w:sz w:val="21"/>
                      <w:szCs w:val="21"/>
                      <w:lang w:eastAsia="zh-CN"/>
                    </w:rPr>
                    <m:t>ch</m:t>
                  </m:r>
                  <m:ctrlPr>
                    <w:rPr>
                      <w:rFonts w:ascii="Cambria Math" w:hAnsi="Cambria Math"/>
                      <w:sz w:val="21"/>
                      <w:szCs w:val="21"/>
                      <w:lang w:eastAsia="zh-CN"/>
                    </w:rPr>
                  </m:ctrlPr>
                </m:sub>
              </m:sSub>
              <m:r>
                <m:rPr>
                  <m:sty m:val="p"/>
                </m:rPr>
                <w:rPr>
                  <w:rFonts w:ascii="Times New Roman" w:hAnsi="Times New Roman"/>
                  <w:sz w:val="21"/>
                  <w:szCs w:val="21"/>
                  <w:lang w:eastAsia="zh-CN"/>
                </w:rPr>
                <m:t xml:space="preserve">, </m:t>
              </m:r>
              <m:sSub>
                <m:sSubPr>
                  <m:ctrlPr>
                    <w:rPr>
                      <w:rFonts w:ascii="Cambria Math" w:hAnsi="Cambria Math"/>
                      <w:sz w:val="21"/>
                      <w:szCs w:val="21"/>
                      <w:lang w:eastAsia="zh-CN"/>
                    </w:rPr>
                  </m:ctrlPr>
                </m:sSubPr>
                <m:e>
                  <m:r>
                    <m:rPr>
                      <m:sty m:val="p"/>
                    </m:rPr>
                    <w:rPr>
                      <w:rFonts w:ascii="Times New Roman" w:hAnsi="Times New Roman"/>
                      <w:sz w:val="21"/>
                      <w:szCs w:val="21"/>
                      <w:lang w:eastAsia="zh-CN"/>
                    </w:rPr>
                    <m:t>P</m:t>
                  </m:r>
                  <m:ctrlPr>
                    <w:rPr>
                      <w:rFonts w:ascii="Cambria Math" w:hAnsi="Cambria Math"/>
                      <w:sz w:val="21"/>
                      <w:szCs w:val="21"/>
                      <w:lang w:eastAsia="zh-CN"/>
                    </w:rPr>
                  </m:ctrlPr>
                </m:e>
                <m:sub>
                  <m:r>
                    <m:rPr>
                      <m:sty m:val="p"/>
                    </m:rPr>
                    <w:rPr>
                      <w:rFonts w:ascii="Times New Roman" w:hAnsi="Times New Roman"/>
                      <w:sz w:val="21"/>
                      <w:szCs w:val="21"/>
                      <w:lang w:eastAsia="zh-CN"/>
                    </w:rPr>
                    <m:t>dis</m:t>
                  </m:r>
                  <m:ctrlPr>
                    <w:rPr>
                      <w:rFonts w:ascii="Cambria Math" w:hAnsi="Cambria Math"/>
                      <w:sz w:val="21"/>
                      <w:szCs w:val="21"/>
                      <w:lang w:eastAsia="zh-CN"/>
                    </w:rPr>
                  </m:ctrlPr>
                </m:sub>
              </m:sSub>
            </m:oMath>
            <w:r>
              <w:rPr>
                <w:sz w:val="21"/>
                <w:szCs w:val="21"/>
                <w:lang w:eastAsia="zh-CN"/>
              </w:rPr>
              <w:t>同时显著为正</w:t>
            </w:r>
          </w:p>
        </w:tc>
        <w:tc>
          <w:tcPr>
            <w:tcW w:w="4104" w:type="dxa"/>
            <w:tcBorders>
              <w:top w:val="nil"/>
              <w:left w:val="nil"/>
              <w:bottom w:val="nil"/>
              <w:right w:val="nil"/>
            </w:tcBorders>
            <w:shd w:val="clear" w:color="auto" w:fill="FFFFFF"/>
            <w:tcMar>
              <w:top w:w="90" w:type="dxa"/>
              <w:left w:w="120" w:type="dxa"/>
              <w:bottom w:w="90" w:type="dxa"/>
              <w:right w:w="120" w:type="dxa"/>
            </w:tcMar>
            <w:vAlign w:val="center"/>
          </w:tcPr>
          <w:p w14:paraId="6CB97E9C">
            <w:pPr>
              <w:pStyle w:val="20"/>
              <w:bidi w:val="0"/>
              <w:rPr>
                <w:sz w:val="21"/>
                <w:szCs w:val="21"/>
                <w:lang w:eastAsia="zh-CN"/>
              </w:rPr>
            </w:pPr>
            <w:r>
              <w:rPr>
                <w:sz w:val="21"/>
                <w:szCs w:val="21"/>
                <w:lang w:eastAsia="zh-CN"/>
              </w:rPr>
              <w:t>检查表计定义；优化任务判为违反约束</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14:paraId="233B1FFC">
            <w:pPr>
              <w:pStyle w:val="20"/>
              <w:bidi w:val="0"/>
              <w:rPr>
                <w:sz w:val="21"/>
                <w:szCs w:val="21"/>
              </w:rPr>
            </w:pPr>
            <w:r>
              <w:rPr>
                <w:sz w:val="21"/>
                <w:szCs w:val="21"/>
              </w:rPr>
              <w:t>invalid</w:t>
            </w:r>
          </w:p>
        </w:tc>
      </w:tr>
      <w:tr w14:paraId="59C772B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800" w:type="dxa"/>
            <w:tcBorders>
              <w:top w:val="nil"/>
              <w:left w:val="nil"/>
              <w:bottom w:val="nil"/>
              <w:right w:val="nil"/>
            </w:tcBorders>
            <w:shd w:val="clear" w:color="auto" w:fill="FFFFFF"/>
            <w:tcMar>
              <w:top w:w="90" w:type="dxa"/>
              <w:left w:w="120" w:type="dxa"/>
              <w:bottom w:w="90" w:type="dxa"/>
              <w:right w:w="120" w:type="dxa"/>
            </w:tcMar>
            <w:vAlign w:val="center"/>
          </w:tcPr>
          <w:p w14:paraId="6ACE44AD">
            <w:pPr>
              <w:pStyle w:val="20"/>
              <w:bidi w:val="0"/>
              <w:rPr>
                <w:sz w:val="21"/>
                <w:szCs w:val="21"/>
              </w:rPr>
            </w:pPr>
            <w:r>
              <w:rPr>
                <w:sz w:val="21"/>
                <w:szCs w:val="21"/>
              </w:rPr>
              <w:t>出水/工艺风险</w:t>
            </w:r>
          </w:p>
        </w:tc>
        <w:tc>
          <w:tcPr>
            <w:tcW w:w="2160" w:type="dxa"/>
            <w:tcBorders>
              <w:top w:val="nil"/>
              <w:left w:val="nil"/>
              <w:bottom w:val="nil"/>
              <w:right w:val="nil"/>
            </w:tcBorders>
            <w:shd w:val="clear" w:color="auto" w:fill="FFFFFF"/>
            <w:tcMar>
              <w:top w:w="90" w:type="dxa"/>
              <w:left w:w="120" w:type="dxa"/>
              <w:bottom w:w="90" w:type="dxa"/>
              <w:right w:w="120" w:type="dxa"/>
            </w:tcMar>
            <w:vAlign w:val="center"/>
          </w:tcPr>
          <w:p w14:paraId="062D9537">
            <w:pPr>
              <w:pStyle w:val="20"/>
              <w:bidi w:val="0"/>
              <w:rPr>
                <w:sz w:val="21"/>
                <w:szCs w:val="21"/>
              </w:rPr>
            </w:pPr>
            <w:r>
              <w:rPr>
                <w:sz w:val="21"/>
                <w:szCs w:val="21"/>
              </w:rPr>
              <w:t>关键指标接近约束</w:t>
            </w:r>
          </w:p>
        </w:tc>
        <w:tc>
          <w:tcPr>
            <w:tcW w:w="4104" w:type="dxa"/>
            <w:tcBorders>
              <w:top w:val="nil"/>
              <w:left w:val="nil"/>
              <w:bottom w:val="nil"/>
              <w:right w:val="nil"/>
            </w:tcBorders>
            <w:shd w:val="clear" w:color="auto" w:fill="FFFFFF"/>
            <w:tcMar>
              <w:top w:w="90" w:type="dxa"/>
              <w:left w:w="120" w:type="dxa"/>
              <w:bottom w:w="90" w:type="dxa"/>
              <w:right w:w="120" w:type="dxa"/>
            </w:tcMar>
            <w:vAlign w:val="center"/>
          </w:tcPr>
          <w:p w14:paraId="1DC215E8">
            <w:pPr>
              <w:pStyle w:val="20"/>
              <w:bidi w:val="0"/>
              <w:rPr>
                <w:sz w:val="21"/>
                <w:szCs w:val="21"/>
                <w:lang w:eastAsia="zh-CN"/>
              </w:rPr>
            </w:pPr>
            <w:r>
              <w:rPr>
                <w:sz w:val="21"/>
                <w:szCs w:val="21"/>
                <w:lang w:eastAsia="zh-CN"/>
              </w:rPr>
              <w:t>立即提升工艺优先级，撤销削峰指令</w:t>
            </w:r>
          </w:p>
        </w:tc>
        <w:tc>
          <w:tcPr>
            <w:tcW w:w="1296" w:type="dxa"/>
            <w:tcBorders>
              <w:top w:val="nil"/>
              <w:left w:val="nil"/>
              <w:bottom w:val="nil"/>
              <w:right w:val="nil"/>
            </w:tcBorders>
            <w:shd w:val="clear" w:color="auto" w:fill="FFFFFF"/>
            <w:tcMar>
              <w:top w:w="90" w:type="dxa"/>
              <w:left w:w="120" w:type="dxa"/>
              <w:bottom w:w="90" w:type="dxa"/>
              <w:right w:w="120" w:type="dxa"/>
            </w:tcMar>
            <w:vAlign w:val="center"/>
          </w:tcPr>
          <w:p w14:paraId="39CF1E3A">
            <w:pPr>
              <w:pStyle w:val="20"/>
              <w:bidi w:val="0"/>
              <w:rPr>
                <w:sz w:val="21"/>
                <w:szCs w:val="21"/>
              </w:rPr>
            </w:pPr>
            <w:r>
              <w:rPr>
                <w:sz w:val="21"/>
                <w:szCs w:val="21"/>
              </w:rPr>
              <w:t>safety_override</w:t>
            </w:r>
          </w:p>
        </w:tc>
      </w:tr>
      <w:tr w14:paraId="22DEDE7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80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53886936">
            <w:pPr>
              <w:pStyle w:val="20"/>
              <w:bidi w:val="0"/>
              <w:rPr>
                <w:sz w:val="21"/>
                <w:szCs w:val="21"/>
              </w:rPr>
            </w:pPr>
            <w:r>
              <w:rPr>
                <w:sz w:val="21"/>
                <w:szCs w:val="21"/>
              </w:rPr>
              <w:t>LCA因子缺失</w:t>
            </w:r>
          </w:p>
        </w:tc>
        <w:tc>
          <w:tcPr>
            <w:tcW w:w="2160"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33392631">
            <w:pPr>
              <w:pStyle w:val="20"/>
              <w:bidi w:val="0"/>
              <w:rPr>
                <w:sz w:val="21"/>
                <w:szCs w:val="21"/>
              </w:rPr>
            </w:pPr>
            <w:r>
              <w:rPr>
                <w:sz w:val="21"/>
                <w:szCs w:val="21"/>
              </w:rPr>
              <w:t>供应商数据不可得</w:t>
            </w:r>
          </w:p>
        </w:tc>
        <w:tc>
          <w:tcPr>
            <w:tcW w:w="4104"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327AFD05">
            <w:pPr>
              <w:pStyle w:val="20"/>
              <w:bidi w:val="0"/>
              <w:rPr>
                <w:sz w:val="21"/>
                <w:szCs w:val="21"/>
                <w:lang w:eastAsia="zh-CN"/>
              </w:rPr>
            </w:pPr>
            <w:r>
              <w:rPr>
                <w:sz w:val="21"/>
                <w:szCs w:val="21"/>
                <w:lang w:eastAsia="zh-CN"/>
              </w:rPr>
              <w:t>按优先级使用行业均值并标记D级；开展敏感性分析</w:t>
            </w:r>
          </w:p>
        </w:tc>
        <w:tc>
          <w:tcPr>
            <w:tcW w:w="1296" w:type="dxa"/>
            <w:tcBorders>
              <w:top w:val="nil"/>
              <w:left w:val="nil"/>
              <w:bottom w:val="single" w:color="000000" w:sz="12" w:space="0"/>
              <w:right w:val="nil"/>
            </w:tcBorders>
            <w:shd w:val="clear" w:color="auto" w:fill="FFFFFF"/>
            <w:tcMar>
              <w:top w:w="90" w:type="dxa"/>
              <w:left w:w="120" w:type="dxa"/>
              <w:bottom w:w="90" w:type="dxa"/>
              <w:right w:w="120" w:type="dxa"/>
            </w:tcMar>
            <w:vAlign w:val="center"/>
          </w:tcPr>
          <w:p w14:paraId="33496CC7">
            <w:pPr>
              <w:pStyle w:val="20"/>
              <w:bidi w:val="0"/>
              <w:rPr>
                <w:sz w:val="21"/>
                <w:szCs w:val="21"/>
              </w:rPr>
            </w:pPr>
            <w:r>
              <w:rPr>
                <w:sz w:val="21"/>
                <w:szCs w:val="21"/>
              </w:rPr>
              <w:t>default</w:t>
            </w:r>
          </w:p>
        </w:tc>
      </w:tr>
    </w:tbl>
    <w:p w14:paraId="121C8DAD">
      <w:pPr>
        <w:pStyle w:val="3"/>
        <w:bidi w:val="0"/>
      </w:pPr>
      <w:r>
        <w:rPr>
          <w:rFonts w:hint="eastAsia"/>
          <w:lang w:val="en-US" w:eastAsia="zh-CN"/>
        </w:rPr>
        <w:t>6</w:t>
      </w:r>
      <w:r>
        <w:t>.2　质量控制规则</w:t>
      </w:r>
    </w:p>
    <w:p w14:paraId="6C73EA1B">
      <w:pPr>
        <w:pStyle w:val="18"/>
        <w:bidi w:val="0"/>
        <w:rPr>
          <w:lang w:eastAsia="zh-CN"/>
        </w:rPr>
      </w:pPr>
      <w:r>
        <w:rPr>
          <w:lang w:eastAsia="zh-CN"/>
        </w:rPr>
        <w:t>表1</w:t>
      </w:r>
      <w:r>
        <w:rPr>
          <w:rFonts w:hint="eastAsia"/>
          <w:lang w:val="en-US" w:eastAsia="zh-CN"/>
        </w:rPr>
        <w:t>4</w:t>
      </w:r>
      <w:r>
        <w:rPr>
          <w:lang w:eastAsia="zh-CN"/>
        </w:rPr>
        <w:t>　质量控制与建议验收阈值</w:t>
      </w:r>
    </w:p>
    <w:tbl>
      <w:tblPr>
        <w:tblStyle w:val="22"/>
        <w:tblW w:w="936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872"/>
        <w:gridCol w:w="5472"/>
        <w:gridCol w:w="2016"/>
      </w:tblGrid>
      <w:tr w14:paraId="0C8266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single" w:color="000000" w:sz="12" w:space="0"/>
              <w:left w:val="nil"/>
              <w:bottom w:val="single" w:color="000000" w:sz="4" w:space="0"/>
              <w:right w:val="nil"/>
              <w:tl2br w:val="nil"/>
            </w:tcBorders>
            <w:shd w:val="clear" w:color="auto" w:fill="FFFFFF"/>
          </w:tcPr>
          <w:p w14:paraId="35E8F9DB">
            <w:pPr>
              <w:pStyle w:val="20"/>
              <w:bidi w:val="0"/>
              <w:spacing w:after="0"/>
              <w:rPr>
                <w:b w:val="0"/>
                <w:color w:val="000000"/>
                <w:sz w:val="21"/>
                <w:szCs w:val="21"/>
              </w:rPr>
            </w:pPr>
            <w:r>
              <w:rPr>
                <w:b w:val="0"/>
                <w:color w:val="000000"/>
                <w:sz w:val="21"/>
                <w:szCs w:val="21"/>
              </w:rPr>
              <w:t>检查项</w:t>
            </w:r>
          </w:p>
        </w:tc>
        <w:tc>
          <w:tcPr>
            <w:tcW w:w="5472" w:type="dxa"/>
            <w:tcBorders>
              <w:top w:val="single" w:color="000000" w:sz="12" w:space="0"/>
              <w:left w:val="nil"/>
              <w:bottom w:val="single" w:color="000000" w:sz="4" w:space="0"/>
              <w:right w:val="nil"/>
            </w:tcBorders>
            <w:shd w:val="clear" w:color="auto" w:fill="FFFFFF"/>
          </w:tcPr>
          <w:p w14:paraId="45C61DB3">
            <w:pPr>
              <w:pStyle w:val="20"/>
              <w:bidi w:val="0"/>
              <w:spacing w:after="0"/>
              <w:rPr>
                <w:b w:val="0"/>
                <w:color w:val="000000"/>
                <w:sz w:val="21"/>
                <w:szCs w:val="21"/>
              </w:rPr>
            </w:pPr>
            <w:r>
              <w:rPr>
                <w:b w:val="0"/>
                <w:color w:val="000000"/>
                <w:sz w:val="21"/>
                <w:szCs w:val="21"/>
              </w:rPr>
              <w:t>规则</w:t>
            </w:r>
          </w:p>
        </w:tc>
        <w:tc>
          <w:tcPr>
            <w:tcW w:w="2016" w:type="dxa"/>
            <w:tcBorders>
              <w:top w:val="single" w:color="000000" w:sz="12" w:space="0"/>
              <w:left w:val="nil"/>
              <w:bottom w:val="single" w:color="000000" w:sz="4" w:space="0"/>
              <w:right w:val="nil"/>
            </w:tcBorders>
            <w:shd w:val="clear" w:color="auto" w:fill="FFFFFF"/>
          </w:tcPr>
          <w:p w14:paraId="5C6E3F61">
            <w:pPr>
              <w:pStyle w:val="20"/>
              <w:bidi w:val="0"/>
              <w:spacing w:after="0"/>
              <w:rPr>
                <w:b w:val="0"/>
                <w:color w:val="000000"/>
                <w:sz w:val="21"/>
                <w:szCs w:val="21"/>
              </w:rPr>
            </w:pPr>
            <w:r>
              <w:rPr>
                <w:b w:val="0"/>
                <w:color w:val="000000"/>
                <w:sz w:val="21"/>
                <w:szCs w:val="21"/>
              </w:rPr>
              <w:t>判定</w:t>
            </w:r>
          </w:p>
        </w:tc>
      </w:tr>
      <w:tr w14:paraId="449223A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single" w:color="000000" w:sz="4" w:space="0"/>
              <w:left w:val="nil"/>
              <w:bottom w:val="nil"/>
              <w:right w:val="nil"/>
            </w:tcBorders>
            <w:shd w:val="clear" w:color="auto" w:fill="FFFFFF"/>
          </w:tcPr>
          <w:p w14:paraId="01B2464C">
            <w:pPr>
              <w:pStyle w:val="20"/>
              <w:bidi w:val="0"/>
              <w:spacing w:after="0"/>
              <w:rPr>
                <w:b w:val="0"/>
                <w:color w:val="000000"/>
                <w:sz w:val="21"/>
                <w:szCs w:val="21"/>
              </w:rPr>
            </w:pPr>
            <w:r>
              <w:rPr>
                <w:b w:val="0"/>
                <w:color w:val="000000"/>
                <w:sz w:val="21"/>
                <w:szCs w:val="21"/>
              </w:rPr>
              <w:t>时间完整性</w:t>
            </w:r>
          </w:p>
        </w:tc>
        <w:tc>
          <w:tcPr>
            <w:tcW w:w="5472" w:type="dxa"/>
            <w:tcBorders>
              <w:top w:val="single" w:color="000000" w:sz="4" w:space="0"/>
              <w:left w:val="nil"/>
              <w:bottom w:val="nil"/>
              <w:right w:val="nil"/>
            </w:tcBorders>
            <w:shd w:val="clear" w:color="auto" w:fill="FFFFFF"/>
          </w:tcPr>
          <w:p w14:paraId="2F3F82B0">
            <w:pPr>
              <w:pStyle w:val="20"/>
              <w:bidi w:val="0"/>
              <w:spacing w:after="0"/>
              <w:rPr>
                <w:b w:val="0"/>
                <w:color w:val="000000"/>
                <w:sz w:val="21"/>
                <w:szCs w:val="21"/>
                <w:lang w:eastAsia="zh-CN"/>
              </w:rPr>
            </w:pPr>
            <w:r>
              <w:rPr>
                <w:b w:val="0"/>
                <w:color w:val="000000"/>
                <w:sz w:val="21"/>
                <w:szCs w:val="21"/>
                <w:lang w:eastAsia="zh-CN"/>
              </w:rPr>
              <w:t>小时数据完整率≥98%（建议值）；年度关口数据≥99.5%</w:t>
            </w:r>
          </w:p>
        </w:tc>
        <w:tc>
          <w:tcPr>
            <w:tcW w:w="2016" w:type="dxa"/>
            <w:tcBorders>
              <w:top w:val="single" w:color="000000" w:sz="4" w:space="0"/>
              <w:left w:val="nil"/>
              <w:bottom w:val="nil"/>
              <w:right w:val="nil"/>
            </w:tcBorders>
            <w:shd w:val="clear" w:color="auto" w:fill="FFFFFF"/>
          </w:tcPr>
          <w:p w14:paraId="328572CE">
            <w:pPr>
              <w:pStyle w:val="20"/>
              <w:bidi w:val="0"/>
              <w:spacing w:after="0"/>
              <w:rPr>
                <w:b w:val="0"/>
                <w:color w:val="000000"/>
                <w:sz w:val="21"/>
                <w:szCs w:val="21"/>
              </w:rPr>
            </w:pPr>
            <w:r>
              <w:rPr>
                <w:b w:val="0"/>
                <w:color w:val="000000"/>
                <w:sz w:val="21"/>
                <w:szCs w:val="21"/>
              </w:rPr>
              <w:t>项目验收协议确认</w:t>
            </w:r>
          </w:p>
        </w:tc>
      </w:tr>
      <w:tr w14:paraId="21E128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nil"/>
              <w:left w:val="nil"/>
              <w:bottom w:val="nil"/>
              <w:right w:val="nil"/>
            </w:tcBorders>
            <w:shd w:val="clear" w:color="auto" w:fill="FFFFFF"/>
          </w:tcPr>
          <w:p w14:paraId="356E76D7">
            <w:pPr>
              <w:pStyle w:val="20"/>
              <w:bidi w:val="0"/>
              <w:spacing w:after="0"/>
              <w:rPr>
                <w:b w:val="0"/>
                <w:color w:val="000000"/>
                <w:sz w:val="21"/>
                <w:szCs w:val="21"/>
              </w:rPr>
            </w:pPr>
            <w:r>
              <w:rPr>
                <w:b w:val="0"/>
                <w:color w:val="000000"/>
                <w:sz w:val="21"/>
                <w:szCs w:val="21"/>
              </w:rPr>
              <w:t>能量平衡</w:t>
            </w:r>
          </w:p>
        </w:tc>
        <w:tc>
          <w:tcPr>
            <w:tcW w:w="5472" w:type="dxa"/>
            <w:tcBorders>
              <w:top w:val="nil"/>
              <w:left w:val="nil"/>
              <w:bottom w:val="nil"/>
              <w:right w:val="nil"/>
            </w:tcBorders>
            <w:shd w:val="clear" w:color="auto" w:fill="FFFFFF"/>
          </w:tcPr>
          <w:p w14:paraId="69D1E048">
            <w:pPr>
              <w:pStyle w:val="20"/>
              <w:bidi w:val="0"/>
              <w:spacing w:after="0"/>
              <w:rPr>
                <w:b w:val="0"/>
                <w:color w:val="000000"/>
                <w:sz w:val="21"/>
                <w:szCs w:val="21"/>
                <w:lang w:eastAsia="zh-CN"/>
              </w:rPr>
            </w:pPr>
            <w:r>
              <w:rPr>
                <w:b w:val="0"/>
                <w:color w:val="000000"/>
                <w:sz w:val="21"/>
                <w:szCs w:val="21"/>
                <w:lang w:eastAsia="zh-CN"/>
              </w:rPr>
              <w:t>关口购电+厂内发电−上网−负荷−储能净变化的相对偏差</w:t>
            </w:r>
          </w:p>
        </w:tc>
        <w:tc>
          <w:tcPr>
            <w:tcW w:w="2016" w:type="dxa"/>
            <w:tcBorders>
              <w:top w:val="nil"/>
              <w:left w:val="nil"/>
              <w:bottom w:val="nil"/>
              <w:right w:val="nil"/>
            </w:tcBorders>
            <w:shd w:val="clear" w:color="auto" w:fill="FFFFFF"/>
          </w:tcPr>
          <w:p w14:paraId="3396239E">
            <w:pPr>
              <w:pStyle w:val="20"/>
              <w:bidi w:val="0"/>
              <w:spacing w:after="0"/>
              <w:rPr>
                <w:b w:val="0"/>
                <w:color w:val="000000"/>
                <w:sz w:val="21"/>
                <w:szCs w:val="21"/>
              </w:rPr>
            </w:pPr>
            <w:r>
              <w:rPr>
                <w:b w:val="0"/>
                <w:color w:val="000000"/>
                <w:sz w:val="21"/>
                <w:szCs w:val="21"/>
              </w:rPr>
              <w:t>建议≤2%，超限核查</w:t>
            </w:r>
          </w:p>
        </w:tc>
      </w:tr>
      <w:tr w14:paraId="191136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nil"/>
              <w:left w:val="nil"/>
              <w:bottom w:val="nil"/>
              <w:right w:val="nil"/>
            </w:tcBorders>
            <w:shd w:val="clear" w:color="auto" w:fill="FFFFFF"/>
          </w:tcPr>
          <w:p w14:paraId="55E480F3">
            <w:pPr>
              <w:pStyle w:val="20"/>
              <w:bidi w:val="0"/>
              <w:spacing w:after="0"/>
              <w:rPr>
                <w:b w:val="0"/>
                <w:color w:val="000000"/>
                <w:sz w:val="21"/>
                <w:szCs w:val="21"/>
              </w:rPr>
            </w:pPr>
            <w:r>
              <w:rPr>
                <w:b w:val="0"/>
                <w:color w:val="000000"/>
                <w:sz w:val="21"/>
                <w:szCs w:val="21"/>
              </w:rPr>
              <w:t>账单勾稽</w:t>
            </w:r>
          </w:p>
        </w:tc>
        <w:tc>
          <w:tcPr>
            <w:tcW w:w="5472" w:type="dxa"/>
            <w:tcBorders>
              <w:top w:val="nil"/>
              <w:left w:val="nil"/>
              <w:bottom w:val="nil"/>
              <w:right w:val="nil"/>
            </w:tcBorders>
            <w:shd w:val="clear" w:color="auto" w:fill="FFFFFF"/>
          </w:tcPr>
          <w:p w14:paraId="3A33BD26">
            <w:pPr>
              <w:pStyle w:val="20"/>
              <w:bidi w:val="0"/>
              <w:spacing w:after="0"/>
              <w:rPr>
                <w:b w:val="0"/>
                <w:color w:val="000000"/>
                <w:sz w:val="21"/>
                <w:szCs w:val="21"/>
                <w:lang w:eastAsia="zh-CN"/>
              </w:rPr>
            </w:pPr>
            <w:r>
              <w:rPr>
                <w:b w:val="0"/>
                <w:color w:val="000000"/>
                <w:sz w:val="21"/>
                <w:szCs w:val="21"/>
                <w:lang w:eastAsia="zh-CN"/>
              </w:rPr>
              <w:t>月度关口累计与电费账单</w:t>
            </w:r>
          </w:p>
        </w:tc>
        <w:tc>
          <w:tcPr>
            <w:tcW w:w="2016" w:type="dxa"/>
            <w:tcBorders>
              <w:top w:val="nil"/>
              <w:left w:val="nil"/>
              <w:bottom w:val="nil"/>
              <w:right w:val="nil"/>
            </w:tcBorders>
            <w:shd w:val="clear" w:color="auto" w:fill="FFFFFF"/>
          </w:tcPr>
          <w:p w14:paraId="6DEC3098">
            <w:pPr>
              <w:pStyle w:val="20"/>
              <w:bidi w:val="0"/>
              <w:spacing w:after="0"/>
              <w:rPr>
                <w:b w:val="0"/>
                <w:color w:val="000000"/>
                <w:sz w:val="21"/>
                <w:szCs w:val="21"/>
                <w:lang w:eastAsia="zh-CN"/>
              </w:rPr>
            </w:pPr>
            <w:r>
              <w:rPr>
                <w:b w:val="0"/>
                <w:color w:val="000000"/>
                <w:sz w:val="21"/>
                <w:szCs w:val="21"/>
                <w:lang w:eastAsia="zh-CN"/>
              </w:rPr>
              <w:t>差异在表计/结算容差内</w:t>
            </w:r>
          </w:p>
        </w:tc>
      </w:tr>
      <w:tr w14:paraId="7F45C0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nil"/>
              <w:left w:val="nil"/>
              <w:bottom w:val="nil"/>
              <w:right w:val="nil"/>
            </w:tcBorders>
            <w:shd w:val="clear" w:color="auto" w:fill="FFFFFF"/>
          </w:tcPr>
          <w:p w14:paraId="44685D54">
            <w:pPr>
              <w:pStyle w:val="20"/>
              <w:bidi w:val="0"/>
              <w:spacing w:after="0"/>
              <w:rPr>
                <w:b w:val="0"/>
                <w:color w:val="000000"/>
                <w:sz w:val="21"/>
                <w:szCs w:val="21"/>
              </w:rPr>
            </w:pPr>
            <w:r>
              <w:rPr>
                <w:b w:val="0"/>
                <w:color w:val="000000"/>
                <w:sz w:val="21"/>
                <w:szCs w:val="21"/>
              </w:rPr>
              <w:t>效率合理性</w:t>
            </w:r>
          </w:p>
        </w:tc>
        <w:tc>
          <w:tcPr>
            <w:tcW w:w="5472" w:type="dxa"/>
            <w:tcBorders>
              <w:top w:val="nil"/>
              <w:left w:val="nil"/>
              <w:bottom w:val="nil"/>
              <w:right w:val="nil"/>
            </w:tcBorders>
            <w:shd w:val="clear" w:color="auto" w:fill="FFFFFF"/>
          </w:tcPr>
          <w:p w14:paraId="72D13FDF">
            <w:pPr>
              <w:pStyle w:val="20"/>
              <w:bidi w:val="0"/>
              <w:spacing w:after="0"/>
              <w:rPr>
                <w:b w:val="0"/>
                <w:color w:val="000000"/>
                <w:sz w:val="21"/>
                <w:szCs w:val="21"/>
                <w:lang w:eastAsia="zh-CN"/>
              </w:rPr>
            </w:pPr>
            <w:r>
              <w:rPr>
                <w:b w:val="0"/>
                <w:color w:val="000000"/>
                <w:sz w:val="21"/>
                <w:szCs w:val="21"/>
              </w:rPr>
              <w:t>η</w:t>
            </w:r>
            <w:r>
              <w:rPr>
                <w:b w:val="0"/>
                <w:color w:val="000000"/>
                <w:sz w:val="21"/>
                <w:szCs w:val="21"/>
                <w:lang w:eastAsia="zh-CN"/>
              </w:rPr>
              <w:t>_rt位于厂家保证值与测试区间</w:t>
            </w:r>
          </w:p>
        </w:tc>
        <w:tc>
          <w:tcPr>
            <w:tcW w:w="2016" w:type="dxa"/>
            <w:tcBorders>
              <w:top w:val="nil"/>
              <w:left w:val="nil"/>
              <w:bottom w:val="nil"/>
              <w:right w:val="nil"/>
            </w:tcBorders>
            <w:shd w:val="clear" w:color="auto" w:fill="FFFFFF"/>
          </w:tcPr>
          <w:p w14:paraId="608C3E7A">
            <w:pPr>
              <w:pStyle w:val="20"/>
              <w:bidi w:val="0"/>
              <w:spacing w:after="0"/>
              <w:rPr>
                <w:b w:val="0"/>
                <w:color w:val="000000"/>
                <w:sz w:val="21"/>
                <w:szCs w:val="21"/>
                <w:lang w:eastAsia="zh-CN"/>
              </w:rPr>
            </w:pPr>
            <w:r>
              <w:rPr>
                <w:b w:val="0"/>
                <w:color w:val="000000"/>
                <w:sz w:val="21"/>
                <w:szCs w:val="21"/>
                <w:lang w:eastAsia="zh-CN"/>
              </w:rPr>
              <w:t>超限检查SOC与计量侧</w:t>
            </w:r>
          </w:p>
        </w:tc>
      </w:tr>
      <w:tr w14:paraId="0BD0B6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nil"/>
              <w:left w:val="nil"/>
              <w:bottom w:val="nil"/>
              <w:right w:val="nil"/>
            </w:tcBorders>
            <w:shd w:val="clear" w:color="auto" w:fill="FFFFFF"/>
          </w:tcPr>
          <w:p w14:paraId="320593E4">
            <w:pPr>
              <w:pStyle w:val="20"/>
              <w:bidi w:val="0"/>
              <w:spacing w:after="0"/>
              <w:rPr>
                <w:b w:val="0"/>
                <w:color w:val="000000"/>
                <w:sz w:val="21"/>
                <w:szCs w:val="21"/>
              </w:rPr>
            </w:pPr>
            <w:r>
              <w:rPr>
                <w:b w:val="0"/>
                <w:color w:val="000000"/>
                <w:sz w:val="21"/>
                <w:szCs w:val="21"/>
              </w:rPr>
              <w:t>基准可比性</w:t>
            </w:r>
          </w:p>
        </w:tc>
        <w:tc>
          <w:tcPr>
            <w:tcW w:w="5472" w:type="dxa"/>
            <w:tcBorders>
              <w:top w:val="nil"/>
              <w:left w:val="nil"/>
              <w:bottom w:val="nil"/>
              <w:right w:val="nil"/>
            </w:tcBorders>
            <w:shd w:val="clear" w:color="auto" w:fill="FFFFFF"/>
          </w:tcPr>
          <w:p w14:paraId="1B0759FD">
            <w:pPr>
              <w:pStyle w:val="20"/>
              <w:bidi w:val="0"/>
              <w:spacing w:after="0"/>
              <w:rPr>
                <w:b w:val="0"/>
                <w:color w:val="000000"/>
                <w:sz w:val="21"/>
                <w:szCs w:val="21"/>
                <w:lang w:eastAsia="zh-CN"/>
              </w:rPr>
            </w:pPr>
            <w:r>
              <w:rPr>
                <w:b w:val="0"/>
                <w:color w:val="000000"/>
                <w:sz w:val="21"/>
                <w:szCs w:val="21"/>
                <w:lang w:eastAsia="zh-CN"/>
              </w:rPr>
              <w:t>处理水量、水质、外生变量和设备可用性</w:t>
            </w:r>
          </w:p>
        </w:tc>
        <w:tc>
          <w:tcPr>
            <w:tcW w:w="2016" w:type="dxa"/>
            <w:tcBorders>
              <w:top w:val="nil"/>
              <w:left w:val="nil"/>
              <w:bottom w:val="nil"/>
              <w:right w:val="nil"/>
            </w:tcBorders>
            <w:shd w:val="clear" w:color="auto" w:fill="FFFFFF"/>
          </w:tcPr>
          <w:p w14:paraId="0413EF51">
            <w:pPr>
              <w:pStyle w:val="20"/>
              <w:bidi w:val="0"/>
              <w:spacing w:after="0"/>
              <w:rPr>
                <w:b w:val="0"/>
                <w:color w:val="000000"/>
                <w:sz w:val="21"/>
                <w:szCs w:val="21"/>
                <w:lang w:eastAsia="zh-CN"/>
              </w:rPr>
            </w:pPr>
            <w:r>
              <w:rPr>
                <w:b w:val="0"/>
                <w:color w:val="000000"/>
                <w:sz w:val="21"/>
                <w:szCs w:val="21"/>
                <w:lang w:eastAsia="zh-CN"/>
              </w:rPr>
              <w:t>不满足则不出减排声明</w:t>
            </w:r>
          </w:p>
        </w:tc>
      </w:tr>
      <w:tr w14:paraId="13BD57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nil"/>
              <w:left w:val="nil"/>
              <w:bottom w:val="nil"/>
              <w:right w:val="nil"/>
            </w:tcBorders>
            <w:shd w:val="clear" w:color="auto" w:fill="FFFFFF"/>
          </w:tcPr>
          <w:p w14:paraId="6106FE16">
            <w:pPr>
              <w:pStyle w:val="20"/>
              <w:bidi w:val="0"/>
              <w:spacing w:after="0"/>
              <w:rPr>
                <w:b w:val="0"/>
                <w:color w:val="000000"/>
                <w:sz w:val="21"/>
                <w:szCs w:val="21"/>
              </w:rPr>
            </w:pPr>
            <w:r>
              <w:rPr>
                <w:b w:val="0"/>
                <w:color w:val="000000"/>
                <w:sz w:val="21"/>
                <w:szCs w:val="21"/>
              </w:rPr>
              <w:t>LCA守恒</w:t>
            </w:r>
          </w:p>
        </w:tc>
        <w:tc>
          <w:tcPr>
            <w:tcW w:w="5472" w:type="dxa"/>
            <w:tcBorders>
              <w:top w:val="nil"/>
              <w:left w:val="nil"/>
              <w:bottom w:val="nil"/>
              <w:right w:val="nil"/>
            </w:tcBorders>
            <w:shd w:val="clear" w:color="auto" w:fill="FFFFFF"/>
          </w:tcPr>
          <w:p w14:paraId="644E7738">
            <w:pPr>
              <w:pStyle w:val="20"/>
              <w:bidi w:val="0"/>
              <w:spacing w:after="0"/>
              <w:rPr>
                <w:b w:val="0"/>
                <w:color w:val="000000"/>
                <w:sz w:val="21"/>
                <w:szCs w:val="21"/>
                <w:lang w:eastAsia="zh-CN"/>
              </w:rPr>
            </w:pPr>
            <w:r>
              <w:rPr>
                <w:b w:val="0"/>
                <w:color w:val="000000"/>
                <w:sz w:val="21"/>
                <w:szCs w:val="21"/>
                <w:lang w:eastAsia="zh-CN"/>
              </w:rPr>
              <w:t>累计分摊≤可分摊隐含碳总量</w:t>
            </w:r>
          </w:p>
        </w:tc>
        <w:tc>
          <w:tcPr>
            <w:tcW w:w="2016" w:type="dxa"/>
            <w:tcBorders>
              <w:top w:val="nil"/>
              <w:left w:val="nil"/>
              <w:bottom w:val="nil"/>
              <w:right w:val="nil"/>
            </w:tcBorders>
            <w:shd w:val="clear" w:color="auto" w:fill="FFFFFF"/>
          </w:tcPr>
          <w:p w14:paraId="31408865">
            <w:pPr>
              <w:pStyle w:val="20"/>
              <w:bidi w:val="0"/>
              <w:spacing w:after="0"/>
              <w:rPr>
                <w:b w:val="0"/>
                <w:color w:val="000000"/>
                <w:sz w:val="21"/>
                <w:szCs w:val="21"/>
              </w:rPr>
            </w:pPr>
            <w:r>
              <w:rPr>
                <w:b w:val="0"/>
                <w:color w:val="000000"/>
                <w:sz w:val="21"/>
                <w:szCs w:val="21"/>
              </w:rPr>
              <w:t>必须满足</w:t>
            </w:r>
          </w:p>
        </w:tc>
      </w:tr>
      <w:tr w14:paraId="0513B7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nil"/>
              <w:left w:val="nil"/>
              <w:bottom w:val="nil"/>
              <w:right w:val="nil"/>
            </w:tcBorders>
            <w:shd w:val="clear" w:color="auto" w:fill="FFFFFF"/>
          </w:tcPr>
          <w:p w14:paraId="61D25D94">
            <w:pPr>
              <w:pStyle w:val="20"/>
              <w:bidi w:val="0"/>
              <w:spacing w:after="0"/>
              <w:rPr>
                <w:b w:val="0"/>
                <w:color w:val="000000"/>
                <w:sz w:val="21"/>
                <w:szCs w:val="21"/>
              </w:rPr>
            </w:pPr>
            <w:r>
              <w:rPr>
                <w:b w:val="0"/>
                <w:color w:val="000000"/>
                <w:sz w:val="21"/>
                <w:szCs w:val="21"/>
              </w:rPr>
              <w:t>计算复现</w:t>
            </w:r>
          </w:p>
        </w:tc>
        <w:tc>
          <w:tcPr>
            <w:tcW w:w="5472" w:type="dxa"/>
            <w:tcBorders>
              <w:top w:val="nil"/>
              <w:left w:val="nil"/>
              <w:bottom w:val="nil"/>
              <w:right w:val="nil"/>
            </w:tcBorders>
            <w:shd w:val="clear" w:color="auto" w:fill="FFFFFF"/>
          </w:tcPr>
          <w:p w14:paraId="5E5CEAAE">
            <w:pPr>
              <w:pStyle w:val="20"/>
              <w:bidi w:val="0"/>
              <w:spacing w:after="0"/>
              <w:rPr>
                <w:b w:val="0"/>
                <w:color w:val="000000"/>
                <w:sz w:val="21"/>
                <w:szCs w:val="21"/>
                <w:lang w:eastAsia="zh-CN"/>
              </w:rPr>
            </w:pPr>
            <w:r>
              <w:rPr>
                <w:b w:val="0"/>
                <w:color w:val="000000"/>
                <w:sz w:val="21"/>
                <w:szCs w:val="21"/>
                <w:lang w:eastAsia="zh-CN"/>
              </w:rPr>
              <w:t>相同快照与版本重复计算</w:t>
            </w:r>
          </w:p>
        </w:tc>
        <w:tc>
          <w:tcPr>
            <w:tcW w:w="2016" w:type="dxa"/>
            <w:tcBorders>
              <w:top w:val="nil"/>
              <w:left w:val="nil"/>
              <w:bottom w:val="nil"/>
              <w:right w:val="nil"/>
            </w:tcBorders>
            <w:shd w:val="clear" w:color="auto" w:fill="FFFFFF"/>
          </w:tcPr>
          <w:p w14:paraId="2DA3EEFA">
            <w:pPr>
              <w:pStyle w:val="20"/>
              <w:bidi w:val="0"/>
              <w:spacing w:after="0"/>
              <w:rPr>
                <w:b w:val="0"/>
                <w:color w:val="000000"/>
                <w:sz w:val="21"/>
                <w:szCs w:val="21"/>
              </w:rPr>
            </w:pPr>
            <w:r>
              <w:rPr>
                <w:b w:val="0"/>
                <w:color w:val="000000"/>
                <w:sz w:val="21"/>
                <w:szCs w:val="21"/>
              </w:rPr>
              <w:t>结果完全一致</w:t>
            </w:r>
          </w:p>
        </w:tc>
      </w:tr>
      <w:tr w14:paraId="011D8D4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872" w:type="dxa"/>
            <w:tcBorders>
              <w:top w:val="nil"/>
              <w:left w:val="nil"/>
              <w:bottom w:val="single" w:color="000000" w:sz="12" w:space="0"/>
              <w:right w:val="nil"/>
            </w:tcBorders>
            <w:shd w:val="clear" w:color="auto" w:fill="FFFFFF"/>
          </w:tcPr>
          <w:p w14:paraId="60746D30">
            <w:pPr>
              <w:pStyle w:val="20"/>
              <w:bidi w:val="0"/>
              <w:spacing w:after="0"/>
              <w:rPr>
                <w:b w:val="0"/>
                <w:color w:val="000000"/>
                <w:sz w:val="21"/>
                <w:szCs w:val="21"/>
              </w:rPr>
            </w:pPr>
            <w:r>
              <w:rPr>
                <w:b w:val="0"/>
                <w:color w:val="000000"/>
                <w:sz w:val="21"/>
                <w:szCs w:val="21"/>
              </w:rPr>
              <w:t>单元测试</w:t>
            </w:r>
          </w:p>
        </w:tc>
        <w:tc>
          <w:tcPr>
            <w:tcW w:w="5472" w:type="dxa"/>
            <w:tcBorders>
              <w:top w:val="nil"/>
              <w:left w:val="nil"/>
              <w:bottom w:val="single" w:color="000000" w:sz="12" w:space="0"/>
              <w:right w:val="nil"/>
            </w:tcBorders>
            <w:shd w:val="clear" w:color="auto" w:fill="FFFFFF"/>
          </w:tcPr>
          <w:p w14:paraId="6D8DBEA6">
            <w:pPr>
              <w:pStyle w:val="20"/>
              <w:bidi w:val="0"/>
              <w:spacing w:after="0"/>
              <w:rPr>
                <w:b w:val="0"/>
                <w:color w:val="000000"/>
                <w:sz w:val="21"/>
                <w:szCs w:val="21"/>
              </w:rPr>
            </w:pPr>
            <w:r>
              <w:rPr>
                <w:b w:val="0"/>
                <w:color w:val="000000"/>
                <w:sz w:val="21"/>
                <w:szCs w:val="21"/>
              </w:rPr>
              <w:t>标准算例与手算差异</w:t>
            </w:r>
          </w:p>
        </w:tc>
        <w:tc>
          <w:tcPr>
            <w:tcW w:w="2016" w:type="dxa"/>
            <w:tcBorders>
              <w:top w:val="nil"/>
              <w:left w:val="nil"/>
              <w:bottom w:val="single" w:color="000000" w:sz="12" w:space="0"/>
              <w:right w:val="nil"/>
            </w:tcBorders>
            <w:shd w:val="clear" w:color="auto" w:fill="FFFFFF"/>
          </w:tcPr>
          <w:p w14:paraId="71D7DBF0">
            <w:pPr>
              <w:pStyle w:val="20"/>
              <w:bidi w:val="0"/>
              <w:spacing w:after="0"/>
              <w:rPr>
                <w:b w:val="0"/>
                <w:color w:val="000000"/>
                <w:sz w:val="21"/>
                <w:szCs w:val="21"/>
              </w:rPr>
            </w:pPr>
            <w:r>
              <w:rPr>
                <w:b w:val="0"/>
                <w:color w:val="000000"/>
                <w:sz w:val="21"/>
                <w:szCs w:val="21"/>
              </w:rPr>
              <w:t>建议≤0.1%</w:t>
            </w:r>
          </w:p>
        </w:tc>
      </w:tr>
    </w:tbl>
    <w:p w14:paraId="7EDE438F">
      <w:pPr>
        <w:pStyle w:val="3"/>
        <w:bidi w:val="0"/>
        <w:rPr>
          <w:lang w:eastAsia="zh-CN"/>
        </w:rPr>
      </w:pPr>
      <w:r>
        <w:rPr>
          <w:rFonts w:hint="eastAsia"/>
          <w:lang w:val="en-US" w:eastAsia="zh-CN"/>
        </w:rPr>
        <w:t>6</w:t>
      </w:r>
      <w:r>
        <w:rPr>
          <w:lang w:eastAsia="zh-CN"/>
        </w:rPr>
        <w:t>.3　不确定度分析</w:t>
      </w:r>
    </w:p>
    <w:p w14:paraId="70863078">
      <w:pPr>
        <w:bidi w:val="0"/>
      </w:pPr>
      <w:r>
        <w:t>实时看板使用一阶误差传播快速输出不确定区间；年度或对外重要报告采用Monte‑Carlo模拟。针对活动数据、排放因子、储能效率、基准模型、LCA输入设置概率分布，考虑变量之间相关性，不默认全部输入相互独立。</w:t>
      </w:r>
    </w:p>
    <w:p w14:paraId="5C8EC880">
      <w:pPr>
        <w:bidi w:val="0"/>
      </w:pPr>
      <w:r>
        <w:t>误差传播公式：</w:t>
      </w:r>
    </w:p>
    <w:p w14:paraId="0C96200A">
      <w:pPr>
        <w:bidi w:val="0"/>
      </w:pPr>
      <m:oMathPara>
        <m:oMath>
          <m:sSubSup>
            <m:sSubSupPr>
              <m:ctrlPr>
                <w:rPr>
                  <w:rFonts w:hint="default" w:ascii="Cambria Math" w:hAnsi="Cambria Math" w:cs="Times New Roman"/>
                  <w:sz w:val="24"/>
                </w:rPr>
              </m:ctrlPr>
            </m:sSubSupPr>
            <m:e>
              <m:r>
                <m:rPr>
                  <m:nor/>
                </m:rPr>
                <w:rPr>
                  <w:rFonts w:hint="default" w:ascii="Times New Roman" w:hAnsi="Times New Roman" w:cs="Times New Roman"/>
                  <w:i/>
                  <w:sz w:val="24"/>
                </w:rPr>
                <m:t>u</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m:t>
          </m:r>
          <m:nary>
            <m:naryPr>
              <m:chr m:val="∑"/>
              <m:limLoc m:val="subSup"/>
              <m:supHide m:val="1"/>
              <m:ctrlPr>
                <w:rPr>
                  <w:rFonts w:hint="default" w:ascii="Cambria Math" w:hAnsi="Cambria Math" w:cs="Times New Roman"/>
                  <w:sz w:val="24"/>
                </w:rPr>
              </m:ctrlPr>
            </m:naryPr>
            <m:sub>
              <m:r>
                <m:rPr>
                  <m:nor/>
                </m:rPr>
                <w:rPr>
                  <w:rFonts w:hint="default" w:ascii="Times New Roman" w:hAnsi="Times New Roman" w:cs="Times New Roman"/>
                  <w:i/>
                  <w:sz w:val="24"/>
                </w:rPr>
                <m:t>i</m:t>
              </m:r>
              <m:ctrlPr>
                <w:rPr>
                  <w:rFonts w:hint="default" w:ascii="Cambria Math" w:hAnsi="Cambria Math" w:cs="Times New Roman"/>
                  <w:sz w:val="24"/>
                </w:rPr>
              </m:ctrlPr>
            </m:sub>
            <m:sup>
              <m:ctrlPr>
                <w:rPr>
                  <w:rFonts w:hint="default" w:ascii="Cambria Math" w:hAnsi="Cambria Math" w:cs="Times New Roman"/>
                  <w:sz w:val="24"/>
                </w:rPr>
              </m:ctrlPr>
            </m:sup>
            <m:e>
              <m:sSup>
                <m:sSupPr>
                  <m:ctrlPr>
                    <w:rPr>
                      <w:rFonts w:hint="default" w:ascii="Cambria Math" w:hAnsi="Cambria Math" w:cs="Times New Roman"/>
                      <w:sz w:val="24"/>
                    </w:rPr>
                  </m:ctrlPr>
                </m:sSupPr>
                <m:e>
                  <m:d>
                    <m:dPr>
                      <m:ctrlPr>
                        <w:rPr>
                          <w:rFonts w:hint="default" w:ascii="Cambria Math" w:hAnsi="Cambria Math" w:cs="Times New Roman"/>
                          <w:sz w:val="24"/>
                        </w:rPr>
                      </m:ctrlPr>
                    </m:dPr>
                    <m:e>
                      <m:f>
                        <m:fPr>
                          <m:ctrlPr>
                            <w:rPr>
                              <w:rFonts w:hint="default" w:ascii="Cambria Math" w:hAnsi="Cambria Math" w:cs="Times New Roman"/>
                              <w:sz w:val="24"/>
                            </w:rPr>
                          </m:ctrlPr>
                        </m:fPr>
                        <m:num>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C</m:t>
                          </m:r>
                          <m:ctrlPr>
                            <w:rPr>
                              <w:rFonts w:hint="default" w:ascii="Cambria Math" w:hAnsi="Cambria Math" w:cs="Times New Roman"/>
                              <w:sz w:val="24"/>
                            </w:rPr>
                          </m:ctrlPr>
                        </m:num>
                        <m:den>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d>
                  <m:ctrlPr>
                    <w:rPr>
                      <w:rFonts w:hint="default" w:ascii="Cambria Math" w:hAnsi="Cambria Math" w:cs="Times New Roman"/>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p>
              </m:sSup>
              <m:ctrlPr>
                <w:rPr>
                  <w:rFonts w:hint="default" w:ascii="Cambria Math" w:hAnsi="Cambria Math" w:cs="Times New Roman"/>
                  <w:sz w:val="24"/>
                </w:rPr>
              </m:ctrlPr>
            </m:e>
          </m:nary>
          <m:sSubSup>
            <m:sSubSupPr>
              <m:ctrlPr>
                <w:rPr>
                  <w:rFonts w:hint="default" w:ascii="Cambria Math" w:hAnsi="Cambria Math" w:cs="Times New Roman"/>
                  <w:sz w:val="24"/>
                </w:rPr>
              </m:ctrlPr>
            </m:sSubSupPr>
            <m:e>
              <m:r>
                <m:rPr>
                  <m:nor/>
                </m:rPr>
                <w:rPr>
                  <w:rFonts w:hint="default" w:ascii="Times New Roman" w:hAnsi="Times New Roman" w:cs="Times New Roman"/>
                  <w:i/>
                  <w:sz w:val="24"/>
                </w:rPr>
                <m:t>u</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+2</m:t>
          </m:r>
          <m:nary>
            <m:naryPr>
              <m:chr m:val="∑"/>
              <m:limLoc m:val="subSup"/>
              <m:supHide m:val="1"/>
              <m:ctrlPr>
                <w:rPr>
                  <w:rFonts w:hint="default" w:ascii="Cambria Math" w:hAnsi="Cambria Math" w:cs="Times New Roman"/>
                  <w:sz w:val="24"/>
                </w:rPr>
              </m:ctrlPr>
            </m:naryPr>
            <m:sub>
              <m:r>
                <m:rPr>
                  <m:nor/>
                </m:rPr>
                <w:rPr>
                  <w:rFonts w:hint="default" w:ascii="Times New Roman" w:hAnsi="Times New Roman" w:cs="Times New Roman"/>
                  <w:i/>
                  <w:sz w:val="24"/>
                </w:rPr>
                <m:t>i</m:t>
              </m:r>
              <m:ctrlPr>
                <w:rPr>
                  <w:rFonts w:hint="default" w:ascii="Cambria Math" w:hAnsi="Cambria Math" w:cs="Times New Roman"/>
                  <w:sz w:val="24"/>
                </w:rPr>
              </m:ctrlPr>
            </m:sub>
            <m:sup>
              <m:ctrlPr>
                <w:rPr>
                  <w:rFonts w:hint="default" w:ascii="Cambria Math" w:hAnsi="Cambria Math" w:cs="Times New Roman"/>
                  <w:sz w:val="24"/>
                </w:rPr>
              </m:ctrlPr>
            </m:sup>
            <m:e>
              <m:nary>
                <m:naryPr>
                  <m:chr m:val="∑"/>
                  <m:limLoc m:val="subSup"/>
                  <m:supHide m:val="1"/>
                  <m:ctrlPr>
                    <w:rPr>
                      <w:rFonts w:hint="default" w:ascii="Cambria Math" w:hAnsi="Cambria Math" w:cs="Times New Roman"/>
                      <w:sz w:val="24"/>
                    </w:rPr>
                  </m:ctrlPr>
                </m:naryPr>
                <m:sub>
                  <m:r>
                    <m:rPr>
                      <m:nor/>
                    </m:rPr>
                    <w:rPr>
                      <w:rFonts w:hint="default" w:ascii="Times New Roman" w:hAnsi="Times New Roman" w:cs="Times New Roman"/>
                      <w:i/>
                      <w:sz w:val="24"/>
                    </w:rPr>
                    <m:t>j</m:t>
                  </m:r>
                  <m:ctrlPr>
                    <w:rPr>
                      <w:rFonts w:hint="default" w:ascii="Cambria Math" w:hAnsi="Cambria Math" w:cs="Times New Roman"/>
                      <w:sz w:val="24"/>
                    </w:rPr>
                  </m:ctrlPr>
                </m:sub>
                <m:sup>
                  <m:ctrlPr>
                    <w:rPr>
                      <w:rFonts w:hint="default" w:ascii="Cambria Math" w:hAnsi="Cambria Math" w:cs="Times New Roman"/>
                      <w:sz w:val="24"/>
                    </w:rPr>
                  </m:ctrlPr>
                </m:sup>
                <m:e>
                  <m:d>
                    <m:dPr>
                      <m:ctrlPr>
                        <w:rPr>
                          <w:rFonts w:hint="default" w:ascii="Cambria Math" w:hAnsi="Cambria Math" w:cs="Times New Roman"/>
                          <w:sz w:val="24"/>
                        </w:rPr>
                      </m:ctrlPr>
                    </m:dPr>
                    <m:e>
                      <m:f>
                        <m:fPr>
                          <m:ctrlPr>
                            <w:rPr>
                              <w:rFonts w:hint="default" w:ascii="Cambria Math" w:hAnsi="Cambria Math" w:cs="Times New Roman"/>
                              <w:sz w:val="24"/>
                            </w:rPr>
                          </m:ctrlPr>
                        </m:fPr>
                        <m:num>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C</m:t>
                          </m:r>
                          <m:ctrlPr>
                            <w:rPr>
                              <w:rFonts w:hint="default" w:ascii="Cambria Math" w:hAnsi="Cambria Math" w:cs="Times New Roman"/>
                              <w:sz w:val="24"/>
                            </w:rPr>
                          </m:ctrlPr>
                        </m:num>
                        <m:den>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d>
                  <m:d>
                    <m:dPr>
                      <m:ctrlPr>
                        <w:rPr>
                          <w:rFonts w:hint="default" w:ascii="Cambria Math" w:hAnsi="Cambria Math" w:cs="Times New Roman"/>
                          <w:sz w:val="24"/>
                        </w:rPr>
                      </m:ctrlPr>
                    </m:dPr>
                    <m:e>
                      <m:f>
                        <m:fPr>
                          <m:ctrlPr>
                            <w:rPr>
                              <w:rFonts w:hint="default" w:ascii="Cambria Math" w:hAnsi="Cambria Math" w:cs="Times New Roman"/>
                              <w:sz w:val="24"/>
                            </w:rPr>
                          </m:ctrlPr>
                        </m:fPr>
                        <m:num>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C</m:t>
                          </m:r>
                          <m:ctrlPr>
                            <w:rPr>
                              <w:rFonts w:hint="default" w:ascii="Cambria Math" w:hAnsi="Cambria Math" w:cs="Times New Roman"/>
                              <w:sz w:val="24"/>
                            </w:rPr>
                          </m:ctrlPr>
                        </m:num>
                        <m:den>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d>
                  <m:r>
                    <m:rPr>
                      <m:nor/>
                    </m:rPr>
                    <w:rPr>
                      <w:rFonts w:hint="default" w:ascii="Times New Roman" w:hAnsi="Times New Roman" w:cs="Times New Roman"/>
                      <w:i/>
                      <w:sz w:val="24"/>
                    </w:rPr>
                    <m:t>cov</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nary>
              <m:ctrlPr>
                <w:rPr>
                  <w:rFonts w:hint="default" w:ascii="Cambria Math" w:hAnsi="Cambria Math" w:cs="Times New Roman"/>
                  <w:sz w:val="24"/>
                </w:rPr>
              </m:ctrlPr>
            </m:e>
          </m:nary>
        </m:oMath>
      </m:oMathPara>
    </w:p>
    <w:p w14:paraId="7974659C">
      <w:pPr>
        <w:bidi w:val="0"/>
        <w:ind w:left="0" w:leftChars="0" w:firstLine="0" w:firstLineChars="0"/>
      </w:pPr>
      <w:r>
        <w:t>式中：</w:t>
      </w:r>
      <m:oMath>
        <m:sSubSup>
          <m:sSubSupPr>
            <m:ctrlPr>
              <w:rPr>
                <w:rFonts w:hint="default" w:ascii="Cambria Math" w:hAnsi="Cambria Math" w:cs="Times New Roman"/>
                <w:sz w:val="24"/>
              </w:rPr>
            </m:ctrlPr>
          </m:sSubSupPr>
          <m:e>
            <m:r>
              <m:rPr>
                <m:nor/>
              </m:rPr>
              <w:rPr>
                <w:rFonts w:hint="default" w:ascii="Times New Roman" w:hAnsi="Times New Roman" w:cs="Times New Roman"/>
                <w:i/>
                <w:sz w:val="24"/>
              </w:rPr>
              <m:t>u</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up>
            <m:r>
              <m:rPr>
                <m:sty m:val="p"/>
              </m:rPr>
              <w:rPr>
                <w:rFonts w:hint="default" w:ascii="Cambria Math" w:hAnsi="Cambria Math" w:cs="Times New Roman"/>
                <w:sz w:val="24"/>
                <w:lang w:val="en-US" w:eastAsia="zh-CN"/>
              </w:rPr>
              <m:t xml:space="preserve"> </m:t>
            </m:r>
            <m:ctrlPr>
              <w:rPr>
                <w:rFonts w:hint="default" w:ascii="Cambria Math" w:hAnsi="Cambria Math" w:cs="Times New Roman"/>
                <w:sz w:val="24"/>
              </w:rPr>
            </m:ctrlPr>
          </m:sup>
        </m:sSubSup>
      </m:oMath>
      <w:r>
        <w:t>总排放C合成标准不确定度；</w:t>
      </w:r>
      <w:r>
        <w:rPr>
          <w:i/>
          <w:iCs/>
        </w:rPr>
        <w:t>x</w:t>
      </w:r>
      <w:r>
        <w:rPr>
          <w:i/>
          <w:iCs/>
          <w:vertAlign w:val="subscript"/>
        </w:rPr>
        <w:t>i</w:t>
      </w:r>
      <w:r>
        <w:t>第</w:t>
      </w:r>
      <w:r>
        <w:rPr>
          <w:i/>
          <w:iCs/>
        </w:rPr>
        <w:t>i</w:t>
      </w:r>
      <w:r>
        <w:t>个输入变量；</w:t>
      </w:r>
      <w:r>
        <w:rPr>
          <w:i/>
          <w:iCs/>
        </w:rPr>
        <w:t>u</w:t>
      </w:r>
      <w:r>
        <w:rPr>
          <w:i/>
          <w:iCs/>
          <w:vertAlign w:val="subscript"/>
        </w:rPr>
        <w:t>i</w:t>
      </w:r>
      <w:r>
        <w:t>变量</w:t>
      </w:r>
      <w:r>
        <w:rPr>
          <w:i/>
          <w:iCs/>
        </w:rPr>
        <w:t>x</w:t>
      </w:r>
      <w:r>
        <w:rPr>
          <w:i/>
          <w:iCs/>
          <w:vertAlign w:val="subscript"/>
        </w:rPr>
        <w:t>i</w:t>
      </w:r>
      <w:r>
        <w:t>标准不确定度；</w:t>
      </w:r>
      <m:oMath>
        <m:r>
          <m:rPr>
            <m:nor/>
          </m:rPr>
          <w:rPr>
            <w:rFonts w:hint="default" w:ascii="Times New Roman" w:hAnsi="Times New Roman" w:cs="Times New Roman"/>
            <w:i/>
            <w:sz w:val="24"/>
          </w:rPr>
          <m:t>cov</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t>变量</w:t>
      </w:r>
      <w:r>
        <w:rPr>
          <w:i/>
          <w:iCs/>
        </w:rPr>
        <w:t>x</w:t>
      </w:r>
      <w:r>
        <w:rPr>
          <w:i/>
          <w:iCs/>
          <w:vertAlign w:val="subscript"/>
        </w:rPr>
        <w:t>i</w:t>
      </w:r>
      <w:r>
        <w:t>与</w:t>
      </w:r>
      <w:r>
        <w:rPr>
          <w:i/>
          <w:iCs/>
        </w:rPr>
        <w:t>x</w:t>
      </w:r>
      <w:r>
        <w:rPr>
          <w:i/>
          <w:iCs/>
          <w:vertAlign w:val="subscript"/>
        </w:rPr>
        <w:t>j</w:t>
      </w:r>
      <w:r>
        <w:t>协方差。</w:t>
      </w:r>
    </w:p>
    <w:p w14:paraId="371F8A2C">
      <w:pPr>
        <w:bidi w:val="0"/>
      </w:pPr>
      <w:r>
        <w:t>95%置信近似区间：</w:t>
      </w:r>
    </w:p>
    <w:p w14:paraId="04B306D2">
      <w:pPr>
        <w:bidi w:val="0"/>
      </w:pPr>
      <m:oMathPara>
        <m:oMath>
          <m:r>
            <m:rPr>
              <m:nor/>
              <m:sty m:val="p"/>
            </m:rPr>
            <w:rPr>
              <w:rFonts w:hint="default" w:ascii="Times New Roman" w:hAnsi="Times New Roman" w:cs="Times New Roman"/>
              <w:b w:val="0"/>
              <w:i w:val="0"/>
              <w:sz w:val="24"/>
            </w:rPr>
            <m:t>95%区间=</m:t>
          </m:r>
          <m:acc>
            <m:accPr>
              <m:ctrlPr>
                <w:rPr>
                  <w:rFonts w:hint="default" w:ascii="Cambria Math" w:hAnsi="Cambria Math" w:cs="Times New Roman"/>
                  <w:sz w:val="24"/>
                </w:rPr>
              </m:ctrlPr>
            </m:accPr>
            <m:e>
              <m:r>
                <m:rPr>
                  <m:nor/>
                </m:rPr>
                <w:rPr>
                  <w:rFonts w:hint="default" w:ascii="Times New Roman" w:hAnsi="Times New Roman" w:cs="Times New Roman"/>
                  <w:i/>
                  <w:sz w:val="24"/>
                </w:rPr>
                <m:t>C</m:t>
              </m:r>
              <m:ctrlPr>
                <w:rPr>
                  <w:rFonts w:hint="default" w:ascii="Cambria Math" w:hAnsi="Cambria Math" w:cs="Times New Roman"/>
                  <w:sz w:val="24"/>
                </w:rPr>
              </m:ctrlPr>
            </m:e>
          </m:acc>
          <m:r>
            <m:rPr>
              <m:nor/>
              <m:sty m:val="p"/>
            </m:rPr>
            <w:rPr>
              <w:rFonts w:hint="default" w:ascii="Times New Roman" w:hAnsi="Times New Roman" w:cs="Times New Roman"/>
              <w:b w:val="0"/>
              <w:i w:val="0"/>
              <w:sz w:val="24"/>
            </w:rPr>
            <m:t>±1.96 </m:t>
          </m:r>
          <m:sSub>
            <m:sSubPr>
              <m:ctrlPr>
                <w:rPr>
                  <w:rFonts w:hint="default" w:ascii="Cambria Math" w:hAnsi="Cambria Math" w:cs="Times New Roman"/>
                  <w:sz w:val="24"/>
                </w:rPr>
              </m:ctrlPr>
            </m:sSubPr>
            <m:e>
              <m:r>
                <m:rPr>
                  <m:nor/>
                </m:rPr>
                <w:rPr>
                  <w:rFonts w:hint="default" w:ascii="Times New Roman" w:hAnsi="Times New Roman" w:cs="Times New Roman"/>
                  <w:i/>
                  <w:sz w:val="24"/>
                </w:rPr>
                <m:t>u</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Sub>
        </m:oMath>
      </m:oMathPara>
    </w:p>
    <w:p w14:paraId="5FF94408">
      <w:pPr>
        <w:bidi w:val="0"/>
      </w:pPr>
      <w:r>
        <w:t>Monte‑Carlo模拟最少抽样1000次，正式年度报告根据收敛提升至10000次；输出P5、P50、P95分位数、主要不确定贡献项。若净减排置信区间跨越0，对外表述为“减排结论不确定”。</w:t>
      </w:r>
    </w:p>
    <w:p w14:paraId="34A13887">
      <w:pPr>
        <w:pStyle w:val="3"/>
        <w:bidi w:val="0"/>
      </w:pPr>
      <w:r>
        <w:rPr>
          <w:rFonts w:hint="eastAsia"/>
          <w:lang w:val="en-US" w:eastAsia="zh-CN"/>
        </w:rPr>
        <w:t>6</w:t>
      </w:r>
      <w:r>
        <w:t>.4　审计证据包</w:t>
      </w:r>
    </w:p>
    <w:p w14:paraId="4EAFC19F">
      <w:pPr>
        <w:bidi w:val="0"/>
      </w:pPr>
      <w:r>
        <w:t>审计数据包完整包含以下内容：</w:t>
      </w:r>
    </w:p>
    <w:p w14:paraId="7FDE0B7A">
      <w:pPr>
        <w:bidi w:val="0"/>
      </w:pPr>
      <w:r>
        <w:t>1. 组织边界、项目边界说明，计量点图纸、设备清单；</w:t>
      </w:r>
    </w:p>
    <w:p w14:paraId="5C6FD4FF">
      <w:pPr>
        <w:bidi w:val="0"/>
      </w:pPr>
      <w:r>
        <w:t>2. 原始数据文件、数据清洗规则、人工修订记录、缺失值处理清单；</w:t>
      </w:r>
    </w:p>
    <w:p w14:paraId="5AB4859B">
      <w:pPr>
        <w:bidi w:val="0"/>
      </w:pPr>
      <w:r>
        <w:t>3. 因子原文文档、版本、适用性审批材料、计算快照；</w:t>
      </w:r>
    </w:p>
    <w:p w14:paraId="283DC80D">
      <w:pPr>
        <w:bidi w:val="0"/>
      </w:pPr>
      <w:r>
        <w:t>4. 基准线模型、参数、验证记录、污水处理服务水平证明材料；</w:t>
      </w:r>
    </w:p>
    <w:p w14:paraId="19A49E54">
      <w:pPr>
        <w:bidi w:val="0"/>
      </w:pPr>
      <w:r>
        <w:t>5. 算法版本、单元测试结果、勾稽校验记录、异常闭环处置记录；</w:t>
      </w:r>
    </w:p>
    <w:p w14:paraId="376AB6AA">
      <w:pPr>
        <w:bidi w:val="0"/>
      </w:pPr>
      <w:r>
        <w:t>6. 签发报告与可复现计算数据包。</w:t>
      </w:r>
    </w:p>
    <w:p w14:paraId="2BBDF402">
      <w:pPr>
        <w:pStyle w:val="2"/>
        <w:bidi w:val="0"/>
        <w:jc w:val="center"/>
        <w:rPr>
          <w:rStyle w:val="19"/>
        </w:rPr>
      </w:pPr>
      <w:r>
        <w:rPr>
          <w:rStyle w:val="19"/>
          <w:rFonts w:hint="eastAsia"/>
          <w:lang w:val="en-US" w:eastAsia="zh-CN"/>
        </w:rPr>
        <w:t>七</w:t>
      </w:r>
      <w:r>
        <w:rPr>
          <w:rStyle w:val="19"/>
        </w:rPr>
        <w:t>、数值算例与口径说明</w:t>
      </w:r>
    </w:p>
    <w:p w14:paraId="14C80164">
      <w:pPr>
        <w:pStyle w:val="3"/>
        <w:bidi w:val="0"/>
      </w:pPr>
      <w:r>
        <w:rPr>
          <w:rFonts w:hint="eastAsia"/>
          <w:lang w:val="en-US" w:eastAsia="zh-CN"/>
        </w:rPr>
        <w:t>7</w:t>
      </w:r>
      <w:r>
        <w:t>.1 两时段调度算例</w:t>
      </w:r>
    </w:p>
    <w:p w14:paraId="1A3FA3E8">
      <w:pPr>
        <w:pStyle w:val="24"/>
        <w:ind w:firstLine="440" w:firstLineChars="200"/>
      </w:pPr>
      <w:r>
        <w:t xml:space="preserve">设置低谷、高峰各1 h，污水厂基础负荷均100 kWh。低谷电价0.35元/kWh，碳强度0.25 </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kgCO</m:t>
            </m:r>
            <m:ctrlPr>
              <w:rPr>
                <w:rFonts w:hint="default" w:ascii="Cambria Math" w:hAnsi="Cambria Math" w:cs="Times New Roman"/>
                <w:sz w:val="22"/>
              </w:rPr>
            </m:ctrlPr>
          </m:e>
          <m:sub>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r>
          <m:rPr>
            <m:nor/>
          </m:rPr>
          <w:rPr>
            <w:rFonts w:hint="default" w:ascii="Times New Roman" w:hAnsi="Times New Roman" w:cs="Times New Roman"/>
            <w:i/>
            <w:sz w:val="22"/>
          </w:rPr>
          <m:t>e</m:t>
        </m:r>
        <m:r>
          <m:rPr>
            <m:nor/>
            <m:sty m:val="p"/>
          </m:rPr>
          <w:rPr>
            <w:rFonts w:hint="default" w:ascii="Times New Roman" w:hAnsi="Times New Roman" w:cs="Times New Roman"/>
            <w:i w:val="0"/>
            <w:sz w:val="22"/>
          </w:rPr>
          <m:t>/</m:t>
        </m:r>
        <m:r>
          <m:rPr>
            <m:nor/>
          </m:rPr>
          <w:rPr>
            <w:rFonts w:hint="default" w:ascii="Times New Roman" w:hAnsi="Times New Roman" w:cs="Times New Roman"/>
            <w:i/>
            <w:sz w:val="22"/>
          </w:rPr>
          <m:t>kW</m:t>
        </m:r>
        <m:r>
          <m:rPr>
            <m:nor/>
            <m:sty m:val="p"/>
          </m:rPr>
          <w:rPr>
            <w:rFonts w:hint="default" w:ascii="Times New Roman" w:hAnsi="Times New Roman" w:cs="Times New Roman"/>
            <w:i w:val="0"/>
            <w:sz w:val="22"/>
          </w:rPr>
          <m:t>h</m:t>
        </m:r>
      </m:oMath>
      <w:r>
        <w:t xml:space="preserve">；高峰电价1.10元/kWh，碳强度0.70 </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kgCO</m:t>
            </m:r>
            <m:ctrlPr>
              <w:rPr>
                <w:rFonts w:hint="default" w:ascii="Cambria Math" w:hAnsi="Cambria Math" w:cs="Times New Roman"/>
                <w:sz w:val="22"/>
              </w:rPr>
            </m:ctrlPr>
          </m:e>
          <m:sub>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r>
          <m:rPr>
            <m:nor/>
          </m:rPr>
          <w:rPr>
            <w:rFonts w:hint="default" w:ascii="Times New Roman" w:hAnsi="Times New Roman" w:cs="Times New Roman"/>
            <w:i/>
            <w:sz w:val="22"/>
          </w:rPr>
          <m:t>e</m:t>
        </m:r>
        <m:r>
          <m:rPr>
            <m:nor/>
            <m:sty m:val="p"/>
          </m:rPr>
          <w:rPr>
            <w:rFonts w:hint="default" w:ascii="Times New Roman" w:hAnsi="Times New Roman" w:cs="Times New Roman"/>
            <w:i w:val="0"/>
            <w:sz w:val="22"/>
          </w:rPr>
          <m:t>/</m:t>
        </m:r>
        <m:r>
          <m:rPr>
            <m:nor/>
          </m:rPr>
          <w:rPr>
            <w:rFonts w:hint="default" w:ascii="Times New Roman" w:hAnsi="Times New Roman" w:cs="Times New Roman"/>
            <w:i/>
            <w:sz w:val="22"/>
          </w:rPr>
          <m:t>kW</m:t>
        </m:r>
        <m:r>
          <m:rPr>
            <m:nor/>
            <m:sty m:val="p"/>
          </m:rPr>
          <w:rPr>
            <w:rFonts w:hint="default" w:ascii="Times New Roman" w:hAnsi="Times New Roman" w:cs="Times New Roman"/>
            <w:i w:val="0"/>
            <w:sz w:val="22"/>
          </w:rPr>
          <m:t>h</m:t>
        </m:r>
      </m:oMath>
      <w:r>
        <w:t>。储能低谷交流侧充电22 kWh，高峰交流侧放电20 kWh，忽略其他变化。</w:t>
      </w:r>
    </w:p>
    <w:p w14:paraId="50E325E0">
      <w:pPr>
        <w:pStyle w:val="24"/>
      </w:pPr>
      <w:r>
        <w:t>表13 采用时变碳强度的两时段算例</w:t>
      </w:r>
    </w:p>
    <w:p w14:paraId="085A4C8E">
      <w:pPr>
        <w:pStyle w:val="24"/>
      </w:pPr>
      <w:r>
        <w:t>|情景|低谷购电/kWh|高峰购电/kWh|电费/元|排放/kgCO₂e|</w:t>
      </w:r>
    </w:p>
    <w:p w14:paraId="18617019">
      <w:pPr>
        <w:pStyle w:val="24"/>
      </w:pPr>
      <w:r>
        <w:t>| :--- | :--- | :--- | :--- | :--- |</w:t>
      </w:r>
    </w:p>
    <w:p w14:paraId="04C84370">
      <w:pPr>
        <w:pStyle w:val="24"/>
      </w:pPr>
      <w:r>
        <w:t>|无储能基准|100|100|145.00|95.00|</w:t>
      </w:r>
    </w:p>
    <w:p w14:paraId="53429D5E">
      <w:pPr>
        <w:pStyle w:val="24"/>
      </w:pPr>
      <w:r>
        <w:t>|储能项目|122|80|130.70|86.50|</w:t>
      </w:r>
    </w:p>
    <w:p w14:paraId="6BE3D35A">
      <w:pPr>
        <w:pStyle w:val="24"/>
      </w:pPr>
      <w:r>
        <w:t>|变化|+22|−20|节省14.30|运行避免8.50|</w:t>
      </w:r>
    </w:p>
    <w:p w14:paraId="4250F6D5">
      <w:pPr>
        <w:pStyle w:val="24"/>
      </w:pPr>
      <w:r>
        <w:t>电费节省 = 145.00 - 130.70 =14.30元</w:t>
      </w:r>
    </w:p>
    <w:p w14:paraId="18B2E95E">
      <w:pPr>
        <w:pStyle w:val="24"/>
      </w:pPr>
      <w:r>
        <w:t xml:space="preserve">运行阶段减排 </w:t>
      </w:r>
      <m:oMath>
        <m:r>
          <m:rPr>
            <m:nor/>
          </m:rPr>
          <w:rPr>
            <w:rFonts w:hint="default" w:ascii="Times New Roman" w:hAnsi="Times New Roman" w:cs="Times New Roman"/>
            <w:i/>
            <w:sz w:val="22"/>
          </w:rPr>
          <m:t>E</m:t>
        </m:r>
        <m:sSub>
          <m:sSubPr>
            <m:ctrlPr>
              <w:rPr>
                <w:rFonts w:hint="default" w:ascii="Cambria Math" w:hAnsi="Cambria Math" w:cs="Times New Roman"/>
                <w:sz w:val="22"/>
              </w:rPr>
            </m:ctrlPr>
          </m:sSubPr>
          <m:e>
            <m:r>
              <m:rPr>
                <m:nor/>
              </m:rPr>
              <w:rPr>
                <w:rFonts w:hint="default" w:ascii="Times New Roman" w:hAnsi="Times New Roman" w:cs="Times New Roman"/>
                <w:i/>
                <w:sz w:val="22"/>
              </w:rPr>
              <m:t>R</m:t>
            </m:r>
            <m:ctrlPr>
              <w:rPr>
                <w:rFonts w:hint="default" w:ascii="Cambria Math" w:hAnsi="Cambria Math" w:cs="Times New Roman"/>
                <w:sz w:val="22"/>
              </w:rPr>
            </m:ctrlPr>
          </m:e>
          <m:sub>
            <m:r>
              <m:rPr>
                <m:nor/>
              </m:rPr>
              <w:rPr>
                <w:rFonts w:hint="default" w:ascii="Times New Roman" w:hAnsi="Times New Roman" w:cs="Times New Roman"/>
                <w:i/>
                <w:sz w:val="22"/>
              </w:rPr>
              <m:t>op</m:t>
            </m:r>
            <m:ctrlPr>
              <w:rPr>
                <w:rFonts w:hint="default" w:ascii="Cambria Math" w:hAnsi="Cambria Math" w:cs="Times New Roman"/>
                <w:sz w:val="22"/>
              </w:rPr>
            </m:ctrlPr>
          </m:sub>
        </m:sSub>
        <m:r>
          <m:rPr>
            <m:nor/>
            <m:sty m:val="p"/>
          </m:rPr>
          <w:rPr>
            <w:rFonts w:hint="default" w:ascii="Times New Roman" w:hAnsi="Times New Roman" w:cs="Times New Roman"/>
            <w:i w:val="0"/>
            <w:sz w:val="22"/>
          </w:rPr>
          <m:t xml:space="preserve">=95.00−86.50=8.50 </m:t>
        </m:r>
        <m:r>
          <m:rPr>
            <m:nor/>
            <m:sty m:val="p"/>
          </m:rPr>
          <w:rPr>
            <w:rFonts w:hint="default" w:ascii="Times New Roman" w:hAnsi="Times New Roman" w:cs="Times New Roman"/>
            <w:sz w:val="22"/>
          </w:rPr>
          <m:t>kgC</m:t>
        </m:r>
        <m:sSub>
          <m:sSubPr>
            <m:ctrlPr>
              <w:rPr>
                <w:rFonts w:hint="default" w:ascii="Cambria Math" w:hAnsi="Cambria Math" w:cs="Times New Roman"/>
                <w:sz w:val="22"/>
              </w:rPr>
            </m:ctrlPr>
          </m:sSubPr>
          <m:e>
            <m:r>
              <m:rPr>
                <m:nor/>
                <m:sty m:val="p"/>
              </m:rPr>
              <w:rPr>
                <w:rFonts w:hint="default" w:ascii="Times New Roman" w:hAnsi="Times New Roman" w:cs="Times New Roman"/>
                <w:sz w:val="22"/>
              </w:rPr>
              <m:t>O</m:t>
            </m:r>
            <m:ctrlPr>
              <w:rPr>
                <w:rFonts w:hint="default" w:ascii="Cambria Math" w:hAnsi="Cambria Math" w:cs="Times New Roman"/>
                <w:sz w:val="22"/>
              </w:rPr>
            </m:ctrlPr>
          </m:e>
          <m:sub>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r>
          <m:rPr>
            <m:nor/>
            <m:sty m:val="p"/>
          </m:rPr>
          <w:rPr>
            <w:rFonts w:hint="default" w:ascii="Times New Roman" w:hAnsi="Times New Roman" w:cs="Times New Roman"/>
            <w:sz w:val="22"/>
          </w:rPr>
          <m:t>e</m:t>
        </m:r>
      </m:oMath>
      <w:r>
        <w:t>。</w:t>
      </w:r>
    </w:p>
    <w:p w14:paraId="444CA0C7">
      <w:pPr>
        <w:pStyle w:val="24"/>
      </w:pPr>
      <w:r>
        <w:t xml:space="preserve">假设储能隐含碳强度 </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I</m:t>
            </m:r>
            <m:ctrlPr>
              <w:rPr>
                <w:rFonts w:hint="default" w:ascii="Cambria Math" w:hAnsi="Cambria Math" w:cs="Times New Roman"/>
                <w:sz w:val="22"/>
              </w:rPr>
            </m:ctrlPr>
          </m:e>
          <m:sub>
            <m:r>
              <m:rPr>
                <m:nor/>
              </m:rPr>
              <w:rPr>
                <w:rFonts w:hint="default" w:ascii="Times New Roman" w:hAnsi="Times New Roman" w:cs="Times New Roman"/>
                <w:i/>
                <w:sz w:val="22"/>
              </w:rPr>
              <m:t>emb</m:t>
            </m:r>
            <m:ctrlPr>
              <w:rPr>
                <w:rFonts w:hint="default" w:ascii="Cambria Math" w:hAnsi="Cambria Math" w:cs="Times New Roman"/>
                <w:sz w:val="22"/>
              </w:rPr>
            </m:ctrlPr>
          </m:sub>
        </m:sSub>
        <m:r>
          <m:rPr>
            <m:nor/>
            <m:sty m:val="p"/>
          </m:rPr>
          <w:rPr>
            <w:rFonts w:hint="default" w:ascii="Times New Roman" w:hAnsi="Times New Roman" w:cs="Times New Roman"/>
            <w:i w:val="0"/>
            <w:sz w:val="22"/>
          </w:rPr>
          <m:t xml:space="preserve">=0.03 </m:t>
        </m:r>
        <m:r>
          <m:rPr>
            <m:nor/>
            <m:sty m:val="p"/>
          </m:rPr>
          <w:rPr>
            <w:rFonts w:hint="default" w:ascii="Times New Roman" w:hAnsi="Times New Roman" w:cs="Times New Roman"/>
            <w:sz w:val="22"/>
          </w:rPr>
          <m:t>kgC</m:t>
        </m:r>
        <m:sSub>
          <m:sSubPr>
            <m:ctrlPr>
              <w:rPr>
                <w:rFonts w:hint="default" w:ascii="Cambria Math" w:hAnsi="Cambria Math" w:cs="Times New Roman"/>
                <w:sz w:val="22"/>
              </w:rPr>
            </m:ctrlPr>
          </m:sSubPr>
          <m:e>
            <m:r>
              <m:rPr>
                <m:nor/>
                <m:sty m:val="p"/>
              </m:rPr>
              <w:rPr>
                <w:rFonts w:hint="default" w:ascii="Times New Roman" w:hAnsi="Times New Roman" w:cs="Times New Roman"/>
                <w:sz w:val="22"/>
              </w:rPr>
              <m:t>O</m:t>
            </m:r>
            <m:ctrlPr>
              <w:rPr>
                <w:rFonts w:hint="default" w:ascii="Cambria Math" w:hAnsi="Cambria Math" w:cs="Times New Roman"/>
                <w:sz w:val="22"/>
              </w:rPr>
            </m:ctrlPr>
          </m:e>
          <m:sub>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r>
          <m:rPr>
            <m:nor/>
            <m:sty m:val="p"/>
          </m:rPr>
          <w:rPr>
            <w:rFonts w:hint="default" w:ascii="Times New Roman" w:hAnsi="Times New Roman" w:cs="Times New Roman"/>
            <w:sz w:val="22"/>
          </w:rPr>
          <m:t>e</m:t>
        </m:r>
        <m:r>
          <m:rPr>
            <m:nor/>
            <m:sty m:val="p"/>
          </m:rPr>
          <w:rPr>
            <w:rFonts w:hint="default" w:ascii="Times New Roman" w:hAnsi="Times New Roman" w:cs="Times New Roman"/>
            <w:i w:val="0"/>
            <w:sz w:val="22"/>
          </w:rPr>
          <m:t>/</m:t>
        </m:r>
        <m:r>
          <m:rPr>
            <m:nor/>
            <m:sty m:val="p"/>
          </m:rPr>
          <w:rPr>
            <w:rFonts w:hint="default" w:ascii="Times New Roman" w:hAnsi="Times New Roman" w:cs="Times New Roman"/>
            <w:sz w:val="22"/>
          </w:rPr>
          <m:t>kWh</m:t>
        </m:r>
      </m:oMath>
      <w:r>
        <w:t xml:space="preserve">；本周期分摊隐含碳 </w:t>
      </w:r>
      <m:oMath>
        <m:sSub>
          <m:sSubPr>
            <m:ctrlPr>
              <w:rPr>
                <w:rFonts w:hint="default" w:ascii="Cambria Math" w:hAnsi="Cambria Math" w:cs="Times New Roman"/>
                <w:sz w:val="22"/>
              </w:rPr>
            </m:ctrlPr>
          </m:sSubPr>
          <m:e>
            <m:r>
              <m:rPr>
                <m:nor/>
              </m:rPr>
              <w:rPr>
                <w:rFonts w:hint="default" w:ascii="Times New Roman" w:hAnsi="Times New Roman" w:cs="Times New Roman"/>
                <w:i/>
                <w:sz w:val="22"/>
              </w:rPr>
              <m:t>C</m:t>
            </m:r>
            <m:ctrlPr>
              <w:rPr>
                <w:rFonts w:hint="default" w:ascii="Cambria Math" w:hAnsi="Cambria Math" w:cs="Times New Roman"/>
                <w:sz w:val="22"/>
              </w:rPr>
            </m:ctrlPr>
          </m:e>
          <m:sub>
            <m:r>
              <m:rPr>
                <m:nor/>
              </m:rPr>
              <w:rPr>
                <w:rFonts w:hint="default" w:ascii="Times New Roman" w:hAnsi="Times New Roman" w:cs="Times New Roman"/>
                <w:i/>
                <w:sz w:val="22"/>
              </w:rPr>
              <m:t>alloc</m:t>
            </m:r>
            <m:ctrlPr>
              <w:rPr>
                <w:rFonts w:hint="default" w:ascii="Cambria Math" w:hAnsi="Cambria Math" w:cs="Times New Roman"/>
                <w:sz w:val="22"/>
              </w:rPr>
            </m:ctrlPr>
          </m:sub>
        </m:sSub>
        <m:r>
          <m:rPr>
            <m:nor/>
            <m:sty m:val="p"/>
          </m:rPr>
          <w:rPr>
            <w:rFonts w:hint="default" w:ascii="Times New Roman" w:hAnsi="Times New Roman" w:cs="Times New Roman"/>
            <w:i w:val="0"/>
            <w:sz w:val="22"/>
          </w:rPr>
          <m:t xml:space="preserve">=20×0.03=0.60 </m:t>
        </m:r>
        <m:r>
          <m:rPr>
            <m:nor/>
            <m:sty m:val="p"/>
          </m:rPr>
          <w:rPr>
            <w:rFonts w:hint="default" w:ascii="Times New Roman" w:hAnsi="Times New Roman" w:cs="Times New Roman"/>
            <w:sz w:val="22"/>
          </w:rPr>
          <m:t>kgC</m:t>
        </m:r>
        <m:sSub>
          <m:sSubPr>
            <m:ctrlPr>
              <w:rPr>
                <w:rFonts w:hint="default" w:ascii="Cambria Math" w:hAnsi="Cambria Math" w:cs="Times New Roman"/>
                <w:sz w:val="22"/>
              </w:rPr>
            </m:ctrlPr>
          </m:sSubPr>
          <m:e>
            <m:r>
              <m:rPr>
                <m:nor/>
                <m:sty m:val="p"/>
              </m:rPr>
              <w:rPr>
                <w:rFonts w:hint="default" w:ascii="Times New Roman" w:hAnsi="Times New Roman" w:cs="Times New Roman"/>
                <w:sz w:val="22"/>
              </w:rPr>
              <m:t>O</m:t>
            </m:r>
            <m:ctrlPr>
              <w:rPr>
                <w:rFonts w:hint="default" w:ascii="Cambria Math" w:hAnsi="Cambria Math" w:cs="Times New Roman"/>
                <w:sz w:val="22"/>
              </w:rPr>
            </m:ctrlPr>
          </m:e>
          <m:sub>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r>
          <m:rPr>
            <m:nor/>
            <m:sty m:val="p"/>
          </m:rPr>
          <w:rPr>
            <w:rFonts w:hint="default" w:ascii="Times New Roman" w:hAnsi="Times New Roman" w:cs="Times New Roman"/>
            <w:sz w:val="22"/>
          </w:rPr>
          <m:t>e</m:t>
        </m:r>
      </m:oMath>
      <w:r>
        <w:t>；</w:t>
      </w:r>
    </w:p>
    <w:p w14:paraId="3B107F4A">
      <w:pPr>
        <w:pStyle w:val="24"/>
      </w:pPr>
      <w:r>
        <w:t>净生命周期减排</w:t>
      </w:r>
      <m:oMath>
        <m:r>
          <m:rPr>
            <m:nor/>
          </m:rPr>
          <w:rPr>
            <w:rFonts w:hint="default" w:ascii="Times New Roman" w:hAnsi="Times New Roman" w:cs="Times New Roman"/>
            <w:i/>
            <w:sz w:val="22"/>
          </w:rPr>
          <m:t>E</m:t>
        </m:r>
        <m:sSub>
          <m:sSubPr>
            <m:ctrlPr>
              <w:rPr>
                <w:rFonts w:hint="default" w:ascii="Cambria Math" w:hAnsi="Cambria Math" w:cs="Times New Roman"/>
                <w:sz w:val="22"/>
              </w:rPr>
            </m:ctrlPr>
          </m:sSubPr>
          <m:e>
            <m:r>
              <m:rPr>
                <m:nor/>
              </m:rPr>
              <w:rPr>
                <w:rFonts w:hint="default" w:ascii="Times New Roman" w:hAnsi="Times New Roman" w:cs="Times New Roman"/>
                <w:i/>
                <w:sz w:val="22"/>
              </w:rPr>
              <m:t>R</m:t>
            </m:r>
            <m:ctrlPr>
              <w:rPr>
                <w:rFonts w:hint="default" w:ascii="Cambria Math" w:hAnsi="Cambria Math" w:cs="Times New Roman"/>
                <w:sz w:val="22"/>
              </w:rPr>
            </m:ctrlPr>
          </m:e>
          <m:sub>
            <m:r>
              <m:rPr>
                <m:nor/>
              </m:rPr>
              <w:rPr>
                <w:rFonts w:hint="default" w:ascii="Times New Roman" w:hAnsi="Times New Roman" w:cs="Times New Roman"/>
                <w:i/>
                <w:sz w:val="22"/>
              </w:rPr>
              <m:t>net</m:t>
            </m:r>
            <m:ctrlPr>
              <w:rPr>
                <w:rFonts w:hint="default" w:ascii="Cambria Math" w:hAnsi="Cambria Math" w:cs="Times New Roman"/>
                <w:sz w:val="22"/>
              </w:rPr>
            </m:ctrlPr>
          </m:sub>
        </m:sSub>
        <m:r>
          <m:rPr>
            <m:nor/>
            <m:sty m:val="p"/>
          </m:rPr>
          <w:rPr>
            <w:rFonts w:hint="default" w:ascii="Times New Roman" w:hAnsi="Times New Roman" w:cs="Times New Roman"/>
            <w:i w:val="0"/>
            <w:sz w:val="22"/>
          </w:rPr>
          <m:t xml:space="preserve">=8.50−0.60=7.90 </m:t>
        </m:r>
        <m:r>
          <m:rPr>
            <m:nor/>
            <m:sty m:val="p"/>
          </m:rPr>
          <w:rPr>
            <w:rFonts w:hint="default" w:ascii="Times New Roman" w:hAnsi="Times New Roman" w:cs="Times New Roman"/>
            <w:sz w:val="22"/>
          </w:rPr>
          <m:t>kgC</m:t>
        </m:r>
        <m:sSub>
          <m:sSubPr>
            <m:ctrlPr>
              <w:rPr>
                <w:rFonts w:hint="default" w:ascii="Cambria Math" w:hAnsi="Cambria Math" w:cs="Times New Roman"/>
                <w:sz w:val="22"/>
              </w:rPr>
            </m:ctrlPr>
          </m:sSubPr>
          <m:e>
            <m:r>
              <m:rPr>
                <m:nor/>
                <m:sty m:val="p"/>
              </m:rPr>
              <w:rPr>
                <w:rFonts w:hint="default" w:ascii="Times New Roman" w:hAnsi="Times New Roman" w:cs="Times New Roman"/>
                <w:sz w:val="22"/>
              </w:rPr>
              <m:t>O</m:t>
            </m:r>
            <m:ctrlPr>
              <w:rPr>
                <w:rFonts w:hint="default" w:ascii="Cambria Math" w:hAnsi="Cambria Math" w:cs="Times New Roman"/>
                <w:sz w:val="22"/>
              </w:rPr>
            </m:ctrlPr>
          </m:e>
          <m:sub>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r>
          <m:rPr>
            <m:nor/>
            <m:sty m:val="p"/>
          </m:rPr>
          <w:rPr>
            <w:rFonts w:hint="default" w:ascii="Times New Roman" w:hAnsi="Times New Roman" w:cs="Times New Roman"/>
            <w:sz w:val="22"/>
          </w:rPr>
          <m:t>e</m:t>
        </m:r>
      </m:oMath>
      <w:r>
        <w:t>。</w:t>
      </w:r>
    </w:p>
    <w:p w14:paraId="613E2C3A">
      <w:pPr>
        <w:pStyle w:val="3"/>
        <w:bidi w:val="0"/>
      </w:pPr>
      <w:r>
        <w:rPr>
          <w:rFonts w:hint="eastAsia"/>
          <w:lang w:val="en-US" w:eastAsia="zh-CN"/>
        </w:rPr>
        <w:t>7</w:t>
      </w:r>
      <w:r>
        <w:t>.2 为什么正式清单可能得到不同结论</w:t>
      </w:r>
    </w:p>
    <w:p w14:paraId="5C54C81C">
      <w:pPr>
        <w:pStyle w:val="24"/>
      </w:pPr>
      <w:r>
        <w:t>企业年度合规清单采用广东省2023年度固定因子</w:t>
      </w:r>
      <m:oMath>
        <m:r>
          <m:rPr>
            <m:nor/>
            <m:sty m:val="p"/>
          </m:rPr>
          <w:rPr>
            <w:rFonts w:hint="default" w:ascii="Times New Roman" w:hAnsi="Times New Roman" w:cs="Times New Roman"/>
            <w:i w:val="0"/>
            <w:sz w:val="22"/>
          </w:rPr>
          <m:t xml:space="preserve">0.4419 </m:t>
        </m:r>
        <m:r>
          <m:rPr>
            <m:nor/>
            <m:sty m:val="p"/>
          </m:rPr>
          <w:rPr>
            <w:rFonts w:hint="default" w:ascii="Times New Roman" w:hAnsi="Times New Roman" w:cs="Times New Roman"/>
            <w:sz w:val="22"/>
          </w:rPr>
          <m:t>kgC</m:t>
        </m:r>
        <m:sSub>
          <m:sSubPr>
            <m:ctrlPr>
              <w:rPr>
                <w:rFonts w:hint="default" w:ascii="Cambria Math" w:hAnsi="Cambria Math" w:cs="Times New Roman"/>
                <w:sz w:val="22"/>
              </w:rPr>
            </m:ctrlPr>
          </m:sSubPr>
          <m:e>
            <m:r>
              <m:rPr>
                <m:nor/>
                <m:sty m:val="p"/>
              </m:rPr>
              <w:rPr>
                <w:rFonts w:hint="default" w:ascii="Times New Roman" w:hAnsi="Times New Roman" w:cs="Times New Roman"/>
                <w:sz w:val="22"/>
              </w:rPr>
              <m:t>O</m:t>
            </m:r>
            <m:ctrlPr>
              <w:rPr>
                <w:rFonts w:hint="default" w:ascii="Cambria Math" w:hAnsi="Cambria Math" w:cs="Times New Roman"/>
                <w:sz w:val="22"/>
              </w:rPr>
            </m:ctrlPr>
          </m:e>
          <m:sub>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r>
          <m:rPr>
            <m:nor/>
            <m:sty m:val="p"/>
          </m:rPr>
          <w:rPr>
            <w:rFonts w:hint="default" w:ascii="Times New Roman" w:hAnsi="Times New Roman" w:cs="Times New Roman"/>
            <w:i w:val="0"/>
            <w:sz w:val="22"/>
          </w:rPr>
          <m:t>/</m:t>
        </m:r>
        <m:r>
          <m:rPr>
            <m:nor/>
            <m:sty m:val="p"/>
          </m:rPr>
          <w:rPr>
            <w:rFonts w:hint="default" w:ascii="Times New Roman" w:hAnsi="Times New Roman" w:cs="Times New Roman"/>
            <w:sz w:val="22"/>
          </w:rPr>
          <m:t>kWh</m:t>
        </m:r>
      </m:oMath>
      <w:r>
        <w:t>。基准情景总购电200 kWh；加装储能项目总购电202 kWh，储能损耗造成多消耗2 kWh电量。</w:t>
      </w:r>
    </w:p>
    <w:p w14:paraId="482B1AE8">
      <w:pPr>
        <w:pStyle w:val="24"/>
      </w:pPr>
      <m:oMathPara>
        <m:oMath>
          <m:r>
            <m:rPr>
              <m:nor/>
              <m:sty m:val="p"/>
            </m:rPr>
            <w:rPr>
              <w:rFonts w:hint="default" w:ascii="Times New Roman" w:hAnsi="Times New Roman" w:cs="Times New Roman"/>
              <w:i w:val="0"/>
              <w:sz w:val="22"/>
            </w:rPr>
            <m:t>Δ</m:t>
          </m:r>
          <m:sSub>
            <m:sSubPr>
              <m:ctrlPr>
                <w:rPr>
                  <w:rFonts w:hint="default" w:ascii="Cambria Math" w:hAnsi="Cambria Math" w:cs="Times New Roman"/>
                  <w:sz w:val="22"/>
                </w:rPr>
              </m:ctrlPr>
            </m:sSubPr>
            <m:e>
              <m:r>
                <m:rPr>
                  <m:nor/>
                </m:rPr>
                <w:rPr>
                  <w:rFonts w:hint="default" w:ascii="Times New Roman" w:hAnsi="Times New Roman" w:cs="Times New Roman"/>
                  <w:i/>
                  <w:sz w:val="22"/>
                </w:rPr>
                <m:t>C</m:t>
              </m:r>
              <m:ctrlPr>
                <w:rPr>
                  <w:rFonts w:hint="default" w:ascii="Cambria Math" w:hAnsi="Cambria Math" w:cs="Times New Roman"/>
                  <w:sz w:val="22"/>
                </w:rPr>
              </m:ctrlPr>
            </m:e>
            <m:sub>
              <m:r>
                <m:rPr>
                  <m:nor/>
                </m:rPr>
                <w:rPr>
                  <w:rFonts w:hint="default" w:ascii="Times New Roman" w:hAnsi="Times New Roman" w:cs="Times New Roman"/>
                  <w:i/>
                  <w:sz w:val="22"/>
                </w:rPr>
                <m:t>scope</m:t>
              </m:r>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r>
            <m:rPr>
              <m:nor/>
              <m:sty m:val="p"/>
            </m:rPr>
            <w:rPr>
              <w:rFonts w:hint="default" w:ascii="Times New Roman" w:hAnsi="Times New Roman" w:cs="Times New Roman"/>
              <w:i w:val="0"/>
              <w:sz w:val="22"/>
            </w:rPr>
            <m:t xml:space="preserve">=(202−200)×0.4419=+0.8838 </m:t>
          </m:r>
          <m:r>
            <m:rPr>
              <m:nor/>
              <m:sty m:val="p"/>
            </m:rPr>
            <w:rPr>
              <w:rFonts w:hint="default" w:ascii="Times New Roman" w:hAnsi="Times New Roman" w:cs="Times New Roman"/>
              <w:sz w:val="22"/>
            </w:rPr>
            <m:t>kgC</m:t>
          </m:r>
          <m:sSub>
            <m:sSubPr>
              <m:ctrlPr>
                <w:rPr>
                  <w:rFonts w:hint="default" w:ascii="Cambria Math" w:hAnsi="Cambria Math" w:cs="Times New Roman"/>
                  <w:sz w:val="22"/>
                </w:rPr>
              </m:ctrlPr>
            </m:sSubPr>
            <m:e>
              <m:r>
                <m:rPr>
                  <m:nor/>
                  <m:sty m:val="p"/>
                </m:rPr>
                <w:rPr>
                  <w:rFonts w:hint="default" w:ascii="Times New Roman" w:hAnsi="Times New Roman" w:cs="Times New Roman"/>
                  <w:sz w:val="22"/>
                </w:rPr>
                <m:t>O</m:t>
              </m:r>
              <m:ctrlPr>
                <w:rPr>
                  <w:rFonts w:hint="default" w:ascii="Cambria Math" w:hAnsi="Cambria Math" w:cs="Times New Roman"/>
                  <w:sz w:val="22"/>
                </w:rPr>
              </m:ctrlPr>
            </m:e>
            <m:sub>
              <m:r>
                <m:rPr>
                  <m:nor/>
                  <m:sty m:val="p"/>
                </m:rPr>
                <w:rPr>
                  <w:rFonts w:hint="default" w:ascii="Times New Roman" w:hAnsi="Times New Roman" w:cs="Times New Roman"/>
                  <w:i w:val="0"/>
                  <w:sz w:val="22"/>
                </w:rPr>
                <m:t>2</m:t>
              </m:r>
              <m:ctrlPr>
                <w:rPr>
                  <w:rFonts w:hint="default" w:ascii="Cambria Math" w:hAnsi="Cambria Math" w:cs="Times New Roman"/>
                  <w:sz w:val="22"/>
                </w:rPr>
              </m:ctrlPr>
            </m:sub>
          </m:sSub>
        </m:oMath>
      </m:oMathPara>
    </w:p>
    <w:p w14:paraId="04152D45">
      <w:pPr>
        <w:pStyle w:val="24"/>
      </w:pPr>
      <w:r>
        <w:t>现象解释：基于时变调度碳信号评估，储能实现“削减高碳高峰时段用电”；但企业年度平均因子口径下，储能损耗造成总购电上升，范围二排放小幅增加。这不属于计算错误，是核算目的、因子口径不同造成。系统要求两类结果并列展示，禁止择优选择性报告。</w:t>
      </w:r>
    </w:p>
    <w:p w14:paraId="64B4B6D8">
      <w:pPr>
        <w:pStyle w:val="3"/>
        <w:bidi w:val="0"/>
      </w:pPr>
      <w:r>
        <w:rPr>
          <w:rFonts w:hint="eastAsia"/>
          <w:lang w:val="en-US" w:eastAsia="zh-CN"/>
        </w:rPr>
        <w:t>7</w:t>
      </w:r>
      <w:r>
        <w:t>.3 算例结论</w:t>
      </w:r>
    </w:p>
    <w:p w14:paraId="1E1B02CC">
      <w:pPr>
        <w:pStyle w:val="24"/>
      </w:pPr>
      <w:r>
        <w:t>1. 储能经济收益主要来源于峰谷电价差与需量管理。</w:t>
      </w:r>
    </w:p>
    <w:p w14:paraId="23C34D9C">
      <w:pPr>
        <w:pStyle w:val="24"/>
      </w:pPr>
      <w:r>
        <w:t>2. 储能运行减排效果取决于充放电时段碳强度差值能否覆盖储能充放电效率损耗。</w:t>
      </w:r>
    </w:p>
    <w:p w14:paraId="74A87A28">
      <w:pPr>
        <w:pStyle w:val="24"/>
      </w:pPr>
      <w:r>
        <w:t>3. 项目净生命周期减排，还需要抵扣储能设备全生命周期隐含碳分摊。</w:t>
      </w:r>
    </w:p>
    <w:p w14:paraId="7FEEEEBD">
      <w:pPr>
        <w:bidi w:val="0"/>
      </w:pPr>
      <w:r>
        <w:t>4. 企业合规清单、内部调度绩效评估、可交易碳减排属于三类完全不同结果，不能混淆。</w:t>
      </w:r>
    </w:p>
    <w:p w14:paraId="7226DC41">
      <w:pPr>
        <w:pStyle w:val="2"/>
        <w:bidi w:val="0"/>
        <w:rPr>
          <w:lang w:eastAsia="zh-CN"/>
        </w:rPr>
      </w:pPr>
      <w:r>
        <w:rPr>
          <w:rFonts w:hint="eastAsia"/>
          <w:lang w:val="en-US" w:eastAsia="zh-CN"/>
        </w:rPr>
        <w:t>八、</w:t>
      </w:r>
      <w:r>
        <w:rPr>
          <w:lang w:eastAsia="zh-CN"/>
        </w:rPr>
        <w:t>输出指标与报告</w:t>
      </w:r>
    </w:p>
    <w:p w14:paraId="57DCAF36">
      <w:pPr>
        <w:pStyle w:val="3"/>
        <w:tabs>
          <w:tab w:val="left" w:pos="4800"/>
        </w:tabs>
        <w:bidi w:val="0"/>
        <w:rPr>
          <w:lang w:eastAsia="zh-CN"/>
        </w:rPr>
      </w:pPr>
      <w:r>
        <w:rPr>
          <w:rFonts w:hint="eastAsia"/>
          <w:lang w:val="en-US" w:eastAsia="zh-CN"/>
        </w:rPr>
        <w:t>8</w:t>
      </w:r>
      <w:r>
        <w:rPr>
          <w:lang w:eastAsia="zh-CN"/>
        </w:rPr>
        <w:t>.1　核心指标</w:t>
      </w:r>
    </w:p>
    <w:p w14:paraId="483A7F5C">
      <w:pPr>
        <w:pStyle w:val="18"/>
        <w:bidi w:val="0"/>
      </w:pPr>
      <w:r>
        <w:t>表18　输出指标清单</w:t>
      </w:r>
    </w:p>
    <w:tbl>
      <w:tblPr>
        <w:tblStyle w:val="22"/>
        <w:tblW w:w="936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584"/>
        <w:gridCol w:w="4248"/>
        <w:gridCol w:w="1728"/>
        <w:gridCol w:w="1800"/>
      </w:tblGrid>
      <w:tr w14:paraId="362ABB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single" w:color="000000" w:sz="12" w:space="0"/>
              <w:left w:val="nil"/>
              <w:bottom w:val="single" w:color="000000" w:sz="4" w:space="0"/>
              <w:right w:val="nil"/>
              <w:tl2br w:val="nil"/>
            </w:tcBorders>
            <w:shd w:val="clear" w:color="auto" w:fill="FFFFFF"/>
            <w:vAlign w:val="center"/>
          </w:tcPr>
          <w:p w14:paraId="0734D6F9">
            <w:pPr>
              <w:pStyle w:val="20"/>
              <w:bidi w:val="0"/>
              <w:spacing w:after="0"/>
              <w:jc w:val="center"/>
              <w:rPr>
                <w:b w:val="0"/>
                <w:color w:val="000000"/>
                <w:sz w:val="21"/>
                <w:szCs w:val="21"/>
              </w:rPr>
            </w:pPr>
            <w:r>
              <w:rPr>
                <w:b w:val="0"/>
                <w:color w:val="000000"/>
                <w:sz w:val="21"/>
                <w:szCs w:val="21"/>
              </w:rPr>
              <w:t>类别</w:t>
            </w:r>
          </w:p>
        </w:tc>
        <w:tc>
          <w:tcPr>
            <w:tcW w:w="4248" w:type="dxa"/>
            <w:tcBorders>
              <w:top w:val="single" w:color="000000" w:sz="12" w:space="0"/>
              <w:left w:val="nil"/>
              <w:bottom w:val="single" w:color="000000" w:sz="4" w:space="0"/>
              <w:right w:val="nil"/>
            </w:tcBorders>
            <w:shd w:val="clear" w:color="auto" w:fill="FFFFFF"/>
            <w:vAlign w:val="center"/>
          </w:tcPr>
          <w:p w14:paraId="1127CD2D">
            <w:pPr>
              <w:pStyle w:val="20"/>
              <w:bidi w:val="0"/>
              <w:spacing w:after="0"/>
              <w:jc w:val="center"/>
              <w:rPr>
                <w:b w:val="0"/>
                <w:color w:val="000000"/>
                <w:sz w:val="21"/>
                <w:szCs w:val="21"/>
              </w:rPr>
            </w:pPr>
            <w:r>
              <w:rPr>
                <w:b w:val="0"/>
                <w:color w:val="000000"/>
                <w:sz w:val="21"/>
                <w:szCs w:val="21"/>
              </w:rPr>
              <w:t>指标</w:t>
            </w:r>
          </w:p>
        </w:tc>
        <w:tc>
          <w:tcPr>
            <w:tcW w:w="1728" w:type="dxa"/>
            <w:tcBorders>
              <w:top w:val="single" w:color="000000" w:sz="12" w:space="0"/>
              <w:left w:val="nil"/>
              <w:bottom w:val="single" w:color="000000" w:sz="4" w:space="0"/>
              <w:right w:val="nil"/>
            </w:tcBorders>
            <w:shd w:val="clear" w:color="auto" w:fill="FFFFFF"/>
            <w:vAlign w:val="center"/>
          </w:tcPr>
          <w:p w14:paraId="3EF6EC19">
            <w:pPr>
              <w:pStyle w:val="20"/>
              <w:bidi w:val="0"/>
              <w:spacing w:after="0"/>
              <w:jc w:val="center"/>
              <w:rPr>
                <w:b w:val="0"/>
                <w:color w:val="000000"/>
                <w:sz w:val="21"/>
                <w:szCs w:val="21"/>
              </w:rPr>
            </w:pPr>
            <w:r>
              <w:rPr>
                <w:b w:val="0"/>
                <w:color w:val="000000"/>
                <w:sz w:val="21"/>
                <w:szCs w:val="21"/>
              </w:rPr>
              <w:t>单位</w:t>
            </w:r>
          </w:p>
        </w:tc>
        <w:tc>
          <w:tcPr>
            <w:tcW w:w="1800" w:type="dxa"/>
            <w:tcBorders>
              <w:top w:val="single" w:color="000000" w:sz="12" w:space="0"/>
              <w:left w:val="nil"/>
              <w:bottom w:val="single" w:color="000000" w:sz="4" w:space="0"/>
              <w:right w:val="nil"/>
            </w:tcBorders>
            <w:shd w:val="clear" w:color="auto" w:fill="FFFFFF"/>
            <w:vAlign w:val="center"/>
          </w:tcPr>
          <w:p w14:paraId="21CC5021">
            <w:pPr>
              <w:pStyle w:val="20"/>
              <w:bidi w:val="0"/>
              <w:spacing w:after="0"/>
              <w:jc w:val="center"/>
              <w:rPr>
                <w:b w:val="0"/>
                <w:color w:val="000000"/>
                <w:sz w:val="21"/>
                <w:szCs w:val="21"/>
              </w:rPr>
            </w:pPr>
            <w:r>
              <w:rPr>
                <w:b w:val="0"/>
                <w:color w:val="000000"/>
                <w:sz w:val="21"/>
                <w:szCs w:val="21"/>
              </w:rPr>
              <w:t>口径</w:t>
            </w:r>
          </w:p>
        </w:tc>
      </w:tr>
      <w:tr w14:paraId="6733098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single" w:color="000000" w:sz="4" w:space="0"/>
              <w:left w:val="nil"/>
              <w:bottom w:val="nil"/>
              <w:right w:val="nil"/>
            </w:tcBorders>
            <w:shd w:val="clear" w:color="auto" w:fill="FFFFFF"/>
            <w:vAlign w:val="center"/>
          </w:tcPr>
          <w:p w14:paraId="206EFD2C">
            <w:pPr>
              <w:pStyle w:val="20"/>
              <w:bidi w:val="0"/>
              <w:spacing w:after="0"/>
              <w:jc w:val="center"/>
              <w:rPr>
                <w:b w:val="0"/>
                <w:color w:val="000000"/>
                <w:sz w:val="21"/>
                <w:szCs w:val="21"/>
              </w:rPr>
            </w:pPr>
            <w:r>
              <w:rPr>
                <w:b w:val="0"/>
                <w:color w:val="000000"/>
                <w:sz w:val="21"/>
                <w:szCs w:val="21"/>
              </w:rPr>
              <w:t>企业清单</w:t>
            </w:r>
          </w:p>
        </w:tc>
        <w:tc>
          <w:tcPr>
            <w:tcW w:w="4248" w:type="dxa"/>
            <w:tcBorders>
              <w:top w:val="single" w:color="000000" w:sz="4" w:space="0"/>
              <w:left w:val="nil"/>
              <w:bottom w:val="nil"/>
              <w:right w:val="nil"/>
            </w:tcBorders>
            <w:shd w:val="clear" w:color="auto" w:fill="FFFFFF"/>
            <w:vAlign w:val="center"/>
          </w:tcPr>
          <w:p w14:paraId="5CF3373B">
            <w:pPr>
              <w:pStyle w:val="20"/>
              <w:bidi w:val="0"/>
              <w:spacing w:after="0"/>
              <w:jc w:val="center"/>
              <w:rPr>
                <w:b w:val="0"/>
                <w:color w:val="000000"/>
                <w:sz w:val="21"/>
                <w:szCs w:val="21"/>
                <w:lang w:eastAsia="zh-CN"/>
              </w:rPr>
            </w:pPr>
            <w:r>
              <w:rPr>
                <w:b w:val="0"/>
                <w:color w:val="000000"/>
                <w:sz w:val="21"/>
                <w:szCs w:val="21"/>
                <w:lang w:eastAsia="zh-CN"/>
              </w:rPr>
              <w:t>范围一、范围二、选报范围三及总量</w:t>
            </w:r>
          </w:p>
        </w:tc>
        <w:tc>
          <w:tcPr>
            <w:tcW w:w="1728" w:type="dxa"/>
            <w:tcBorders>
              <w:top w:val="single" w:color="000000" w:sz="4" w:space="0"/>
              <w:left w:val="nil"/>
              <w:bottom w:val="nil"/>
              <w:right w:val="nil"/>
            </w:tcBorders>
            <w:shd w:val="clear" w:color="auto" w:fill="FFFFFF"/>
            <w:vAlign w:val="center"/>
          </w:tcPr>
          <w:p w14:paraId="799ABFC0">
            <w:pPr>
              <w:pStyle w:val="20"/>
              <w:bidi w:val="0"/>
              <w:spacing w:after="0"/>
              <w:jc w:val="center"/>
              <w:rPr>
                <w:b w:val="0"/>
                <w:color w:val="000000"/>
                <w:sz w:val="21"/>
                <w:szCs w:val="21"/>
              </w:rPr>
            </w:pPr>
            <w:r>
              <w:rPr>
                <w:b w:val="0"/>
                <w:color w:val="000000"/>
                <w:sz w:val="21"/>
                <w:szCs w:val="21"/>
              </w:rPr>
              <w:t>tCO₂e/周期</w:t>
            </w:r>
          </w:p>
        </w:tc>
        <w:tc>
          <w:tcPr>
            <w:tcW w:w="1800" w:type="dxa"/>
            <w:tcBorders>
              <w:top w:val="single" w:color="000000" w:sz="4" w:space="0"/>
              <w:left w:val="nil"/>
              <w:bottom w:val="nil"/>
              <w:right w:val="nil"/>
            </w:tcBorders>
            <w:shd w:val="clear" w:color="auto" w:fill="FFFFFF"/>
            <w:vAlign w:val="center"/>
          </w:tcPr>
          <w:p w14:paraId="40BB297A">
            <w:pPr>
              <w:pStyle w:val="20"/>
              <w:bidi w:val="0"/>
              <w:spacing w:after="0"/>
              <w:jc w:val="center"/>
              <w:rPr>
                <w:b w:val="0"/>
                <w:color w:val="000000"/>
                <w:sz w:val="21"/>
                <w:szCs w:val="21"/>
              </w:rPr>
            </w:pPr>
            <w:r>
              <w:rPr>
                <w:b w:val="0"/>
                <w:color w:val="000000"/>
                <w:sz w:val="21"/>
                <w:szCs w:val="21"/>
              </w:rPr>
              <w:t>EF_report</w:t>
            </w:r>
          </w:p>
        </w:tc>
      </w:tr>
      <w:tr w14:paraId="34820F0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nil"/>
              <w:left w:val="nil"/>
              <w:bottom w:val="nil"/>
              <w:right w:val="nil"/>
            </w:tcBorders>
            <w:shd w:val="clear" w:color="auto" w:fill="FFFFFF"/>
            <w:vAlign w:val="center"/>
          </w:tcPr>
          <w:p w14:paraId="2C027D6E">
            <w:pPr>
              <w:pStyle w:val="20"/>
              <w:bidi w:val="0"/>
              <w:spacing w:after="0"/>
              <w:jc w:val="center"/>
              <w:rPr>
                <w:b w:val="0"/>
                <w:color w:val="000000"/>
                <w:sz w:val="21"/>
                <w:szCs w:val="21"/>
              </w:rPr>
            </w:pPr>
            <w:r>
              <w:rPr>
                <w:b w:val="0"/>
                <w:color w:val="000000"/>
                <w:sz w:val="21"/>
                <w:szCs w:val="21"/>
              </w:rPr>
              <w:t>电力排放</w:t>
            </w:r>
          </w:p>
        </w:tc>
        <w:tc>
          <w:tcPr>
            <w:tcW w:w="4248" w:type="dxa"/>
            <w:tcBorders>
              <w:top w:val="nil"/>
              <w:left w:val="nil"/>
              <w:bottom w:val="nil"/>
              <w:right w:val="nil"/>
            </w:tcBorders>
            <w:shd w:val="clear" w:color="auto" w:fill="FFFFFF"/>
            <w:vAlign w:val="center"/>
          </w:tcPr>
          <w:p w14:paraId="7692AD90">
            <w:pPr>
              <w:pStyle w:val="20"/>
              <w:bidi w:val="0"/>
              <w:spacing w:after="0"/>
              <w:jc w:val="center"/>
              <w:rPr>
                <w:b w:val="0"/>
                <w:color w:val="000000"/>
                <w:sz w:val="21"/>
                <w:szCs w:val="21"/>
                <w:lang w:eastAsia="zh-CN"/>
              </w:rPr>
            </w:pPr>
            <w:r>
              <w:rPr>
                <w:b w:val="0"/>
                <w:color w:val="000000"/>
                <w:sz w:val="21"/>
                <w:szCs w:val="21"/>
                <w:lang w:eastAsia="zh-CN"/>
              </w:rPr>
              <w:t>关口购电排放、购电强度</w:t>
            </w:r>
          </w:p>
        </w:tc>
        <w:tc>
          <w:tcPr>
            <w:tcW w:w="1728" w:type="dxa"/>
            <w:tcBorders>
              <w:top w:val="nil"/>
              <w:left w:val="nil"/>
              <w:bottom w:val="nil"/>
              <w:right w:val="nil"/>
            </w:tcBorders>
            <w:shd w:val="clear" w:color="auto" w:fill="FFFFFF"/>
            <w:vAlign w:val="center"/>
          </w:tcPr>
          <w:p w14:paraId="74196DE3">
            <w:pPr>
              <w:pStyle w:val="20"/>
              <w:bidi w:val="0"/>
              <w:spacing w:after="0"/>
              <w:jc w:val="center"/>
              <w:rPr>
                <w:b w:val="0"/>
                <w:color w:val="000000"/>
                <w:sz w:val="21"/>
                <w:szCs w:val="21"/>
              </w:rPr>
            </w:pPr>
            <w:r>
              <w:rPr>
                <w:b w:val="0"/>
                <w:color w:val="000000"/>
                <w:sz w:val="21"/>
                <w:szCs w:val="21"/>
              </w:rPr>
              <w:t>kgCO₂或tCO₂</w:t>
            </w:r>
          </w:p>
        </w:tc>
        <w:tc>
          <w:tcPr>
            <w:tcW w:w="1800" w:type="dxa"/>
            <w:tcBorders>
              <w:top w:val="nil"/>
              <w:left w:val="nil"/>
              <w:bottom w:val="nil"/>
              <w:right w:val="nil"/>
            </w:tcBorders>
            <w:shd w:val="clear" w:color="auto" w:fill="FFFFFF"/>
            <w:vAlign w:val="center"/>
          </w:tcPr>
          <w:p w14:paraId="0E9991FB">
            <w:pPr>
              <w:pStyle w:val="20"/>
              <w:bidi w:val="0"/>
              <w:spacing w:after="0"/>
              <w:jc w:val="center"/>
              <w:rPr>
                <w:b w:val="0"/>
                <w:color w:val="000000"/>
                <w:sz w:val="21"/>
                <w:szCs w:val="21"/>
              </w:rPr>
            </w:pPr>
            <w:r>
              <w:rPr>
                <w:b w:val="0"/>
                <w:color w:val="000000"/>
                <w:sz w:val="21"/>
                <w:szCs w:val="21"/>
              </w:rPr>
              <w:t>EF_report</w:t>
            </w:r>
          </w:p>
        </w:tc>
      </w:tr>
      <w:tr w14:paraId="4CCCF2A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nil"/>
              <w:left w:val="nil"/>
              <w:bottom w:val="nil"/>
              <w:right w:val="nil"/>
            </w:tcBorders>
            <w:shd w:val="clear" w:color="auto" w:fill="FFFFFF"/>
            <w:vAlign w:val="center"/>
          </w:tcPr>
          <w:p w14:paraId="7C87F00F">
            <w:pPr>
              <w:pStyle w:val="20"/>
              <w:bidi w:val="0"/>
              <w:spacing w:after="0"/>
              <w:jc w:val="center"/>
              <w:rPr>
                <w:b w:val="0"/>
                <w:color w:val="000000"/>
                <w:sz w:val="21"/>
                <w:szCs w:val="21"/>
              </w:rPr>
            </w:pPr>
            <w:r>
              <w:rPr>
                <w:b w:val="0"/>
                <w:color w:val="000000"/>
                <w:sz w:val="21"/>
                <w:szCs w:val="21"/>
              </w:rPr>
              <w:t>调度碳绩效</w:t>
            </w:r>
          </w:p>
        </w:tc>
        <w:tc>
          <w:tcPr>
            <w:tcW w:w="4248" w:type="dxa"/>
            <w:tcBorders>
              <w:top w:val="nil"/>
              <w:left w:val="nil"/>
              <w:bottom w:val="nil"/>
              <w:right w:val="nil"/>
            </w:tcBorders>
            <w:shd w:val="clear" w:color="auto" w:fill="FFFFFF"/>
            <w:vAlign w:val="center"/>
          </w:tcPr>
          <w:p w14:paraId="06117234">
            <w:pPr>
              <w:pStyle w:val="20"/>
              <w:bidi w:val="0"/>
              <w:spacing w:after="0"/>
              <w:jc w:val="center"/>
              <w:rPr>
                <w:b w:val="0"/>
                <w:color w:val="000000"/>
                <w:sz w:val="21"/>
                <w:szCs w:val="21"/>
                <w:lang w:eastAsia="zh-CN"/>
              </w:rPr>
            </w:pPr>
            <w:r>
              <w:rPr>
                <w:b w:val="0"/>
                <w:color w:val="000000"/>
                <w:sz w:val="21"/>
                <w:szCs w:val="21"/>
                <w:lang w:eastAsia="zh-CN"/>
              </w:rPr>
              <w:t>计划/实际碳排、运行避免排放、碳预算偏差</w:t>
            </w:r>
          </w:p>
        </w:tc>
        <w:tc>
          <w:tcPr>
            <w:tcW w:w="1728" w:type="dxa"/>
            <w:tcBorders>
              <w:top w:val="nil"/>
              <w:left w:val="nil"/>
              <w:bottom w:val="nil"/>
              <w:right w:val="nil"/>
            </w:tcBorders>
            <w:shd w:val="clear" w:color="auto" w:fill="FFFFFF"/>
            <w:vAlign w:val="center"/>
          </w:tcPr>
          <w:p w14:paraId="6656E704">
            <w:pPr>
              <w:pStyle w:val="20"/>
              <w:bidi w:val="0"/>
              <w:spacing w:after="0"/>
              <w:jc w:val="center"/>
              <w:rPr>
                <w:b w:val="0"/>
                <w:color w:val="000000"/>
                <w:sz w:val="21"/>
                <w:szCs w:val="21"/>
              </w:rPr>
            </w:pPr>
            <w:r>
              <w:rPr>
                <w:b w:val="0"/>
                <w:color w:val="000000"/>
                <w:sz w:val="21"/>
                <w:szCs w:val="21"/>
              </w:rPr>
              <w:t>kgCO₂e/1 h</w:t>
            </w:r>
          </w:p>
        </w:tc>
        <w:tc>
          <w:tcPr>
            <w:tcW w:w="1800" w:type="dxa"/>
            <w:tcBorders>
              <w:top w:val="nil"/>
              <w:left w:val="nil"/>
              <w:bottom w:val="nil"/>
              <w:right w:val="nil"/>
            </w:tcBorders>
            <w:shd w:val="clear" w:color="auto" w:fill="FFFFFF"/>
            <w:vAlign w:val="center"/>
          </w:tcPr>
          <w:p w14:paraId="2EE97226">
            <w:pPr>
              <w:pStyle w:val="20"/>
              <w:bidi w:val="0"/>
              <w:spacing w:after="0"/>
              <w:jc w:val="center"/>
              <w:rPr>
                <w:b w:val="0"/>
                <w:color w:val="000000"/>
                <w:sz w:val="21"/>
                <w:szCs w:val="21"/>
              </w:rPr>
            </w:pPr>
            <w:r>
              <w:rPr>
                <w:b w:val="0"/>
                <w:color w:val="000000"/>
                <w:sz w:val="21"/>
                <w:szCs w:val="21"/>
              </w:rPr>
              <w:t>EF_opt</w:t>
            </w:r>
          </w:p>
        </w:tc>
      </w:tr>
      <w:tr w14:paraId="74F280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nil"/>
              <w:left w:val="nil"/>
              <w:bottom w:val="nil"/>
              <w:right w:val="nil"/>
            </w:tcBorders>
            <w:shd w:val="clear" w:color="auto" w:fill="FFFFFF"/>
            <w:vAlign w:val="center"/>
          </w:tcPr>
          <w:p w14:paraId="6D8591C9">
            <w:pPr>
              <w:pStyle w:val="20"/>
              <w:bidi w:val="0"/>
              <w:spacing w:after="0"/>
              <w:jc w:val="center"/>
              <w:rPr>
                <w:b w:val="0"/>
                <w:color w:val="000000"/>
                <w:sz w:val="21"/>
                <w:szCs w:val="21"/>
              </w:rPr>
            </w:pPr>
            <w:r>
              <w:rPr>
                <w:b w:val="0"/>
                <w:color w:val="000000"/>
                <w:sz w:val="21"/>
                <w:szCs w:val="21"/>
              </w:rPr>
              <w:t>储能效率</w:t>
            </w:r>
          </w:p>
        </w:tc>
        <w:tc>
          <w:tcPr>
            <w:tcW w:w="4248" w:type="dxa"/>
            <w:tcBorders>
              <w:top w:val="nil"/>
              <w:left w:val="nil"/>
              <w:bottom w:val="nil"/>
              <w:right w:val="nil"/>
            </w:tcBorders>
            <w:shd w:val="clear" w:color="auto" w:fill="FFFFFF"/>
            <w:vAlign w:val="center"/>
          </w:tcPr>
          <w:p w14:paraId="3836B0CD">
            <w:pPr>
              <w:pStyle w:val="20"/>
              <w:bidi w:val="0"/>
              <w:spacing w:after="0"/>
              <w:jc w:val="center"/>
              <w:rPr>
                <w:b w:val="0"/>
                <w:color w:val="000000"/>
                <w:sz w:val="21"/>
                <w:szCs w:val="21"/>
                <w:lang w:eastAsia="zh-CN"/>
              </w:rPr>
            </w:pPr>
            <w:r>
              <w:rPr>
                <w:b w:val="0"/>
                <w:color w:val="000000"/>
                <w:sz w:val="21"/>
                <w:szCs w:val="21"/>
                <w:lang w:eastAsia="zh-CN"/>
              </w:rPr>
              <w:t>充电、放电、辅助电耗、损耗、</w:t>
            </w:r>
            <w:r>
              <w:rPr>
                <w:b w:val="0"/>
                <w:color w:val="000000"/>
                <w:sz w:val="21"/>
                <w:szCs w:val="21"/>
              </w:rPr>
              <w:t>η</w:t>
            </w:r>
            <w:r>
              <w:rPr>
                <w:b w:val="0"/>
                <w:color w:val="000000"/>
                <w:sz w:val="21"/>
                <w:szCs w:val="21"/>
                <w:lang w:eastAsia="zh-CN"/>
              </w:rPr>
              <w:t>_rt</w:t>
            </w:r>
          </w:p>
        </w:tc>
        <w:tc>
          <w:tcPr>
            <w:tcW w:w="1728" w:type="dxa"/>
            <w:tcBorders>
              <w:top w:val="nil"/>
              <w:left w:val="nil"/>
              <w:bottom w:val="nil"/>
              <w:right w:val="nil"/>
            </w:tcBorders>
            <w:shd w:val="clear" w:color="auto" w:fill="FFFFFF"/>
            <w:vAlign w:val="center"/>
          </w:tcPr>
          <w:p w14:paraId="252967CA">
            <w:pPr>
              <w:pStyle w:val="20"/>
              <w:bidi w:val="0"/>
              <w:spacing w:after="0"/>
              <w:jc w:val="center"/>
              <w:rPr>
                <w:b w:val="0"/>
                <w:color w:val="000000"/>
                <w:sz w:val="21"/>
                <w:szCs w:val="21"/>
              </w:rPr>
            </w:pPr>
            <w:r>
              <w:rPr>
                <w:b w:val="0"/>
                <w:color w:val="000000"/>
                <w:sz w:val="21"/>
                <w:szCs w:val="21"/>
              </w:rPr>
              <w:t>kWh、%</w:t>
            </w:r>
          </w:p>
        </w:tc>
        <w:tc>
          <w:tcPr>
            <w:tcW w:w="1800" w:type="dxa"/>
            <w:tcBorders>
              <w:top w:val="nil"/>
              <w:left w:val="nil"/>
              <w:bottom w:val="nil"/>
              <w:right w:val="nil"/>
            </w:tcBorders>
            <w:shd w:val="clear" w:color="auto" w:fill="FFFFFF"/>
            <w:vAlign w:val="center"/>
          </w:tcPr>
          <w:p w14:paraId="407F7684">
            <w:pPr>
              <w:pStyle w:val="20"/>
              <w:bidi w:val="0"/>
              <w:spacing w:after="0"/>
              <w:jc w:val="center"/>
              <w:rPr>
                <w:b w:val="0"/>
                <w:color w:val="000000"/>
                <w:sz w:val="21"/>
                <w:szCs w:val="21"/>
              </w:rPr>
            </w:pPr>
            <w:r>
              <w:rPr>
                <w:b w:val="0"/>
                <w:color w:val="000000"/>
                <w:sz w:val="21"/>
                <w:szCs w:val="21"/>
              </w:rPr>
              <w:t>实测</w:t>
            </w:r>
          </w:p>
        </w:tc>
      </w:tr>
      <w:tr w14:paraId="687FCF5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nil"/>
              <w:left w:val="nil"/>
              <w:bottom w:val="nil"/>
              <w:right w:val="nil"/>
            </w:tcBorders>
            <w:shd w:val="clear" w:color="auto" w:fill="FFFFFF"/>
            <w:vAlign w:val="center"/>
          </w:tcPr>
          <w:p w14:paraId="16345F63">
            <w:pPr>
              <w:pStyle w:val="20"/>
              <w:bidi w:val="0"/>
              <w:spacing w:after="0"/>
              <w:jc w:val="center"/>
              <w:rPr>
                <w:b w:val="0"/>
                <w:color w:val="000000"/>
                <w:sz w:val="21"/>
                <w:szCs w:val="21"/>
              </w:rPr>
            </w:pPr>
            <w:r>
              <w:rPr>
                <w:b w:val="0"/>
                <w:color w:val="000000"/>
                <w:sz w:val="21"/>
                <w:szCs w:val="21"/>
              </w:rPr>
              <w:t>项目减排</w:t>
            </w:r>
          </w:p>
        </w:tc>
        <w:tc>
          <w:tcPr>
            <w:tcW w:w="4248" w:type="dxa"/>
            <w:tcBorders>
              <w:top w:val="nil"/>
              <w:left w:val="nil"/>
              <w:bottom w:val="nil"/>
              <w:right w:val="nil"/>
            </w:tcBorders>
            <w:shd w:val="clear" w:color="auto" w:fill="FFFFFF"/>
            <w:vAlign w:val="center"/>
          </w:tcPr>
          <w:p w14:paraId="723C1188">
            <w:pPr>
              <w:pStyle w:val="20"/>
              <w:bidi w:val="0"/>
              <w:spacing w:after="0"/>
              <w:jc w:val="center"/>
              <w:rPr>
                <w:b w:val="0"/>
                <w:color w:val="000000"/>
                <w:sz w:val="21"/>
                <w:szCs w:val="21"/>
              </w:rPr>
            </w:pPr>
            <w:r>
              <w:rPr>
                <w:b w:val="0"/>
                <w:color w:val="000000"/>
                <w:sz w:val="21"/>
                <w:szCs w:val="21"/>
              </w:rPr>
              <w:t>BE、PE、LE、ER_op、ER_net</w:t>
            </w:r>
          </w:p>
        </w:tc>
        <w:tc>
          <w:tcPr>
            <w:tcW w:w="1728" w:type="dxa"/>
            <w:tcBorders>
              <w:top w:val="nil"/>
              <w:left w:val="nil"/>
              <w:bottom w:val="nil"/>
              <w:right w:val="nil"/>
            </w:tcBorders>
            <w:shd w:val="clear" w:color="auto" w:fill="FFFFFF"/>
            <w:vAlign w:val="center"/>
          </w:tcPr>
          <w:p w14:paraId="057993EF">
            <w:pPr>
              <w:pStyle w:val="20"/>
              <w:bidi w:val="0"/>
              <w:spacing w:after="0"/>
              <w:jc w:val="center"/>
              <w:rPr>
                <w:b w:val="0"/>
                <w:color w:val="000000"/>
                <w:sz w:val="21"/>
                <w:szCs w:val="21"/>
              </w:rPr>
            </w:pPr>
            <w:r>
              <w:rPr>
                <w:b w:val="0"/>
                <w:color w:val="000000"/>
                <w:sz w:val="21"/>
                <w:szCs w:val="21"/>
              </w:rPr>
              <w:t>tCO₂e/周期</w:t>
            </w:r>
          </w:p>
        </w:tc>
        <w:tc>
          <w:tcPr>
            <w:tcW w:w="1800" w:type="dxa"/>
            <w:tcBorders>
              <w:top w:val="nil"/>
              <w:left w:val="nil"/>
              <w:bottom w:val="nil"/>
              <w:right w:val="nil"/>
            </w:tcBorders>
            <w:shd w:val="clear" w:color="auto" w:fill="FFFFFF"/>
            <w:vAlign w:val="center"/>
          </w:tcPr>
          <w:p w14:paraId="242CDF50">
            <w:pPr>
              <w:pStyle w:val="20"/>
              <w:bidi w:val="0"/>
              <w:spacing w:after="0"/>
              <w:jc w:val="center"/>
              <w:rPr>
                <w:b w:val="0"/>
                <w:color w:val="000000"/>
                <w:sz w:val="21"/>
                <w:szCs w:val="21"/>
              </w:rPr>
            </w:pPr>
            <w:r>
              <w:rPr>
                <w:b w:val="0"/>
                <w:color w:val="000000"/>
                <w:sz w:val="21"/>
                <w:szCs w:val="21"/>
              </w:rPr>
              <w:t>项目方法</w:t>
            </w:r>
          </w:p>
        </w:tc>
      </w:tr>
      <w:tr w14:paraId="616D7A0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nil"/>
              <w:left w:val="nil"/>
              <w:bottom w:val="nil"/>
              <w:right w:val="nil"/>
            </w:tcBorders>
            <w:shd w:val="clear" w:color="auto" w:fill="FFFFFF"/>
            <w:vAlign w:val="center"/>
          </w:tcPr>
          <w:p w14:paraId="0A41F6D4">
            <w:pPr>
              <w:pStyle w:val="20"/>
              <w:bidi w:val="0"/>
              <w:spacing w:after="0"/>
              <w:jc w:val="center"/>
              <w:rPr>
                <w:b w:val="0"/>
                <w:color w:val="000000"/>
                <w:sz w:val="21"/>
                <w:szCs w:val="21"/>
              </w:rPr>
            </w:pPr>
            <w:r>
              <w:rPr>
                <w:b w:val="0"/>
                <w:color w:val="000000"/>
                <w:sz w:val="21"/>
                <w:szCs w:val="21"/>
              </w:rPr>
              <w:t>LCA</w:t>
            </w:r>
          </w:p>
        </w:tc>
        <w:tc>
          <w:tcPr>
            <w:tcW w:w="4248" w:type="dxa"/>
            <w:tcBorders>
              <w:top w:val="nil"/>
              <w:left w:val="nil"/>
              <w:bottom w:val="nil"/>
              <w:right w:val="nil"/>
            </w:tcBorders>
            <w:shd w:val="clear" w:color="auto" w:fill="FFFFFF"/>
            <w:vAlign w:val="center"/>
          </w:tcPr>
          <w:p w14:paraId="1FA6DBAA">
            <w:pPr>
              <w:pStyle w:val="20"/>
              <w:bidi w:val="0"/>
              <w:spacing w:after="0"/>
              <w:jc w:val="center"/>
              <w:rPr>
                <w:b w:val="0"/>
                <w:color w:val="000000"/>
                <w:sz w:val="21"/>
                <w:szCs w:val="21"/>
                <w:lang w:eastAsia="zh-CN"/>
              </w:rPr>
            </w:pPr>
            <w:r>
              <w:rPr>
                <w:b w:val="0"/>
                <w:color w:val="000000"/>
                <w:sz w:val="21"/>
                <w:szCs w:val="21"/>
                <w:lang w:eastAsia="zh-CN"/>
              </w:rPr>
              <w:t>分阶段碳足迹、隐含碳强度、累计分摊</w:t>
            </w:r>
          </w:p>
        </w:tc>
        <w:tc>
          <w:tcPr>
            <w:tcW w:w="1728" w:type="dxa"/>
            <w:tcBorders>
              <w:top w:val="nil"/>
              <w:left w:val="nil"/>
              <w:bottom w:val="nil"/>
              <w:right w:val="nil"/>
            </w:tcBorders>
            <w:shd w:val="clear" w:color="auto" w:fill="FFFFFF"/>
            <w:vAlign w:val="center"/>
          </w:tcPr>
          <w:p w14:paraId="5F45C885">
            <w:pPr>
              <w:pStyle w:val="20"/>
              <w:bidi w:val="0"/>
              <w:spacing w:after="0"/>
              <w:jc w:val="center"/>
              <w:rPr>
                <w:b w:val="0"/>
                <w:color w:val="000000"/>
                <w:sz w:val="21"/>
                <w:szCs w:val="21"/>
              </w:rPr>
            </w:pPr>
            <w:r>
              <w:rPr>
                <w:b w:val="0"/>
                <w:color w:val="000000"/>
                <w:sz w:val="21"/>
                <w:szCs w:val="21"/>
              </w:rPr>
              <w:t>kgCO₂e/kWh等</w:t>
            </w:r>
          </w:p>
        </w:tc>
        <w:tc>
          <w:tcPr>
            <w:tcW w:w="1800" w:type="dxa"/>
            <w:tcBorders>
              <w:top w:val="nil"/>
              <w:left w:val="nil"/>
              <w:bottom w:val="nil"/>
              <w:right w:val="nil"/>
            </w:tcBorders>
            <w:shd w:val="clear" w:color="auto" w:fill="FFFFFF"/>
            <w:vAlign w:val="center"/>
          </w:tcPr>
          <w:p w14:paraId="132A8643">
            <w:pPr>
              <w:pStyle w:val="20"/>
              <w:bidi w:val="0"/>
              <w:spacing w:after="0"/>
              <w:jc w:val="center"/>
              <w:rPr>
                <w:b w:val="0"/>
                <w:color w:val="000000"/>
                <w:sz w:val="21"/>
                <w:szCs w:val="21"/>
              </w:rPr>
            </w:pPr>
            <w:r>
              <w:rPr>
                <w:b w:val="0"/>
                <w:color w:val="000000"/>
                <w:sz w:val="21"/>
                <w:szCs w:val="21"/>
              </w:rPr>
              <w:t>EF_CFP/LCA</w:t>
            </w:r>
          </w:p>
        </w:tc>
      </w:tr>
      <w:tr w14:paraId="7FCFA97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nil"/>
              <w:left w:val="nil"/>
              <w:bottom w:val="nil"/>
              <w:right w:val="nil"/>
            </w:tcBorders>
            <w:shd w:val="clear" w:color="auto" w:fill="FFFFFF"/>
            <w:vAlign w:val="center"/>
          </w:tcPr>
          <w:p w14:paraId="3FF02A07">
            <w:pPr>
              <w:pStyle w:val="20"/>
              <w:bidi w:val="0"/>
              <w:spacing w:after="0"/>
              <w:jc w:val="center"/>
              <w:rPr>
                <w:b w:val="0"/>
                <w:color w:val="000000"/>
                <w:sz w:val="21"/>
                <w:szCs w:val="21"/>
              </w:rPr>
            </w:pPr>
            <w:r>
              <w:rPr>
                <w:b w:val="0"/>
                <w:color w:val="000000"/>
                <w:sz w:val="21"/>
                <w:szCs w:val="21"/>
              </w:rPr>
              <w:t>协同强度</w:t>
            </w:r>
          </w:p>
        </w:tc>
        <w:tc>
          <w:tcPr>
            <w:tcW w:w="4248" w:type="dxa"/>
            <w:tcBorders>
              <w:top w:val="nil"/>
              <w:left w:val="nil"/>
              <w:bottom w:val="nil"/>
              <w:right w:val="nil"/>
            </w:tcBorders>
            <w:shd w:val="clear" w:color="auto" w:fill="FFFFFF"/>
            <w:vAlign w:val="center"/>
          </w:tcPr>
          <w:p w14:paraId="7B891832">
            <w:pPr>
              <w:pStyle w:val="20"/>
              <w:bidi w:val="0"/>
              <w:spacing w:after="0"/>
              <w:jc w:val="center"/>
              <w:rPr>
                <w:b w:val="0"/>
                <w:color w:val="000000"/>
                <w:sz w:val="21"/>
                <w:szCs w:val="21"/>
              </w:rPr>
            </w:pPr>
            <w:r>
              <w:rPr>
                <w:b w:val="0"/>
                <w:color w:val="000000"/>
                <w:sz w:val="21"/>
                <w:szCs w:val="21"/>
              </w:rPr>
              <w:t>kgCO₂e/m³、kgCO₂e/kg COD去除</w:t>
            </w:r>
          </w:p>
        </w:tc>
        <w:tc>
          <w:tcPr>
            <w:tcW w:w="1728" w:type="dxa"/>
            <w:tcBorders>
              <w:top w:val="nil"/>
              <w:left w:val="nil"/>
              <w:bottom w:val="nil"/>
              <w:right w:val="nil"/>
            </w:tcBorders>
            <w:shd w:val="clear" w:color="auto" w:fill="FFFFFF"/>
            <w:vAlign w:val="center"/>
          </w:tcPr>
          <w:p w14:paraId="55722535">
            <w:pPr>
              <w:pStyle w:val="20"/>
              <w:bidi w:val="0"/>
              <w:spacing w:after="0"/>
              <w:jc w:val="center"/>
              <w:rPr>
                <w:b w:val="0"/>
                <w:color w:val="000000"/>
                <w:sz w:val="21"/>
                <w:szCs w:val="21"/>
              </w:rPr>
            </w:pPr>
            <w:r>
              <w:rPr>
                <w:b w:val="0"/>
                <w:color w:val="000000"/>
                <w:sz w:val="21"/>
                <w:szCs w:val="21"/>
              </w:rPr>
              <w:t>强度</w:t>
            </w:r>
          </w:p>
        </w:tc>
        <w:tc>
          <w:tcPr>
            <w:tcW w:w="1800" w:type="dxa"/>
            <w:tcBorders>
              <w:top w:val="nil"/>
              <w:left w:val="nil"/>
              <w:bottom w:val="nil"/>
              <w:right w:val="nil"/>
            </w:tcBorders>
            <w:shd w:val="clear" w:color="auto" w:fill="FFFFFF"/>
            <w:vAlign w:val="center"/>
          </w:tcPr>
          <w:p w14:paraId="170A4397">
            <w:pPr>
              <w:pStyle w:val="20"/>
              <w:bidi w:val="0"/>
              <w:spacing w:after="0"/>
              <w:jc w:val="center"/>
              <w:rPr>
                <w:b w:val="0"/>
                <w:color w:val="000000"/>
                <w:sz w:val="21"/>
                <w:szCs w:val="21"/>
              </w:rPr>
            </w:pPr>
            <w:r>
              <w:rPr>
                <w:b w:val="0"/>
                <w:color w:val="000000"/>
                <w:sz w:val="21"/>
                <w:szCs w:val="21"/>
              </w:rPr>
              <w:t>企业清单</w:t>
            </w:r>
          </w:p>
        </w:tc>
      </w:tr>
      <w:tr w14:paraId="2C85C65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nil"/>
              <w:left w:val="nil"/>
              <w:bottom w:val="nil"/>
              <w:right w:val="nil"/>
            </w:tcBorders>
            <w:shd w:val="clear" w:color="auto" w:fill="FFFFFF"/>
            <w:vAlign w:val="center"/>
          </w:tcPr>
          <w:p w14:paraId="5CA4D0C8">
            <w:pPr>
              <w:pStyle w:val="20"/>
              <w:bidi w:val="0"/>
              <w:spacing w:after="0"/>
              <w:jc w:val="center"/>
              <w:rPr>
                <w:b w:val="0"/>
                <w:color w:val="000000"/>
                <w:sz w:val="21"/>
                <w:szCs w:val="21"/>
              </w:rPr>
            </w:pPr>
            <w:r>
              <w:rPr>
                <w:b w:val="0"/>
                <w:color w:val="000000"/>
                <w:sz w:val="21"/>
                <w:szCs w:val="21"/>
              </w:rPr>
              <w:t>经济指标</w:t>
            </w:r>
          </w:p>
        </w:tc>
        <w:tc>
          <w:tcPr>
            <w:tcW w:w="4248" w:type="dxa"/>
            <w:tcBorders>
              <w:top w:val="nil"/>
              <w:left w:val="nil"/>
              <w:bottom w:val="nil"/>
              <w:right w:val="nil"/>
            </w:tcBorders>
            <w:shd w:val="clear" w:color="auto" w:fill="FFFFFF"/>
            <w:vAlign w:val="center"/>
          </w:tcPr>
          <w:p w14:paraId="39EA7C6C">
            <w:pPr>
              <w:pStyle w:val="20"/>
              <w:bidi w:val="0"/>
              <w:spacing w:after="0"/>
              <w:jc w:val="center"/>
              <w:rPr>
                <w:b w:val="0"/>
                <w:color w:val="000000"/>
                <w:sz w:val="21"/>
                <w:szCs w:val="21"/>
                <w:lang w:eastAsia="zh-CN"/>
              </w:rPr>
            </w:pPr>
            <w:r>
              <w:rPr>
                <w:b w:val="0"/>
                <w:color w:val="000000"/>
                <w:sz w:val="21"/>
                <w:szCs w:val="21"/>
                <w:lang w:eastAsia="zh-CN"/>
              </w:rPr>
              <w:t>电费、需量、退化成本、节省额</w:t>
            </w:r>
          </w:p>
        </w:tc>
        <w:tc>
          <w:tcPr>
            <w:tcW w:w="1728" w:type="dxa"/>
            <w:tcBorders>
              <w:top w:val="nil"/>
              <w:left w:val="nil"/>
              <w:bottom w:val="nil"/>
              <w:right w:val="nil"/>
            </w:tcBorders>
            <w:shd w:val="clear" w:color="auto" w:fill="FFFFFF"/>
            <w:vAlign w:val="center"/>
          </w:tcPr>
          <w:p w14:paraId="73B4070F">
            <w:pPr>
              <w:pStyle w:val="20"/>
              <w:bidi w:val="0"/>
              <w:spacing w:after="0"/>
              <w:jc w:val="center"/>
              <w:rPr>
                <w:b w:val="0"/>
                <w:color w:val="000000"/>
                <w:sz w:val="21"/>
                <w:szCs w:val="21"/>
              </w:rPr>
            </w:pPr>
            <w:r>
              <w:rPr>
                <w:b w:val="0"/>
                <w:color w:val="000000"/>
                <w:sz w:val="21"/>
                <w:szCs w:val="21"/>
              </w:rPr>
              <w:t>元/周期</w:t>
            </w:r>
          </w:p>
        </w:tc>
        <w:tc>
          <w:tcPr>
            <w:tcW w:w="1800" w:type="dxa"/>
            <w:tcBorders>
              <w:top w:val="nil"/>
              <w:left w:val="nil"/>
              <w:bottom w:val="nil"/>
              <w:right w:val="nil"/>
            </w:tcBorders>
            <w:shd w:val="clear" w:color="auto" w:fill="FFFFFF"/>
            <w:vAlign w:val="center"/>
          </w:tcPr>
          <w:p w14:paraId="5C7FC3C2">
            <w:pPr>
              <w:pStyle w:val="20"/>
              <w:bidi w:val="0"/>
              <w:spacing w:after="0"/>
              <w:jc w:val="center"/>
              <w:rPr>
                <w:b w:val="0"/>
                <w:color w:val="000000"/>
                <w:sz w:val="21"/>
                <w:szCs w:val="21"/>
              </w:rPr>
            </w:pPr>
            <w:r>
              <w:rPr>
                <w:b w:val="0"/>
                <w:color w:val="000000"/>
                <w:sz w:val="21"/>
                <w:szCs w:val="21"/>
              </w:rPr>
              <w:t>结算/模型</w:t>
            </w:r>
          </w:p>
        </w:tc>
      </w:tr>
      <w:tr w14:paraId="72A9B7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584" w:type="dxa"/>
            <w:tcBorders>
              <w:top w:val="nil"/>
              <w:left w:val="nil"/>
              <w:bottom w:val="single" w:color="000000" w:sz="12" w:space="0"/>
              <w:right w:val="nil"/>
            </w:tcBorders>
            <w:shd w:val="clear" w:color="auto" w:fill="FFFFFF"/>
            <w:vAlign w:val="center"/>
          </w:tcPr>
          <w:p w14:paraId="2315C6ED">
            <w:pPr>
              <w:pStyle w:val="20"/>
              <w:bidi w:val="0"/>
              <w:spacing w:after="0"/>
              <w:jc w:val="center"/>
              <w:rPr>
                <w:b w:val="0"/>
                <w:color w:val="000000"/>
                <w:sz w:val="21"/>
                <w:szCs w:val="21"/>
              </w:rPr>
            </w:pPr>
            <w:r>
              <w:rPr>
                <w:b w:val="0"/>
                <w:color w:val="000000"/>
                <w:sz w:val="21"/>
                <w:szCs w:val="21"/>
              </w:rPr>
              <w:t>质量指标</w:t>
            </w:r>
          </w:p>
        </w:tc>
        <w:tc>
          <w:tcPr>
            <w:tcW w:w="4248" w:type="dxa"/>
            <w:tcBorders>
              <w:top w:val="nil"/>
              <w:left w:val="nil"/>
              <w:bottom w:val="single" w:color="000000" w:sz="12" w:space="0"/>
              <w:right w:val="nil"/>
            </w:tcBorders>
            <w:shd w:val="clear" w:color="auto" w:fill="FFFFFF"/>
            <w:vAlign w:val="center"/>
          </w:tcPr>
          <w:p w14:paraId="157D401A">
            <w:pPr>
              <w:pStyle w:val="20"/>
              <w:bidi w:val="0"/>
              <w:spacing w:after="0"/>
              <w:jc w:val="center"/>
              <w:rPr>
                <w:b w:val="0"/>
                <w:color w:val="000000"/>
                <w:sz w:val="21"/>
                <w:szCs w:val="21"/>
                <w:lang w:eastAsia="zh-CN"/>
              </w:rPr>
            </w:pPr>
            <w:r>
              <w:rPr>
                <w:b w:val="0"/>
                <w:color w:val="000000"/>
                <w:sz w:val="21"/>
                <w:szCs w:val="21"/>
                <w:lang w:eastAsia="zh-CN"/>
              </w:rPr>
              <w:t>完整率、估算占比、不确定度、质量等级</w:t>
            </w:r>
          </w:p>
        </w:tc>
        <w:tc>
          <w:tcPr>
            <w:tcW w:w="1728" w:type="dxa"/>
            <w:tcBorders>
              <w:top w:val="nil"/>
              <w:left w:val="nil"/>
              <w:bottom w:val="single" w:color="000000" w:sz="12" w:space="0"/>
              <w:right w:val="nil"/>
            </w:tcBorders>
            <w:shd w:val="clear" w:color="auto" w:fill="FFFFFF"/>
            <w:vAlign w:val="center"/>
          </w:tcPr>
          <w:p w14:paraId="0110DC4C">
            <w:pPr>
              <w:pStyle w:val="20"/>
              <w:bidi w:val="0"/>
              <w:spacing w:after="0"/>
              <w:jc w:val="center"/>
              <w:rPr>
                <w:b w:val="0"/>
                <w:color w:val="000000"/>
                <w:sz w:val="21"/>
                <w:szCs w:val="21"/>
              </w:rPr>
            </w:pPr>
            <w:r>
              <w:rPr>
                <w:b w:val="0"/>
                <w:color w:val="000000"/>
                <w:sz w:val="21"/>
                <w:szCs w:val="21"/>
              </w:rPr>
              <w:t>%/等级</w:t>
            </w:r>
          </w:p>
        </w:tc>
        <w:tc>
          <w:tcPr>
            <w:tcW w:w="1800" w:type="dxa"/>
            <w:tcBorders>
              <w:top w:val="nil"/>
              <w:left w:val="nil"/>
              <w:bottom w:val="single" w:color="000000" w:sz="12" w:space="0"/>
              <w:right w:val="nil"/>
            </w:tcBorders>
            <w:shd w:val="clear" w:color="auto" w:fill="FFFFFF"/>
            <w:vAlign w:val="center"/>
          </w:tcPr>
          <w:p w14:paraId="7EE00195">
            <w:pPr>
              <w:pStyle w:val="20"/>
              <w:bidi w:val="0"/>
              <w:spacing w:after="0"/>
              <w:jc w:val="center"/>
              <w:rPr>
                <w:b w:val="0"/>
                <w:color w:val="000000"/>
                <w:sz w:val="21"/>
                <w:szCs w:val="21"/>
              </w:rPr>
            </w:pPr>
            <w:r>
              <w:rPr>
                <w:b w:val="0"/>
                <w:color w:val="000000"/>
                <w:sz w:val="21"/>
                <w:szCs w:val="21"/>
              </w:rPr>
              <w:t>质量模块</w:t>
            </w:r>
          </w:p>
        </w:tc>
      </w:tr>
    </w:tbl>
    <w:p w14:paraId="25DCE323">
      <w:pPr>
        <w:pStyle w:val="3"/>
        <w:bidi w:val="0"/>
        <w:rPr>
          <w:lang w:eastAsia="zh-CN"/>
        </w:rPr>
      </w:pPr>
      <w:r>
        <w:rPr>
          <w:rFonts w:hint="eastAsia"/>
          <w:lang w:val="en-US" w:eastAsia="zh-CN"/>
        </w:rPr>
        <w:t>8</w:t>
      </w:r>
      <w:r>
        <w:rPr>
          <w:lang w:eastAsia="zh-CN"/>
        </w:rPr>
        <w:t>.2　碳核算大屏的时间尺度与聚合规则</w:t>
      </w:r>
    </w:p>
    <w:p w14:paraId="26026D63">
      <w:pPr>
        <w:ind w:firstLine="440"/>
        <w:rPr>
          <w:lang w:eastAsia="zh-CN"/>
        </w:rPr>
      </w:pPr>
      <w:r>
        <w:rPr>
          <w:rFonts w:ascii="Arial" w:hAnsi="Arial"/>
          <w:sz w:val="22"/>
          <w:lang w:eastAsia="zh-CN"/>
        </w:rPr>
        <w:t>大屏设置“1h／天／周／月／年”五个固定时间尺度。小时是底层唯一核算粒度，天、周、月、年均由已经通过质量校验的小时结果聚合生成，不再保留15分钟口径。用户切换时间尺度时，指标卡、趋势图、结构图和明细表使用同一统计边界联动刷新。</w:t>
      </w:r>
    </w:p>
    <w:p w14:paraId="462B473B">
      <w:pPr>
        <w:pStyle w:val="18"/>
        <w:bidi w:val="0"/>
      </w:pPr>
      <w:r>
        <w:t>表19　大屏五级时间尺度</w:t>
      </w:r>
    </w:p>
    <w:tbl>
      <w:tblPr>
        <w:tblStyle w:val="22"/>
        <w:tblW w:w="936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893"/>
        <w:gridCol w:w="2477"/>
        <w:gridCol w:w="4579"/>
        <w:gridCol w:w="1411"/>
      </w:tblGrid>
      <w:tr w14:paraId="768626A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3" w:type="dxa"/>
            <w:tcBorders>
              <w:top w:val="single" w:color="000000" w:sz="12" w:space="0"/>
              <w:left w:val="nil"/>
              <w:bottom w:val="single" w:color="000000" w:sz="4" w:space="0"/>
              <w:right w:val="nil"/>
              <w:tl2br w:val="nil"/>
            </w:tcBorders>
            <w:shd w:val="clear" w:color="auto" w:fill="FFFFFF"/>
            <w:vAlign w:val="center"/>
          </w:tcPr>
          <w:p w14:paraId="05587B3A">
            <w:pPr>
              <w:pStyle w:val="20"/>
              <w:bidi w:val="0"/>
              <w:spacing w:after="0"/>
              <w:jc w:val="center"/>
              <w:rPr>
                <w:b w:val="0"/>
                <w:color w:val="000000"/>
                <w:sz w:val="21"/>
                <w:szCs w:val="21"/>
              </w:rPr>
            </w:pPr>
            <w:r>
              <w:rPr>
                <w:b w:val="0"/>
                <w:color w:val="000000"/>
                <w:sz w:val="21"/>
                <w:szCs w:val="21"/>
              </w:rPr>
              <w:t>尺度</w:t>
            </w:r>
          </w:p>
        </w:tc>
        <w:tc>
          <w:tcPr>
            <w:tcW w:w="2477" w:type="dxa"/>
            <w:tcBorders>
              <w:top w:val="single" w:color="000000" w:sz="12" w:space="0"/>
              <w:left w:val="nil"/>
              <w:bottom w:val="single" w:color="000000" w:sz="4" w:space="0"/>
              <w:right w:val="nil"/>
            </w:tcBorders>
            <w:shd w:val="clear" w:color="auto" w:fill="FFFFFF"/>
            <w:vAlign w:val="center"/>
          </w:tcPr>
          <w:p w14:paraId="2E7C1CEA">
            <w:pPr>
              <w:pStyle w:val="20"/>
              <w:bidi w:val="0"/>
              <w:spacing w:after="0"/>
              <w:jc w:val="center"/>
              <w:rPr>
                <w:b w:val="0"/>
                <w:color w:val="000000"/>
                <w:sz w:val="21"/>
                <w:szCs w:val="21"/>
              </w:rPr>
            </w:pPr>
            <w:r>
              <w:rPr>
                <w:b w:val="0"/>
                <w:color w:val="000000"/>
                <w:sz w:val="21"/>
                <w:szCs w:val="21"/>
              </w:rPr>
              <w:t>统计窗口</w:t>
            </w:r>
          </w:p>
        </w:tc>
        <w:tc>
          <w:tcPr>
            <w:tcW w:w="4579" w:type="dxa"/>
            <w:tcBorders>
              <w:top w:val="single" w:color="000000" w:sz="12" w:space="0"/>
              <w:left w:val="nil"/>
              <w:bottom w:val="single" w:color="000000" w:sz="4" w:space="0"/>
              <w:right w:val="nil"/>
            </w:tcBorders>
            <w:shd w:val="clear" w:color="auto" w:fill="FFFFFF"/>
            <w:vAlign w:val="center"/>
          </w:tcPr>
          <w:p w14:paraId="6A6E035D">
            <w:pPr>
              <w:pStyle w:val="20"/>
              <w:bidi w:val="0"/>
              <w:spacing w:after="0"/>
              <w:jc w:val="center"/>
              <w:rPr>
                <w:b w:val="0"/>
                <w:color w:val="000000"/>
                <w:sz w:val="21"/>
                <w:szCs w:val="21"/>
              </w:rPr>
            </w:pPr>
            <w:r>
              <w:rPr>
                <w:b w:val="0"/>
                <w:color w:val="000000"/>
                <w:sz w:val="21"/>
                <w:szCs w:val="21"/>
              </w:rPr>
              <w:t>主要显示内容</w:t>
            </w:r>
          </w:p>
        </w:tc>
        <w:tc>
          <w:tcPr>
            <w:tcW w:w="1411" w:type="dxa"/>
            <w:tcBorders>
              <w:top w:val="single" w:color="000000" w:sz="12" w:space="0"/>
              <w:left w:val="nil"/>
              <w:bottom w:val="single" w:color="000000" w:sz="4" w:space="0"/>
              <w:right w:val="nil"/>
            </w:tcBorders>
            <w:shd w:val="clear" w:color="auto" w:fill="FFFFFF"/>
            <w:vAlign w:val="center"/>
          </w:tcPr>
          <w:p w14:paraId="1983F622">
            <w:pPr>
              <w:pStyle w:val="20"/>
              <w:bidi w:val="0"/>
              <w:spacing w:after="0"/>
              <w:jc w:val="center"/>
              <w:rPr>
                <w:b w:val="0"/>
                <w:color w:val="000000"/>
                <w:sz w:val="21"/>
                <w:szCs w:val="21"/>
              </w:rPr>
            </w:pPr>
            <w:r>
              <w:rPr>
                <w:b w:val="0"/>
                <w:color w:val="000000"/>
                <w:sz w:val="21"/>
                <w:szCs w:val="21"/>
              </w:rPr>
              <w:t>更新方式</w:t>
            </w:r>
          </w:p>
        </w:tc>
      </w:tr>
      <w:tr w14:paraId="7F9964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3" w:type="dxa"/>
            <w:tcBorders>
              <w:top w:val="single" w:color="000000" w:sz="4" w:space="0"/>
              <w:left w:val="nil"/>
              <w:bottom w:val="nil"/>
              <w:right w:val="nil"/>
            </w:tcBorders>
            <w:shd w:val="clear" w:color="auto" w:fill="FFFFFF"/>
            <w:vAlign w:val="center"/>
          </w:tcPr>
          <w:p w14:paraId="1386C11F">
            <w:pPr>
              <w:pStyle w:val="20"/>
              <w:bidi w:val="0"/>
              <w:spacing w:after="0"/>
              <w:jc w:val="center"/>
              <w:rPr>
                <w:b w:val="0"/>
                <w:color w:val="000000"/>
                <w:sz w:val="21"/>
                <w:szCs w:val="21"/>
              </w:rPr>
            </w:pPr>
            <w:r>
              <w:rPr>
                <w:b w:val="0"/>
                <w:color w:val="000000"/>
                <w:sz w:val="21"/>
                <w:szCs w:val="21"/>
              </w:rPr>
              <w:t>1h</w:t>
            </w:r>
          </w:p>
        </w:tc>
        <w:tc>
          <w:tcPr>
            <w:tcW w:w="2477" w:type="dxa"/>
            <w:tcBorders>
              <w:top w:val="single" w:color="000000" w:sz="4" w:space="0"/>
              <w:left w:val="nil"/>
              <w:bottom w:val="nil"/>
              <w:right w:val="nil"/>
            </w:tcBorders>
            <w:shd w:val="clear" w:color="auto" w:fill="FFFFFF"/>
            <w:vAlign w:val="center"/>
          </w:tcPr>
          <w:p w14:paraId="33AB88EC">
            <w:pPr>
              <w:pStyle w:val="20"/>
              <w:bidi w:val="0"/>
              <w:spacing w:after="0"/>
              <w:jc w:val="center"/>
              <w:rPr>
                <w:b w:val="0"/>
                <w:color w:val="000000"/>
                <w:sz w:val="21"/>
                <w:szCs w:val="21"/>
                <w:lang w:eastAsia="zh-CN"/>
              </w:rPr>
            </w:pPr>
            <w:r>
              <w:rPr>
                <w:b w:val="0"/>
                <w:color w:val="000000"/>
                <w:sz w:val="21"/>
                <w:szCs w:val="21"/>
                <w:lang w:eastAsia="zh-CN"/>
              </w:rPr>
              <w:t>最近一个已闭合自然小时；趋势默认展示最近24 h</w:t>
            </w:r>
          </w:p>
        </w:tc>
        <w:tc>
          <w:tcPr>
            <w:tcW w:w="4579" w:type="dxa"/>
            <w:tcBorders>
              <w:top w:val="single" w:color="000000" w:sz="4" w:space="0"/>
              <w:left w:val="nil"/>
              <w:bottom w:val="nil"/>
              <w:right w:val="nil"/>
            </w:tcBorders>
            <w:shd w:val="clear" w:color="auto" w:fill="FFFFFF"/>
            <w:vAlign w:val="center"/>
          </w:tcPr>
          <w:p w14:paraId="56B08439">
            <w:pPr>
              <w:pStyle w:val="20"/>
              <w:bidi w:val="0"/>
              <w:spacing w:after="0"/>
              <w:jc w:val="center"/>
              <w:rPr>
                <w:b w:val="0"/>
                <w:color w:val="000000"/>
                <w:sz w:val="21"/>
                <w:szCs w:val="21"/>
                <w:lang w:eastAsia="zh-CN"/>
              </w:rPr>
            </w:pPr>
            <w:r>
              <w:rPr>
                <w:b w:val="0"/>
                <w:color w:val="000000"/>
                <w:sz w:val="21"/>
                <w:szCs w:val="21"/>
                <w:lang w:eastAsia="zh-CN"/>
              </w:rPr>
              <w:t>小时碳排、基准排放、项目排放、运行减排、电量、SOC、EF、成本</w:t>
            </w:r>
          </w:p>
        </w:tc>
        <w:tc>
          <w:tcPr>
            <w:tcW w:w="1411" w:type="dxa"/>
            <w:tcBorders>
              <w:top w:val="single" w:color="000000" w:sz="4" w:space="0"/>
              <w:left w:val="nil"/>
              <w:bottom w:val="nil"/>
              <w:right w:val="nil"/>
            </w:tcBorders>
            <w:shd w:val="clear" w:color="auto" w:fill="FFFFFF"/>
            <w:vAlign w:val="center"/>
          </w:tcPr>
          <w:p w14:paraId="4CCD6B47">
            <w:pPr>
              <w:pStyle w:val="20"/>
              <w:bidi w:val="0"/>
              <w:spacing w:after="0"/>
              <w:jc w:val="center"/>
              <w:rPr>
                <w:b w:val="0"/>
                <w:color w:val="000000"/>
                <w:sz w:val="21"/>
                <w:szCs w:val="21"/>
              </w:rPr>
            </w:pPr>
            <w:r>
              <w:rPr>
                <w:b w:val="0"/>
                <w:color w:val="000000"/>
                <w:sz w:val="21"/>
                <w:szCs w:val="21"/>
              </w:rPr>
              <w:t>小时窗口闭合后更新</w:t>
            </w:r>
          </w:p>
        </w:tc>
      </w:tr>
      <w:tr w14:paraId="4A1E64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3" w:type="dxa"/>
            <w:tcBorders>
              <w:top w:val="nil"/>
              <w:left w:val="nil"/>
              <w:bottom w:val="nil"/>
              <w:right w:val="nil"/>
            </w:tcBorders>
            <w:shd w:val="clear" w:color="auto" w:fill="FFFFFF"/>
            <w:vAlign w:val="center"/>
          </w:tcPr>
          <w:p w14:paraId="3AA5D776">
            <w:pPr>
              <w:pStyle w:val="20"/>
              <w:bidi w:val="0"/>
              <w:spacing w:after="0"/>
              <w:jc w:val="center"/>
              <w:rPr>
                <w:b w:val="0"/>
                <w:color w:val="000000"/>
                <w:sz w:val="21"/>
                <w:szCs w:val="21"/>
              </w:rPr>
            </w:pPr>
            <w:r>
              <w:rPr>
                <w:b w:val="0"/>
                <w:color w:val="000000"/>
                <w:sz w:val="21"/>
                <w:szCs w:val="21"/>
              </w:rPr>
              <w:t>天</w:t>
            </w:r>
          </w:p>
        </w:tc>
        <w:tc>
          <w:tcPr>
            <w:tcW w:w="2477" w:type="dxa"/>
            <w:tcBorders>
              <w:top w:val="nil"/>
              <w:left w:val="nil"/>
              <w:bottom w:val="nil"/>
              <w:right w:val="nil"/>
            </w:tcBorders>
            <w:shd w:val="clear" w:color="auto" w:fill="FFFFFF"/>
            <w:vAlign w:val="center"/>
          </w:tcPr>
          <w:p w14:paraId="0747A91B">
            <w:pPr>
              <w:pStyle w:val="20"/>
              <w:bidi w:val="0"/>
              <w:spacing w:after="0"/>
              <w:jc w:val="center"/>
              <w:rPr>
                <w:b w:val="0"/>
                <w:color w:val="000000"/>
                <w:sz w:val="21"/>
                <w:szCs w:val="21"/>
              </w:rPr>
            </w:pPr>
            <w:r>
              <w:rPr>
                <w:b w:val="0"/>
                <w:color w:val="000000"/>
                <w:sz w:val="21"/>
                <w:szCs w:val="21"/>
              </w:rPr>
              <w:t>当地时间00:00—24:00</w:t>
            </w:r>
          </w:p>
        </w:tc>
        <w:tc>
          <w:tcPr>
            <w:tcW w:w="4579" w:type="dxa"/>
            <w:tcBorders>
              <w:top w:val="nil"/>
              <w:left w:val="nil"/>
              <w:bottom w:val="nil"/>
              <w:right w:val="nil"/>
            </w:tcBorders>
            <w:shd w:val="clear" w:color="auto" w:fill="FFFFFF"/>
            <w:vAlign w:val="center"/>
          </w:tcPr>
          <w:p w14:paraId="632F1F1D">
            <w:pPr>
              <w:pStyle w:val="20"/>
              <w:bidi w:val="0"/>
              <w:spacing w:after="0"/>
              <w:jc w:val="center"/>
              <w:rPr>
                <w:b w:val="0"/>
                <w:color w:val="000000"/>
                <w:sz w:val="21"/>
                <w:szCs w:val="21"/>
                <w:lang w:eastAsia="zh-CN"/>
              </w:rPr>
            </w:pPr>
            <w:r>
              <w:rPr>
                <w:b w:val="0"/>
                <w:color w:val="000000"/>
                <w:sz w:val="21"/>
                <w:szCs w:val="21"/>
                <w:lang w:eastAsia="zh-CN"/>
              </w:rPr>
              <w:t>当日累计碳排与减排、小时趋势、峰谷贡献、处理水量及碳强度</w:t>
            </w:r>
          </w:p>
        </w:tc>
        <w:tc>
          <w:tcPr>
            <w:tcW w:w="1411" w:type="dxa"/>
            <w:tcBorders>
              <w:top w:val="nil"/>
              <w:left w:val="nil"/>
              <w:bottom w:val="nil"/>
              <w:right w:val="nil"/>
            </w:tcBorders>
            <w:shd w:val="clear" w:color="auto" w:fill="FFFFFF"/>
            <w:vAlign w:val="center"/>
          </w:tcPr>
          <w:p w14:paraId="21C97F1E">
            <w:pPr>
              <w:pStyle w:val="20"/>
              <w:bidi w:val="0"/>
              <w:spacing w:after="0"/>
              <w:jc w:val="center"/>
              <w:rPr>
                <w:b w:val="0"/>
                <w:color w:val="000000"/>
                <w:sz w:val="21"/>
                <w:szCs w:val="21"/>
              </w:rPr>
            </w:pPr>
            <w:r>
              <w:rPr>
                <w:b w:val="0"/>
                <w:color w:val="000000"/>
                <w:sz w:val="21"/>
                <w:szCs w:val="21"/>
              </w:rPr>
              <w:t>每小时滚动累计</w:t>
            </w:r>
          </w:p>
        </w:tc>
      </w:tr>
      <w:tr w14:paraId="234712B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3" w:type="dxa"/>
            <w:tcBorders>
              <w:top w:val="nil"/>
              <w:left w:val="nil"/>
              <w:bottom w:val="nil"/>
              <w:right w:val="nil"/>
            </w:tcBorders>
            <w:shd w:val="clear" w:color="auto" w:fill="FFFFFF"/>
            <w:vAlign w:val="center"/>
          </w:tcPr>
          <w:p w14:paraId="0B0B5B0A">
            <w:pPr>
              <w:pStyle w:val="20"/>
              <w:bidi w:val="0"/>
              <w:spacing w:after="0"/>
              <w:jc w:val="center"/>
              <w:rPr>
                <w:b w:val="0"/>
                <w:color w:val="000000"/>
                <w:sz w:val="21"/>
                <w:szCs w:val="21"/>
              </w:rPr>
            </w:pPr>
            <w:r>
              <w:rPr>
                <w:b w:val="0"/>
                <w:color w:val="000000"/>
                <w:sz w:val="21"/>
                <w:szCs w:val="21"/>
              </w:rPr>
              <w:t>周</w:t>
            </w:r>
          </w:p>
        </w:tc>
        <w:tc>
          <w:tcPr>
            <w:tcW w:w="2477" w:type="dxa"/>
            <w:tcBorders>
              <w:top w:val="nil"/>
              <w:left w:val="nil"/>
              <w:bottom w:val="nil"/>
              <w:right w:val="nil"/>
            </w:tcBorders>
            <w:shd w:val="clear" w:color="auto" w:fill="FFFFFF"/>
            <w:vAlign w:val="center"/>
          </w:tcPr>
          <w:p w14:paraId="4DB040D6">
            <w:pPr>
              <w:pStyle w:val="20"/>
              <w:bidi w:val="0"/>
              <w:spacing w:after="0"/>
              <w:jc w:val="center"/>
              <w:rPr>
                <w:b w:val="0"/>
                <w:color w:val="000000"/>
                <w:sz w:val="21"/>
                <w:szCs w:val="21"/>
                <w:lang w:eastAsia="zh-CN"/>
              </w:rPr>
            </w:pPr>
            <w:r>
              <w:rPr>
                <w:b w:val="0"/>
                <w:color w:val="000000"/>
                <w:sz w:val="21"/>
                <w:szCs w:val="21"/>
                <w:lang w:eastAsia="zh-CN"/>
              </w:rPr>
              <w:t>默认周一00:00至下周一00:00，可按项目配置</w:t>
            </w:r>
          </w:p>
        </w:tc>
        <w:tc>
          <w:tcPr>
            <w:tcW w:w="4579" w:type="dxa"/>
            <w:tcBorders>
              <w:top w:val="nil"/>
              <w:left w:val="nil"/>
              <w:bottom w:val="nil"/>
              <w:right w:val="nil"/>
            </w:tcBorders>
            <w:shd w:val="clear" w:color="auto" w:fill="FFFFFF"/>
            <w:vAlign w:val="center"/>
          </w:tcPr>
          <w:p w14:paraId="7DB4200A">
            <w:pPr>
              <w:pStyle w:val="20"/>
              <w:bidi w:val="0"/>
              <w:spacing w:after="0"/>
              <w:jc w:val="center"/>
              <w:rPr>
                <w:b w:val="0"/>
                <w:color w:val="000000"/>
                <w:sz w:val="21"/>
                <w:szCs w:val="21"/>
                <w:lang w:eastAsia="zh-CN"/>
              </w:rPr>
            </w:pPr>
            <w:r>
              <w:rPr>
                <w:b w:val="0"/>
                <w:color w:val="000000"/>
                <w:sz w:val="21"/>
                <w:szCs w:val="21"/>
                <w:lang w:eastAsia="zh-CN"/>
              </w:rPr>
              <w:t>周累计、日趋势、策略对比、异常小时数和数据完整率</w:t>
            </w:r>
          </w:p>
        </w:tc>
        <w:tc>
          <w:tcPr>
            <w:tcW w:w="1411" w:type="dxa"/>
            <w:tcBorders>
              <w:top w:val="nil"/>
              <w:left w:val="nil"/>
              <w:bottom w:val="nil"/>
              <w:right w:val="nil"/>
            </w:tcBorders>
            <w:shd w:val="clear" w:color="auto" w:fill="FFFFFF"/>
            <w:vAlign w:val="center"/>
          </w:tcPr>
          <w:p w14:paraId="023E18B9">
            <w:pPr>
              <w:pStyle w:val="20"/>
              <w:bidi w:val="0"/>
              <w:spacing w:after="0"/>
              <w:jc w:val="center"/>
              <w:rPr>
                <w:b w:val="0"/>
                <w:color w:val="000000"/>
                <w:sz w:val="21"/>
                <w:szCs w:val="21"/>
              </w:rPr>
            </w:pPr>
            <w:r>
              <w:rPr>
                <w:b w:val="0"/>
                <w:color w:val="000000"/>
                <w:sz w:val="21"/>
                <w:szCs w:val="21"/>
              </w:rPr>
              <w:t>每小时滚动累计</w:t>
            </w:r>
          </w:p>
        </w:tc>
      </w:tr>
      <w:tr w14:paraId="37C3C3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3" w:type="dxa"/>
            <w:tcBorders>
              <w:top w:val="nil"/>
              <w:left w:val="nil"/>
              <w:bottom w:val="nil"/>
              <w:right w:val="nil"/>
            </w:tcBorders>
            <w:shd w:val="clear" w:color="auto" w:fill="FFFFFF"/>
            <w:vAlign w:val="center"/>
          </w:tcPr>
          <w:p w14:paraId="78A53E49">
            <w:pPr>
              <w:pStyle w:val="20"/>
              <w:bidi w:val="0"/>
              <w:spacing w:after="0"/>
              <w:jc w:val="center"/>
              <w:rPr>
                <w:b w:val="0"/>
                <w:color w:val="000000"/>
                <w:sz w:val="21"/>
                <w:szCs w:val="21"/>
              </w:rPr>
            </w:pPr>
            <w:r>
              <w:rPr>
                <w:b w:val="0"/>
                <w:color w:val="000000"/>
                <w:sz w:val="21"/>
                <w:szCs w:val="21"/>
              </w:rPr>
              <w:t>月</w:t>
            </w:r>
          </w:p>
        </w:tc>
        <w:tc>
          <w:tcPr>
            <w:tcW w:w="2477" w:type="dxa"/>
            <w:tcBorders>
              <w:top w:val="nil"/>
              <w:left w:val="nil"/>
              <w:bottom w:val="nil"/>
              <w:right w:val="nil"/>
            </w:tcBorders>
            <w:shd w:val="clear" w:color="auto" w:fill="FFFFFF"/>
            <w:vAlign w:val="center"/>
          </w:tcPr>
          <w:p w14:paraId="76535E84">
            <w:pPr>
              <w:pStyle w:val="20"/>
              <w:bidi w:val="0"/>
              <w:spacing w:after="0"/>
              <w:jc w:val="center"/>
              <w:rPr>
                <w:b w:val="0"/>
                <w:color w:val="000000"/>
                <w:sz w:val="21"/>
                <w:szCs w:val="21"/>
              </w:rPr>
            </w:pPr>
            <w:r>
              <w:rPr>
                <w:b w:val="0"/>
                <w:color w:val="000000"/>
                <w:sz w:val="21"/>
                <w:szCs w:val="21"/>
              </w:rPr>
              <w:t>自然月</w:t>
            </w:r>
          </w:p>
        </w:tc>
        <w:tc>
          <w:tcPr>
            <w:tcW w:w="4579" w:type="dxa"/>
            <w:tcBorders>
              <w:top w:val="nil"/>
              <w:left w:val="nil"/>
              <w:bottom w:val="nil"/>
              <w:right w:val="nil"/>
            </w:tcBorders>
            <w:shd w:val="clear" w:color="auto" w:fill="FFFFFF"/>
            <w:vAlign w:val="center"/>
          </w:tcPr>
          <w:p w14:paraId="775DF2A6">
            <w:pPr>
              <w:pStyle w:val="20"/>
              <w:bidi w:val="0"/>
              <w:spacing w:after="0"/>
              <w:jc w:val="center"/>
              <w:rPr>
                <w:b w:val="0"/>
                <w:color w:val="000000"/>
                <w:sz w:val="21"/>
                <w:szCs w:val="21"/>
                <w:lang w:eastAsia="zh-CN"/>
              </w:rPr>
            </w:pPr>
            <w:r>
              <w:rPr>
                <w:b w:val="0"/>
                <w:color w:val="000000"/>
                <w:sz w:val="21"/>
                <w:szCs w:val="21"/>
                <w:lang w:eastAsia="zh-CN"/>
              </w:rPr>
              <w:t>月累计、日趋势、电费—碳排协同结果、因子与策略版本</w:t>
            </w:r>
          </w:p>
        </w:tc>
        <w:tc>
          <w:tcPr>
            <w:tcW w:w="1411" w:type="dxa"/>
            <w:tcBorders>
              <w:top w:val="nil"/>
              <w:left w:val="nil"/>
              <w:bottom w:val="nil"/>
              <w:right w:val="nil"/>
            </w:tcBorders>
            <w:shd w:val="clear" w:color="auto" w:fill="FFFFFF"/>
            <w:vAlign w:val="center"/>
          </w:tcPr>
          <w:p w14:paraId="6A32BE84">
            <w:pPr>
              <w:pStyle w:val="20"/>
              <w:bidi w:val="0"/>
              <w:spacing w:after="0"/>
              <w:jc w:val="center"/>
              <w:rPr>
                <w:b w:val="0"/>
                <w:color w:val="000000"/>
                <w:sz w:val="21"/>
                <w:szCs w:val="21"/>
              </w:rPr>
            </w:pPr>
            <w:r>
              <w:rPr>
                <w:b w:val="0"/>
                <w:color w:val="000000"/>
                <w:sz w:val="21"/>
                <w:szCs w:val="21"/>
              </w:rPr>
              <w:t>每小时滚动累计</w:t>
            </w:r>
          </w:p>
        </w:tc>
      </w:tr>
      <w:tr w14:paraId="6693E2E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893" w:type="dxa"/>
            <w:tcBorders>
              <w:top w:val="nil"/>
              <w:left w:val="nil"/>
              <w:bottom w:val="single" w:color="000000" w:sz="12" w:space="0"/>
              <w:right w:val="nil"/>
            </w:tcBorders>
            <w:shd w:val="clear" w:color="auto" w:fill="FFFFFF"/>
            <w:vAlign w:val="center"/>
          </w:tcPr>
          <w:p w14:paraId="6C36384E">
            <w:pPr>
              <w:pStyle w:val="20"/>
              <w:bidi w:val="0"/>
              <w:spacing w:after="0"/>
              <w:jc w:val="center"/>
              <w:rPr>
                <w:b w:val="0"/>
                <w:color w:val="000000"/>
                <w:sz w:val="21"/>
                <w:szCs w:val="21"/>
              </w:rPr>
            </w:pPr>
            <w:r>
              <w:rPr>
                <w:b w:val="0"/>
                <w:color w:val="000000"/>
                <w:sz w:val="21"/>
                <w:szCs w:val="21"/>
              </w:rPr>
              <w:t>年</w:t>
            </w:r>
          </w:p>
        </w:tc>
        <w:tc>
          <w:tcPr>
            <w:tcW w:w="2477" w:type="dxa"/>
            <w:tcBorders>
              <w:top w:val="nil"/>
              <w:left w:val="nil"/>
              <w:bottom w:val="single" w:color="000000" w:sz="12" w:space="0"/>
              <w:right w:val="nil"/>
            </w:tcBorders>
            <w:shd w:val="clear" w:color="auto" w:fill="FFFFFF"/>
            <w:vAlign w:val="center"/>
          </w:tcPr>
          <w:p w14:paraId="771B0996">
            <w:pPr>
              <w:pStyle w:val="20"/>
              <w:bidi w:val="0"/>
              <w:spacing w:after="0"/>
              <w:jc w:val="center"/>
              <w:rPr>
                <w:b w:val="0"/>
                <w:color w:val="000000"/>
                <w:sz w:val="21"/>
                <w:szCs w:val="21"/>
                <w:lang w:eastAsia="zh-CN"/>
              </w:rPr>
            </w:pPr>
            <w:r>
              <w:rPr>
                <w:b w:val="0"/>
                <w:color w:val="000000"/>
                <w:sz w:val="21"/>
                <w:szCs w:val="21"/>
                <w:lang w:eastAsia="zh-CN"/>
              </w:rPr>
              <w:t>自然年或批准的报告年度</w:t>
            </w:r>
          </w:p>
        </w:tc>
        <w:tc>
          <w:tcPr>
            <w:tcW w:w="4579" w:type="dxa"/>
            <w:tcBorders>
              <w:top w:val="nil"/>
              <w:left w:val="nil"/>
              <w:bottom w:val="single" w:color="000000" w:sz="12" w:space="0"/>
              <w:right w:val="nil"/>
            </w:tcBorders>
            <w:shd w:val="clear" w:color="auto" w:fill="FFFFFF"/>
            <w:vAlign w:val="center"/>
          </w:tcPr>
          <w:p w14:paraId="634BA611">
            <w:pPr>
              <w:pStyle w:val="20"/>
              <w:bidi w:val="0"/>
              <w:spacing w:after="0"/>
              <w:jc w:val="center"/>
              <w:rPr>
                <w:b w:val="0"/>
                <w:color w:val="000000"/>
                <w:sz w:val="21"/>
                <w:szCs w:val="21"/>
                <w:lang w:eastAsia="zh-CN"/>
              </w:rPr>
            </w:pPr>
            <w:r>
              <w:rPr>
                <w:b w:val="0"/>
                <w:color w:val="000000"/>
                <w:sz w:val="21"/>
                <w:szCs w:val="21"/>
                <w:lang w:eastAsia="zh-CN"/>
              </w:rPr>
              <w:t>年度企业清单、月趋势、项目减排、LCA分摊、质量等级与不确定度</w:t>
            </w:r>
          </w:p>
        </w:tc>
        <w:tc>
          <w:tcPr>
            <w:tcW w:w="1411" w:type="dxa"/>
            <w:tcBorders>
              <w:top w:val="nil"/>
              <w:left w:val="nil"/>
              <w:bottom w:val="single" w:color="000000" w:sz="12" w:space="0"/>
              <w:right w:val="nil"/>
            </w:tcBorders>
            <w:shd w:val="clear" w:color="auto" w:fill="FFFFFF"/>
            <w:vAlign w:val="center"/>
          </w:tcPr>
          <w:p w14:paraId="682ECDA3">
            <w:pPr>
              <w:pStyle w:val="20"/>
              <w:bidi w:val="0"/>
              <w:spacing w:after="0"/>
              <w:jc w:val="center"/>
              <w:rPr>
                <w:b w:val="0"/>
                <w:color w:val="000000"/>
                <w:sz w:val="21"/>
                <w:szCs w:val="21"/>
                <w:lang w:eastAsia="zh-CN"/>
              </w:rPr>
            </w:pPr>
            <w:r>
              <w:rPr>
                <w:b w:val="0"/>
                <w:color w:val="000000"/>
                <w:sz w:val="21"/>
                <w:szCs w:val="21"/>
                <w:lang w:eastAsia="zh-CN"/>
              </w:rPr>
              <w:t>每小时滚动，签发后冻结快照</w:t>
            </w:r>
          </w:p>
        </w:tc>
      </w:tr>
    </w:tbl>
    <w:p w14:paraId="36ED864C">
      <w:pPr>
        <w:bidi w:val="0"/>
      </w:pPr>
      <w:r>
        <w:t>聚合计算规则：</w:t>
      </w:r>
    </w:p>
    <w:p w14:paraId="4A860D5C">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nary>
            <m:naryPr>
              <m:chr m:val="∑"/>
              <m:limLoc m:val="subSup"/>
              <m:supHide m:val="1"/>
              <m:ctrlPr>
                <w:rPr>
                  <w:rFonts w:hint="default" w:ascii="Cambria Math" w:hAnsi="Cambria Math" w:cs="Times New Roman"/>
                  <w:sz w:val="24"/>
                </w:rPr>
              </m:ctrlPr>
            </m:naryPr>
            <m:sub>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P</m:t>
              </m:r>
              <m:ctrlPr>
                <w:rPr>
                  <w:rFonts w:hint="default" w:ascii="Cambria Math" w:hAnsi="Cambria Math" w:cs="Times New Roman"/>
                  <w:sz w:val="24"/>
                </w:rPr>
              </m:ctrlPr>
            </m:sub>
            <m:sup>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h</m:t>
                  </m:r>
                  <m:ctrlPr>
                    <w:rPr>
                      <w:rFonts w:hint="default" w:ascii="Cambria Math" w:hAnsi="Cambria Math" w:cs="Times New Roman"/>
                      <w:sz w:val="24"/>
                    </w:rPr>
                  </m:ctrlPr>
                </m:sub>
              </m:sSub>
              <m:ctrlPr>
                <w:rPr>
                  <w:rFonts w:hint="default" w:ascii="Cambria Math" w:hAnsi="Cambria Math" w:cs="Times New Roman"/>
                  <w:sz w:val="24"/>
                </w:rPr>
              </m:ctrlPr>
            </m:e>
          </m:nary>
          <m:r>
            <m:rPr>
              <m:nor/>
              <m:sty m:val="p"/>
            </m:rPr>
            <w:rPr>
              <w:rFonts w:hint="default" w:ascii="Times New Roman" w:hAnsi="Times New Roman" w:cs="Times New Roman"/>
              <w:b w:val="0"/>
              <w:i w:val="0"/>
              <w:sz w:val="24"/>
            </w:rPr>
            <m:t>; </m:t>
          </m:r>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nary>
            <m:naryPr>
              <m:chr m:val="∑"/>
              <m:limLoc m:val="subSup"/>
              <m:supHide m:val="1"/>
              <m:ctrlPr>
                <w:rPr>
                  <w:rFonts w:hint="default" w:ascii="Cambria Math" w:hAnsi="Cambria Math" w:cs="Times New Roman"/>
                  <w:sz w:val="24"/>
                </w:rPr>
              </m:ctrlPr>
            </m:naryPr>
            <m:sub>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P</m:t>
              </m:r>
              <m:ctrlPr>
                <w:rPr>
                  <w:rFonts w:hint="default" w:ascii="Cambria Math" w:hAnsi="Cambria Math" w:cs="Times New Roman"/>
                  <w:sz w:val="24"/>
                </w:rPr>
              </m:ctrlPr>
            </m:sub>
            <m:sup>
              <m:ctrlPr>
                <w:rPr>
                  <w:rFonts w:hint="default" w:ascii="Cambria Math" w:hAnsi="Cambria Math" w:cs="Times New Roman"/>
                  <w:sz w:val="24"/>
                </w:rPr>
              </m:ctrlPr>
            </m:sup>
            <m:e>
              <m:r>
                <m:rPr>
                  <m:nor/>
                </m:rPr>
                <w:rPr>
                  <w:rFonts w:hint="default" w:ascii="Times New Roman" w:hAnsi="Times New Roman" w:cs="Times New Roman"/>
                  <w:i/>
                  <w:sz w:val="24"/>
                </w:rPr>
                <m:t>E</m:t>
              </m:r>
              <m:ctrlPr>
                <w:rPr>
                  <w:rFonts w:hint="default" w:ascii="Cambria Math" w:hAnsi="Cambria Math" w:cs="Times New Roman"/>
                  <w:sz w:val="24"/>
                </w:rPr>
              </m:ctrlPr>
            </m:e>
          </m:nary>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h</m:t>
              </m:r>
              <m:ctrlPr>
                <w:rPr>
                  <w:rFonts w:hint="default" w:ascii="Cambria Math" w:hAnsi="Cambria Math" w:cs="Times New Roman"/>
                  <w:sz w:val="24"/>
                </w:rPr>
              </m:ctrlPr>
            </m:sub>
          </m:sSub>
        </m:oMath>
      </m:oMathPara>
    </w:p>
    <w:p w14:paraId="4FB7B6F5">
      <w:pPr>
        <w:bidi w:val="0"/>
      </w:pPr>
      <w:r>
        <w:t>P代表天、周、月、年周期；h代表周期内每一个小时。</w:t>
      </w:r>
    </w:p>
    <w:p w14:paraId="327680AD">
      <w:pPr>
        <w:bidi w:val="0"/>
      </w:pPr>
      <w:r>
        <w:t>水处理碳排放强度，必须总排放除以总水量，禁止小时强度算术平均：</w:t>
      </w:r>
    </w:p>
    <w:p w14:paraId="5C6A434E">
      <w:pPr>
        <w:bidi w:val="0"/>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I</m:t>
              </m:r>
              <m:ctrlPr>
                <w:rPr>
                  <w:rFonts w:hint="default" w:ascii="Cambria Math" w:hAnsi="Cambria Math" w:cs="Times New Roman"/>
                  <w:sz w:val="24"/>
                </w:rPr>
              </m:ctrlPr>
            </m:e>
            <m:sub>
              <m:r>
                <m:rPr>
                  <m:nor/>
                </m:rPr>
                <w:rPr>
                  <w:rFonts w:hint="default" w:ascii="Times New Roman" w:hAnsi="Times New Roman" w:cs="Times New Roman"/>
                  <w:i/>
                  <w:sz w:val="24"/>
                </w:rPr>
                <m:t>water</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nary>
                <m:naryPr>
                  <m:chr m:val="∑"/>
                  <m:limLoc m:val="subSup"/>
                  <m:supHide m:val="1"/>
                  <m:ctrlPr>
                    <w:rPr>
                      <w:rFonts w:hint="default" w:ascii="Cambria Math" w:hAnsi="Cambria Math" w:cs="Times New Roman"/>
                      <w:sz w:val="24"/>
                    </w:rPr>
                  </m:ctrlPr>
                </m:naryPr>
                <m:sub>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P</m:t>
                  </m:r>
                  <m:ctrlPr>
                    <w:rPr>
                      <w:rFonts w:hint="default" w:ascii="Cambria Math" w:hAnsi="Cambria Math" w:cs="Times New Roman"/>
                      <w:sz w:val="24"/>
                    </w:rPr>
                  </m:ctrlPr>
                </m:sub>
                <m:sup>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C</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h</m:t>
                      </m:r>
                      <m:ctrlPr>
                        <w:rPr>
                          <w:rFonts w:hint="default" w:ascii="Cambria Math" w:hAnsi="Cambria Math" w:cs="Times New Roman"/>
                          <w:sz w:val="24"/>
                        </w:rPr>
                      </m:ctrlPr>
                    </m:sub>
                  </m:sSub>
                  <m:ctrlPr>
                    <w:rPr>
                      <w:rFonts w:hint="default" w:ascii="Cambria Math" w:hAnsi="Cambria Math" w:cs="Times New Roman"/>
                      <w:sz w:val="24"/>
                    </w:rPr>
                  </m:ctrlPr>
                </m:e>
              </m:nary>
              <m:ctrlPr>
                <w:rPr>
                  <w:rFonts w:hint="default" w:ascii="Cambria Math" w:hAnsi="Cambria Math" w:cs="Times New Roman"/>
                  <w:sz w:val="24"/>
                </w:rPr>
              </m:ctrlPr>
            </m:num>
            <m:den>
              <m:nary>
                <m:naryPr>
                  <m:chr m:val="∑"/>
                  <m:limLoc m:val="subSup"/>
                  <m:supHide m:val="1"/>
                  <m:ctrlPr>
                    <w:rPr>
                      <w:rFonts w:hint="default" w:ascii="Cambria Math" w:hAnsi="Cambria Math" w:cs="Times New Roman"/>
                      <w:sz w:val="24"/>
                    </w:rPr>
                  </m:ctrlPr>
                </m:naryPr>
                <m:sub>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P</m:t>
                  </m:r>
                  <m:ctrlPr>
                    <w:rPr>
                      <w:rFonts w:hint="default" w:ascii="Cambria Math" w:hAnsi="Cambria Math" w:cs="Times New Roman"/>
                      <w:sz w:val="24"/>
                    </w:rPr>
                  </m:ctrlPr>
                </m:sub>
                <m:sup>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treated</m:t>
                      </m:r>
                      <m:r>
                        <m:rPr>
                          <m:nor/>
                          <m:sty m:val="p"/>
                        </m:rPr>
                        <w:rPr>
                          <w:rFonts w:hint="default" w:ascii="Times New Roman" w:hAnsi="Times New Roman" w:cs="Times New Roman"/>
                          <w:b w:val="0"/>
                          <w:i w:val="0"/>
                          <w:sz w:val="24"/>
                        </w:rPr>
                        <m:t>,h</m:t>
                      </m:r>
                      <m:ctrlPr>
                        <w:rPr>
                          <w:rFonts w:hint="default" w:ascii="Cambria Math" w:hAnsi="Cambria Math" w:cs="Times New Roman"/>
                          <w:sz w:val="24"/>
                        </w:rPr>
                      </m:ctrlPr>
                    </m:sub>
                  </m:sSub>
                  <m:ctrlPr>
                    <w:rPr>
                      <w:rFonts w:hint="default" w:ascii="Cambria Math" w:hAnsi="Cambria Math" w:cs="Times New Roman"/>
                      <w:sz w:val="24"/>
                    </w:rPr>
                  </m:ctrlPr>
                </m:e>
              </m:nary>
              <m:ctrlPr>
                <w:rPr>
                  <w:rFonts w:hint="default" w:ascii="Cambria Math" w:hAnsi="Cambria Math" w:cs="Times New Roman"/>
                  <w:sz w:val="24"/>
                </w:rPr>
              </m:ctrlPr>
            </m:den>
          </m:f>
        </m:oMath>
      </m:oMathPara>
    </w:p>
    <w:p w14:paraId="546599AF">
      <w:pPr>
        <w:bidi w:val="0"/>
      </w:pPr>
      <w:r>
        <w:t>加权电力因子：</w:t>
      </w:r>
    </w:p>
    <w:p w14:paraId="002F539D">
      <w:pPr>
        <w:bidi w:val="0"/>
      </w:pPr>
      <m:oMathPara>
        <m:oMath>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weig</m:t>
              </m:r>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ted</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nary>
                <m:naryPr>
                  <m:chr m:val="∑"/>
                  <m:limLoc m:val="subSup"/>
                  <m:supHide m:val="1"/>
                  <m:ctrlPr>
                    <w:rPr>
                      <w:rFonts w:hint="default" w:ascii="Cambria Math" w:hAnsi="Cambria Math" w:cs="Times New Roman"/>
                      <w:sz w:val="24"/>
                    </w:rPr>
                  </m:ctrlPr>
                </m:naryPr>
                <m:sub>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P</m:t>
                  </m:r>
                  <m:ctrlPr>
                    <w:rPr>
                      <w:rFonts w:hint="default" w:ascii="Cambria Math" w:hAnsi="Cambria Math" w:cs="Times New Roman"/>
                      <w:sz w:val="24"/>
                    </w:rPr>
                  </m:ctrlPr>
                </m:sub>
                <m:sup>
                  <m:ctrlPr>
                    <w:rPr>
                      <w:rFonts w:hint="default" w:ascii="Cambria Math" w:hAnsi="Cambria Math" w:cs="Times New Roman"/>
                      <w:sz w:val="24"/>
                    </w:rPr>
                  </m:ctrlPr>
                </m:sup>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nary>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grid</m:t>
                  </m:r>
                  <m:r>
                    <m:rPr>
                      <m:nor/>
                      <m:sty m:val="p"/>
                    </m:rPr>
                    <w:rPr>
                      <w:rFonts w:hint="default" w:ascii="Times New Roman" w:hAnsi="Times New Roman" w:cs="Times New Roman"/>
                      <w:b w:val="0"/>
                      <w:i w:val="0"/>
                      <w:sz w:val="24"/>
                    </w:rPr>
                    <m:t>,h</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E</m:t>
              </m:r>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h</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ctrlPr>
                <w:rPr>
                  <w:rFonts w:hint="default" w:ascii="Cambria Math" w:hAnsi="Cambria Math" w:cs="Times New Roman"/>
                  <w:sz w:val="24"/>
                </w:rPr>
              </m:ctrlPr>
            </m:num>
            <m:den>
              <m:nary>
                <m:naryPr>
                  <m:chr m:val="∑"/>
                  <m:limLoc m:val="subSup"/>
                  <m:supHide m:val="1"/>
                  <m:ctrlPr>
                    <w:rPr>
                      <w:rFonts w:hint="default" w:ascii="Cambria Math" w:hAnsi="Cambria Math" w:cs="Times New Roman"/>
                      <w:sz w:val="24"/>
                    </w:rPr>
                  </m:ctrlPr>
                </m:naryPr>
                <m:sub>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P</m:t>
                  </m:r>
                  <m:ctrlPr>
                    <w:rPr>
                      <w:rFonts w:hint="default" w:ascii="Cambria Math" w:hAnsi="Cambria Math" w:cs="Times New Roman"/>
                      <w:sz w:val="24"/>
                    </w:rPr>
                  </m:ctrlPr>
                </m:sub>
                <m:sup>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treated</m:t>
                      </m:r>
                      <m:r>
                        <m:rPr>
                          <m:nor/>
                          <m:sty m:val="p"/>
                        </m:rPr>
                        <w:rPr>
                          <w:rFonts w:hint="default" w:ascii="Times New Roman" w:hAnsi="Times New Roman" w:cs="Times New Roman"/>
                          <w:b w:val="0"/>
                          <w:i w:val="0"/>
                          <w:sz w:val="24"/>
                        </w:rPr>
                        <m:t>,h</m:t>
                      </m:r>
                      <m:ctrlPr>
                        <w:rPr>
                          <w:rFonts w:hint="default" w:ascii="Cambria Math" w:hAnsi="Cambria Math" w:cs="Times New Roman"/>
                          <w:sz w:val="24"/>
                        </w:rPr>
                      </m:ctrlPr>
                    </m:sub>
                  </m:sSub>
                  <m:ctrlPr>
                    <w:rPr>
                      <w:rFonts w:hint="default" w:ascii="Cambria Math" w:hAnsi="Cambria Math" w:cs="Times New Roman"/>
                      <w:sz w:val="24"/>
                    </w:rPr>
                  </m:ctrlPr>
                </m:e>
              </m:nary>
              <m:ctrlPr>
                <w:rPr>
                  <w:rFonts w:hint="default" w:ascii="Cambria Math" w:hAnsi="Cambria Math" w:cs="Times New Roman"/>
                  <w:sz w:val="24"/>
                </w:rPr>
              </m:ctrlPr>
            </m:den>
          </m:f>
        </m:oMath>
      </m:oMathPara>
    </w:p>
    <w:p w14:paraId="79E0D2D6">
      <w:pPr>
        <w:bidi w:val="0"/>
        <w:rPr>
          <w:lang w:eastAsia="zh-CN"/>
        </w:rPr>
      </w:pPr>
      <w:r>
        <w:t>每个时间尺度输出内容必须附带：统计起止时间、时区、数据完整率、估算占比、因子口径标签、最后更新时间。跨层级校验：同一边界，日值等于所属小时之和，周/月/年同理；强度、效率、因子采用加权运算。</w:t>
      </w:r>
    </w:p>
    <w:p w14:paraId="3C433170">
      <w:pPr>
        <w:pStyle w:val="3"/>
        <w:bidi w:val="0"/>
      </w:pPr>
      <w:r>
        <w:rPr>
          <w:rFonts w:hint="eastAsia"/>
          <w:lang w:val="en-US" w:eastAsia="zh-CN"/>
        </w:rPr>
        <w:t>8</w:t>
      </w:r>
      <w:r>
        <w:t>.3　报表体系</w:t>
      </w:r>
    </w:p>
    <w:p w14:paraId="78CC59F2">
      <w:pPr>
        <w:pStyle w:val="6"/>
        <w:numPr>
          <w:ilvl w:val="0"/>
          <w:numId w:val="3"/>
        </w:numPr>
        <w:ind w:left="425" w:leftChars="0" w:hanging="425" w:firstLineChars="0"/>
        <w:rPr>
          <w:rFonts w:eastAsia="宋体"/>
          <w:lang w:eastAsia="zh-CN"/>
        </w:rPr>
      </w:pPr>
      <w:r>
        <w:rPr>
          <w:rFonts w:eastAsia="宋体"/>
          <w:lang w:eastAsia="zh-CN"/>
        </w:rPr>
        <w:t>小时级碳大屏：按1h/天/周/月/年切换显示负荷、SOC、EF、电费、碳排、减排和执行偏差；</w:t>
      </w:r>
    </w:p>
    <w:p w14:paraId="52A384F6">
      <w:pPr>
        <w:pStyle w:val="6"/>
        <w:numPr>
          <w:ilvl w:val="0"/>
          <w:numId w:val="3"/>
        </w:numPr>
        <w:ind w:left="425" w:leftChars="0" w:hanging="425" w:firstLineChars="0"/>
        <w:rPr>
          <w:rFonts w:eastAsia="宋体"/>
          <w:lang w:eastAsia="zh-CN"/>
        </w:rPr>
      </w:pPr>
      <w:r>
        <w:rPr>
          <w:rFonts w:eastAsia="宋体"/>
          <w:lang w:eastAsia="zh-CN"/>
        </w:rPr>
        <w:t>日报/周报/月报：电费与碳排双目标结果、峰谷转移、异常与策略解释；</w:t>
      </w:r>
    </w:p>
    <w:p w14:paraId="6630A882">
      <w:pPr>
        <w:pStyle w:val="6"/>
        <w:numPr>
          <w:ilvl w:val="0"/>
          <w:numId w:val="3"/>
        </w:numPr>
        <w:ind w:left="425" w:leftChars="0" w:hanging="425" w:firstLineChars="0"/>
        <w:rPr>
          <w:rFonts w:eastAsia="宋体"/>
          <w:lang w:eastAsia="zh-CN"/>
        </w:rPr>
      </w:pPr>
      <w:r>
        <w:rPr>
          <w:rFonts w:eastAsia="宋体"/>
          <w:lang w:eastAsia="zh-CN"/>
        </w:rPr>
        <w:t>年度企业清单：按适用规则汇总范围一、二及选报范围三；</w:t>
      </w:r>
    </w:p>
    <w:p w14:paraId="73BD6694">
      <w:pPr>
        <w:pStyle w:val="6"/>
        <w:numPr>
          <w:ilvl w:val="0"/>
          <w:numId w:val="3"/>
        </w:numPr>
        <w:ind w:left="425" w:leftChars="0" w:hanging="425" w:firstLineChars="0"/>
        <w:rPr>
          <w:rFonts w:eastAsia="宋体"/>
          <w:lang w:eastAsia="zh-CN"/>
        </w:rPr>
      </w:pPr>
      <w:r>
        <w:rPr>
          <w:rFonts w:eastAsia="宋体"/>
          <w:lang w:eastAsia="zh-CN"/>
        </w:rPr>
        <w:t>储能项目绩效报告：基准、项目、运行减排、净生命周期减排与不确定度；</w:t>
      </w:r>
    </w:p>
    <w:p w14:paraId="4415366C">
      <w:pPr>
        <w:pStyle w:val="6"/>
        <w:numPr>
          <w:ilvl w:val="0"/>
          <w:numId w:val="3"/>
        </w:numPr>
        <w:ind w:left="425" w:leftChars="0" w:hanging="425" w:firstLineChars="0"/>
        <w:rPr>
          <w:rFonts w:eastAsia="宋体"/>
          <w:lang w:eastAsia="zh-CN"/>
        </w:rPr>
      </w:pPr>
      <w:r>
        <w:rPr>
          <w:rFonts w:eastAsia="宋体"/>
          <w:lang w:eastAsia="zh-CN"/>
        </w:rPr>
        <w:t>储能LCA报告：目标范围、功能单位、清单、分阶段结果、数据质量与敏感性；</w:t>
      </w:r>
    </w:p>
    <w:p w14:paraId="7CD5B468">
      <w:pPr>
        <w:pStyle w:val="6"/>
        <w:numPr>
          <w:ilvl w:val="0"/>
          <w:numId w:val="3"/>
        </w:numPr>
        <w:ind w:left="425" w:leftChars="0" w:hanging="425" w:firstLineChars="0"/>
        <w:rPr>
          <w:rFonts w:eastAsia="宋体"/>
          <w:lang w:eastAsia="zh-CN"/>
        </w:rPr>
      </w:pPr>
      <w:r>
        <w:rPr>
          <w:rFonts w:eastAsia="宋体"/>
          <w:lang w:eastAsia="zh-CN"/>
        </w:rPr>
        <w:t>标准符合性矩阵：逐条列明标准、适用条款、系统实现和证据位置。</w:t>
      </w:r>
    </w:p>
    <w:p w14:paraId="2D76FE8E">
      <w:pPr>
        <w:pStyle w:val="3"/>
        <w:bidi w:val="0"/>
        <w:rPr>
          <w:lang w:eastAsia="zh-CN"/>
        </w:rPr>
      </w:pPr>
      <w:r>
        <w:rPr>
          <w:rFonts w:hint="eastAsia"/>
          <w:lang w:val="en-US" w:eastAsia="zh-CN"/>
        </w:rPr>
        <w:t>8</w:t>
      </w:r>
      <w:r>
        <w:rPr>
          <w:lang w:eastAsia="zh-CN"/>
        </w:rPr>
        <w:t>.4　展示规则</w:t>
      </w:r>
    </w:p>
    <w:p w14:paraId="013A70CE">
      <w:pPr>
        <w:bidi w:val="0"/>
      </w:pPr>
      <w:r>
        <w:t>大屏、报表在指标旁标注口径标签，例如「企业清单‑报告因子」、「调度绩效‑时变因子」、「LCA‑碳足迹因子」。大屏默认突出本周期碳排放、运行减排、碳强度、电费、处理水量、数据质量；全部减排指标同步附带基准版本、因子版本、算法版本、置信区间；负减排结果不隐藏、不强制归零。</w:t>
      </w:r>
    </w:p>
    <w:p w14:paraId="7FD78152">
      <w:pPr>
        <w:bidi w:val="0"/>
      </w:pPr>
    </w:p>
    <w:p w14:paraId="56C3AFA8">
      <w:pPr>
        <w:bidi w:val="0"/>
      </w:pPr>
    </w:p>
    <w:p w14:paraId="73DFDE78">
      <w:pPr>
        <w:bidi w:val="0"/>
      </w:pPr>
    </w:p>
    <w:p w14:paraId="64D3C23C">
      <w:pPr>
        <w:bidi w:val="0"/>
      </w:pPr>
    </w:p>
    <w:p w14:paraId="3BF4A964">
      <w:pPr>
        <w:bidi w:val="0"/>
      </w:pPr>
    </w:p>
    <w:p w14:paraId="4AEFA8A9">
      <w:pPr>
        <w:bidi w:val="0"/>
      </w:pPr>
    </w:p>
    <w:p w14:paraId="1A046408">
      <w:pPr>
        <w:bidi w:val="0"/>
      </w:pPr>
    </w:p>
    <w:p w14:paraId="53C47135">
      <w:pPr>
        <w:bidi w:val="0"/>
      </w:pPr>
    </w:p>
    <w:p w14:paraId="6EDCACE8">
      <w:pPr>
        <w:bidi w:val="0"/>
      </w:pPr>
    </w:p>
    <w:p w14:paraId="565F9821">
      <w:pPr>
        <w:bidi w:val="0"/>
      </w:pPr>
    </w:p>
    <w:p w14:paraId="3623C680">
      <w:pPr>
        <w:bidi w:val="0"/>
      </w:pPr>
    </w:p>
    <w:p w14:paraId="35A544D8">
      <w:pPr>
        <w:bidi w:val="0"/>
      </w:pPr>
    </w:p>
    <w:p w14:paraId="6BB163E3">
      <w:pPr>
        <w:bidi w:val="0"/>
      </w:pPr>
    </w:p>
    <w:p w14:paraId="53AB2A22">
      <w:pPr>
        <w:bidi w:val="0"/>
      </w:pPr>
    </w:p>
    <w:p w14:paraId="101CE707">
      <w:pPr>
        <w:bidi w:val="0"/>
      </w:pPr>
    </w:p>
    <w:p w14:paraId="7CB1BD70">
      <w:pPr>
        <w:bidi w:val="0"/>
      </w:pPr>
    </w:p>
    <w:p w14:paraId="23D78F7C">
      <w:pPr>
        <w:bidi w:val="0"/>
      </w:pPr>
    </w:p>
    <w:p w14:paraId="49FC028E">
      <w:pPr>
        <w:bidi w:val="0"/>
      </w:pPr>
    </w:p>
    <w:p w14:paraId="338324F9">
      <w:pPr>
        <w:bidi w:val="0"/>
      </w:pPr>
    </w:p>
    <w:p w14:paraId="6B884377">
      <w:pPr>
        <w:bidi w:val="0"/>
        <w:rPr>
          <w:lang w:eastAsia="zh-CN"/>
        </w:rPr>
      </w:pPr>
    </w:p>
    <w:p w14:paraId="3A063619">
      <w:pPr>
        <w:pStyle w:val="2"/>
        <w:ind w:firstLine="442"/>
        <w:rPr>
          <w:rFonts w:eastAsia="宋体"/>
          <w:color w:val="000000" w:themeColor="text1"/>
          <w:lang w:eastAsia="zh-CN"/>
          <w14:textFill>
            <w14:solidFill>
              <w14:schemeClr w14:val="tx1"/>
            </w14:solidFill>
          </w14:textFill>
        </w:rPr>
      </w:pPr>
      <w:r>
        <w:rPr>
          <w:rFonts w:ascii="Arial" w:hAnsi="Arial" w:eastAsia="宋体"/>
          <w:color w:val="000000" w:themeColor="text1"/>
          <w:sz w:val="22"/>
          <w:lang w:eastAsia="zh-CN"/>
          <w14:textFill>
            <w14:solidFill>
              <w14:schemeClr w14:val="tx1"/>
            </w14:solidFill>
          </w14:textFill>
        </w:rPr>
        <w:t>附录A　主要符号</w:t>
      </w:r>
    </w:p>
    <w:p w14:paraId="1B563DD1">
      <w:pPr>
        <w:spacing w:before="80" w:after="80"/>
        <w:ind w:firstLine="361"/>
        <w:jc w:val="center"/>
        <w:rPr>
          <w:lang w:eastAsia="zh-CN"/>
        </w:rPr>
      </w:pPr>
      <w:r>
        <w:rPr>
          <w:rFonts w:ascii="Arial" w:hAnsi="Arial"/>
          <w:b/>
          <w:sz w:val="18"/>
          <w:lang w:eastAsia="zh-CN"/>
        </w:rPr>
        <w:t>表A.1　符号表</w:t>
      </w:r>
    </w:p>
    <w:tbl>
      <w:tblPr>
        <w:tblStyle w:val="10"/>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088"/>
        <w:gridCol w:w="5688"/>
        <w:gridCol w:w="1584"/>
      </w:tblGrid>
      <w:tr w14:paraId="6FB96E5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2088" w:type="dxa"/>
            <w:shd w:val="clear" w:color="auto" w:fill="F2F4F7"/>
            <w:tcMar>
              <w:top w:w="90" w:type="dxa"/>
              <w:left w:w="120" w:type="dxa"/>
              <w:bottom w:w="90" w:type="dxa"/>
              <w:right w:w="120" w:type="dxa"/>
            </w:tcMar>
            <w:vAlign w:val="center"/>
          </w:tcPr>
          <w:p w14:paraId="568E4CF9">
            <w:pPr>
              <w:ind w:firstLine="341"/>
              <w:jc w:val="center"/>
            </w:pPr>
            <w:r>
              <w:rPr>
                <w:rFonts w:ascii="Arial" w:hAnsi="Arial"/>
                <w:b/>
                <w:sz w:val="17"/>
              </w:rPr>
              <w:t>符号</w:t>
            </w:r>
          </w:p>
        </w:tc>
        <w:tc>
          <w:tcPr>
            <w:tcW w:w="5688" w:type="dxa"/>
            <w:shd w:val="clear" w:color="auto" w:fill="F2F4F7"/>
            <w:tcMar>
              <w:top w:w="90" w:type="dxa"/>
              <w:left w:w="120" w:type="dxa"/>
              <w:bottom w:w="90" w:type="dxa"/>
              <w:right w:w="120" w:type="dxa"/>
            </w:tcMar>
            <w:vAlign w:val="center"/>
          </w:tcPr>
          <w:p w14:paraId="2C2BC254">
            <w:pPr>
              <w:ind w:firstLine="341"/>
              <w:jc w:val="center"/>
            </w:pPr>
            <w:r>
              <w:rPr>
                <w:rFonts w:ascii="Arial" w:hAnsi="Arial"/>
                <w:b/>
                <w:sz w:val="17"/>
              </w:rPr>
              <w:t>含义</w:t>
            </w:r>
          </w:p>
        </w:tc>
        <w:tc>
          <w:tcPr>
            <w:tcW w:w="1584" w:type="dxa"/>
            <w:shd w:val="clear" w:color="auto" w:fill="F2F4F7"/>
            <w:tcMar>
              <w:top w:w="90" w:type="dxa"/>
              <w:left w:w="120" w:type="dxa"/>
              <w:bottom w:w="90" w:type="dxa"/>
              <w:right w:w="120" w:type="dxa"/>
            </w:tcMar>
            <w:vAlign w:val="center"/>
          </w:tcPr>
          <w:p w14:paraId="25CACA23">
            <w:pPr>
              <w:ind w:firstLine="341"/>
              <w:jc w:val="center"/>
            </w:pPr>
            <w:r>
              <w:rPr>
                <w:rFonts w:ascii="Arial" w:hAnsi="Arial"/>
                <w:b/>
                <w:sz w:val="17"/>
              </w:rPr>
              <w:t>单位</w:t>
            </w:r>
          </w:p>
        </w:tc>
      </w:tr>
      <w:tr w14:paraId="15ADC78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37CAE057">
            <w:pPr>
              <w:spacing w:line="252" w:lineRule="auto"/>
              <w:ind w:firstLine="340"/>
            </w:pPr>
            <w:r>
              <w:rPr>
                <w:rFonts w:ascii="Arial" w:hAnsi="Arial"/>
                <w:sz w:val="17"/>
              </w:rPr>
              <w:t>E_grid,import(t)</w:t>
            </w:r>
          </w:p>
        </w:tc>
        <w:tc>
          <w:tcPr>
            <w:tcW w:w="5688" w:type="dxa"/>
            <w:tcMar>
              <w:top w:w="90" w:type="dxa"/>
              <w:left w:w="120" w:type="dxa"/>
              <w:bottom w:w="90" w:type="dxa"/>
              <w:right w:w="120" w:type="dxa"/>
            </w:tcMar>
            <w:vAlign w:val="center"/>
          </w:tcPr>
          <w:p w14:paraId="7D0D3042">
            <w:pPr>
              <w:spacing w:line="252" w:lineRule="auto"/>
              <w:ind w:firstLine="340"/>
              <w:rPr>
                <w:lang w:eastAsia="zh-CN"/>
              </w:rPr>
            </w:pPr>
            <w:r>
              <w:rPr>
                <w:rFonts w:ascii="Arial" w:hAnsi="Arial"/>
                <w:sz w:val="17"/>
                <w:lang w:eastAsia="zh-CN"/>
              </w:rPr>
              <w:t>第t时段厂区关口购入电量</w:t>
            </w:r>
          </w:p>
        </w:tc>
        <w:tc>
          <w:tcPr>
            <w:tcW w:w="1584" w:type="dxa"/>
            <w:tcMar>
              <w:top w:w="90" w:type="dxa"/>
              <w:left w:w="120" w:type="dxa"/>
              <w:bottom w:w="90" w:type="dxa"/>
              <w:right w:w="120" w:type="dxa"/>
            </w:tcMar>
            <w:vAlign w:val="center"/>
          </w:tcPr>
          <w:p w14:paraId="7E015F31">
            <w:pPr>
              <w:spacing w:line="252" w:lineRule="auto"/>
              <w:ind w:firstLine="340"/>
            </w:pPr>
            <w:r>
              <w:rPr>
                <w:rFonts w:ascii="Arial" w:hAnsi="Arial"/>
                <w:sz w:val="17"/>
              </w:rPr>
              <w:t>kWh</w:t>
            </w:r>
          </w:p>
        </w:tc>
      </w:tr>
      <w:tr w14:paraId="06F315C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46CC28BC">
            <w:pPr>
              <w:spacing w:line="252" w:lineRule="auto"/>
              <w:ind w:firstLine="340"/>
            </w:pPr>
            <w:r>
              <w:rPr>
                <w:rFonts w:ascii="Arial" w:hAnsi="Arial"/>
                <w:sz w:val="17"/>
              </w:rPr>
              <w:t>E_ch,ac(t)</w:t>
            </w:r>
          </w:p>
        </w:tc>
        <w:tc>
          <w:tcPr>
            <w:tcW w:w="5688" w:type="dxa"/>
            <w:tcMar>
              <w:top w:w="90" w:type="dxa"/>
              <w:left w:w="120" w:type="dxa"/>
              <w:bottom w:w="90" w:type="dxa"/>
              <w:right w:w="120" w:type="dxa"/>
            </w:tcMar>
            <w:vAlign w:val="center"/>
          </w:tcPr>
          <w:p w14:paraId="214391F6">
            <w:pPr>
              <w:spacing w:line="252" w:lineRule="auto"/>
              <w:ind w:firstLine="340"/>
              <w:rPr>
                <w:lang w:eastAsia="zh-CN"/>
              </w:rPr>
            </w:pPr>
            <w:r>
              <w:rPr>
                <w:rFonts w:ascii="Arial" w:hAnsi="Arial"/>
                <w:sz w:val="17"/>
                <w:lang w:eastAsia="zh-CN"/>
              </w:rPr>
              <w:t>第t时段储能交流侧充电量</w:t>
            </w:r>
          </w:p>
        </w:tc>
        <w:tc>
          <w:tcPr>
            <w:tcW w:w="1584" w:type="dxa"/>
            <w:tcMar>
              <w:top w:w="90" w:type="dxa"/>
              <w:left w:w="120" w:type="dxa"/>
              <w:bottom w:w="90" w:type="dxa"/>
              <w:right w:w="120" w:type="dxa"/>
            </w:tcMar>
            <w:vAlign w:val="center"/>
          </w:tcPr>
          <w:p w14:paraId="38433FCB">
            <w:pPr>
              <w:spacing w:line="252" w:lineRule="auto"/>
              <w:ind w:firstLine="340"/>
            </w:pPr>
            <w:r>
              <w:rPr>
                <w:rFonts w:ascii="Arial" w:hAnsi="Arial"/>
                <w:sz w:val="17"/>
              </w:rPr>
              <w:t>kWh</w:t>
            </w:r>
          </w:p>
        </w:tc>
      </w:tr>
      <w:tr w14:paraId="1039A18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369754A0">
            <w:pPr>
              <w:spacing w:line="252" w:lineRule="auto"/>
              <w:ind w:firstLine="340"/>
            </w:pPr>
            <w:r>
              <w:rPr>
                <w:rFonts w:ascii="Arial" w:hAnsi="Arial"/>
                <w:sz w:val="17"/>
              </w:rPr>
              <w:t>E_dis,ac(t)</w:t>
            </w:r>
          </w:p>
        </w:tc>
        <w:tc>
          <w:tcPr>
            <w:tcW w:w="5688" w:type="dxa"/>
            <w:tcMar>
              <w:top w:w="90" w:type="dxa"/>
              <w:left w:w="120" w:type="dxa"/>
              <w:bottom w:w="90" w:type="dxa"/>
              <w:right w:w="120" w:type="dxa"/>
            </w:tcMar>
            <w:vAlign w:val="center"/>
          </w:tcPr>
          <w:p w14:paraId="66965617">
            <w:pPr>
              <w:spacing w:line="252" w:lineRule="auto"/>
              <w:ind w:firstLine="340"/>
              <w:rPr>
                <w:lang w:eastAsia="zh-CN"/>
              </w:rPr>
            </w:pPr>
            <w:r>
              <w:rPr>
                <w:rFonts w:ascii="Arial" w:hAnsi="Arial"/>
                <w:sz w:val="17"/>
                <w:lang w:eastAsia="zh-CN"/>
              </w:rPr>
              <w:t>第t时段储能交流侧放电量</w:t>
            </w:r>
          </w:p>
        </w:tc>
        <w:tc>
          <w:tcPr>
            <w:tcW w:w="1584" w:type="dxa"/>
            <w:tcMar>
              <w:top w:w="90" w:type="dxa"/>
              <w:left w:w="120" w:type="dxa"/>
              <w:bottom w:w="90" w:type="dxa"/>
              <w:right w:w="120" w:type="dxa"/>
            </w:tcMar>
            <w:vAlign w:val="center"/>
          </w:tcPr>
          <w:p w14:paraId="307193A3">
            <w:pPr>
              <w:spacing w:line="252" w:lineRule="auto"/>
              <w:ind w:firstLine="340"/>
            </w:pPr>
            <w:r>
              <w:rPr>
                <w:rFonts w:ascii="Arial" w:hAnsi="Arial"/>
                <w:sz w:val="17"/>
              </w:rPr>
              <w:t>kWh</w:t>
            </w:r>
          </w:p>
        </w:tc>
      </w:tr>
      <w:tr w14:paraId="5A468B8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0DF7165C">
            <w:pPr>
              <w:spacing w:line="252" w:lineRule="auto"/>
              <w:ind w:firstLine="340"/>
            </w:pPr>
            <w:r>
              <w:rPr>
                <w:rFonts w:ascii="Arial" w:hAnsi="Arial"/>
                <w:sz w:val="17"/>
              </w:rPr>
              <w:t>E_aux(t)</w:t>
            </w:r>
          </w:p>
        </w:tc>
        <w:tc>
          <w:tcPr>
            <w:tcW w:w="5688" w:type="dxa"/>
            <w:tcMar>
              <w:top w:w="90" w:type="dxa"/>
              <w:left w:w="120" w:type="dxa"/>
              <w:bottom w:w="90" w:type="dxa"/>
              <w:right w:w="120" w:type="dxa"/>
            </w:tcMar>
            <w:vAlign w:val="center"/>
          </w:tcPr>
          <w:p w14:paraId="5B217820">
            <w:pPr>
              <w:spacing w:line="252" w:lineRule="auto"/>
              <w:ind w:firstLine="340"/>
            </w:pPr>
            <w:r>
              <w:rPr>
                <w:rFonts w:ascii="Arial" w:hAnsi="Arial"/>
                <w:sz w:val="17"/>
              </w:rPr>
              <w:t>储能辅助系统电耗</w:t>
            </w:r>
          </w:p>
        </w:tc>
        <w:tc>
          <w:tcPr>
            <w:tcW w:w="1584" w:type="dxa"/>
            <w:tcMar>
              <w:top w:w="90" w:type="dxa"/>
              <w:left w:w="120" w:type="dxa"/>
              <w:bottom w:w="90" w:type="dxa"/>
              <w:right w:w="120" w:type="dxa"/>
            </w:tcMar>
            <w:vAlign w:val="center"/>
          </w:tcPr>
          <w:p w14:paraId="2E0A4003">
            <w:pPr>
              <w:spacing w:line="252" w:lineRule="auto"/>
              <w:ind w:firstLine="340"/>
            </w:pPr>
            <w:r>
              <w:rPr>
                <w:rFonts w:ascii="Arial" w:hAnsi="Arial"/>
                <w:sz w:val="17"/>
              </w:rPr>
              <w:t>kWh</w:t>
            </w:r>
          </w:p>
        </w:tc>
      </w:tr>
      <w:tr w14:paraId="1D7122F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5F62BA97">
            <w:pPr>
              <w:spacing w:line="252" w:lineRule="auto"/>
              <w:ind w:firstLine="340"/>
            </w:pPr>
            <w:r>
              <w:rPr>
                <w:rFonts w:ascii="Arial" w:hAnsi="Arial"/>
                <w:sz w:val="17"/>
              </w:rPr>
              <w:t>ΔE_bat</w:t>
            </w:r>
          </w:p>
        </w:tc>
        <w:tc>
          <w:tcPr>
            <w:tcW w:w="5688" w:type="dxa"/>
            <w:tcMar>
              <w:top w:w="90" w:type="dxa"/>
              <w:left w:w="120" w:type="dxa"/>
              <w:bottom w:w="90" w:type="dxa"/>
              <w:right w:w="120" w:type="dxa"/>
            </w:tcMar>
            <w:vAlign w:val="center"/>
          </w:tcPr>
          <w:p w14:paraId="699D0DD1">
            <w:pPr>
              <w:spacing w:line="252" w:lineRule="auto"/>
              <w:ind w:firstLine="340"/>
              <w:rPr>
                <w:lang w:eastAsia="zh-CN"/>
              </w:rPr>
            </w:pPr>
            <w:r>
              <w:rPr>
                <w:rFonts w:ascii="Arial" w:hAnsi="Arial"/>
                <w:sz w:val="17"/>
                <w:lang w:eastAsia="zh-CN"/>
              </w:rPr>
              <w:t>核算期电池存储能量变化</w:t>
            </w:r>
          </w:p>
        </w:tc>
        <w:tc>
          <w:tcPr>
            <w:tcW w:w="1584" w:type="dxa"/>
            <w:tcMar>
              <w:top w:w="90" w:type="dxa"/>
              <w:left w:w="120" w:type="dxa"/>
              <w:bottom w:w="90" w:type="dxa"/>
              <w:right w:w="120" w:type="dxa"/>
            </w:tcMar>
            <w:vAlign w:val="center"/>
          </w:tcPr>
          <w:p w14:paraId="4927F865">
            <w:pPr>
              <w:spacing w:line="252" w:lineRule="auto"/>
              <w:ind w:firstLine="340"/>
            </w:pPr>
            <w:r>
              <w:rPr>
                <w:rFonts w:ascii="Arial" w:hAnsi="Arial"/>
                <w:sz w:val="17"/>
              </w:rPr>
              <w:t>kWh</w:t>
            </w:r>
          </w:p>
        </w:tc>
      </w:tr>
      <w:tr w14:paraId="3D2B27F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18583E1F">
            <w:pPr>
              <w:spacing w:line="252" w:lineRule="auto"/>
              <w:ind w:firstLine="340"/>
            </w:pPr>
            <w:r>
              <w:rPr>
                <w:rFonts w:ascii="Arial" w:hAnsi="Arial"/>
                <w:sz w:val="17"/>
              </w:rPr>
              <w:t>EF_report</w:t>
            </w:r>
          </w:p>
        </w:tc>
        <w:tc>
          <w:tcPr>
            <w:tcW w:w="5688" w:type="dxa"/>
            <w:tcMar>
              <w:top w:w="90" w:type="dxa"/>
              <w:left w:w="120" w:type="dxa"/>
              <w:bottom w:w="90" w:type="dxa"/>
              <w:right w:w="120" w:type="dxa"/>
            </w:tcMar>
            <w:vAlign w:val="center"/>
          </w:tcPr>
          <w:p w14:paraId="0C53E88E">
            <w:pPr>
              <w:spacing w:line="252" w:lineRule="auto"/>
              <w:ind w:firstLine="340"/>
              <w:rPr>
                <w:lang w:eastAsia="zh-CN"/>
              </w:rPr>
            </w:pPr>
            <w:r>
              <w:rPr>
                <w:rFonts w:ascii="Arial" w:hAnsi="Arial"/>
                <w:sz w:val="17"/>
                <w:lang w:eastAsia="zh-CN"/>
              </w:rPr>
              <w:t>正式企业清单使用的电力排放因子</w:t>
            </w:r>
          </w:p>
        </w:tc>
        <w:tc>
          <w:tcPr>
            <w:tcW w:w="1584" w:type="dxa"/>
            <w:tcMar>
              <w:top w:w="90" w:type="dxa"/>
              <w:left w:w="120" w:type="dxa"/>
              <w:bottom w:w="90" w:type="dxa"/>
              <w:right w:w="120" w:type="dxa"/>
            </w:tcMar>
            <w:vAlign w:val="center"/>
          </w:tcPr>
          <w:p w14:paraId="0A0D5965">
            <w:pPr>
              <w:spacing w:line="252" w:lineRule="auto"/>
              <w:ind w:firstLine="340"/>
            </w:pPr>
            <w:r>
              <w:rPr>
                <w:rFonts w:ascii="Arial" w:hAnsi="Arial"/>
                <w:sz w:val="17"/>
              </w:rPr>
              <w:t>kgCO</w:t>
            </w:r>
            <w:r>
              <w:rPr>
                <w:rFonts w:ascii="Cambria Math" w:hAnsi="Cambria Math" w:cs="Cambria Math"/>
                <w:sz w:val="17"/>
              </w:rPr>
              <w:t>₂</w:t>
            </w:r>
            <w:r>
              <w:rPr>
                <w:rFonts w:ascii="Arial" w:hAnsi="Arial"/>
                <w:sz w:val="17"/>
              </w:rPr>
              <w:t>/kWh</w:t>
            </w:r>
          </w:p>
        </w:tc>
      </w:tr>
      <w:tr w14:paraId="54CCACE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3BA847DB">
            <w:pPr>
              <w:spacing w:line="252" w:lineRule="auto"/>
              <w:ind w:firstLine="340"/>
            </w:pPr>
            <w:r>
              <w:rPr>
                <w:rFonts w:ascii="Arial" w:hAnsi="Arial"/>
                <w:sz w:val="17"/>
              </w:rPr>
              <w:t>EF_opt(t)</w:t>
            </w:r>
          </w:p>
        </w:tc>
        <w:tc>
          <w:tcPr>
            <w:tcW w:w="5688" w:type="dxa"/>
            <w:tcMar>
              <w:top w:w="90" w:type="dxa"/>
              <w:left w:w="120" w:type="dxa"/>
              <w:bottom w:w="90" w:type="dxa"/>
              <w:right w:w="120" w:type="dxa"/>
            </w:tcMar>
            <w:vAlign w:val="center"/>
          </w:tcPr>
          <w:p w14:paraId="41D96756">
            <w:pPr>
              <w:spacing w:line="252" w:lineRule="auto"/>
              <w:ind w:firstLine="340"/>
              <w:rPr>
                <w:lang w:eastAsia="zh-CN"/>
              </w:rPr>
            </w:pPr>
            <w:r>
              <w:rPr>
                <w:rFonts w:ascii="Arial" w:hAnsi="Arial"/>
                <w:sz w:val="17"/>
                <w:lang w:eastAsia="zh-CN"/>
              </w:rPr>
              <w:t>优化调度使用的时变/边际碳信号</w:t>
            </w:r>
          </w:p>
        </w:tc>
        <w:tc>
          <w:tcPr>
            <w:tcW w:w="1584" w:type="dxa"/>
            <w:tcMar>
              <w:top w:w="90" w:type="dxa"/>
              <w:left w:w="120" w:type="dxa"/>
              <w:bottom w:w="90" w:type="dxa"/>
              <w:right w:w="120" w:type="dxa"/>
            </w:tcMar>
            <w:vAlign w:val="center"/>
          </w:tcPr>
          <w:p w14:paraId="4C5E32B8">
            <w:pPr>
              <w:spacing w:line="252" w:lineRule="auto"/>
              <w:ind w:firstLine="340"/>
            </w:pPr>
            <w:r>
              <w:rPr>
                <w:rFonts w:ascii="Arial" w:hAnsi="Arial"/>
                <w:sz w:val="17"/>
              </w:rPr>
              <w:t>kgCO</w:t>
            </w:r>
            <w:r>
              <w:rPr>
                <w:rFonts w:ascii="Cambria Math" w:hAnsi="Cambria Math" w:cs="Cambria Math"/>
                <w:sz w:val="17"/>
              </w:rPr>
              <w:t>₂</w:t>
            </w:r>
            <w:r>
              <w:rPr>
                <w:rFonts w:ascii="Arial" w:hAnsi="Arial"/>
                <w:sz w:val="17"/>
              </w:rPr>
              <w:t>e/kWh</w:t>
            </w:r>
          </w:p>
        </w:tc>
      </w:tr>
      <w:tr w14:paraId="71F5992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4B1342D6">
            <w:pPr>
              <w:spacing w:line="252" w:lineRule="auto"/>
              <w:ind w:firstLine="340"/>
            </w:pPr>
            <w:r>
              <w:rPr>
                <w:rFonts w:ascii="Arial" w:hAnsi="Arial"/>
                <w:sz w:val="17"/>
              </w:rPr>
              <w:t>EF_CFP</w:t>
            </w:r>
          </w:p>
        </w:tc>
        <w:tc>
          <w:tcPr>
            <w:tcW w:w="5688" w:type="dxa"/>
            <w:tcMar>
              <w:top w:w="90" w:type="dxa"/>
              <w:left w:w="120" w:type="dxa"/>
              <w:bottom w:w="90" w:type="dxa"/>
              <w:right w:w="120" w:type="dxa"/>
            </w:tcMar>
            <w:vAlign w:val="center"/>
          </w:tcPr>
          <w:p w14:paraId="3CF7E8CE">
            <w:pPr>
              <w:spacing w:line="252" w:lineRule="auto"/>
              <w:ind w:firstLine="340"/>
              <w:rPr>
                <w:lang w:eastAsia="zh-CN"/>
              </w:rPr>
            </w:pPr>
            <w:r>
              <w:rPr>
                <w:rFonts w:ascii="Arial" w:hAnsi="Arial"/>
                <w:sz w:val="17"/>
                <w:lang w:eastAsia="zh-CN"/>
              </w:rPr>
              <w:t>产品碳足迹使用的电力生命周期因子</w:t>
            </w:r>
          </w:p>
        </w:tc>
        <w:tc>
          <w:tcPr>
            <w:tcW w:w="1584" w:type="dxa"/>
            <w:tcMar>
              <w:top w:w="90" w:type="dxa"/>
              <w:left w:w="120" w:type="dxa"/>
              <w:bottom w:w="90" w:type="dxa"/>
              <w:right w:w="120" w:type="dxa"/>
            </w:tcMar>
            <w:vAlign w:val="center"/>
          </w:tcPr>
          <w:p w14:paraId="0DAAF13E">
            <w:pPr>
              <w:spacing w:line="252" w:lineRule="auto"/>
              <w:ind w:firstLine="340"/>
            </w:pPr>
            <w:r>
              <w:rPr>
                <w:rFonts w:ascii="Arial" w:hAnsi="Arial"/>
                <w:sz w:val="17"/>
              </w:rPr>
              <w:t>kgCO</w:t>
            </w:r>
            <w:r>
              <w:rPr>
                <w:rFonts w:ascii="Cambria Math" w:hAnsi="Cambria Math" w:cs="Cambria Math"/>
                <w:sz w:val="17"/>
              </w:rPr>
              <w:t>₂</w:t>
            </w:r>
            <w:r>
              <w:rPr>
                <w:rFonts w:ascii="Arial" w:hAnsi="Arial"/>
                <w:sz w:val="17"/>
              </w:rPr>
              <w:t>e/kWh</w:t>
            </w:r>
          </w:p>
        </w:tc>
      </w:tr>
      <w:tr w14:paraId="27C0143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7601983A">
            <w:pPr>
              <w:spacing w:line="252" w:lineRule="auto"/>
              <w:ind w:firstLine="340"/>
            </w:pPr>
            <w:r>
              <w:rPr>
                <w:rFonts w:ascii="Arial" w:hAnsi="Arial"/>
                <w:sz w:val="17"/>
              </w:rPr>
              <w:t>BE/PE/LE</w:t>
            </w:r>
          </w:p>
        </w:tc>
        <w:tc>
          <w:tcPr>
            <w:tcW w:w="5688" w:type="dxa"/>
            <w:tcMar>
              <w:top w:w="90" w:type="dxa"/>
              <w:left w:w="120" w:type="dxa"/>
              <w:bottom w:w="90" w:type="dxa"/>
              <w:right w:w="120" w:type="dxa"/>
            </w:tcMar>
            <w:vAlign w:val="center"/>
          </w:tcPr>
          <w:p w14:paraId="3639DD49">
            <w:pPr>
              <w:spacing w:line="252" w:lineRule="auto"/>
              <w:ind w:firstLine="340"/>
              <w:rPr>
                <w:lang w:eastAsia="zh-CN"/>
              </w:rPr>
            </w:pPr>
            <w:r>
              <w:rPr>
                <w:rFonts w:ascii="Arial" w:hAnsi="Arial"/>
                <w:sz w:val="17"/>
                <w:lang w:eastAsia="zh-CN"/>
              </w:rPr>
              <w:t>基准排放/项目排放/泄漏排放</w:t>
            </w:r>
          </w:p>
        </w:tc>
        <w:tc>
          <w:tcPr>
            <w:tcW w:w="1584" w:type="dxa"/>
            <w:tcMar>
              <w:top w:w="90" w:type="dxa"/>
              <w:left w:w="120" w:type="dxa"/>
              <w:bottom w:w="90" w:type="dxa"/>
              <w:right w:w="120" w:type="dxa"/>
            </w:tcMar>
            <w:vAlign w:val="center"/>
          </w:tcPr>
          <w:p w14:paraId="64EB08DE">
            <w:pPr>
              <w:spacing w:line="252" w:lineRule="auto"/>
              <w:ind w:firstLine="340"/>
            </w:pPr>
            <w:r>
              <w:rPr>
                <w:rFonts w:ascii="Arial" w:hAnsi="Arial"/>
                <w:sz w:val="17"/>
              </w:rPr>
              <w:t>kg或tCO</w:t>
            </w:r>
            <w:r>
              <w:rPr>
                <w:rFonts w:ascii="Cambria Math" w:hAnsi="Cambria Math" w:cs="Cambria Math"/>
                <w:sz w:val="17"/>
              </w:rPr>
              <w:t>₂</w:t>
            </w:r>
            <w:r>
              <w:rPr>
                <w:rFonts w:ascii="Arial" w:hAnsi="Arial"/>
                <w:sz w:val="17"/>
              </w:rPr>
              <w:t>e</w:t>
            </w:r>
          </w:p>
        </w:tc>
      </w:tr>
      <w:tr w14:paraId="59CFDA5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0ED3C36B">
            <w:pPr>
              <w:spacing w:line="252" w:lineRule="auto"/>
              <w:ind w:firstLine="340"/>
            </w:pPr>
            <w:r>
              <w:rPr>
                <w:rFonts w:ascii="Arial" w:hAnsi="Arial"/>
                <w:sz w:val="17"/>
              </w:rPr>
              <w:t>ER_op/ER_net</w:t>
            </w:r>
          </w:p>
        </w:tc>
        <w:tc>
          <w:tcPr>
            <w:tcW w:w="5688" w:type="dxa"/>
            <w:tcMar>
              <w:top w:w="90" w:type="dxa"/>
              <w:left w:w="120" w:type="dxa"/>
              <w:bottom w:w="90" w:type="dxa"/>
              <w:right w:w="120" w:type="dxa"/>
            </w:tcMar>
            <w:vAlign w:val="center"/>
          </w:tcPr>
          <w:p w14:paraId="6CFCA002">
            <w:pPr>
              <w:spacing w:line="252" w:lineRule="auto"/>
              <w:ind w:firstLine="340"/>
              <w:rPr>
                <w:lang w:eastAsia="zh-CN"/>
              </w:rPr>
            </w:pPr>
            <w:r>
              <w:rPr>
                <w:rFonts w:ascii="Arial" w:hAnsi="Arial"/>
                <w:sz w:val="17"/>
                <w:lang w:eastAsia="zh-CN"/>
              </w:rPr>
              <w:t>运行减排/净生命周期减排</w:t>
            </w:r>
          </w:p>
        </w:tc>
        <w:tc>
          <w:tcPr>
            <w:tcW w:w="1584" w:type="dxa"/>
            <w:tcMar>
              <w:top w:w="90" w:type="dxa"/>
              <w:left w:w="120" w:type="dxa"/>
              <w:bottom w:w="90" w:type="dxa"/>
              <w:right w:w="120" w:type="dxa"/>
            </w:tcMar>
            <w:vAlign w:val="center"/>
          </w:tcPr>
          <w:p w14:paraId="32935926">
            <w:pPr>
              <w:spacing w:line="252" w:lineRule="auto"/>
              <w:ind w:firstLine="340"/>
            </w:pPr>
            <w:r>
              <w:rPr>
                <w:rFonts w:ascii="Arial" w:hAnsi="Arial"/>
                <w:sz w:val="17"/>
              </w:rPr>
              <w:t>kg或tCO</w:t>
            </w:r>
            <w:r>
              <w:rPr>
                <w:rFonts w:ascii="Cambria Math" w:hAnsi="Cambria Math" w:cs="Cambria Math"/>
                <w:sz w:val="17"/>
              </w:rPr>
              <w:t>₂</w:t>
            </w:r>
            <w:r>
              <w:rPr>
                <w:rFonts w:ascii="Arial" w:hAnsi="Arial"/>
                <w:sz w:val="17"/>
              </w:rPr>
              <w:t>e</w:t>
            </w:r>
          </w:p>
        </w:tc>
      </w:tr>
      <w:tr w14:paraId="48C66D6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15F8767B">
            <w:pPr>
              <w:spacing w:line="252" w:lineRule="auto"/>
              <w:ind w:firstLine="340"/>
            </w:pPr>
            <w:r>
              <w:rPr>
                <w:rFonts w:ascii="Arial" w:hAnsi="Arial"/>
                <w:sz w:val="17"/>
              </w:rPr>
              <w:t>C_embodied</w:t>
            </w:r>
          </w:p>
        </w:tc>
        <w:tc>
          <w:tcPr>
            <w:tcW w:w="5688" w:type="dxa"/>
            <w:tcMar>
              <w:top w:w="90" w:type="dxa"/>
              <w:left w:w="120" w:type="dxa"/>
              <w:bottom w:w="90" w:type="dxa"/>
              <w:right w:w="120" w:type="dxa"/>
            </w:tcMar>
            <w:vAlign w:val="center"/>
          </w:tcPr>
          <w:p w14:paraId="77E6009B">
            <w:pPr>
              <w:spacing w:line="252" w:lineRule="auto"/>
              <w:ind w:firstLine="340"/>
              <w:rPr>
                <w:lang w:eastAsia="zh-CN"/>
              </w:rPr>
            </w:pPr>
            <w:r>
              <w:rPr>
                <w:rFonts w:ascii="Arial" w:hAnsi="Arial"/>
                <w:sz w:val="17"/>
                <w:lang w:eastAsia="zh-CN"/>
              </w:rPr>
              <w:t>储能设备生命周期隐含碳</w:t>
            </w:r>
          </w:p>
        </w:tc>
        <w:tc>
          <w:tcPr>
            <w:tcW w:w="1584" w:type="dxa"/>
            <w:tcMar>
              <w:top w:w="90" w:type="dxa"/>
              <w:left w:w="120" w:type="dxa"/>
              <w:bottom w:w="90" w:type="dxa"/>
              <w:right w:w="120" w:type="dxa"/>
            </w:tcMar>
            <w:vAlign w:val="center"/>
          </w:tcPr>
          <w:p w14:paraId="4DB235CA">
            <w:pPr>
              <w:spacing w:line="252" w:lineRule="auto"/>
              <w:ind w:firstLine="340"/>
            </w:pPr>
            <w:r>
              <w:rPr>
                <w:rFonts w:ascii="Arial" w:hAnsi="Arial"/>
                <w:sz w:val="17"/>
              </w:rPr>
              <w:t>kg或tCO</w:t>
            </w:r>
            <w:r>
              <w:rPr>
                <w:rFonts w:ascii="Cambria Math" w:hAnsi="Cambria Math" w:cs="Cambria Math"/>
                <w:sz w:val="17"/>
              </w:rPr>
              <w:t>₂</w:t>
            </w:r>
            <w:r>
              <w:rPr>
                <w:rFonts w:ascii="Arial" w:hAnsi="Arial"/>
                <w:sz w:val="17"/>
              </w:rPr>
              <w:t>e</w:t>
            </w:r>
          </w:p>
        </w:tc>
      </w:tr>
      <w:tr w14:paraId="6536BD0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7F60259D">
            <w:pPr>
              <w:spacing w:line="252" w:lineRule="auto"/>
              <w:ind w:firstLine="340"/>
            </w:pPr>
            <w:r>
              <w:rPr>
                <w:rFonts w:ascii="Arial" w:hAnsi="Arial"/>
                <w:sz w:val="17"/>
              </w:rPr>
              <w:t>I_emb</w:t>
            </w:r>
          </w:p>
        </w:tc>
        <w:tc>
          <w:tcPr>
            <w:tcW w:w="5688" w:type="dxa"/>
            <w:tcMar>
              <w:top w:w="90" w:type="dxa"/>
              <w:left w:w="120" w:type="dxa"/>
              <w:bottom w:w="90" w:type="dxa"/>
              <w:right w:w="120" w:type="dxa"/>
            </w:tcMar>
            <w:vAlign w:val="center"/>
          </w:tcPr>
          <w:p w14:paraId="268FFB63">
            <w:pPr>
              <w:spacing w:line="252" w:lineRule="auto"/>
              <w:ind w:firstLine="340"/>
              <w:rPr>
                <w:lang w:eastAsia="zh-CN"/>
              </w:rPr>
            </w:pPr>
            <w:r>
              <w:rPr>
                <w:rFonts w:ascii="Arial" w:hAnsi="Arial"/>
                <w:sz w:val="17"/>
                <w:lang w:eastAsia="zh-CN"/>
              </w:rPr>
              <w:t>单位交流侧交付电量隐含碳强度</w:t>
            </w:r>
          </w:p>
        </w:tc>
        <w:tc>
          <w:tcPr>
            <w:tcW w:w="1584" w:type="dxa"/>
            <w:tcMar>
              <w:top w:w="90" w:type="dxa"/>
              <w:left w:w="120" w:type="dxa"/>
              <w:bottom w:w="90" w:type="dxa"/>
              <w:right w:w="120" w:type="dxa"/>
            </w:tcMar>
            <w:vAlign w:val="center"/>
          </w:tcPr>
          <w:p w14:paraId="7CABC879">
            <w:pPr>
              <w:spacing w:line="252" w:lineRule="auto"/>
              <w:ind w:firstLine="340"/>
            </w:pPr>
            <w:r>
              <w:rPr>
                <w:rFonts w:ascii="Arial" w:hAnsi="Arial"/>
                <w:sz w:val="17"/>
              </w:rPr>
              <w:t>kgCO</w:t>
            </w:r>
            <w:r>
              <w:rPr>
                <w:rFonts w:ascii="Cambria Math" w:hAnsi="Cambria Math" w:cs="Cambria Math"/>
                <w:sz w:val="17"/>
              </w:rPr>
              <w:t>₂</w:t>
            </w:r>
            <w:r>
              <w:rPr>
                <w:rFonts w:ascii="Arial" w:hAnsi="Arial"/>
                <w:sz w:val="17"/>
              </w:rPr>
              <w:t>e/kWh</w:t>
            </w:r>
          </w:p>
        </w:tc>
      </w:tr>
      <w:tr w14:paraId="77185F5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7FFF4F32">
            <w:pPr>
              <w:spacing w:line="252" w:lineRule="auto"/>
              <w:ind w:firstLine="340"/>
            </w:pPr>
            <w:r>
              <w:rPr>
                <w:rFonts w:ascii="Arial" w:hAnsi="Arial"/>
                <w:sz w:val="17"/>
              </w:rPr>
              <w:t>N_EFC</w:t>
            </w:r>
          </w:p>
        </w:tc>
        <w:tc>
          <w:tcPr>
            <w:tcW w:w="5688" w:type="dxa"/>
            <w:tcMar>
              <w:top w:w="90" w:type="dxa"/>
              <w:left w:w="120" w:type="dxa"/>
              <w:bottom w:w="90" w:type="dxa"/>
              <w:right w:w="120" w:type="dxa"/>
            </w:tcMar>
            <w:vAlign w:val="center"/>
          </w:tcPr>
          <w:p w14:paraId="008E2934">
            <w:pPr>
              <w:spacing w:line="252" w:lineRule="auto"/>
              <w:ind w:firstLine="340"/>
              <w:rPr>
                <w:lang w:eastAsia="zh-CN"/>
              </w:rPr>
            </w:pPr>
            <w:r>
              <w:rPr>
                <w:rFonts w:ascii="Arial" w:hAnsi="Arial"/>
                <w:sz w:val="17"/>
                <w:lang w:eastAsia="zh-CN"/>
              </w:rPr>
              <w:t>全寿命等效完整循环次数</w:t>
            </w:r>
          </w:p>
        </w:tc>
        <w:tc>
          <w:tcPr>
            <w:tcW w:w="1584" w:type="dxa"/>
            <w:tcMar>
              <w:top w:w="90" w:type="dxa"/>
              <w:left w:w="120" w:type="dxa"/>
              <w:bottom w:w="90" w:type="dxa"/>
              <w:right w:w="120" w:type="dxa"/>
            </w:tcMar>
            <w:vAlign w:val="center"/>
          </w:tcPr>
          <w:p w14:paraId="68CF6311">
            <w:pPr>
              <w:spacing w:line="252" w:lineRule="auto"/>
              <w:ind w:firstLine="340"/>
            </w:pPr>
            <w:r>
              <w:rPr>
                <w:rFonts w:ascii="Arial" w:hAnsi="Arial"/>
                <w:sz w:val="17"/>
              </w:rPr>
              <w:t>次</w:t>
            </w:r>
          </w:p>
        </w:tc>
      </w:tr>
      <w:tr w14:paraId="4DCA921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88" w:type="dxa"/>
            <w:tcMar>
              <w:top w:w="90" w:type="dxa"/>
              <w:left w:w="120" w:type="dxa"/>
              <w:bottom w:w="90" w:type="dxa"/>
              <w:right w:w="120" w:type="dxa"/>
            </w:tcMar>
            <w:vAlign w:val="center"/>
          </w:tcPr>
          <w:p w14:paraId="7D0E5B94">
            <w:pPr>
              <w:spacing w:line="252" w:lineRule="auto"/>
              <w:ind w:firstLine="340"/>
            </w:pPr>
            <w:r>
              <w:rPr>
                <w:rFonts w:ascii="Arial" w:hAnsi="Arial"/>
                <w:sz w:val="17"/>
              </w:rPr>
              <w:t>w_e/w_c</w:t>
            </w:r>
          </w:p>
        </w:tc>
        <w:tc>
          <w:tcPr>
            <w:tcW w:w="5688" w:type="dxa"/>
            <w:tcMar>
              <w:top w:w="90" w:type="dxa"/>
              <w:left w:w="120" w:type="dxa"/>
              <w:bottom w:w="90" w:type="dxa"/>
              <w:right w:w="120" w:type="dxa"/>
            </w:tcMar>
            <w:vAlign w:val="center"/>
          </w:tcPr>
          <w:p w14:paraId="2ADC27FD">
            <w:pPr>
              <w:spacing w:line="252" w:lineRule="auto"/>
              <w:ind w:firstLine="340"/>
              <w:rPr>
                <w:lang w:eastAsia="zh-CN"/>
              </w:rPr>
            </w:pPr>
            <w:r>
              <w:rPr>
                <w:rFonts w:ascii="Arial" w:hAnsi="Arial"/>
                <w:sz w:val="17"/>
                <w:lang w:eastAsia="zh-CN"/>
              </w:rPr>
              <w:t>经济目标权重/碳目标权重</w:t>
            </w:r>
          </w:p>
        </w:tc>
        <w:tc>
          <w:tcPr>
            <w:tcW w:w="1584" w:type="dxa"/>
            <w:tcMar>
              <w:top w:w="90" w:type="dxa"/>
              <w:left w:w="120" w:type="dxa"/>
              <w:bottom w:w="90" w:type="dxa"/>
              <w:right w:w="120" w:type="dxa"/>
            </w:tcMar>
            <w:vAlign w:val="center"/>
          </w:tcPr>
          <w:p w14:paraId="5AF6EC0D">
            <w:pPr>
              <w:spacing w:line="252" w:lineRule="auto"/>
              <w:ind w:firstLine="340"/>
            </w:pPr>
            <w:r>
              <w:rPr>
                <w:rFonts w:ascii="Arial" w:hAnsi="Arial"/>
                <w:sz w:val="17"/>
              </w:rPr>
              <w:t>无量纲</w:t>
            </w:r>
          </w:p>
        </w:tc>
      </w:tr>
    </w:tbl>
    <w:p w14:paraId="6F52DD8F">
      <w:pPr>
        <w:spacing w:after="20"/>
        <w:ind w:firstLine="480"/>
      </w:pPr>
    </w:p>
    <w:p w14:paraId="590A9E0D">
      <w:pPr>
        <w:pStyle w:val="2"/>
        <w:ind w:firstLine="442"/>
        <w:rPr>
          <w:rFonts w:eastAsia="宋体"/>
          <w:color w:val="000000" w:themeColor="text1"/>
          <w:lang w:eastAsia="zh-CN"/>
          <w14:textFill>
            <w14:solidFill>
              <w14:schemeClr w14:val="tx1"/>
            </w14:solidFill>
          </w14:textFill>
        </w:rPr>
      </w:pPr>
      <w:r>
        <w:rPr>
          <w:rFonts w:ascii="Arial" w:hAnsi="Arial" w:eastAsia="宋体"/>
          <w:color w:val="000000" w:themeColor="text1"/>
          <w:sz w:val="22"/>
          <w:lang w:eastAsia="zh-CN"/>
          <w14:textFill>
            <w14:solidFill>
              <w14:schemeClr w14:val="tx1"/>
            </w14:solidFill>
          </w14:textFill>
        </w:rPr>
        <w:t>附录B　开发最小数据字段</w:t>
      </w:r>
    </w:p>
    <w:p w14:paraId="075E302B">
      <w:pPr>
        <w:spacing w:before="80" w:after="80"/>
        <w:ind w:firstLine="361"/>
        <w:jc w:val="center"/>
      </w:pPr>
      <w:r>
        <w:rPr>
          <w:rFonts w:ascii="Arial" w:hAnsi="Arial"/>
          <w:b/>
          <w:sz w:val="18"/>
        </w:rPr>
        <w:t>表B.1　最小字段集</w:t>
      </w:r>
    </w:p>
    <w:tbl>
      <w:tblPr>
        <w:tblStyle w:val="10"/>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728"/>
        <w:gridCol w:w="7632"/>
      </w:tblGrid>
      <w:tr w14:paraId="15AAB1E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1728" w:type="dxa"/>
            <w:shd w:val="clear" w:color="auto" w:fill="E8EEF5"/>
            <w:tcMar>
              <w:top w:w="90" w:type="dxa"/>
              <w:left w:w="120" w:type="dxa"/>
              <w:bottom w:w="90" w:type="dxa"/>
              <w:right w:w="120" w:type="dxa"/>
            </w:tcMar>
            <w:vAlign w:val="center"/>
          </w:tcPr>
          <w:p w14:paraId="436A941F">
            <w:pPr>
              <w:ind w:firstLine="341"/>
              <w:jc w:val="center"/>
            </w:pPr>
            <w:r>
              <w:rPr>
                <w:rFonts w:ascii="Arial" w:hAnsi="Arial"/>
                <w:b/>
                <w:sz w:val="17"/>
              </w:rPr>
              <w:t>数据组</w:t>
            </w:r>
          </w:p>
        </w:tc>
        <w:tc>
          <w:tcPr>
            <w:tcW w:w="7632" w:type="dxa"/>
            <w:shd w:val="clear" w:color="auto" w:fill="E8EEF5"/>
            <w:tcMar>
              <w:top w:w="90" w:type="dxa"/>
              <w:left w:w="120" w:type="dxa"/>
              <w:bottom w:w="90" w:type="dxa"/>
              <w:right w:w="120" w:type="dxa"/>
            </w:tcMar>
            <w:vAlign w:val="center"/>
          </w:tcPr>
          <w:p w14:paraId="6AC1536F">
            <w:pPr>
              <w:ind w:firstLine="341"/>
              <w:jc w:val="center"/>
            </w:pPr>
            <w:r>
              <w:rPr>
                <w:rFonts w:ascii="Arial" w:hAnsi="Arial"/>
                <w:b/>
                <w:sz w:val="17"/>
              </w:rPr>
              <w:t>字段</w:t>
            </w:r>
          </w:p>
        </w:tc>
      </w:tr>
      <w:tr w14:paraId="0F52F35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728" w:type="dxa"/>
            <w:tcMar>
              <w:top w:w="90" w:type="dxa"/>
              <w:left w:w="120" w:type="dxa"/>
              <w:bottom w:w="90" w:type="dxa"/>
              <w:right w:w="120" w:type="dxa"/>
            </w:tcMar>
            <w:vAlign w:val="center"/>
          </w:tcPr>
          <w:p w14:paraId="50789A74">
            <w:pPr>
              <w:spacing w:line="252" w:lineRule="auto"/>
              <w:ind w:firstLine="340"/>
            </w:pPr>
            <w:r>
              <w:rPr>
                <w:rFonts w:ascii="Arial" w:hAnsi="Arial"/>
                <w:sz w:val="17"/>
              </w:rPr>
              <w:t>公共主键</w:t>
            </w:r>
          </w:p>
        </w:tc>
        <w:tc>
          <w:tcPr>
            <w:tcW w:w="7632" w:type="dxa"/>
            <w:tcMar>
              <w:top w:w="90" w:type="dxa"/>
              <w:left w:w="120" w:type="dxa"/>
              <w:bottom w:w="90" w:type="dxa"/>
              <w:right w:w="120" w:type="dxa"/>
            </w:tcMar>
            <w:vAlign w:val="center"/>
          </w:tcPr>
          <w:p w14:paraId="3DCA2750">
            <w:pPr>
              <w:spacing w:line="252" w:lineRule="auto"/>
              <w:ind w:firstLine="340"/>
            </w:pPr>
            <w:r>
              <w:rPr>
                <w:rFonts w:ascii="Arial" w:hAnsi="Arial"/>
                <w:sz w:val="17"/>
              </w:rPr>
              <w:t>plant_id、ts_start、ts_end、timezone、source_system、record_id</w:t>
            </w:r>
          </w:p>
        </w:tc>
      </w:tr>
      <w:tr w14:paraId="61D8F5D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728" w:type="dxa"/>
            <w:tcMar>
              <w:top w:w="90" w:type="dxa"/>
              <w:left w:w="120" w:type="dxa"/>
              <w:bottom w:w="90" w:type="dxa"/>
              <w:right w:w="120" w:type="dxa"/>
            </w:tcMar>
            <w:vAlign w:val="center"/>
          </w:tcPr>
          <w:p w14:paraId="7C4F25AD">
            <w:pPr>
              <w:spacing w:line="252" w:lineRule="auto"/>
              <w:ind w:firstLine="340"/>
            </w:pPr>
            <w:r>
              <w:rPr>
                <w:rFonts w:ascii="Arial" w:hAnsi="Arial"/>
                <w:sz w:val="17"/>
              </w:rPr>
              <w:t>计量</w:t>
            </w:r>
          </w:p>
        </w:tc>
        <w:tc>
          <w:tcPr>
            <w:tcW w:w="7632" w:type="dxa"/>
            <w:tcMar>
              <w:top w:w="90" w:type="dxa"/>
              <w:left w:w="120" w:type="dxa"/>
              <w:bottom w:w="90" w:type="dxa"/>
              <w:right w:w="120" w:type="dxa"/>
            </w:tcMar>
            <w:vAlign w:val="center"/>
          </w:tcPr>
          <w:p w14:paraId="03655776">
            <w:pPr>
              <w:spacing w:line="252" w:lineRule="auto"/>
              <w:ind w:firstLine="340"/>
            </w:pPr>
            <w:r>
              <w:rPr>
                <w:rFonts w:ascii="Arial" w:hAnsi="Arial"/>
                <w:sz w:val="17"/>
              </w:rPr>
              <w:t>meter_id、meter_role、direction、raw_value、corrected_value、unit、multiplier</w:t>
            </w:r>
          </w:p>
        </w:tc>
      </w:tr>
      <w:tr w14:paraId="6B0F9A0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728" w:type="dxa"/>
            <w:tcMar>
              <w:top w:w="90" w:type="dxa"/>
              <w:left w:w="120" w:type="dxa"/>
              <w:bottom w:w="90" w:type="dxa"/>
              <w:right w:w="120" w:type="dxa"/>
            </w:tcMar>
            <w:vAlign w:val="center"/>
          </w:tcPr>
          <w:p w14:paraId="5B5C7792">
            <w:pPr>
              <w:spacing w:line="252" w:lineRule="auto"/>
              <w:ind w:firstLine="340"/>
            </w:pPr>
            <w:r>
              <w:rPr>
                <w:rFonts w:ascii="Arial" w:hAnsi="Arial"/>
                <w:sz w:val="17"/>
              </w:rPr>
              <w:t>质量</w:t>
            </w:r>
          </w:p>
        </w:tc>
        <w:tc>
          <w:tcPr>
            <w:tcW w:w="7632" w:type="dxa"/>
            <w:tcMar>
              <w:top w:w="90" w:type="dxa"/>
              <w:left w:w="120" w:type="dxa"/>
              <w:bottom w:w="90" w:type="dxa"/>
              <w:right w:w="120" w:type="dxa"/>
            </w:tcMar>
            <w:vAlign w:val="center"/>
          </w:tcPr>
          <w:p w14:paraId="056411E8">
            <w:pPr>
              <w:spacing w:line="252" w:lineRule="auto"/>
              <w:ind w:firstLine="340"/>
            </w:pPr>
            <w:r>
              <w:rPr>
                <w:rFonts w:ascii="Arial" w:hAnsi="Arial"/>
                <w:sz w:val="17"/>
              </w:rPr>
              <w:t>quality_level、quality_flag、missing_reason、correction_method、approved_by</w:t>
            </w:r>
          </w:p>
        </w:tc>
      </w:tr>
      <w:tr w14:paraId="327B164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728" w:type="dxa"/>
            <w:tcMar>
              <w:top w:w="90" w:type="dxa"/>
              <w:left w:w="120" w:type="dxa"/>
              <w:bottom w:w="90" w:type="dxa"/>
              <w:right w:w="120" w:type="dxa"/>
            </w:tcMar>
            <w:vAlign w:val="center"/>
          </w:tcPr>
          <w:p w14:paraId="50956AA4">
            <w:pPr>
              <w:spacing w:line="252" w:lineRule="auto"/>
              <w:ind w:firstLine="340"/>
            </w:pPr>
            <w:r>
              <w:rPr>
                <w:rFonts w:ascii="Arial" w:hAnsi="Arial"/>
                <w:sz w:val="17"/>
              </w:rPr>
              <w:t>因子</w:t>
            </w:r>
          </w:p>
        </w:tc>
        <w:tc>
          <w:tcPr>
            <w:tcW w:w="7632" w:type="dxa"/>
            <w:tcMar>
              <w:top w:w="90" w:type="dxa"/>
              <w:left w:w="120" w:type="dxa"/>
              <w:bottom w:w="90" w:type="dxa"/>
              <w:right w:w="120" w:type="dxa"/>
            </w:tcMar>
            <w:vAlign w:val="center"/>
          </w:tcPr>
          <w:p w14:paraId="0F28FCE8">
            <w:pPr>
              <w:spacing w:line="252" w:lineRule="auto"/>
              <w:ind w:firstLine="340"/>
            </w:pPr>
            <w:r>
              <w:rPr>
                <w:rFonts w:ascii="Arial" w:hAnsi="Arial"/>
                <w:sz w:val="17"/>
              </w:rPr>
              <w:t>factor_id、purpose、region、boundary、value、unit、valid_from/to、version、source_url</w:t>
            </w:r>
          </w:p>
        </w:tc>
      </w:tr>
      <w:tr w14:paraId="4D0B407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728" w:type="dxa"/>
            <w:tcMar>
              <w:top w:w="90" w:type="dxa"/>
              <w:left w:w="120" w:type="dxa"/>
              <w:bottom w:w="90" w:type="dxa"/>
              <w:right w:w="120" w:type="dxa"/>
            </w:tcMar>
            <w:vAlign w:val="center"/>
          </w:tcPr>
          <w:p w14:paraId="3711FB35">
            <w:pPr>
              <w:spacing w:line="252" w:lineRule="auto"/>
              <w:ind w:firstLine="340"/>
            </w:pPr>
            <w:r>
              <w:rPr>
                <w:rFonts w:ascii="Arial" w:hAnsi="Arial"/>
                <w:sz w:val="17"/>
              </w:rPr>
              <w:t>计算</w:t>
            </w:r>
          </w:p>
        </w:tc>
        <w:tc>
          <w:tcPr>
            <w:tcW w:w="7632" w:type="dxa"/>
            <w:tcMar>
              <w:top w:w="90" w:type="dxa"/>
              <w:left w:w="120" w:type="dxa"/>
              <w:bottom w:w="90" w:type="dxa"/>
              <w:right w:w="120" w:type="dxa"/>
            </w:tcMar>
            <w:vAlign w:val="center"/>
          </w:tcPr>
          <w:p w14:paraId="47DEE530">
            <w:pPr>
              <w:spacing w:line="252" w:lineRule="auto"/>
              <w:ind w:firstLine="340"/>
            </w:pPr>
            <w:r>
              <w:rPr>
                <w:rFonts w:ascii="Arial" w:hAnsi="Arial"/>
                <w:sz w:val="17"/>
              </w:rPr>
              <w:t>ledger_type、method_version、factor_snapshot_id、input_snapshot_id、run_id</w:t>
            </w:r>
          </w:p>
        </w:tc>
      </w:tr>
      <w:tr w14:paraId="59B36C5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728" w:type="dxa"/>
            <w:tcMar>
              <w:top w:w="90" w:type="dxa"/>
              <w:left w:w="120" w:type="dxa"/>
              <w:bottom w:w="90" w:type="dxa"/>
              <w:right w:w="120" w:type="dxa"/>
            </w:tcMar>
            <w:vAlign w:val="center"/>
          </w:tcPr>
          <w:p w14:paraId="43B53A39">
            <w:pPr>
              <w:spacing w:line="252" w:lineRule="auto"/>
              <w:ind w:firstLine="340"/>
            </w:pPr>
            <w:r>
              <w:rPr>
                <w:rFonts w:ascii="Arial" w:hAnsi="Arial"/>
                <w:sz w:val="17"/>
              </w:rPr>
              <w:t>结果</w:t>
            </w:r>
          </w:p>
        </w:tc>
        <w:tc>
          <w:tcPr>
            <w:tcW w:w="7632" w:type="dxa"/>
            <w:tcMar>
              <w:top w:w="90" w:type="dxa"/>
              <w:left w:w="120" w:type="dxa"/>
              <w:bottom w:w="90" w:type="dxa"/>
              <w:right w:w="120" w:type="dxa"/>
            </w:tcMar>
            <w:vAlign w:val="center"/>
          </w:tcPr>
          <w:p w14:paraId="1A877580">
            <w:pPr>
              <w:spacing w:line="252" w:lineRule="auto"/>
              <w:ind w:firstLine="340"/>
            </w:pPr>
            <w:r>
              <w:rPr>
                <w:rFonts w:ascii="Arial" w:hAnsi="Arial"/>
                <w:sz w:val="17"/>
              </w:rPr>
              <w:t>activity_amount、emission、baseline_emission、project_emission、reduction、uncertainty</w:t>
            </w:r>
          </w:p>
        </w:tc>
      </w:tr>
      <w:tr w14:paraId="2452A3D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728" w:type="dxa"/>
            <w:tcMar>
              <w:top w:w="90" w:type="dxa"/>
              <w:left w:w="120" w:type="dxa"/>
              <w:bottom w:w="90" w:type="dxa"/>
              <w:right w:w="120" w:type="dxa"/>
            </w:tcMar>
            <w:vAlign w:val="center"/>
          </w:tcPr>
          <w:p w14:paraId="53503253">
            <w:pPr>
              <w:spacing w:line="252" w:lineRule="auto"/>
              <w:ind w:firstLine="340"/>
            </w:pPr>
            <w:r>
              <w:rPr>
                <w:rFonts w:ascii="Arial" w:hAnsi="Arial"/>
                <w:sz w:val="17"/>
              </w:rPr>
              <w:t>审计</w:t>
            </w:r>
          </w:p>
        </w:tc>
        <w:tc>
          <w:tcPr>
            <w:tcW w:w="7632" w:type="dxa"/>
            <w:tcMar>
              <w:top w:w="90" w:type="dxa"/>
              <w:left w:w="120" w:type="dxa"/>
              <w:bottom w:w="90" w:type="dxa"/>
              <w:right w:w="120" w:type="dxa"/>
            </w:tcMar>
            <w:vAlign w:val="center"/>
          </w:tcPr>
          <w:p w14:paraId="46A7897F">
            <w:pPr>
              <w:spacing w:line="252" w:lineRule="auto"/>
              <w:ind w:firstLine="340"/>
            </w:pPr>
            <w:r>
              <w:rPr>
                <w:rFonts w:ascii="Arial" w:hAnsi="Arial"/>
                <w:sz w:val="17"/>
              </w:rPr>
              <w:t>created_at、created_by、recalculation_batch_id、change_reason、report_snapshot_id</w:t>
            </w:r>
          </w:p>
        </w:tc>
      </w:tr>
    </w:tbl>
    <w:p w14:paraId="1163DBED">
      <w:pPr>
        <w:spacing w:after="20"/>
        <w:ind w:firstLine="480"/>
      </w:pPr>
    </w:p>
    <w:p w14:paraId="3EF8D9C1">
      <w:pPr>
        <w:pStyle w:val="2"/>
        <w:ind w:firstLine="442"/>
        <w:rPr>
          <w:rFonts w:eastAsia="宋体"/>
          <w:color w:val="000000" w:themeColor="text1"/>
          <w14:textFill>
            <w14:solidFill>
              <w14:schemeClr w14:val="tx1"/>
            </w14:solidFill>
          </w14:textFill>
        </w:rPr>
      </w:pPr>
      <w:r>
        <w:rPr>
          <w:rFonts w:ascii="Arial" w:hAnsi="Arial" w:eastAsia="宋体"/>
          <w:color w:val="000000" w:themeColor="text1"/>
          <w:sz w:val="22"/>
          <w14:textFill>
            <w14:solidFill>
              <w14:schemeClr w14:val="tx1"/>
            </w14:solidFill>
          </w14:textFill>
        </w:rPr>
        <w:t>附录C　主要参考文件</w:t>
      </w:r>
    </w:p>
    <w:p w14:paraId="6BC6A5F7">
      <w:pPr>
        <w:pStyle w:val="6"/>
        <w:ind w:firstLine="440"/>
        <w:rPr>
          <w:rFonts w:eastAsia="宋体"/>
          <w:lang w:eastAsia="zh-CN"/>
        </w:rPr>
      </w:pPr>
      <w:r>
        <w:rPr>
          <w:rFonts w:eastAsia="宋体"/>
          <w:lang w:eastAsia="zh-CN"/>
        </w:rPr>
        <w:t>GB/T 32150—2025《工业企业温室气体排放核算和报告通则》。</w:t>
      </w:r>
    </w:p>
    <w:p w14:paraId="3ED9E14D">
      <w:pPr>
        <w:pStyle w:val="6"/>
        <w:ind w:firstLine="440"/>
        <w:rPr>
          <w:rFonts w:eastAsia="宋体"/>
          <w:lang w:eastAsia="zh-CN"/>
        </w:rPr>
      </w:pPr>
      <w:r>
        <w:rPr>
          <w:rFonts w:eastAsia="宋体"/>
          <w:lang w:eastAsia="zh-CN"/>
        </w:rPr>
        <w:t>GB/T 46725—2025《协同降碳绩效评价 城镇污水处理》。</w:t>
      </w:r>
    </w:p>
    <w:p w14:paraId="47A52874">
      <w:pPr>
        <w:pStyle w:val="6"/>
        <w:ind w:firstLine="440"/>
        <w:rPr>
          <w:rFonts w:eastAsia="宋体"/>
          <w:lang w:eastAsia="zh-CN"/>
        </w:rPr>
      </w:pPr>
      <w:r>
        <w:rPr>
          <w:rFonts w:eastAsia="宋体"/>
          <w:lang w:eastAsia="zh-CN"/>
        </w:rPr>
        <w:t>GB/T 33760—2017《基于项目的温室气体减排量评估技术规范 通用要求》。</w:t>
      </w:r>
    </w:p>
    <w:p w14:paraId="260DD00C">
      <w:pPr>
        <w:pStyle w:val="6"/>
        <w:ind w:firstLine="440"/>
        <w:rPr>
          <w:rFonts w:eastAsia="宋体"/>
          <w:lang w:eastAsia="zh-CN"/>
        </w:rPr>
      </w:pPr>
      <w:r>
        <w:rPr>
          <w:rFonts w:eastAsia="宋体"/>
          <w:lang w:eastAsia="zh-CN"/>
        </w:rPr>
        <w:t>GB/T 24067—2024《温室气体 产品碳足迹 量化要求和指南》。</w:t>
      </w:r>
    </w:p>
    <w:p w14:paraId="7AF31108">
      <w:pPr>
        <w:pStyle w:val="6"/>
        <w:ind w:firstLine="440"/>
        <w:rPr>
          <w:rFonts w:eastAsia="宋体"/>
          <w:lang w:eastAsia="zh-CN"/>
        </w:rPr>
      </w:pPr>
      <w:r>
        <w:rPr>
          <w:rFonts w:eastAsia="宋体"/>
          <w:lang w:eastAsia="zh-CN"/>
        </w:rPr>
        <w:t>GB/T 24040—2008《环境管理 生命周期评价 原则与框架》。</w:t>
      </w:r>
    </w:p>
    <w:p w14:paraId="59E15458">
      <w:pPr>
        <w:pStyle w:val="6"/>
        <w:ind w:firstLine="440"/>
        <w:rPr>
          <w:rFonts w:eastAsia="宋体"/>
          <w:lang w:eastAsia="zh-CN"/>
        </w:rPr>
      </w:pPr>
      <w:r>
        <w:rPr>
          <w:rFonts w:eastAsia="宋体"/>
          <w:lang w:eastAsia="zh-CN"/>
        </w:rPr>
        <w:t>GB/T 24044—2008《环境管理 生命周期评价 要求与指南》。</w:t>
      </w:r>
    </w:p>
    <w:p w14:paraId="346D984C">
      <w:pPr>
        <w:pStyle w:val="6"/>
        <w:ind w:firstLine="440"/>
        <w:rPr>
          <w:rFonts w:eastAsia="宋体"/>
          <w:lang w:eastAsia="zh-CN"/>
        </w:rPr>
      </w:pPr>
      <w:r>
        <w:rPr>
          <w:rFonts w:eastAsia="宋体"/>
          <w:lang w:eastAsia="zh-CN"/>
        </w:rPr>
        <w:t>生态环境部、国家统计局：《关于发布2023年电力二氧化碳排放因子的公告》（公告2025年第47号）。</w:t>
      </w:r>
    </w:p>
    <w:p w14:paraId="6B787DC3">
      <w:pPr>
        <w:pStyle w:val="6"/>
        <w:ind w:firstLine="440"/>
        <w:rPr>
          <w:rFonts w:eastAsia="宋体"/>
          <w:lang w:eastAsia="zh-CN"/>
        </w:rPr>
      </w:pPr>
      <w:r>
        <w:rPr>
          <w:rFonts w:eastAsia="宋体"/>
          <w:lang w:eastAsia="zh-CN"/>
        </w:rPr>
        <w:t>生态环境部、国家统计局、国家能源局：《关于发布2024年电力碳足迹因子数据的公告》。</w:t>
      </w:r>
    </w:p>
    <w:p w14:paraId="087DA019">
      <w:pPr>
        <w:pStyle w:val="6"/>
        <w:ind w:firstLine="440"/>
        <w:rPr>
          <w:rFonts w:eastAsia="宋体"/>
        </w:rPr>
      </w:pPr>
      <w:r>
        <w:rPr>
          <w:rFonts w:eastAsia="宋体"/>
        </w:rPr>
        <w:t>原报告列示的T/CRSUD 001—2023、T/GDES 97—2025、T/GDAEPI 49—2025、REETC/TN033:2026、T/JSREA—2026等文件：本版仅作为待取得全文后进一步对照的参考，不对其具体条款或附录作未核验的符合性承诺。</w:t>
      </w:r>
    </w:p>
    <w:p w14:paraId="2B2C053A">
      <w:pPr>
        <w:ind w:firstLine="480"/>
        <w:rPr>
          <w:lang w:eastAsia="zh-CN"/>
        </w:rPr>
      </w:pPr>
    </w:p>
    <w:p w14:paraId="527F4FD6">
      <w:pPr>
        <w:rPr>
          <w:rFonts w:hint="eastAsia"/>
          <w:lang w:val="en-US" w:eastAsia="zh-CN"/>
        </w:rPr>
      </w:pPr>
      <w:r>
        <w:rPr>
          <w:rFonts w:hint="eastAsia"/>
          <w:lang w:val="en-US" w:eastAsia="zh-CN"/>
        </w:rPr>
        <w:t>附录D</w:t>
      </w:r>
    </w:p>
    <w:p w14:paraId="1F9270A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模块三碳核算：全部输入数据来源与使用注意事项</w:t>
      </w:r>
    </w:p>
    <w:p w14:paraId="6A8FD159">
      <w:pPr>
        <w:rPr>
          <w:rFonts w:ascii="Segoe UI Emoji" w:hAnsi="Segoe UI Emoji" w:eastAsia="Segoe UI Emoji" w:cs="Segoe UI Emoji"/>
          <w:i w:val="0"/>
          <w:iCs w:val="0"/>
          <w:caps w:val="0"/>
          <w:color w:val="000000"/>
          <w:spacing w:val="0"/>
          <w:sz w:val="24"/>
          <w:szCs w:val="24"/>
        </w:rPr>
      </w:pPr>
    </w:p>
    <w:p w14:paraId="7C8936F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按数据类别整理，每项标注**含义、获取来源、使用注意事项**。</w:t>
      </w:r>
    </w:p>
    <w:p w14:paraId="6E3F8B6B">
      <w:pPr>
        <w:rPr>
          <w:rFonts w:ascii="Segoe UI Emoji" w:hAnsi="Segoe UI Emoji" w:eastAsia="Segoe UI Emoji" w:cs="Segoe UI Emoji"/>
          <w:i w:val="0"/>
          <w:iCs w:val="0"/>
          <w:caps w:val="0"/>
          <w:color w:val="000000"/>
          <w:spacing w:val="0"/>
          <w:sz w:val="24"/>
          <w:szCs w:val="24"/>
        </w:rPr>
      </w:pPr>
    </w:p>
    <w:p w14:paraId="052BB2A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6BFD14CB">
      <w:pPr>
        <w:rPr>
          <w:rFonts w:ascii="Segoe UI Emoji" w:hAnsi="Segoe UI Emoji" w:eastAsia="Segoe UI Emoji" w:cs="Segoe UI Emoji"/>
          <w:i w:val="0"/>
          <w:iCs w:val="0"/>
          <w:caps w:val="0"/>
          <w:color w:val="000000"/>
          <w:spacing w:val="0"/>
          <w:sz w:val="24"/>
          <w:szCs w:val="24"/>
        </w:rPr>
      </w:pPr>
    </w:p>
    <w:p w14:paraId="74BFE3E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一、电量计量类（活动数据，碳核算的基础）</w:t>
      </w:r>
    </w:p>
    <w:p w14:paraId="4ED16A33">
      <w:pPr>
        <w:rPr>
          <w:rFonts w:ascii="Segoe UI Emoji" w:hAnsi="Segoe UI Emoji" w:eastAsia="Segoe UI Emoji" w:cs="Segoe UI Emoji"/>
          <w:i w:val="0"/>
          <w:iCs w:val="0"/>
          <w:caps w:val="0"/>
          <w:color w:val="000000"/>
          <w:spacing w:val="0"/>
          <w:sz w:val="24"/>
          <w:szCs w:val="24"/>
        </w:rPr>
      </w:pPr>
    </w:p>
    <w:p w14:paraId="54AA45B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 关口购电量</w:t>
      </w:r>
    </w:p>
    <w:p w14:paraId="4E5EC945">
      <w:pPr>
        <w:rPr>
          <w:rFonts w:ascii="Segoe UI Emoji" w:hAnsi="Segoe UI Emoji" w:eastAsia="Segoe UI Emoji" w:cs="Segoe UI Emoji"/>
          <w:i w:val="0"/>
          <w:iCs w:val="0"/>
          <w:caps w:val="0"/>
          <w:color w:val="000000"/>
          <w:spacing w:val="0"/>
          <w:sz w:val="24"/>
          <w:szCs w:val="24"/>
        </w:rPr>
      </w:pPr>
    </w:p>
    <w:p w14:paraId="3D549AF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61479C4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225FE8B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电网送入污水厂的总电量，是企业范围二排放的核心依据 |</w:t>
      </w:r>
    </w:p>
    <w:p w14:paraId="6C2065A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电网关口电能表（双向计量表，同时记录购电和上网）；电费结算单 |</w:t>
      </w:r>
    </w:p>
    <w:p w14:paraId="4A45867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必须是**关口表**数据，不能用厂内各分表加总替代（有线损和计量误差）；② 若关口表单方向只计量购电，上网电量需单独表计，两者不能直接相减；③ 月度累计值必须与电费账单勾稽，差异应在表计/结算容差内；④ 粒度 1h，原始采集频率高于 1h 时先做质量校验再汇总 |</w:t>
      </w:r>
    </w:p>
    <w:p w14:paraId="199D44E1">
      <w:pPr>
        <w:rPr>
          <w:rFonts w:ascii="Segoe UI Emoji" w:hAnsi="Segoe UI Emoji" w:eastAsia="Segoe UI Emoji" w:cs="Segoe UI Emoji"/>
          <w:i w:val="0"/>
          <w:iCs w:val="0"/>
          <w:caps w:val="0"/>
          <w:color w:val="000000"/>
          <w:spacing w:val="0"/>
          <w:sz w:val="24"/>
          <w:szCs w:val="24"/>
        </w:rPr>
      </w:pPr>
    </w:p>
    <w:p w14:paraId="199F305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2</w:t>
      </w:r>
      <w:r>
        <w:rPr>
          <w:rFonts w:ascii="Segoe UI Emoji" w:hAnsi="Segoe UI Emoji" w:eastAsia="Segoe UI Emoji" w:cs="Segoe UI Emoji"/>
          <w:i w:val="0"/>
          <w:iCs w:val="0"/>
          <w:caps w:val="0"/>
          <w:color w:val="000000"/>
          <w:spacing w:val="0"/>
          <w:sz w:val="24"/>
          <w:szCs w:val="24"/>
          <w:highlight w:val="green"/>
        </w:rPr>
        <w:t>. 厂内负荷与分项负荷</w:t>
      </w:r>
    </w:p>
    <w:p w14:paraId="3069236D">
      <w:pPr>
        <w:rPr>
          <w:rFonts w:ascii="Segoe UI Emoji" w:hAnsi="Segoe UI Emoji" w:eastAsia="Segoe UI Emoji" w:cs="Segoe UI Emoji"/>
          <w:i w:val="0"/>
          <w:iCs w:val="0"/>
          <w:caps w:val="0"/>
          <w:color w:val="000000"/>
          <w:spacing w:val="0"/>
          <w:sz w:val="24"/>
          <w:szCs w:val="24"/>
        </w:rPr>
      </w:pPr>
    </w:p>
    <w:p w14:paraId="1835546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5AA6D7D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77F5BE7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厂区各工艺单元（曝气、泵、鼓风机、消毒等）的逐时用电量 |</w:t>
      </w:r>
    </w:p>
    <w:p w14:paraId="7A7CBD4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EMS 能源管理系统、分项电能表；模块一负荷预测输出也可作为调度阶段的预测输入 |</w:t>
      </w:r>
    </w:p>
    <w:p w14:paraId="0279458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分项表合计应与关口表吻合（偏差建议 ≤2%），超限需核查；② 模块一的预测值仅用于调度优化，**正式核算必须用实测值**，不能用预测值替代实绩；③ 关键工艺负荷（泵、鼓风机、回流、消毒）不得因调度造成处理能力下降，这是硬约束 |</w:t>
      </w:r>
    </w:p>
    <w:p w14:paraId="7BAC4036">
      <w:pPr>
        <w:rPr>
          <w:rFonts w:ascii="Segoe UI Emoji" w:hAnsi="Segoe UI Emoji" w:eastAsia="Segoe UI Emoji" w:cs="Segoe UI Emoji"/>
          <w:i w:val="0"/>
          <w:iCs w:val="0"/>
          <w:caps w:val="0"/>
          <w:color w:val="000000"/>
          <w:spacing w:val="0"/>
          <w:sz w:val="24"/>
          <w:szCs w:val="24"/>
        </w:rPr>
      </w:pPr>
    </w:p>
    <w:p w14:paraId="2B8785D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3. 储能交流侧充放电量</w:t>
      </w:r>
    </w:p>
    <w:p w14:paraId="157328D4">
      <w:pPr>
        <w:rPr>
          <w:rFonts w:ascii="Segoe UI Emoji" w:hAnsi="Segoe UI Emoji" w:eastAsia="Segoe UI Emoji" w:cs="Segoe UI Emoji"/>
          <w:i w:val="0"/>
          <w:iCs w:val="0"/>
          <w:caps w:val="0"/>
          <w:color w:val="000000"/>
          <w:spacing w:val="0"/>
          <w:sz w:val="24"/>
          <w:szCs w:val="24"/>
        </w:rPr>
      </w:pPr>
    </w:p>
    <w:p w14:paraId="758FD63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3B78099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B6C5D8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储能 PCS（储能变流器）交流侧的充电量 E_ch,ac 和放电量 E_dis,ac |</w:t>
      </w:r>
    </w:p>
    <w:p w14:paraId="00444E3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储能 PCS 内置电表，逐时采集 |</w:t>
      </w:r>
    </w:p>
    <w:p w14:paraId="2CD58A4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**必须以交流侧为计量基准**，不能用直流侧（电池侧）数据，因为 PCS 本身有转换损耗；② 充电和放电发生在不同时段，**不可做时段内充放电差值运算**；③ 若充放电来自不同表计，必须校验方向、倍率和正负号定义；④ 同时充放电（两者同时显著为正）应标记为 invalid，检查表计或控制逻辑 |</w:t>
      </w:r>
    </w:p>
    <w:p w14:paraId="44B0A6D8">
      <w:pPr>
        <w:rPr>
          <w:rFonts w:ascii="Segoe UI Emoji" w:hAnsi="Segoe UI Emoji" w:eastAsia="Segoe UI Emoji" w:cs="Segoe UI Emoji"/>
          <w:i w:val="0"/>
          <w:iCs w:val="0"/>
          <w:caps w:val="0"/>
          <w:color w:val="000000"/>
          <w:spacing w:val="0"/>
          <w:sz w:val="24"/>
          <w:szCs w:val="24"/>
        </w:rPr>
      </w:pPr>
    </w:p>
    <w:p w14:paraId="1167966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xml:space="preserve">### 4. </w:t>
      </w:r>
      <w:r>
        <w:rPr>
          <w:rFonts w:ascii="Segoe UI Emoji" w:hAnsi="Segoe UI Emoji" w:eastAsia="Segoe UI Emoji" w:cs="Segoe UI Emoji"/>
          <w:i w:val="0"/>
          <w:iCs w:val="0"/>
          <w:caps w:val="0"/>
          <w:color w:val="000000"/>
          <w:spacing w:val="0"/>
          <w:sz w:val="24"/>
          <w:szCs w:val="24"/>
          <w:highlight w:val="green"/>
        </w:rPr>
        <w:t>储能辅助系统电耗</w:t>
      </w:r>
    </w:p>
    <w:p w14:paraId="3114ABFD">
      <w:pPr>
        <w:rPr>
          <w:rFonts w:ascii="Segoe UI Emoji" w:hAnsi="Segoe UI Emoji" w:eastAsia="Segoe UI Emoji" w:cs="Segoe UI Emoji"/>
          <w:i w:val="0"/>
          <w:iCs w:val="0"/>
          <w:caps w:val="0"/>
          <w:color w:val="000000"/>
          <w:spacing w:val="0"/>
          <w:sz w:val="24"/>
          <w:szCs w:val="24"/>
        </w:rPr>
      </w:pPr>
    </w:p>
    <w:p w14:paraId="563937F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5808BDA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336B1F4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储能温控（液冷/空调）、消防、控制系统等辅助设备的用电量 |</w:t>
      </w:r>
    </w:p>
    <w:p w14:paraId="670ED3F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辅助系统独立电能表；若无分表，可按厂家参数估算（标记 C 级） |</w:t>
      </w:r>
    </w:p>
    <w:p w14:paraId="68ABB69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辅助电耗**不计入电池充放电损耗**，两者分开：电池损耗体现在 η_rt 中，辅助电耗单独乘因子算排放；② 广东高温环境下液冷温控电耗可能显著（尤其夏季），不可忽略；③ 辅助电耗属于项目减排账中的"泄漏排放 LE"的一部分，基准情景（无储能）没有这项 |</w:t>
      </w:r>
    </w:p>
    <w:p w14:paraId="7B7FD593">
      <w:pPr>
        <w:rPr>
          <w:rFonts w:ascii="Segoe UI Emoji" w:hAnsi="Segoe UI Emoji" w:eastAsia="Segoe UI Emoji" w:cs="Segoe UI Emoji"/>
          <w:i w:val="0"/>
          <w:iCs w:val="0"/>
          <w:caps w:val="0"/>
          <w:color w:val="000000"/>
          <w:spacing w:val="0"/>
          <w:sz w:val="24"/>
          <w:szCs w:val="24"/>
        </w:rPr>
      </w:pPr>
    </w:p>
    <w:p w14:paraId="7C625C2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xml:space="preserve">### 5. </w:t>
      </w:r>
      <w:r>
        <w:rPr>
          <w:rFonts w:ascii="Segoe UI Emoji" w:hAnsi="Segoe UI Emoji" w:eastAsia="Segoe UI Emoji" w:cs="Segoe UI Emoji"/>
          <w:i w:val="0"/>
          <w:iCs w:val="0"/>
          <w:caps w:val="0"/>
          <w:color w:val="000000"/>
          <w:spacing w:val="0"/>
          <w:sz w:val="24"/>
          <w:szCs w:val="24"/>
          <w:highlight w:val="green"/>
        </w:rPr>
        <w:t>厂内可再生能源发电量与上网电量</w:t>
      </w:r>
    </w:p>
    <w:p w14:paraId="71CA8599">
      <w:pPr>
        <w:rPr>
          <w:rFonts w:ascii="Segoe UI Emoji" w:hAnsi="Segoe UI Emoji" w:eastAsia="Segoe UI Emoji" w:cs="Segoe UI Emoji"/>
          <w:i w:val="0"/>
          <w:iCs w:val="0"/>
          <w:caps w:val="0"/>
          <w:color w:val="000000"/>
          <w:spacing w:val="0"/>
          <w:sz w:val="24"/>
          <w:szCs w:val="24"/>
        </w:rPr>
      </w:pPr>
    </w:p>
    <w:p w14:paraId="2C9C766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34902AD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C56690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光伏、沼气发电的逐时发电量，以及余电上网电量 |</w:t>
      </w:r>
    </w:p>
    <w:p w14:paraId="777FE93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光伏逆变器、沼气发电机电表；上网电量由关口表反向计量或单独上网表 |</w:t>
      </w:r>
    </w:p>
    <w:p w14:paraId="074D48C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模块一数据显示光伏 8MWp 远大于厂区负荷，绝大部分电无法消纳——模块二设定无余电上网则全部弃光，实际项目需确认是否有上网通道；② **上网电量不能直接乘因子抵扣购电排放**，除非有绿证、碳普惠等合规方法学；③ 光伏发电本身在企业清单中不产生范围二排放（自发自用部分直接替代购电），但在 SOC 碳追踪中作为零碳来源计入电池碳存量；④ 沼气发电若燃烧沼气，需核算燃烧排放（范围一） |</w:t>
      </w:r>
    </w:p>
    <w:p w14:paraId="5887216F">
      <w:pPr>
        <w:rPr>
          <w:rFonts w:ascii="Segoe UI Emoji" w:hAnsi="Segoe UI Emoji" w:eastAsia="Segoe UI Emoji" w:cs="Segoe UI Emoji"/>
          <w:i w:val="0"/>
          <w:iCs w:val="0"/>
          <w:caps w:val="0"/>
          <w:color w:val="000000"/>
          <w:spacing w:val="0"/>
          <w:sz w:val="24"/>
          <w:szCs w:val="24"/>
        </w:rPr>
      </w:pPr>
    </w:p>
    <w:p w14:paraId="4700F94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246DF045">
      <w:pPr>
        <w:rPr>
          <w:rFonts w:ascii="Segoe UI Emoji" w:hAnsi="Segoe UI Emoji" w:eastAsia="Segoe UI Emoji" w:cs="Segoe UI Emoji"/>
          <w:i w:val="0"/>
          <w:iCs w:val="0"/>
          <w:caps w:val="0"/>
          <w:color w:val="000000"/>
          <w:spacing w:val="0"/>
          <w:sz w:val="24"/>
          <w:szCs w:val="24"/>
        </w:rPr>
      </w:pPr>
    </w:p>
    <w:p w14:paraId="7E341C0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二、储能状态类</w:t>
      </w:r>
    </w:p>
    <w:p w14:paraId="4858286F">
      <w:pPr>
        <w:rPr>
          <w:rFonts w:ascii="Segoe UI Emoji" w:hAnsi="Segoe UI Emoji" w:eastAsia="Segoe UI Emoji" w:cs="Segoe UI Emoji"/>
          <w:i w:val="0"/>
          <w:iCs w:val="0"/>
          <w:caps w:val="0"/>
          <w:color w:val="000000"/>
          <w:spacing w:val="0"/>
          <w:sz w:val="24"/>
          <w:szCs w:val="24"/>
        </w:rPr>
      </w:pPr>
    </w:p>
    <w:p w14:paraId="265347A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6. SOC（荷电状态）</w:t>
      </w:r>
    </w:p>
    <w:p w14:paraId="372391F8">
      <w:pPr>
        <w:rPr>
          <w:rFonts w:ascii="Segoe UI Emoji" w:hAnsi="Segoe UI Emoji" w:eastAsia="Segoe UI Emoji" w:cs="Segoe UI Emoji"/>
          <w:i w:val="0"/>
          <w:iCs w:val="0"/>
          <w:caps w:val="0"/>
          <w:color w:val="000000"/>
          <w:spacing w:val="0"/>
          <w:sz w:val="24"/>
          <w:szCs w:val="24"/>
        </w:rPr>
      </w:pPr>
    </w:p>
    <w:p w14:paraId="48DEC01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668E445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B22810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电池剩余电量百分比（0~100%），不是能量值 |</w:t>
      </w:r>
    </w:p>
    <w:p w14:paraId="3A7BA73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BMS（电池管理系统）实时上报 |</w:t>
      </w:r>
    </w:p>
    <w:p w14:paraId="5A8C08F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SOC 是百分比，**必须乘以可用容量和 SOH 才能换算为能量**：E_bat = SOC × E_rated × SOH；② SOC 越界（&lt;0 或 &gt;100%）或瞬时大跳变应标记为 suspect，改用表计能量数据；③ 调度周期末 SOC 必须等于期初 SOC（闭环约束），否则会产生虚假节能收益；④ SOC 接近 0 时碳强度计算需设置数值稳定阈值，避免除零 |</w:t>
      </w:r>
    </w:p>
    <w:p w14:paraId="39A2C4E1">
      <w:pPr>
        <w:rPr>
          <w:rFonts w:ascii="Segoe UI Emoji" w:hAnsi="Segoe UI Emoji" w:eastAsia="Segoe UI Emoji" w:cs="Segoe UI Emoji"/>
          <w:i w:val="0"/>
          <w:iCs w:val="0"/>
          <w:caps w:val="0"/>
          <w:color w:val="000000"/>
          <w:spacing w:val="0"/>
          <w:sz w:val="24"/>
          <w:szCs w:val="24"/>
        </w:rPr>
      </w:pPr>
    </w:p>
    <w:p w14:paraId="6648D79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7. SOH（电池健康状态）</w:t>
      </w:r>
    </w:p>
    <w:p w14:paraId="42EAE7D2">
      <w:pPr>
        <w:rPr>
          <w:rFonts w:ascii="Segoe UI Emoji" w:hAnsi="Segoe UI Emoji" w:eastAsia="Segoe UI Emoji" w:cs="Segoe UI Emoji"/>
          <w:i w:val="0"/>
          <w:iCs w:val="0"/>
          <w:caps w:val="0"/>
          <w:color w:val="000000"/>
          <w:spacing w:val="0"/>
          <w:sz w:val="24"/>
          <w:szCs w:val="24"/>
        </w:rPr>
      </w:pPr>
    </w:p>
    <w:p w14:paraId="38EA306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104BD68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1EA6DD8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电池老化后剩余容量占额定容量的比例，新电池 100%，随循环衰减 |</w:t>
      </w:r>
    </w:p>
    <w:p w14:paraId="09698DB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BMS 估算值；定期校准测试（如容量测试） |</w:t>
      </w:r>
    </w:p>
    <w:p w14:paraId="1206706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SOH 直接影响可用容量，进而影响 SOC→能量换算的准确性；② SOH 估算不可靠时，SOC 换算的能量也不可靠，此时仅在完整循环或期初期末 SOC 差值 &lt;5% 的周期计算往返效率；③ SOH 下降会影响全寿命总可放电量，进而影响 LCA 分摊，重大变化时需重估隐含碳强度 |</w:t>
      </w:r>
    </w:p>
    <w:p w14:paraId="36ED0139">
      <w:pPr>
        <w:rPr>
          <w:rFonts w:ascii="Segoe UI Emoji" w:hAnsi="Segoe UI Emoji" w:eastAsia="Segoe UI Emoji" w:cs="Segoe UI Emoji"/>
          <w:i w:val="0"/>
          <w:iCs w:val="0"/>
          <w:caps w:val="0"/>
          <w:color w:val="000000"/>
          <w:spacing w:val="0"/>
          <w:sz w:val="24"/>
          <w:szCs w:val="24"/>
        </w:rPr>
      </w:pPr>
    </w:p>
    <w:p w14:paraId="4935952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xml:space="preserve">### 8. </w:t>
      </w:r>
      <w:r>
        <w:rPr>
          <w:rFonts w:ascii="Segoe UI Emoji" w:hAnsi="Segoe UI Emoji" w:eastAsia="Segoe UI Emoji" w:cs="Segoe UI Emoji"/>
          <w:i w:val="0"/>
          <w:iCs w:val="0"/>
          <w:caps w:val="0"/>
          <w:color w:val="000000"/>
          <w:spacing w:val="0"/>
          <w:sz w:val="24"/>
          <w:szCs w:val="24"/>
          <w:highlight w:val="green"/>
        </w:rPr>
        <w:t>其他储能状态</w:t>
      </w:r>
    </w:p>
    <w:p w14:paraId="713AC936">
      <w:pPr>
        <w:rPr>
          <w:rFonts w:ascii="Segoe UI Emoji" w:hAnsi="Segoe UI Emoji" w:eastAsia="Segoe UI Emoji" w:cs="Segoe UI Emoji"/>
          <w:i w:val="0"/>
          <w:iCs w:val="0"/>
          <w:caps w:val="0"/>
          <w:color w:val="000000"/>
          <w:spacing w:val="0"/>
          <w:sz w:val="24"/>
          <w:szCs w:val="24"/>
        </w:rPr>
      </w:pPr>
    </w:p>
    <w:p w14:paraId="3222A0F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数据 | 来源 | 注意事项 |</w:t>
      </w:r>
    </w:p>
    <w:p w14:paraId="4481076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6B83C0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电池温度 | BMS | 超温时触发降额或禁止调度，影响充放电功率上限 |</w:t>
      </w:r>
    </w:p>
    <w:p w14:paraId="46375D3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告警/绝缘状态 | BMS/PCS | 有安全告警时禁止或降额调度，优先级高于经济/碳目标 |</w:t>
      </w:r>
    </w:p>
    <w:p w14:paraId="590F913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可用容量 | BMS | 与额定容量区分，受 SOH 和温度影响 |</w:t>
      </w:r>
    </w:p>
    <w:p w14:paraId="2D45C600">
      <w:pPr>
        <w:rPr>
          <w:rFonts w:ascii="Segoe UI Emoji" w:hAnsi="Segoe UI Emoji" w:eastAsia="Segoe UI Emoji" w:cs="Segoe UI Emoji"/>
          <w:i w:val="0"/>
          <w:iCs w:val="0"/>
          <w:caps w:val="0"/>
          <w:color w:val="000000"/>
          <w:spacing w:val="0"/>
          <w:sz w:val="24"/>
          <w:szCs w:val="24"/>
        </w:rPr>
      </w:pPr>
    </w:p>
    <w:p w14:paraId="0547AE5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4051C926">
      <w:pPr>
        <w:rPr>
          <w:rFonts w:ascii="Segoe UI Emoji" w:hAnsi="Segoe UI Emoji" w:eastAsia="Segoe UI Emoji" w:cs="Segoe UI Emoji"/>
          <w:i w:val="0"/>
          <w:iCs w:val="0"/>
          <w:caps w:val="0"/>
          <w:color w:val="000000"/>
          <w:spacing w:val="0"/>
          <w:sz w:val="24"/>
          <w:szCs w:val="24"/>
        </w:rPr>
      </w:pPr>
    </w:p>
    <w:p w14:paraId="18401A0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三、工艺与水质类（范围一核算的关键输入）</w:t>
      </w:r>
    </w:p>
    <w:p w14:paraId="277CD7DC">
      <w:pPr>
        <w:rPr>
          <w:rFonts w:ascii="Segoe UI Emoji" w:hAnsi="Segoe UI Emoji" w:eastAsia="Segoe UI Emoji" w:cs="Segoe UI Emoji"/>
          <w:i w:val="0"/>
          <w:iCs w:val="0"/>
          <w:caps w:val="0"/>
          <w:color w:val="000000"/>
          <w:spacing w:val="0"/>
          <w:sz w:val="24"/>
          <w:szCs w:val="24"/>
        </w:rPr>
      </w:pPr>
    </w:p>
    <w:p w14:paraId="0FA93FB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9. 污水处理量</w:t>
      </w:r>
    </w:p>
    <w:p w14:paraId="4298B302">
      <w:pPr>
        <w:rPr>
          <w:rFonts w:ascii="Segoe UI Emoji" w:hAnsi="Segoe UI Emoji" w:eastAsia="Segoe UI Emoji" w:cs="Segoe UI Emoji"/>
          <w:i w:val="0"/>
          <w:iCs w:val="0"/>
          <w:caps w:val="0"/>
          <w:color w:val="000000"/>
          <w:spacing w:val="0"/>
          <w:sz w:val="24"/>
          <w:szCs w:val="24"/>
        </w:rPr>
      </w:pPr>
    </w:p>
    <w:p w14:paraId="3284EB6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47C1D39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339040F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日/逐时处理水量（m³），是负荷参数化和碳强度指标的分母 |</w:t>
      </w:r>
    </w:p>
    <w:p w14:paraId="1AC0161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进水流量计、SCADA 系统；模块二用 Q_day × SEC 估算日总用电 |</w:t>
      </w:r>
    </w:p>
    <w:p w14:paraId="0EF7AFD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碳强度指标（kgCO₂e/m³）的分母，低于设计规模 30% 时强度指标异常偏高，应输出空值告警；② 模块二的 SEC=0.38 kWh/m³ 是全国中位数基准，有实测数据时优先用实测值；③ 基准情景和项目情景的处理水量必须一致，否则减排对比不公平 |</w:t>
      </w:r>
    </w:p>
    <w:p w14:paraId="55168E3C">
      <w:pPr>
        <w:rPr>
          <w:rFonts w:ascii="Segoe UI Emoji" w:hAnsi="Segoe UI Emoji" w:eastAsia="Segoe UI Emoji" w:cs="Segoe UI Emoji"/>
          <w:i w:val="0"/>
          <w:iCs w:val="0"/>
          <w:caps w:val="0"/>
          <w:color w:val="000000"/>
          <w:spacing w:val="0"/>
          <w:sz w:val="24"/>
          <w:szCs w:val="24"/>
        </w:rPr>
      </w:pPr>
    </w:p>
    <w:p w14:paraId="4F31878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10. 进出水水质（COD、BOD₅、TN、NH₃-N、TP）</w:t>
      </w:r>
    </w:p>
    <w:p w14:paraId="25ABE1F5">
      <w:pPr>
        <w:rPr>
          <w:rFonts w:ascii="Segoe UI Emoji" w:hAnsi="Segoe UI Emoji" w:eastAsia="Segoe UI Emoji" w:cs="Segoe UI Emoji"/>
          <w:i w:val="0"/>
          <w:iCs w:val="0"/>
          <w:caps w:val="0"/>
          <w:color w:val="000000"/>
          <w:spacing w:val="0"/>
          <w:sz w:val="24"/>
          <w:szCs w:val="24"/>
        </w:rPr>
      </w:pPr>
    </w:p>
    <w:p w14:paraId="2A48A67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57D0A74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8911D9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进水和出水的污染物浓度，用于计算 CH₄ 和 N₂O 产生量 |</w:t>
      </w:r>
    </w:p>
    <w:p w14:paraId="7F2DB35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LIMS 实验室信息系统、在线水质监测仪、化验报告 |</w:t>
      </w:r>
    </w:p>
    <w:p w14:paraId="548462D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**CH₄ 核算依赖 COD/BOD 去除量**：E_CH4 ∝ (COD_in − COD_eff − COD_sludge)；② **N₂O 核算依赖 TN 去除量**：E_N2O ∝ (TN_in − TN_eff)；③ 缺少水质数据时范围一只能用行业默认因子估算（标记 C/D 级），精度大幅下降；④ 出水标准必须在基准和项目情景中保持一致，不能为了减碳降低出水标准 |</w:t>
      </w:r>
    </w:p>
    <w:p w14:paraId="39209A7A">
      <w:pPr>
        <w:rPr>
          <w:rFonts w:ascii="Segoe UI Emoji" w:hAnsi="Segoe UI Emoji" w:eastAsia="Segoe UI Emoji" w:cs="Segoe UI Emoji"/>
          <w:i w:val="0"/>
          <w:iCs w:val="0"/>
          <w:caps w:val="0"/>
          <w:color w:val="000000"/>
          <w:spacing w:val="0"/>
          <w:sz w:val="24"/>
          <w:szCs w:val="24"/>
        </w:rPr>
      </w:pPr>
    </w:p>
    <w:p w14:paraId="19DB2C2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xml:space="preserve">### 11. </w:t>
      </w:r>
      <w:r>
        <w:rPr>
          <w:rFonts w:ascii="Segoe UI Emoji" w:hAnsi="Segoe UI Emoji" w:eastAsia="Segoe UI Emoji" w:cs="Segoe UI Emoji"/>
          <w:i w:val="0"/>
          <w:iCs w:val="0"/>
          <w:caps w:val="0"/>
          <w:color w:val="000000"/>
          <w:spacing w:val="0"/>
          <w:sz w:val="24"/>
          <w:szCs w:val="24"/>
          <w:highlight w:val="green"/>
        </w:rPr>
        <w:t>污泥量与药剂消耗量</w:t>
      </w:r>
    </w:p>
    <w:p w14:paraId="51CCDB10">
      <w:pPr>
        <w:rPr>
          <w:rFonts w:ascii="Segoe UI Emoji" w:hAnsi="Segoe UI Emoji" w:eastAsia="Segoe UI Emoji" w:cs="Segoe UI Emoji"/>
          <w:i w:val="0"/>
          <w:iCs w:val="0"/>
          <w:caps w:val="0"/>
          <w:color w:val="000000"/>
          <w:spacing w:val="0"/>
          <w:sz w:val="24"/>
          <w:szCs w:val="24"/>
        </w:rPr>
      </w:pPr>
    </w:p>
    <w:p w14:paraId="1435F87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5EBCD34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1AD349A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剩余污泥产量、絮凝剂/PAC/PAM 等药剂用量 |</w:t>
      </w:r>
    </w:p>
    <w:p w14:paraId="194FC76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污泥称重、药剂台账、SCADA |</w:t>
      </w:r>
    </w:p>
    <w:p w14:paraId="71D0674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污泥中携带的 COD 需从 CH₄ 核算中扣除（COD_sludge 项）；② 药剂属于范围三（选报），若报范围三需核算上游生产排放；③ 污泥外运处置也属于范围三，需记录运输距离和处置方式 |</w:t>
      </w:r>
    </w:p>
    <w:p w14:paraId="35877168">
      <w:pPr>
        <w:rPr>
          <w:rFonts w:ascii="Segoe UI Emoji" w:hAnsi="Segoe UI Emoji" w:eastAsia="Segoe UI Emoji" w:cs="Segoe UI Emoji"/>
          <w:i w:val="0"/>
          <w:iCs w:val="0"/>
          <w:caps w:val="0"/>
          <w:color w:val="000000"/>
          <w:spacing w:val="0"/>
          <w:sz w:val="24"/>
          <w:szCs w:val="24"/>
        </w:rPr>
      </w:pPr>
    </w:p>
    <w:p w14:paraId="3836D64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4E16305">
      <w:pPr>
        <w:rPr>
          <w:rFonts w:ascii="Segoe UI Emoji" w:hAnsi="Segoe UI Emoji" w:eastAsia="Segoe UI Emoji" w:cs="Segoe UI Emoji"/>
          <w:i w:val="0"/>
          <w:iCs w:val="0"/>
          <w:caps w:val="0"/>
          <w:color w:val="000000"/>
          <w:spacing w:val="0"/>
          <w:sz w:val="24"/>
          <w:szCs w:val="24"/>
        </w:rPr>
      </w:pPr>
    </w:p>
    <w:p w14:paraId="04745A7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四、</w:t>
      </w:r>
      <w:r>
        <w:rPr>
          <w:rFonts w:ascii="Segoe UI Emoji" w:hAnsi="Segoe UI Emoji" w:eastAsia="Segoe UI Emoji" w:cs="Segoe UI Emoji"/>
          <w:i w:val="0"/>
          <w:iCs w:val="0"/>
          <w:caps w:val="0"/>
          <w:color w:val="000000"/>
          <w:spacing w:val="0"/>
          <w:sz w:val="24"/>
          <w:szCs w:val="24"/>
          <w:highlight w:val="green"/>
        </w:rPr>
        <w:t>燃料与其他直接排放源</w:t>
      </w:r>
    </w:p>
    <w:p w14:paraId="57575E01">
      <w:pPr>
        <w:rPr>
          <w:rFonts w:ascii="Segoe UI Emoji" w:hAnsi="Segoe UI Emoji" w:eastAsia="Segoe UI Emoji" w:cs="Segoe UI Emoji"/>
          <w:i w:val="0"/>
          <w:iCs w:val="0"/>
          <w:caps w:val="0"/>
          <w:color w:val="000000"/>
          <w:spacing w:val="0"/>
          <w:sz w:val="24"/>
          <w:szCs w:val="24"/>
        </w:rPr>
      </w:pPr>
    </w:p>
    <w:p w14:paraId="3F4820B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12. 燃料消耗量</w:t>
      </w:r>
    </w:p>
    <w:p w14:paraId="16E0A3BF">
      <w:pPr>
        <w:rPr>
          <w:rFonts w:ascii="Segoe UI Emoji" w:hAnsi="Segoe UI Emoji" w:eastAsia="Segoe UI Emoji" w:cs="Segoe UI Emoji"/>
          <w:i w:val="0"/>
          <w:iCs w:val="0"/>
          <w:caps w:val="0"/>
          <w:color w:val="000000"/>
          <w:spacing w:val="0"/>
          <w:sz w:val="24"/>
          <w:szCs w:val="24"/>
        </w:rPr>
      </w:pPr>
    </w:p>
    <w:p w14:paraId="508678C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4B85FB4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1338C96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锅炉、发电机、车辆等消耗的天然气、柴油等 |</w:t>
      </w:r>
    </w:p>
    <w:p w14:paraId="4D9409B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燃料台账、采购发票、流量计 |</w:t>
      </w:r>
    </w:p>
    <w:p w14:paraId="71B6922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天然气燃烧排放 = 消耗量 × 单位热值 × 排放因子，需区分低位/高位热值；② 若有沼气锅炉/发电机，沼气燃烧的 CO₂ 排放在某些核算规则中视为碳中性（生物源），但 CH₄ 泄漏需核算；③ 燃料排放属于范围一，因子需按燃料类型选取 |</w:t>
      </w:r>
    </w:p>
    <w:p w14:paraId="2A647C05">
      <w:pPr>
        <w:rPr>
          <w:rFonts w:ascii="Segoe UI Emoji" w:hAnsi="Segoe UI Emoji" w:eastAsia="Segoe UI Emoji" w:cs="Segoe UI Emoji"/>
          <w:i w:val="0"/>
          <w:iCs w:val="0"/>
          <w:caps w:val="0"/>
          <w:color w:val="000000"/>
          <w:spacing w:val="0"/>
          <w:sz w:val="24"/>
          <w:szCs w:val="24"/>
        </w:rPr>
      </w:pPr>
    </w:p>
    <w:p w14:paraId="6BE0908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13. 制冷剂与灭火介质泄漏量</w:t>
      </w:r>
    </w:p>
    <w:p w14:paraId="1364230E">
      <w:pPr>
        <w:rPr>
          <w:rFonts w:ascii="Segoe UI Emoji" w:hAnsi="Segoe UI Emoji" w:eastAsia="Segoe UI Emoji" w:cs="Segoe UI Emoji"/>
          <w:i w:val="0"/>
          <w:iCs w:val="0"/>
          <w:caps w:val="0"/>
          <w:color w:val="000000"/>
          <w:spacing w:val="0"/>
          <w:sz w:val="24"/>
          <w:szCs w:val="24"/>
        </w:rPr>
      </w:pPr>
    </w:p>
    <w:p w14:paraId="39E77A2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46EFAC8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78F615B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空调制冷剂（如 R410A、R134a）、消防气体（如七氟丙烷）的年泄漏/补充量 |</w:t>
      </w:r>
    </w:p>
    <w:p w14:paraId="010765E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设备维护记录、充注台账 |</w:t>
      </w:r>
    </w:p>
    <w:p w14:paraId="48D4E44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这类物质 GWP 极高（可达数千），即使少量泄漏排放也很大；② 按"补充量法"估算：年泄漏量 ≈ 年充注量（假设充注即补充泄漏）；③ 属于范围一，需按具体介质查 GWP 值 |</w:t>
      </w:r>
    </w:p>
    <w:p w14:paraId="3CFFF0FB">
      <w:pPr>
        <w:rPr>
          <w:rFonts w:ascii="Segoe UI Emoji" w:hAnsi="Segoe UI Emoji" w:eastAsia="Segoe UI Emoji" w:cs="Segoe UI Emoji"/>
          <w:i w:val="0"/>
          <w:iCs w:val="0"/>
          <w:caps w:val="0"/>
          <w:color w:val="000000"/>
          <w:spacing w:val="0"/>
          <w:sz w:val="24"/>
          <w:szCs w:val="24"/>
        </w:rPr>
      </w:pPr>
    </w:p>
    <w:p w14:paraId="38FBF98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61785DD3">
      <w:pPr>
        <w:rPr>
          <w:rFonts w:ascii="Segoe UI Emoji" w:hAnsi="Segoe UI Emoji" w:eastAsia="Segoe UI Emoji" w:cs="Segoe UI Emoji"/>
          <w:i w:val="0"/>
          <w:iCs w:val="0"/>
          <w:caps w:val="0"/>
          <w:color w:val="000000"/>
          <w:spacing w:val="0"/>
          <w:sz w:val="24"/>
          <w:szCs w:val="24"/>
        </w:rPr>
      </w:pPr>
    </w:p>
    <w:p w14:paraId="0944201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五、排放因子类（碳核算的"单价"）</w:t>
      </w:r>
    </w:p>
    <w:p w14:paraId="3BAD39FE">
      <w:pPr>
        <w:rPr>
          <w:rFonts w:ascii="Segoe UI Emoji" w:hAnsi="Segoe UI Emoji" w:eastAsia="Segoe UI Emoji" w:cs="Segoe UI Emoji"/>
          <w:i w:val="0"/>
          <w:iCs w:val="0"/>
          <w:caps w:val="0"/>
          <w:color w:val="000000"/>
          <w:spacing w:val="0"/>
          <w:sz w:val="24"/>
          <w:szCs w:val="24"/>
        </w:rPr>
      </w:pPr>
    </w:p>
    <w:p w14:paraId="660F3BB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14. EF_report（企业报告用电力因子）</w:t>
      </w:r>
    </w:p>
    <w:p w14:paraId="26555CE1">
      <w:pPr>
        <w:rPr>
          <w:rFonts w:ascii="Segoe UI Emoji" w:hAnsi="Segoe UI Emoji" w:eastAsia="Segoe UI Emoji" w:cs="Segoe UI Emoji"/>
          <w:i w:val="0"/>
          <w:iCs w:val="0"/>
          <w:caps w:val="0"/>
          <w:color w:val="000000"/>
          <w:spacing w:val="0"/>
          <w:sz w:val="24"/>
          <w:szCs w:val="24"/>
        </w:rPr>
      </w:pPr>
    </w:p>
    <w:p w14:paraId="5AEE920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383EEDD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18E116D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正式企业温室气体清单使用的电力 CO₂ 排放因子，年度固定值 |</w:t>
      </w:r>
    </w:p>
    <w:p w14:paraId="32EE2EA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生态环境部、国家统计局发布的年度电力 CO₂ 排放因子公告 |</w:t>
      </w:r>
    </w:p>
    <w:p w14:paraId="03B759D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**广东省存在多个口径，必须明确选哪个**：生态环境部 2023 年省级因子 0.4419 kgCO₂/kWh；广东碳市场报告因子 0.6379 kgCO₂/kWh（2010 年区域基准线）；碳普惠暂沿用 0.6299 kgCO₂/kWh。三者相差可达 44%，选择直接影响结果。② 按报告期锁定，一次计算只引用一个不可变因子快照；③ 省级因子优先于区域/全国因子，但需服从具体报告规则；④ 单位是 kgCO₂/kWh（不是 CO₂e），因为只计 CO₂ |</w:t>
      </w:r>
    </w:p>
    <w:p w14:paraId="4ED25568">
      <w:pPr>
        <w:rPr>
          <w:rFonts w:ascii="Segoe UI Emoji" w:hAnsi="Segoe UI Emoji" w:eastAsia="Segoe UI Emoji" w:cs="Segoe UI Emoji"/>
          <w:i w:val="0"/>
          <w:iCs w:val="0"/>
          <w:caps w:val="0"/>
          <w:color w:val="000000"/>
          <w:spacing w:val="0"/>
          <w:sz w:val="24"/>
          <w:szCs w:val="24"/>
        </w:rPr>
      </w:pPr>
    </w:p>
    <w:p w14:paraId="73F38EA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15. EF_opt(t)（优化调度用时变碳因子）</w:t>
      </w:r>
    </w:p>
    <w:p w14:paraId="534BF335">
      <w:pPr>
        <w:rPr>
          <w:rFonts w:ascii="Segoe UI Emoji" w:hAnsi="Segoe UI Emoji" w:eastAsia="Segoe UI Emoji" w:cs="Segoe UI Emoji"/>
          <w:i w:val="0"/>
          <w:iCs w:val="0"/>
          <w:caps w:val="0"/>
          <w:color w:val="000000"/>
          <w:spacing w:val="0"/>
          <w:sz w:val="24"/>
          <w:szCs w:val="24"/>
        </w:rPr>
      </w:pPr>
    </w:p>
    <w:p w14:paraId="163F6E4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13BDB84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4D0A715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逐时变化的电网碳强度，用于调度优化决策 |</w:t>
      </w:r>
    </w:p>
    <w:p w14:paraId="41943BE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官方无小时级因子，需自行构造：① 基于区域电网逐时电源结构加权；② 用现货电价代理；③ 用年度因子乘峰谷系数构造研究曲线 |</w:t>
      </w:r>
    </w:p>
    <w:p w14:paraId="578412A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**仅作决策信号，不能用于正式报告**，界面必须标注"优化口径"；② 必须标注来源和置信度；③ 缺失时回退到年度平均因子，但优化结果标记低置信度；④ 这是"电-碳双驱"的核心数据——如果谷电碳强度高于峰电，峰谷套利可能增碳（谷电碳悖论），必须用实际数据验证 |</w:t>
      </w:r>
    </w:p>
    <w:p w14:paraId="245D1F39">
      <w:pPr>
        <w:rPr>
          <w:rFonts w:ascii="Segoe UI Emoji" w:hAnsi="Segoe UI Emoji" w:eastAsia="Segoe UI Emoji" w:cs="Segoe UI Emoji"/>
          <w:i w:val="0"/>
          <w:iCs w:val="0"/>
          <w:caps w:val="0"/>
          <w:color w:val="000000"/>
          <w:spacing w:val="0"/>
          <w:sz w:val="24"/>
          <w:szCs w:val="24"/>
        </w:rPr>
      </w:pPr>
    </w:p>
    <w:p w14:paraId="4D3B832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16. EF_CFP（产品碳足迹用电力因子）</w:t>
      </w:r>
    </w:p>
    <w:p w14:paraId="21E56612">
      <w:pPr>
        <w:rPr>
          <w:rFonts w:ascii="Segoe UI Emoji" w:hAnsi="Segoe UI Emoji" w:eastAsia="Segoe UI Emoji" w:cs="Segoe UI Emoji"/>
          <w:i w:val="0"/>
          <w:iCs w:val="0"/>
          <w:caps w:val="0"/>
          <w:color w:val="000000"/>
          <w:spacing w:val="0"/>
          <w:sz w:val="24"/>
          <w:szCs w:val="24"/>
        </w:rPr>
      </w:pPr>
    </w:p>
    <w:p w14:paraId="3FFA441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78BFDD5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0E109B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电力上游全生命周期排放因子，仅用于 LCA |</w:t>
      </w:r>
    </w:p>
    <w:p w14:paraId="2ADB61E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生态环境部等发布的电力碳足迹因子（2024 年全国 0.5777 kgCO₂e/kWh） |</w:t>
      </w:r>
    </w:p>
    <w:p w14:paraId="4F54742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包含电力上游（燃料开采、运输、电厂建设等）全生命周期排放，比 EF_report 高；② **仅限 LCA 使用，不得与 EF_report 混用**；③ 单位是 kgCO₂e/kWh |</w:t>
      </w:r>
    </w:p>
    <w:p w14:paraId="7633F3C4">
      <w:pPr>
        <w:rPr>
          <w:rFonts w:ascii="Segoe UI Emoji" w:hAnsi="Segoe UI Emoji" w:eastAsia="Segoe UI Emoji" w:cs="Segoe UI Emoji"/>
          <w:i w:val="0"/>
          <w:iCs w:val="0"/>
          <w:caps w:val="0"/>
          <w:color w:val="000000"/>
          <w:spacing w:val="0"/>
          <w:sz w:val="24"/>
          <w:szCs w:val="24"/>
        </w:rPr>
      </w:pPr>
    </w:p>
    <w:p w14:paraId="1985381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17. EF_supplier（绿电/合同工具因子）</w:t>
      </w:r>
    </w:p>
    <w:p w14:paraId="3CEE07B4">
      <w:pPr>
        <w:rPr>
          <w:rFonts w:ascii="Segoe UI Emoji" w:hAnsi="Segoe UI Emoji" w:eastAsia="Segoe UI Emoji" w:cs="Segoe UI Emoji"/>
          <w:i w:val="0"/>
          <w:iCs w:val="0"/>
          <w:caps w:val="0"/>
          <w:color w:val="000000"/>
          <w:spacing w:val="0"/>
          <w:sz w:val="24"/>
          <w:szCs w:val="24"/>
        </w:rPr>
      </w:pPr>
    </w:p>
    <w:p w14:paraId="0EBCD1B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16D1D3B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7B48F66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绿电交易、绿证、PPA 等合同对应的电力因子 |</w:t>
      </w:r>
    </w:p>
    <w:p w14:paraId="22F4723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绿证、购售电合同、交易凭证 |</w:t>
      </w:r>
    </w:p>
    <w:p w14:paraId="5FF406E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必须审核合同、交易凭证和剩余组合（是否已被其他方声明）；② **无适用规则时不得自行按零处理**；③ 绿电环境属性和物理电量是分离的，买了绿证不等于物理上用了绿电 |</w:t>
      </w:r>
    </w:p>
    <w:p w14:paraId="2EA77A80">
      <w:pPr>
        <w:rPr>
          <w:rFonts w:ascii="Segoe UI Emoji" w:hAnsi="Segoe UI Emoji" w:eastAsia="Segoe UI Emoji" w:cs="Segoe UI Emoji"/>
          <w:i w:val="0"/>
          <w:iCs w:val="0"/>
          <w:caps w:val="0"/>
          <w:color w:val="000000"/>
          <w:spacing w:val="0"/>
          <w:sz w:val="24"/>
          <w:szCs w:val="24"/>
        </w:rPr>
      </w:pPr>
    </w:p>
    <w:p w14:paraId="7F22412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18. CH₄/N₂O 排放因子与 GWP</w:t>
      </w:r>
    </w:p>
    <w:p w14:paraId="03055CCB">
      <w:pPr>
        <w:rPr>
          <w:rFonts w:ascii="Segoe UI Emoji" w:hAnsi="Segoe UI Emoji" w:eastAsia="Segoe UI Emoji" w:cs="Segoe UI Emoji"/>
          <w:i w:val="0"/>
          <w:iCs w:val="0"/>
          <w:caps w:val="0"/>
          <w:color w:val="000000"/>
          <w:spacing w:val="0"/>
          <w:sz w:val="24"/>
          <w:szCs w:val="24"/>
        </w:rPr>
      </w:pPr>
    </w:p>
    <w:p w14:paraId="33FEE57F">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1B8E9ECC">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6A78413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污水厂工艺直接排放的计算参数 |</w:t>
      </w:r>
    </w:p>
    <w:p w14:paraId="2E4271E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IPCC 指南、生态环境部《城镇污水处理厂污染物去除协同控制温室气体核算技术指南》、国内实测文献 |</w:t>
      </w:r>
    </w:p>
    <w:p w14:paraId="1A845C7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CH₄：B₀（最大产甲烷潜能）默认 0.25 kg CH₄/kg COD，MCF（甲烷修正因子）依工艺取 0~0.8；② N₂O：IPCC 默认 0.005 kg N₂O-N/kg N，国内实测因工艺不同差异大（0.003~0.025）；③ GWP 必须注明版本：IPCC AR5（CH₄=28, N₂O=265）或 AR6（CH₄=27.9, N₂O=273），同一报告内必须统一；④ 好氧池微生物呼吸产生的 CO₂ 是生物源，通常不计入化石排放 |</w:t>
      </w:r>
    </w:p>
    <w:p w14:paraId="17D09D6C">
      <w:pPr>
        <w:rPr>
          <w:rFonts w:ascii="Segoe UI Emoji" w:hAnsi="Segoe UI Emoji" w:eastAsia="Segoe UI Emoji" w:cs="Segoe UI Emoji"/>
          <w:i w:val="0"/>
          <w:iCs w:val="0"/>
          <w:caps w:val="0"/>
          <w:color w:val="000000"/>
          <w:spacing w:val="0"/>
          <w:sz w:val="24"/>
          <w:szCs w:val="24"/>
        </w:rPr>
      </w:pPr>
    </w:p>
    <w:p w14:paraId="5426BE7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B4787C3">
      <w:pPr>
        <w:rPr>
          <w:rFonts w:ascii="Segoe UI Emoji" w:hAnsi="Segoe UI Emoji" w:eastAsia="Segoe UI Emoji" w:cs="Segoe UI Emoji"/>
          <w:i w:val="0"/>
          <w:iCs w:val="0"/>
          <w:caps w:val="0"/>
          <w:color w:val="000000"/>
          <w:spacing w:val="0"/>
          <w:sz w:val="24"/>
          <w:szCs w:val="24"/>
        </w:rPr>
      </w:pPr>
    </w:p>
    <w:p w14:paraId="367328D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六、价格与经济类</w:t>
      </w:r>
    </w:p>
    <w:p w14:paraId="2B52A4D3">
      <w:pPr>
        <w:rPr>
          <w:rFonts w:ascii="Segoe UI Emoji" w:hAnsi="Segoe UI Emoji" w:eastAsia="Segoe UI Emoji" w:cs="Segoe UI Emoji"/>
          <w:i w:val="0"/>
          <w:iCs w:val="0"/>
          <w:caps w:val="0"/>
          <w:color w:val="000000"/>
          <w:spacing w:val="0"/>
          <w:sz w:val="24"/>
          <w:szCs w:val="24"/>
        </w:rPr>
      </w:pPr>
    </w:p>
    <w:p w14:paraId="4481C91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19. 分时电价</w:t>
      </w:r>
    </w:p>
    <w:p w14:paraId="0488912E">
      <w:pPr>
        <w:rPr>
          <w:rFonts w:ascii="Segoe UI Emoji" w:hAnsi="Segoe UI Emoji" w:eastAsia="Segoe UI Emoji" w:cs="Segoe UI Emoji"/>
          <w:i w:val="0"/>
          <w:iCs w:val="0"/>
          <w:caps w:val="0"/>
          <w:color w:val="000000"/>
          <w:spacing w:val="0"/>
          <w:sz w:val="24"/>
          <w:szCs w:val="24"/>
        </w:rPr>
      </w:pPr>
    </w:p>
    <w:p w14:paraId="51D8A40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12BF930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0C7C4F4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峰、平、谷时段电价，部分地区还有尖峰电价 |</w:t>
      </w:r>
    </w:p>
    <w:p w14:paraId="5A6BE6A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购电合同、电网代理购电价格公告、电力交易中心 |</w:t>
      </w:r>
    </w:p>
    <w:p w14:paraId="41DB24B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广东省峰谷时段：高峰 10-12、14-19 点；低谷 0-8 点；其余平段；峰平谷比价 1.7:1:0.38；② 7-9 月及高温日有尖峰电价（11-12、15-17 点），需单独处理；③ 电价和碳强度的峰谷分布可能不一致（电价高峰不一定碳强度最高），这是双目标优化的关键 |</w:t>
      </w:r>
    </w:p>
    <w:p w14:paraId="167AED99">
      <w:pPr>
        <w:rPr>
          <w:rFonts w:ascii="Segoe UI Emoji" w:hAnsi="Segoe UI Emoji" w:eastAsia="Segoe UI Emoji" w:cs="Segoe UI Emoji"/>
          <w:i w:val="0"/>
          <w:iCs w:val="0"/>
          <w:caps w:val="0"/>
          <w:color w:val="000000"/>
          <w:spacing w:val="0"/>
          <w:sz w:val="24"/>
          <w:szCs w:val="24"/>
        </w:rPr>
      </w:pPr>
    </w:p>
    <w:p w14:paraId="756DBC5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20. 需量/容量电费</w:t>
      </w:r>
    </w:p>
    <w:p w14:paraId="7D970DDD">
      <w:pPr>
        <w:rPr>
          <w:rFonts w:ascii="Segoe UI Emoji" w:hAnsi="Segoe UI Emoji" w:eastAsia="Segoe UI Emoji" w:cs="Segoe UI Emoji"/>
          <w:i w:val="0"/>
          <w:iCs w:val="0"/>
          <w:caps w:val="0"/>
          <w:color w:val="000000"/>
          <w:spacing w:val="0"/>
          <w:sz w:val="24"/>
          <w:szCs w:val="24"/>
        </w:rPr>
      </w:pPr>
    </w:p>
    <w:p w14:paraId="3AAEC73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25979BC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42BDE3A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按最大需量或变压器容量收取的基本电费 |</w:t>
      </w:r>
    </w:p>
    <w:p w14:paraId="0F69498E">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电费账单、供用电合同 |</w:t>
      </w:r>
    </w:p>
    <w:p w14:paraId="1CDFBCB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储能削峰可降低最大需量，从而节省需量电费，这是经济收益的一部分；② 模块二优化目标中的电费应包含电度电费+需量电费，不能只算电度电费 |</w:t>
      </w:r>
    </w:p>
    <w:p w14:paraId="3DE3C1F3">
      <w:pPr>
        <w:rPr>
          <w:rFonts w:ascii="Segoe UI Emoji" w:hAnsi="Segoe UI Emoji" w:eastAsia="Segoe UI Emoji" w:cs="Segoe UI Emoji"/>
          <w:i w:val="0"/>
          <w:iCs w:val="0"/>
          <w:caps w:val="0"/>
          <w:color w:val="000000"/>
          <w:spacing w:val="0"/>
          <w:sz w:val="24"/>
          <w:szCs w:val="24"/>
        </w:rPr>
      </w:pPr>
    </w:p>
    <w:p w14:paraId="225D058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21. 碳价</w:t>
      </w:r>
    </w:p>
    <w:p w14:paraId="31365C2B">
      <w:pPr>
        <w:rPr>
          <w:rFonts w:ascii="Segoe UI Emoji" w:hAnsi="Segoe UI Emoji" w:eastAsia="Segoe UI Emoji" w:cs="Segoe UI Emoji"/>
          <w:i w:val="0"/>
          <w:iCs w:val="0"/>
          <w:caps w:val="0"/>
          <w:color w:val="000000"/>
          <w:spacing w:val="0"/>
          <w:sz w:val="24"/>
          <w:szCs w:val="24"/>
        </w:rPr>
      </w:pPr>
    </w:p>
    <w:p w14:paraId="11F5730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00F190F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7F6F172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碳排放权交易价格，用于将碳目标折算为货币成本 |</w:t>
      </w:r>
    </w:p>
    <w:p w14:paraId="2534B79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广州碳排放权交易所（广东碳市场）、全国碳市场 |</w:t>
      </w:r>
    </w:p>
    <w:p w14:paraId="5C2DC89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模块三调度接口列出了碳价但未给数值，需补充；② 若碳排已通过碳价折算为成本纳入经济目标，则**不可再次计入碳目标**，避免双重计权；③ 污水厂目前大概率不纳入碳市场配额管理，碳价更多用于"碳成本模式"的情景分析 |</w:t>
      </w:r>
    </w:p>
    <w:p w14:paraId="492DD9D8">
      <w:pPr>
        <w:rPr>
          <w:rFonts w:ascii="Segoe UI Emoji" w:hAnsi="Segoe UI Emoji" w:eastAsia="Segoe UI Emoji" w:cs="Segoe UI Emoji"/>
          <w:i w:val="0"/>
          <w:iCs w:val="0"/>
          <w:caps w:val="0"/>
          <w:color w:val="000000"/>
          <w:spacing w:val="0"/>
          <w:sz w:val="24"/>
          <w:szCs w:val="24"/>
        </w:rPr>
      </w:pPr>
    </w:p>
    <w:p w14:paraId="72B6DFE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1A8EBAE3">
      <w:pPr>
        <w:rPr>
          <w:rFonts w:ascii="Segoe UI Emoji" w:hAnsi="Segoe UI Emoji" w:eastAsia="Segoe UI Emoji" w:cs="Segoe UI Emoji"/>
          <w:i w:val="0"/>
          <w:iCs w:val="0"/>
          <w:caps w:val="0"/>
          <w:color w:val="000000"/>
          <w:spacing w:val="0"/>
          <w:sz w:val="24"/>
          <w:szCs w:val="24"/>
        </w:rPr>
      </w:pPr>
    </w:p>
    <w:p w14:paraId="38C0956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七、LCA 清单类</w:t>
      </w:r>
      <w:bookmarkStart w:id="0" w:name="_GoBack"/>
      <w:bookmarkEnd w:id="0"/>
    </w:p>
    <w:p w14:paraId="6826CC2D">
      <w:pPr>
        <w:rPr>
          <w:rFonts w:ascii="Segoe UI Emoji" w:hAnsi="Segoe UI Emoji" w:eastAsia="Segoe UI Emoji" w:cs="Segoe UI Emoji"/>
          <w:i w:val="0"/>
          <w:iCs w:val="0"/>
          <w:caps w:val="0"/>
          <w:color w:val="000000"/>
          <w:spacing w:val="0"/>
          <w:sz w:val="24"/>
          <w:szCs w:val="24"/>
        </w:rPr>
      </w:pPr>
    </w:p>
    <w:p w14:paraId="22D84E9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22. 储能材料清单</w:t>
      </w:r>
    </w:p>
    <w:p w14:paraId="324D477F">
      <w:pPr>
        <w:rPr>
          <w:rFonts w:ascii="Segoe UI Emoji" w:hAnsi="Segoe UI Emoji" w:eastAsia="Segoe UI Emoji" w:cs="Segoe UI Emoji"/>
          <w:i w:val="0"/>
          <w:iCs w:val="0"/>
          <w:caps w:val="0"/>
          <w:color w:val="000000"/>
          <w:spacing w:val="0"/>
          <w:sz w:val="24"/>
          <w:szCs w:val="24"/>
        </w:rPr>
      </w:pPr>
    </w:p>
    <w:p w14:paraId="2C97978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4178A7A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41A6CDE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磷酸铁锂电池各组成材料的质量：正极（磷酸铁锂）、负极（石墨）、电解液、隔膜、铜箔、铝箔、电池壳等 |</w:t>
      </w:r>
    </w:p>
    <w:p w14:paraId="7B1FB5A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电池厂家 BOM 清单、产品碳足迹（PCF）报告；无厂家数据时用行业平均数据库 |</w:t>
      </w:r>
    </w:p>
    <w:p w14:paraId="1AD10F0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数据优先级：供应商经核查的 PCF &gt; 行业数据库（Ecoinvent/CLCD）&gt; 文献平均值 &gt; 保守默认值；② 磷酸铁锂典型隐含碳参考 60~120 kgCO₂e/kWh，取值必须注明来源和年份；③ PCS、温控、消防等辅助设备的隐含碳也需纳入，不能只算电池 |</w:t>
      </w:r>
    </w:p>
    <w:p w14:paraId="40224CDE">
      <w:pPr>
        <w:rPr>
          <w:rFonts w:ascii="Segoe UI Emoji" w:hAnsi="Segoe UI Emoji" w:eastAsia="Segoe UI Emoji" w:cs="Segoe UI Emoji"/>
          <w:i w:val="0"/>
          <w:iCs w:val="0"/>
          <w:caps w:val="0"/>
          <w:color w:val="000000"/>
          <w:spacing w:val="0"/>
          <w:sz w:val="24"/>
          <w:szCs w:val="24"/>
        </w:rPr>
      </w:pPr>
    </w:p>
    <w:p w14:paraId="57B1482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23. 制造与运输数据</w:t>
      </w:r>
    </w:p>
    <w:p w14:paraId="103B8ED1">
      <w:pPr>
        <w:rPr>
          <w:rFonts w:ascii="Segoe UI Emoji" w:hAnsi="Segoe UI Emoji" w:eastAsia="Segoe UI Emoji" w:cs="Segoe UI Emoji"/>
          <w:i w:val="0"/>
          <w:iCs w:val="0"/>
          <w:caps w:val="0"/>
          <w:color w:val="000000"/>
          <w:spacing w:val="0"/>
          <w:sz w:val="24"/>
          <w:szCs w:val="24"/>
        </w:rPr>
      </w:pPr>
    </w:p>
    <w:p w14:paraId="3FDE017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0D020D2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197EABF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制造阶段能耗、运输距离和方式、安装耗电量 |</w:t>
      </w:r>
    </w:p>
    <w:p w14:paraId="30577CC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厂家数据、物流记录、项目施工记录 |</w:t>
      </w:r>
    </w:p>
    <w:p w14:paraId="1D4D557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制造能耗通常已包含在材料隐含碳中，需确认是否重复计算；② 运输需区分公路/铁路/海运，排放因子差异大；③ 安装阶段排放通常较小但不可省略 |</w:t>
      </w:r>
    </w:p>
    <w:p w14:paraId="469B0B71">
      <w:pPr>
        <w:rPr>
          <w:rFonts w:ascii="Segoe UI Emoji" w:hAnsi="Segoe UI Emoji" w:eastAsia="Segoe UI Emoji" w:cs="Segoe UI Emoji"/>
          <w:i w:val="0"/>
          <w:iCs w:val="0"/>
          <w:caps w:val="0"/>
          <w:color w:val="000000"/>
          <w:spacing w:val="0"/>
          <w:sz w:val="24"/>
          <w:szCs w:val="24"/>
        </w:rPr>
      </w:pPr>
    </w:p>
    <w:p w14:paraId="4A154BF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24. 运维更换与退役回收</w:t>
      </w:r>
    </w:p>
    <w:p w14:paraId="106A8790">
      <w:pPr>
        <w:rPr>
          <w:rFonts w:ascii="Segoe UI Emoji" w:hAnsi="Segoe UI Emoji" w:eastAsia="Segoe UI Emoji" w:cs="Segoe UI Emoji"/>
          <w:i w:val="0"/>
          <w:iCs w:val="0"/>
          <w:caps w:val="0"/>
          <w:color w:val="000000"/>
          <w:spacing w:val="0"/>
          <w:sz w:val="24"/>
          <w:szCs w:val="24"/>
        </w:rPr>
      </w:pPr>
    </w:p>
    <w:p w14:paraId="487AB51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项目 | 说明 |</w:t>
      </w:r>
    </w:p>
    <w:p w14:paraId="6AD145F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47B0A1A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**含义** | 寿命期内 PCS、电池模块、风扇等部件的更换次数和数量；退役后拆解、运输、处置、材料回收率 |</w:t>
      </w:r>
    </w:p>
    <w:p w14:paraId="37FC0594">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**来源** | 厂家质保条款、维护计划、行业回收技术数据 |</w:t>
      </w:r>
    </w:p>
    <w:p w14:paraId="6D576A82">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**注意事项** | ① 磷酸铁锂电池循环寿命通常 6000~10000 次（80% DoD），PCS 寿命约 10~15 年，可能需要在电池寿命期内更换 PCS；② 退役回收可抵减排放（材料回收替代原生材料），但回收率需保守取值；③ 全寿命总可放电量 = 额定容量 × DoD × 循环次数 × 放电效率 × 可用系数，这是 LCA 分摊的分母 |</w:t>
      </w:r>
    </w:p>
    <w:p w14:paraId="290F710E">
      <w:pPr>
        <w:rPr>
          <w:rFonts w:ascii="Segoe UI Emoji" w:hAnsi="Segoe UI Emoji" w:eastAsia="Segoe UI Emoji" w:cs="Segoe UI Emoji"/>
          <w:i w:val="0"/>
          <w:iCs w:val="0"/>
          <w:caps w:val="0"/>
          <w:color w:val="000000"/>
          <w:spacing w:val="0"/>
          <w:sz w:val="24"/>
          <w:szCs w:val="24"/>
        </w:rPr>
      </w:pPr>
    </w:p>
    <w:p w14:paraId="2FF814D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6097809D">
      <w:pPr>
        <w:rPr>
          <w:rFonts w:ascii="Segoe UI Emoji" w:hAnsi="Segoe UI Emoji" w:eastAsia="Segoe UI Emoji" w:cs="Segoe UI Emoji"/>
          <w:i w:val="0"/>
          <w:iCs w:val="0"/>
          <w:caps w:val="0"/>
          <w:color w:val="000000"/>
          <w:spacing w:val="0"/>
          <w:sz w:val="24"/>
          <w:szCs w:val="24"/>
        </w:rPr>
      </w:pPr>
    </w:p>
    <w:p w14:paraId="023A5158">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八、数据质量与通用注意事项</w:t>
      </w:r>
    </w:p>
    <w:p w14:paraId="1EC1BD13">
      <w:pPr>
        <w:rPr>
          <w:rFonts w:ascii="Segoe UI Emoji" w:hAnsi="Segoe UI Emoji" w:eastAsia="Segoe UI Emoji" w:cs="Segoe UI Emoji"/>
          <w:i w:val="0"/>
          <w:iCs w:val="0"/>
          <w:caps w:val="0"/>
          <w:color w:val="000000"/>
          <w:spacing w:val="0"/>
          <w:sz w:val="24"/>
          <w:szCs w:val="24"/>
        </w:rPr>
      </w:pPr>
    </w:p>
    <w:p w14:paraId="0538A5B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数据质量等级</w:t>
      </w:r>
    </w:p>
    <w:p w14:paraId="0222BDEC">
      <w:pPr>
        <w:rPr>
          <w:rFonts w:ascii="Segoe UI Emoji" w:hAnsi="Segoe UI Emoji" w:eastAsia="Segoe UI Emoji" w:cs="Segoe UI Emoji"/>
          <w:i w:val="0"/>
          <w:iCs w:val="0"/>
          <w:caps w:val="0"/>
          <w:color w:val="000000"/>
          <w:spacing w:val="0"/>
          <w:sz w:val="24"/>
          <w:szCs w:val="24"/>
        </w:rPr>
      </w:pPr>
    </w:p>
    <w:p w14:paraId="13BD5BF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等级 | 定义 | 使用限制 |</w:t>
      </w:r>
    </w:p>
    <w:p w14:paraId="3426E2A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1833A0D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A | 经校准计量或经审核结算数据 | 可直接用于正式报告 |</w:t>
      </w:r>
    </w:p>
    <w:p w14:paraId="7167294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B | 现场活动数据 × 官方/本地化因子 | 可用于正式报告，记录计算链 |</w:t>
      </w:r>
    </w:p>
    <w:p w14:paraId="0A228E0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C | 供应商数据或行业代表数据 | 用于 LCA 或次要源，需适用性检查 |</w:t>
      </w:r>
    </w:p>
    <w:p w14:paraId="199AAE6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D | 行业默认/保守估算 | 仅限缺数兜底，必须显著标记 |</w:t>
      </w:r>
    </w:p>
    <w:p w14:paraId="53529BED">
      <w:pPr>
        <w:rPr>
          <w:rFonts w:ascii="Segoe UI Emoji" w:hAnsi="Segoe UI Emoji" w:eastAsia="Segoe UI Emoji" w:cs="Segoe UI Emoji"/>
          <w:i w:val="0"/>
          <w:iCs w:val="0"/>
          <w:caps w:val="0"/>
          <w:color w:val="000000"/>
          <w:spacing w:val="0"/>
          <w:sz w:val="24"/>
          <w:szCs w:val="24"/>
        </w:rPr>
      </w:pPr>
    </w:p>
    <w:p w14:paraId="6B86938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所有数据通用的注意事项</w:t>
      </w:r>
    </w:p>
    <w:p w14:paraId="4D2A8F9A">
      <w:pPr>
        <w:rPr>
          <w:rFonts w:ascii="Segoe UI Emoji" w:hAnsi="Segoe UI Emoji" w:eastAsia="Segoe UI Emoji" w:cs="Segoe UI Emoji"/>
          <w:i w:val="0"/>
          <w:iCs w:val="0"/>
          <w:caps w:val="0"/>
          <w:color w:val="000000"/>
          <w:spacing w:val="0"/>
          <w:sz w:val="24"/>
          <w:szCs w:val="24"/>
        </w:rPr>
      </w:pPr>
    </w:p>
    <w:p w14:paraId="2DBBCF6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1. **时间对齐**：所有计量点使用统一时钟源，按整点对齐 1h 窗口；时区、夏令时规则一致；时间戳必须包含时区信息。</w:t>
      </w:r>
    </w:p>
    <w:p w14:paraId="694A1875">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2. **版本冻结**：一次核算任务只引用一个不可变的因子快照和算法版本，后续因子更新不自动改写已签发报告。</w:t>
      </w:r>
    </w:p>
    <w:p w14:paraId="3191D5D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3. **单位统一**：kgCO₂/kWh 与 kgCO₂e/kWh 不得在无转换说明时混用；能量单位统一为 kWh，排放单位统一为 kg 或 t。</w:t>
      </w:r>
    </w:p>
    <w:p w14:paraId="33A6C32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4. **边界一致**：发电端因子、消费端因子、含线损因子、碳足迹因子必须标明边界，不能混用。</w:t>
      </w:r>
    </w:p>
    <w:p w14:paraId="4840814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5. **缺失处理**：关口电量单点缺失可按相邻累计表差值恢复；因子缺失阻止正式报告，不得静默使用旧默认值。</w:t>
      </w:r>
    </w:p>
    <w:p w14:paraId="42428D39">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6. **预测 vs 实测**：调度优化阶段用模块一的预测负荷，核算阶段必须用实测数据，不能用计划值替代实绩。</w:t>
      </w:r>
    </w:p>
    <w:p w14:paraId="03423D6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7. **三账隔离**：同一笔关口购电只在企业清单账算一次；LCA 隐含碳不得与企业范围二重复累加；项目减排账的结果不得直接冲减企业清单账面排放。</w:t>
      </w:r>
    </w:p>
    <w:p w14:paraId="21EE09B5">
      <w:pPr>
        <w:rPr>
          <w:rFonts w:ascii="Segoe UI Emoji" w:hAnsi="Segoe UI Emoji" w:eastAsia="Segoe UI Emoji" w:cs="Segoe UI Emoji"/>
          <w:i w:val="0"/>
          <w:iCs w:val="0"/>
          <w:caps w:val="0"/>
          <w:color w:val="000000"/>
          <w:spacing w:val="0"/>
          <w:sz w:val="24"/>
          <w:szCs w:val="24"/>
        </w:rPr>
      </w:pPr>
    </w:p>
    <w:p w14:paraId="7037AEAA">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6B2E4E4C">
      <w:pPr>
        <w:rPr>
          <w:rFonts w:ascii="Segoe UI Emoji" w:hAnsi="Segoe UI Emoji" w:eastAsia="Segoe UI Emoji" w:cs="Segoe UI Emoji"/>
          <w:i w:val="0"/>
          <w:iCs w:val="0"/>
          <w:caps w:val="0"/>
          <w:color w:val="000000"/>
          <w:spacing w:val="0"/>
          <w:sz w:val="24"/>
          <w:szCs w:val="24"/>
        </w:rPr>
      </w:pPr>
    </w:p>
    <w:p w14:paraId="12421A6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数据获取优先级速查</w:t>
      </w:r>
    </w:p>
    <w:p w14:paraId="575922C6">
      <w:pPr>
        <w:rPr>
          <w:rFonts w:ascii="Segoe UI Emoji" w:hAnsi="Segoe UI Emoji" w:eastAsia="Segoe UI Emoji" w:cs="Segoe UI Emoji"/>
          <w:i w:val="0"/>
          <w:iCs w:val="0"/>
          <w:caps w:val="0"/>
          <w:color w:val="000000"/>
          <w:spacing w:val="0"/>
          <w:sz w:val="24"/>
          <w:szCs w:val="24"/>
        </w:rPr>
      </w:pPr>
    </w:p>
    <w:p w14:paraId="3417E8CD">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数据类别 | 最优来源 | 兜底来源 |</w:t>
      </w:r>
    </w:p>
    <w:p w14:paraId="1DBED443">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w:t>
      </w:r>
    </w:p>
    <w:p w14:paraId="68F059D7">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电量 | 关口表/PCS 表（A 级） | EMS 估算（B 级） |</w:t>
      </w:r>
    </w:p>
    <w:p w14:paraId="1B56FCB1">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水质 | 在线监测+化验（A/B 级） | 设计值/行业均值（C/D 级） |</w:t>
      </w:r>
    </w:p>
    <w:p w14:paraId="33405F5B">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电力因子 | 生态环境部年度公告 | 区域/全国因子（需标记） |</w:t>
      </w:r>
    </w:p>
    <w:p w14:paraId="03ACA016">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分时碳因子 | 电网电源结构拟合 | 年度因子×峰谷系数（研究用） |</w:t>
      </w:r>
    </w:p>
    <w:p w14:paraId="43CF2530">
      <w:pPr>
        <w:rPr>
          <w:rFonts w:ascii="Segoe UI Emoji" w:hAnsi="Segoe UI Emoji" w:eastAsia="Segoe UI Emoji" w:cs="Segoe UI Emoji"/>
          <w:i w:val="0"/>
          <w:iCs w:val="0"/>
          <w:caps w:val="0"/>
          <w:color w:val="000000"/>
          <w:spacing w:val="0"/>
          <w:sz w:val="24"/>
          <w:szCs w:val="24"/>
        </w:rPr>
      </w:pPr>
      <w:r>
        <w:rPr>
          <w:rFonts w:ascii="Segoe UI Emoji" w:hAnsi="Segoe UI Emoji" w:eastAsia="Segoe UI Emoji" w:cs="Segoe UI Emoji"/>
          <w:i w:val="0"/>
          <w:iCs w:val="0"/>
          <w:caps w:val="0"/>
          <w:color w:val="000000"/>
          <w:spacing w:val="0"/>
          <w:sz w:val="24"/>
          <w:szCs w:val="24"/>
        </w:rPr>
        <w:t>| LCA 数据 | 供应商 PCF 报告 | Ecoinvent/CLCD 数据库 |</w:t>
      </w:r>
    </w:p>
    <w:p w14:paraId="204CFD60">
      <w:pPr>
        <w:rPr>
          <w:rFonts w:hint="default"/>
          <w:lang w:val="en-US" w:eastAsia="zh-CN"/>
        </w:rPr>
      </w:pPr>
      <w:r>
        <w:rPr>
          <w:rFonts w:ascii="Segoe UI Emoji" w:hAnsi="Segoe UI Emoji" w:eastAsia="Segoe UI Emoji" w:cs="Segoe UI Emoji"/>
          <w:i w:val="0"/>
          <w:iCs w:val="0"/>
          <w:caps w:val="0"/>
          <w:color w:val="000000"/>
          <w:spacing w:val="0"/>
          <w:sz w:val="24"/>
          <w:szCs w:val="24"/>
        </w:rPr>
        <w:t>| 工艺排放因子 | 实测/生态环境部指南 | IPCC 默认值（需标记不确定性） |</w:t>
      </w:r>
    </w:p>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QIJIC"/>
    <w:panose1 w:val="00000000000000000000"/>
    <w:charset w:val="00"/>
    <w:family w:val="auto"/>
    <w:pitch w:val="default"/>
    <w:sig w:usb0="00000000" w:usb1="00000000" w:usb2="00000000" w:usb3="00000000" w:csb0="00000000" w:csb1="00000000"/>
  </w:font>
  <w:font w:name="QIJIC">
    <w:panose1 w:val="02000509000000000000"/>
    <w:charset w:val="88"/>
    <w:family w:val="auto"/>
    <w:pitch w:val="default"/>
    <w:sig w:usb0="00000000" w:usb1="0A010000" w:usb2="00000000" w:usb3="00000000" w:csb0="00100000"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00165">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BE6FF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BBE6FF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E72BBD"/>
    <w:multiLevelType w:val="singleLevel"/>
    <w:tmpl w:val="99E72BBD"/>
    <w:lvl w:ilvl="0" w:tentative="0">
      <w:start w:val="1"/>
      <w:numFmt w:val="bullet"/>
      <w:pStyle w:val="6"/>
      <w:lvlText w:val=""/>
      <w:lvlJc w:val="left"/>
      <w:pPr>
        <w:tabs>
          <w:tab w:val="left" w:pos="360"/>
        </w:tabs>
        <w:ind w:left="360" w:hanging="360"/>
      </w:pPr>
      <w:rPr>
        <w:rFonts w:hint="default" w:ascii="Wingdings" w:hAnsi="Wingdings"/>
      </w:rPr>
    </w:lvl>
  </w:abstractNum>
  <w:abstractNum w:abstractNumId="1">
    <w:nsid w:val="E6E35DAE"/>
    <w:multiLevelType w:val="singleLevel"/>
    <w:tmpl w:val="E6E35DAE"/>
    <w:lvl w:ilvl="0" w:tentative="0">
      <w:start w:val="1"/>
      <w:numFmt w:val="decimal"/>
      <w:lvlText w:val="%1."/>
      <w:lvlJc w:val="left"/>
      <w:pPr>
        <w:ind w:left="425" w:hanging="425"/>
      </w:pPr>
      <w:rPr>
        <w:rFonts w:hint="default"/>
      </w:rPr>
    </w:lvl>
  </w:abstractNum>
  <w:abstractNum w:abstractNumId="2">
    <w:nsid w:val="5CAF399E"/>
    <w:multiLevelType w:val="singleLevel"/>
    <w:tmpl w:val="5CAF399E"/>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E25022"/>
    <w:rsid w:val="01C916C4"/>
    <w:rsid w:val="02B73408"/>
    <w:rsid w:val="074145FC"/>
    <w:rsid w:val="0BC914E5"/>
    <w:rsid w:val="0CE25022"/>
    <w:rsid w:val="13D50638"/>
    <w:rsid w:val="14B8549C"/>
    <w:rsid w:val="242F0115"/>
    <w:rsid w:val="24633B2A"/>
    <w:rsid w:val="2C005BF6"/>
    <w:rsid w:val="2CC03E50"/>
    <w:rsid w:val="2EF64B55"/>
    <w:rsid w:val="30080620"/>
    <w:rsid w:val="312566B9"/>
    <w:rsid w:val="342033A2"/>
    <w:rsid w:val="35BC70D2"/>
    <w:rsid w:val="382C1D19"/>
    <w:rsid w:val="520F6873"/>
    <w:rsid w:val="59A47200"/>
    <w:rsid w:val="5ECB050E"/>
    <w:rsid w:val="6508254C"/>
    <w:rsid w:val="666F1DE3"/>
    <w:rsid w:val="69E43611"/>
    <w:rsid w:val="6BB72503"/>
    <w:rsid w:val="6C1D5E3D"/>
    <w:rsid w:val="6EC241A5"/>
    <w:rsid w:val="720C2BDC"/>
    <w:rsid w:val="72AD52B0"/>
    <w:rsid w:val="7D9D6DDE"/>
  </w:rsids>
  <m:mathPr>
    <m:mathFont m:val="Times New Roman"/>
    <m:brkBin m:val="before"/>
    <m:brkBinSub m:val="--"/>
    <m:smallFrac m:val="1"/>
    <m:dispDef/>
    <m:lMargin m:val="0"/>
    <m:rMargin m:val="0"/>
    <m:defJc m:val="centerGroup"/>
    <m:wrapIndent m:val="1133"/>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240" w:lineRule="auto"/>
      <w:ind w:firstLine="420" w:firstLineChars="200"/>
      <w:jc w:val="left"/>
    </w:pPr>
    <w:rPr>
      <w:rFonts w:ascii="Times New Roman" w:hAnsi="Times New Roman" w:eastAsia="宋体" w:cs="宋体"/>
      <w:snapToGrid w:val="0"/>
      <w:kern w:val="0"/>
      <w:sz w:val="24"/>
      <w:szCs w:val="21"/>
      <w:lang w:val="en-US" w:eastAsia="zh-CN" w:bidi="ar-SA"/>
    </w:rPr>
  </w:style>
  <w:style w:type="paragraph" w:styleId="2">
    <w:name w:val="heading 1"/>
    <w:basedOn w:val="1"/>
    <w:next w:val="1"/>
    <w:link w:val="19"/>
    <w:qFormat/>
    <w:uiPriority w:val="0"/>
    <w:pPr>
      <w:keepNext/>
      <w:keepLines/>
      <w:numPr>
        <w:ilvl w:val="0"/>
        <w:numId w:val="0"/>
      </w:numPr>
      <w:spacing w:before="120" w:beforeLines="0" w:beforeAutospacing="0" w:after="120" w:afterLines="0" w:afterAutospacing="0" w:line="240" w:lineRule="auto"/>
      <w:ind w:left="425" w:hanging="425" w:firstLineChars="0"/>
      <w:jc w:val="center"/>
      <w:outlineLvl w:val="0"/>
    </w:pPr>
    <w:rPr>
      <w:rFonts w:eastAsia="黑体"/>
      <w:kern w:val="44"/>
      <w:sz w:val="28"/>
    </w:rPr>
  </w:style>
  <w:style w:type="paragraph" w:styleId="3">
    <w:name w:val="heading 2"/>
    <w:basedOn w:val="1"/>
    <w:next w:val="1"/>
    <w:link w:val="25"/>
    <w:unhideWhenUsed/>
    <w:qFormat/>
    <w:uiPriority w:val="9"/>
    <w:pPr>
      <w:keepNext/>
      <w:keepLines/>
      <w:numPr>
        <w:ilvl w:val="1"/>
        <w:numId w:val="0"/>
      </w:numPr>
      <w:spacing w:before="50" w:beforeLines="50" w:after="50" w:afterLines="50" w:line="240" w:lineRule="auto"/>
      <w:ind w:left="0" w:firstLine="0" w:firstLineChars="0"/>
      <w:jc w:val="left"/>
      <w:outlineLvl w:val="1"/>
    </w:pPr>
    <w:rPr>
      <w:rFonts w:ascii="黑体" w:hAnsi="黑体" w:eastAsia="黑体" w:cs="黑体"/>
      <w:bCs/>
      <w:szCs w:val="32"/>
    </w:rPr>
  </w:style>
  <w:style w:type="paragraph" w:styleId="4">
    <w:name w:val="heading 3"/>
    <w:basedOn w:val="1"/>
    <w:next w:val="1"/>
    <w:link w:val="21"/>
    <w:unhideWhenUsed/>
    <w:qFormat/>
    <w:uiPriority w:val="9"/>
    <w:pPr>
      <w:keepNext/>
      <w:keepLines/>
      <w:numPr>
        <w:ilvl w:val="2"/>
        <w:numId w:val="0"/>
      </w:numPr>
      <w:spacing w:line="240" w:lineRule="auto"/>
      <w:ind w:left="0" w:firstLine="0" w:firstLineChars="0"/>
      <w:jc w:val="left"/>
      <w:outlineLvl w:val="2"/>
    </w:pPr>
    <w:rPr>
      <w:rFonts w:ascii="Times New Roman" w:hAnsi="Times New Roman" w:eastAsia="黑体"/>
      <w:bCs/>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List Bullet"/>
    <w:basedOn w:val="1"/>
    <w:qFormat/>
    <w:uiPriority w:val="0"/>
    <w:pPr>
      <w:numPr>
        <w:ilvl w:val="0"/>
        <w:numId w:val="1"/>
      </w:numPr>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TML Code"/>
    <w:basedOn w:val="12"/>
    <w:qFormat/>
    <w:uiPriority w:val="0"/>
    <w:rPr>
      <w:rFonts w:ascii="Courier New" w:hAnsi="Courier New"/>
      <w:sz w:val="20"/>
    </w:rPr>
  </w:style>
  <w:style w:type="paragraph" w:styleId="16">
    <w:name w:val="List Paragraph"/>
    <w:basedOn w:val="1"/>
    <w:qFormat/>
    <w:uiPriority w:val="34"/>
    <w:pPr>
      <w:ind w:firstLine="420"/>
    </w:pPr>
  </w:style>
  <w:style w:type="table" w:customStyle="1" w:styleId="17">
    <w:name w:val="三线表"/>
    <w:basedOn w:val="10"/>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18">
    <w:name w:val="图表标题"/>
    <w:basedOn w:val="1"/>
    <w:qFormat/>
    <w:uiPriority w:val="0"/>
    <w:pPr>
      <w:jc w:val="center"/>
    </w:pPr>
    <w:rPr>
      <w:sz w:val="21"/>
    </w:rPr>
  </w:style>
  <w:style w:type="character" w:customStyle="1" w:styleId="19">
    <w:name w:val="标题 1 Char"/>
    <w:link w:val="2"/>
    <w:qFormat/>
    <w:uiPriority w:val="0"/>
    <w:rPr>
      <w:rFonts w:eastAsia="黑体"/>
      <w:kern w:val="44"/>
      <w:sz w:val="28"/>
    </w:rPr>
  </w:style>
  <w:style w:type="paragraph" w:customStyle="1" w:styleId="20">
    <w:name w:val="公式"/>
    <w:basedOn w:val="1"/>
    <w:qFormat/>
    <w:uiPriority w:val="0"/>
    <w:pPr>
      <w:adjustRightInd w:val="0"/>
      <w:snapToGrid w:val="0"/>
      <w:ind w:firstLine="0" w:firstLineChars="0"/>
      <w:jc w:val="center"/>
    </w:pPr>
    <w:rPr>
      <w:rFonts w:hint="default" w:ascii="Times New Roman" w:hAnsi="Times New Roman" w:eastAsia="宋体" w:cs="宋体"/>
      <w:sz w:val="24"/>
      <w:szCs w:val="21"/>
    </w:rPr>
  </w:style>
  <w:style w:type="character" w:customStyle="1" w:styleId="21">
    <w:name w:val="标题 3 Char"/>
    <w:link w:val="4"/>
    <w:qFormat/>
    <w:uiPriority w:val="9"/>
    <w:rPr>
      <w:rFonts w:ascii="Times New Roman" w:hAnsi="Times New Roman" w:eastAsia="黑体"/>
      <w:bCs/>
      <w:szCs w:val="32"/>
    </w:rPr>
  </w:style>
  <w:style w:type="table" w:customStyle="1" w:styleId="22">
    <w:name w:val="Grid Table Light"/>
    <w:basedOn w:val="10"/>
    <w:qFormat/>
    <w:uiPriority w:val="99"/>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23">
    <w:name w:val="Equation"/>
    <w:qFormat/>
    <w:uiPriority w:val="0"/>
    <w:pPr>
      <w:keepLines/>
      <w:spacing w:before="80" w:after="100" w:line="276" w:lineRule="auto"/>
      <w:ind w:left="461"/>
    </w:pPr>
    <w:rPr>
      <w:rFonts w:ascii="Cambria Math" w:hAnsi="Cambria Math" w:eastAsia="微软雅黑" w:cstheme="minorBidi"/>
      <w:color w:val="000000" w:themeColor="text1"/>
      <w:sz w:val="21"/>
      <w:szCs w:val="22"/>
      <w:lang w:val="en-US" w:eastAsia="en-US" w:bidi="ar-SA"/>
      <w14:textFill>
        <w14:solidFill>
          <w14:schemeClr w14:val="tx1"/>
        </w14:solidFill>
      </w14:textFill>
    </w:rPr>
  </w:style>
  <w:style w:type="paragraph" w:customStyle="1" w:styleId="24">
    <w:name w:val="_Style 13"/>
    <w:qFormat/>
    <w:uiPriority w:val="0"/>
    <w:pPr>
      <w:spacing w:before="120" w:after="120" w:line="288" w:lineRule="auto"/>
      <w:ind w:left="0"/>
      <w:jc w:val="left"/>
    </w:pPr>
    <w:rPr>
      <w:rFonts w:ascii="Arial" w:hAnsi="Arial" w:eastAsia="等线" w:cs="Arial"/>
      <w:sz w:val="22"/>
      <w:szCs w:val="22"/>
    </w:rPr>
  </w:style>
  <w:style w:type="character" w:customStyle="1" w:styleId="25">
    <w:name w:val="标题 2 Char"/>
    <w:link w:val="3"/>
    <w:uiPriority w:val="9"/>
    <w:rPr>
      <w:rFonts w:ascii="黑体" w:hAnsi="黑体" w:eastAsia="黑体" w:cs="黑体"/>
      <w:bCs/>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3484</Words>
  <Characters>3997</Characters>
  <Lines>0</Lines>
  <Paragraphs>0</Paragraphs>
  <TotalTime>251</TotalTime>
  <ScaleCrop>false</ScaleCrop>
  <LinksUpToDate>false</LinksUpToDate>
  <CharactersWithSpaces>4051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2026-07-08T06:51:00Z</dcterms:created>
  <dc:creator>transparent  透明</dc:creator>
  <cp:lastModifiedBy>WPS_1722818042</cp:lastModifiedBy>
  <dcterms:modified xsi:type="dcterms:W3CDTF">2026-08-18T12:30:29Z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6581D54787BB4F2084B3F0927425AD7F_13</vt:lpwstr>
  </property>
  <property fmtid="{D5CDD505-2E9C-101B-9397-08002B2CF9AE}" pid="4" name="KSOTemplateDocerSaveRecord">
    <vt:lpwstr>eyJoZGlkIjoiMDEwODJkODlmZjUzNjBjNzVjYWNjY2Q4NDZjZTg1ZWQiLCJ1c2VySWQiOiIxNjIxMjE0NDgwIn0=</vt:lpwstr>
  </property>
</Properties>
</file>