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B02A1B"/>
          <w:sz w:val="60"/>
        </w:rPr>
        <w:t>The Stack China Is Building</w:t>
      </w:r>
    </w:p>
    <w:p>
      <w:r>
        <w:rPr>
          <w:rFonts w:ascii="Calibri" w:hAnsi="Calibri" w:eastAsia="Calibri"/>
          <w:b/>
          <w:i w:val="0"/>
          <w:color w:val="181A1F"/>
          <w:sz w:val="30"/>
        </w:rPr>
        <w:t>A Value-Chain Map of China's Indigenous AI Ecosystem</w:t>
      </w:r>
    </w:p>
    <w:p>
      <w:r>
        <w:rPr>
          <w:rFonts w:ascii="Calibri" w:hAnsi="Calibri" w:eastAsia="Calibri"/>
          <w:b w:val="0"/>
          <w:i w:val="0"/>
          <w:color w:val="565C67"/>
          <w:sz w:val="20"/>
        </w:rPr>
        <w:t>Flagship research report  ·  Data as-of mid-2026  ·  For financial-market experts, economists &amp; industry analysts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430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alue_chain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0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  <w:ind w:left="259"/>
        <w:pBdr>
          <w:left w:val="single" w:sz="18" w:space="8" w:color="B02A1B"/>
        </w:pBdr>
      </w:pPr>
      <w:r>
        <w:rPr>
          <w:rFonts w:ascii="Georgia" w:hAnsi="Georgia" w:eastAsia="Georgia"/>
          <w:b/>
          <w:i w:val="0"/>
          <w:color w:val="565C67"/>
          <w:sz w:val="20"/>
        </w:rPr>
        <w:t>Confidence discipline.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Every quantitative claim traces to the evidence database (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) with a source ID and an A–D confidence grade (A = filed/audited · B = primary disclosure · C = credible third-party · D = single-source / estimate). In a sector re-rating this fast, treat 2026 point figures — especially pre-listing valuations and private-company numbers — as provisional. Cross-source conflicts are documented in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/database/RECONCILIATION.md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rather than smoothed over.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Executive summary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thesis in one line.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 is building a parallel, vertically-indigenized AI stack under export-control pressure; it is one to several years behind the US frontier at almost every layer, but the </w:t>
      </w:r>
      <w:r>
        <w:rPr>
          <w:rFonts w:ascii="Georgia" w:hAnsi="Georgia" w:eastAsia="Georgia"/>
          <w:b w:val="0"/>
          <w:i/>
          <w:color w:val="181A1F"/>
          <w:sz w:val="21"/>
        </w:rPr>
        <w:t>direction, coordination, and capital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behind the build-out are creating a distinct investable ecosystem whose value is migrating from where investors still look (consumer internet) to where the work is actually happening (equipment, memory, compute, interconnect, power, and embodied AI).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Seven things a professional investor should take away: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1. </w:t>
      </w:r>
      <w:r>
        <w:rPr>
          <w:rFonts w:ascii="Georgia" w:hAnsi="Georgia" w:eastAsia="Georgia"/>
          <w:b/>
          <w:i w:val="0"/>
          <w:color w:val="181A1F"/>
          <w:sz w:val="21"/>
        </w:rPr>
        <w:t>The binding constraint is lithography, and it is not close to resolved.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Without EUV, SMIC's 7nm-class (N+2) line runs at ~30–40% yield vs. TSMC's &gt;80%, ~2.5× cost/wafer, and ~30× the lithography steps (WEB-014, C). Every downstream ambition — more Ascend chips, indigenous HBM — is rationed by this one chokepoint. The indigenous-EUV "2028 goal" is realistically a lab-prototype milestone, not volume parity (WEB-007, D).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2. </w:t>
      </w:r>
      <w:r>
        <w:rPr>
          <w:rFonts w:ascii="Georgia" w:hAnsi="Georgia" w:eastAsia="Georgia"/>
          <w:b/>
          <w:i w:val="0"/>
          <w:color w:val="181A1F"/>
          <w:sz w:val="21"/>
        </w:rPr>
        <w:t>China's answer to a chip-level deficit is a system-level bet.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Huawei's Ascend 910C is ~60% of an H100 on inference (WEB-028, C), but CloudMatrix / Atlas 950 rack-scale designs lash together up to 8,192 NPUs (16 PB/s aggregate interconnect) to compete with Nvidia's GB200 NVL72 at the rack — at ~4× the power (metrics L4/L5, C). "Lose at the chip, win at the rack, pay for it with electricity."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3. </w:t>
      </w:r>
      <w:r>
        <w:rPr>
          <w:rFonts w:ascii="Georgia" w:hAnsi="Georgia" w:eastAsia="Georgia"/>
          <w:b/>
          <w:i w:val="0"/>
          <w:color w:val="181A1F"/>
          <w:sz w:val="21"/>
        </w:rPr>
        <w:t>Power is China's one unambiguous structural advantage.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 generates ~10,000 TWh/yr vs. the US ~4,600 (WEB-001, C), added +1,840 GW of wind+solar (2025), and is engineering curtailment arbitrage into data centers. If — and only if — domestic silicon closes the compute gap, latent power lets the build-out run faster than most Western models assume (a conditional, D-grade inference, not a fact).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4. </w:t>
      </w:r>
      <w:r>
        <w:rPr>
          <w:rFonts w:ascii="Georgia" w:hAnsi="Georgia" w:eastAsia="Georgia"/>
          <w:b/>
          <w:i w:val="0"/>
          <w:color w:val="181A1F"/>
          <w:sz w:val="21"/>
        </w:rPr>
        <w:t>The software moat (CUDA) is the deepest, slowest-closing gap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3–5+ years — even as Huawei open-sources CANN and Chinese labs (DeepSeek, Zhipu) demonstrate frontier training on domestic silicon.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5. </w:t>
      </w:r>
      <w:r>
        <w:rPr>
          <w:rFonts w:ascii="Georgia" w:hAnsi="Georgia" w:eastAsia="Georgia"/>
          <w:b/>
          <w:i w:val="0"/>
          <w:color w:val="181A1F"/>
          <w:sz w:val="21"/>
        </w:rPr>
        <w:t>The capital-markets regime is the real 2026 catalyst.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 deliberate "slow-bull" equity policy (since Sept-2024) has produced an IPO cluster — Zhipu, MiniMax, Biren, Iluvatar and Montage's H-share all listing within ~5 weeks; Moore Threads/MetaX STAR debuts up +468%/+693% day-one — turning national champions into public, tradeable, and often extremely richly-valued securities.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6. </w:t>
      </w:r>
      <w:r>
        <w:rPr>
          <w:rFonts w:ascii="Georgia" w:hAnsi="Georgia" w:eastAsia="Georgia"/>
          <w:b/>
          <w:i w:val="0"/>
          <w:color w:val="181A1F"/>
          <w:sz w:val="21"/>
        </w:rPr>
        <w:t>Investability ≠ listing.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highest-momentum names (Moore Threads, MetaX, Biren, Kunlunxin) sit on the US Entity List and, increasingly, Treasury's outbound-investment (OISP) net — trading freely in Shanghai/Hong Kong yet </w:t>
      </w:r>
      <w:r>
        <w:rPr>
          <w:rFonts w:ascii="Georgia" w:hAnsi="Georgia" w:eastAsia="Georgia"/>
          <w:b/>
          <w:i w:val="0"/>
          <w:color w:val="181A1F"/>
          <w:sz w:val="21"/>
        </w:rPr>
        <w:t>effectively closed to US capital</w:t>
      </w:r>
      <w:r>
        <w:rPr>
          <w:rFonts w:ascii="Georgia" w:hAnsi="Georgia" w:eastAsia="Georgia"/>
          <w:b w:val="0"/>
          <w:i w:val="0"/>
          <w:color w:val="181A1F"/>
          <w:sz w:val="21"/>
        </w:rPr>
        <w:t>. The cleanest foreign-investable exposures are the platform incumbents (Alibaba, Tencent) and a handful of un-listed-constraint names (Montage, CATL).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7. </w:t>
      </w:r>
      <w:r>
        <w:rPr>
          <w:rFonts w:ascii="Georgia" w:hAnsi="Georgia" w:eastAsia="Georgia"/>
          <w:b/>
          <w:i w:val="0"/>
          <w:color w:val="181A1F"/>
          <w:sz w:val="21"/>
        </w:rPr>
        <w:t>The valuation structure is policy-driven, not earnings-driven.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Cambricon briefly crossed a RMB 1tn market cap (first STAR company to do so) on ~$0.9bn revenue; CXMT's July-2026 STAR IPO prices the company at </w:t>
      </w:r>
      <w:r>
        <w:rPr>
          <w:rFonts w:ascii="Georgia" w:hAnsi="Georgia" w:eastAsia="Georgia"/>
          <w:b/>
          <w:i w:val="0"/>
          <w:color w:val="181A1F"/>
          <w:sz w:val="21"/>
        </w:rPr>
        <w:t>~RMB 295bn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yet the market expects a </w:t>
      </w:r>
      <w:r>
        <w:rPr>
          <w:rFonts w:ascii="Georgia" w:hAnsi="Georgia" w:eastAsia="Georgia"/>
          <w:b/>
          <w:i w:val="0"/>
          <w:color w:val="181A1F"/>
          <w:sz w:val="21"/>
        </w:rPr>
        <w:t>RMB 2–3tn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cap post-pop — a ~7–10× subscription-to-trading spread that quantifies the re-rating. This is a market pricing </w:t>
      </w:r>
      <w:r>
        <w:rPr>
          <w:rFonts w:ascii="Georgia" w:hAnsi="Georgia" w:eastAsia="Georgia"/>
          <w:b w:val="0"/>
          <w:i/>
          <w:color w:val="181A1F"/>
          <w:sz w:val="21"/>
        </w:rPr>
        <w:t>captive demand and national-champion sponsorship</w:t>
      </w:r>
      <w:r>
        <w:rPr>
          <w:rFonts w:ascii="Georgia" w:hAnsi="Georgia" w:eastAsia="Georgia"/>
          <w:b w:val="0"/>
          <w:i w:val="0"/>
          <w:color w:val="181A1F"/>
          <w:sz w:val="21"/>
        </w:rPr>
        <w:t>, not current cash flows — the opportunity and the risk are the same fact.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How to read the map.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Sections 3.0–3.9 walk the stack bottom-up; each layer resolves into market structure → capability vs. the global frontier (with a timeline) → moats &amp; economics → bottlenecks → named players → an investability read. Section 5 synthesizes: where value is captured, a China-vs-US scorecard, the stack-mapped basket, scenarios, and risks.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1. Why China's AI stack is its own investment universe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Two doctrines.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US frontier labs treat AI as a race to superintelligence, where a few months' lead may compound into permanent advantage; the effort concentrates on the frontier model. China treats AI as </w:t>
      </w:r>
      <w:r>
        <w:rPr>
          <w:rFonts w:ascii="Georgia" w:hAnsi="Georgia" w:eastAsia="Georgia"/>
          <w:b w:val="0"/>
          <w:i/>
          <w:color w:val="181A1F"/>
          <w:sz w:val="21"/>
        </w:rPr>
        <w:t>infrastructure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like electricity, water, or the internet — to be diffused across the whole economy, with a pronounced tilt toward the physical world (manufacturing, robotics) where China is already dominant (REF-BW-03). This is not merely rhetorical: it shapes where capital goes (systems and diffusion, not only frontier training), what "winning" looks like (90% economy-wide AI penetration targeted by 2030; ~70% by 2027 — L8 metrics, C), and why China tolerates a chip-level deficit while racing on rack-scale systems, power, and embodied AI.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self-sufficiency imperative.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US export controls — on advanced chips, EUV lithography, HBM, and semiconductor equipment — reframed every foreign dependency as a weaponizable vulnerability. China's response is to indigenize </w:t>
      </w:r>
      <w:r>
        <w:rPr>
          <w:rFonts w:ascii="Georgia" w:hAnsi="Georgia" w:eastAsia="Georgia"/>
          <w:b w:val="0"/>
          <w:i/>
          <w:color w:val="181A1F"/>
          <w:sz w:val="21"/>
        </w:rPr>
        <w:t>every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choke point. This is the origin of the investment opportunity that Sands Capital and Bridgewater both identify: policy manufactures </w:t>
      </w:r>
      <w:r>
        <w:rPr>
          <w:rFonts w:ascii="Georgia" w:hAnsi="Georgia" w:eastAsia="Georgia"/>
          <w:b/>
          <w:i w:val="0"/>
          <w:color w:val="181A1F"/>
          <w:sz w:val="21"/>
        </w:rPr>
        <w:t>captive domestic demand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</w:t>
      </w:r>
      <w:r>
        <w:rPr>
          <w:rFonts w:ascii="Georgia" w:hAnsi="Georgia" w:eastAsia="Georgia"/>
          <w:b/>
          <w:i w:val="0"/>
          <w:color w:val="181A1F"/>
          <w:sz w:val="21"/>
        </w:rPr>
        <w:t>national-champion sponsorship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any firm that can climb the technical curve. The corollary, per Bridgewater, is that this is a </w:t>
      </w:r>
      <w:r>
        <w:rPr>
          <w:rFonts w:ascii="Georgia" w:hAnsi="Georgia" w:eastAsia="Georgia"/>
          <w:b w:val="0"/>
          <w:i/>
          <w:color w:val="181A1F"/>
          <w:sz w:val="21"/>
        </w:rPr>
        <w:t>diversifying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bet — the indigenous names do not price off the global AI supply chain, because their fortunes turn on Chinese policy and domestic substitution, not on Nvidia's order book.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macro backdrop (context).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China's economy is deliberately uneven: a ~4.5% headline growth target (about half the high-growth-era pace), weak property and consumption, but hyper-competitive strategic-export industries and a top-down reallocation of fiscal and financial resources toward AI, robotics, and the industrial build-out (REF-BW-03). The same mercantilist dynamic that pressures Europe and fuels the global tariff cycle is what funds the AI stack. For allocators, Chinese AI equities are attractive less as a growth-beta play than as a </w:t>
      </w:r>
      <w:r>
        <w:rPr>
          <w:rFonts w:ascii="Georgia" w:hAnsi="Georgia" w:eastAsia="Georgia"/>
          <w:b/>
          <w:i w:val="0"/>
          <w:color w:val="181A1F"/>
          <w:sz w:val="21"/>
        </w:rPr>
        <w:t>diversifier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with a policy put ("slow bull") beneath the equity market.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2. The macro frame: compute supply–demand and the capex cycle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9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ply_dema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1 — The supply gap that built the market. Sources: REF-SANDS-01 (C), REF-BW-01 (D).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A low base.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Bridgewater's triangulation puts total compute accessible to Chinese AI firms at ~3.8 GW (including capacity housed abroad), of which ~2.5 GW is available for inference (~65% split) — a fraction of the major US labs' fleets (C→D, REF-BW-01). The supply gap is stark at the device level too: the US and allies consume ~12m AI chips/year; China produces ~2m domestically against demand that may already exceed 5m (REF-SANDS-01,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squeeze is showing up in prices.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After years of aggressive discounting, Alibaba, Baidu and Tencent all </w:t>
      </w:r>
      <w:r>
        <w:rPr>
          <w:rFonts w:ascii="Georgia" w:hAnsi="Georgia" w:eastAsia="Georgia"/>
          <w:b w:val="0"/>
          <w:i/>
          <w:color w:val="181A1F"/>
          <w:sz w:val="21"/>
        </w:rPr>
        <w:t>raised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AI-compute list prices in 2026, and Chinese model vendors priced their latest flagships </w:t>
      </w:r>
      <w:r>
        <w:rPr>
          <w:rFonts w:ascii="Georgia" w:hAnsi="Georgia" w:eastAsia="Georgia"/>
          <w:b w:val="0"/>
          <w:i/>
          <w:color w:val="181A1F"/>
          <w:sz w:val="21"/>
        </w:rPr>
        <w:t>above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predecessors — behavior consistent with compute (not demand) as the binding constraint (REF-BW-01). Zhipu, in its first post-IPO print, named compute capacity as the limiting factor on its business.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capex response is captive.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15th Five-Year Plan (Mar-2026) elevated AI to the primary national objective; a draft ~$295bn national AI data-center grid mandates ≥80% domestic technology (L6 metrics, B/C). Because policy guarantees demand, the domestic build-out does not face the demand uncertainty that haunts early-stage tech elsewhere — the risk migrates from "will there be customers?" to "can the technology scale?" That is the single most important reframing for valuing these names.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efficiency offset.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Chinese models are unusually compute-efficient in inference (DeepSeek's architecture work is the emblem), partially offsetting the hardware deficit. Even doubling the effective compute requirement, China's inference fleet remains well below the US majors' — but the gap in </w:t>
      </w:r>
      <w:r>
        <w:rPr>
          <w:rFonts w:ascii="Georgia" w:hAnsi="Georgia" w:eastAsia="Georgia"/>
          <w:b w:val="0"/>
          <w:i/>
          <w:color w:val="181A1F"/>
          <w:sz w:val="21"/>
        </w:rPr>
        <w:t>deliverable intelligence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narrower than the raw GW gap implies.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3. The stack, layer by layer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303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alue_chain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0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2 — Value-chain map: China's AI stack, bottom-up, with capability vs. the global frontier.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3.0 Energy &amp; Power (L0)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21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21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3 — Electricity generation, China vs. US, 2024. Sources: WEB-001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one layer where China leads outright. Generation ~10,000 TWh (2024) vs. US ~4,600, +~500 TWh added in 2025 alone (WEB-001, C). Installed data-center capacity ~32 GW (2025), forecast to ~40 GW (2026) and ~60 GW (2030) (Rystad, WEB-002, C). A $580bn 15FYP grid-capex program and 15 new UHV lines move power from the renewable-rich west to demand centers (WEB-005, C). Wind+solar installed base hit ~1,840 GW in 2025, surpassing thermal for the first time (WEB-024,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arbitrage.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Curtailed renewables (solar ~9.2%, wind ~8.5% early-2026) are being routed into data centers via the "East-Data-West-Compute" program (63% hub occupancy; ~$33bn cumulative investment) (WEB-003/004, C). Green-DC policy targets PUE ≤1.25 and ≥80% renewable sourcing for new builds (WEB-023).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 / the conditional edge.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US faces a </w:t>
      </w:r>
      <w:r>
        <w:rPr>
          <w:rFonts w:ascii="Georgia" w:hAnsi="Georgia" w:eastAsia="Georgia"/>
          <w:b w:val="0"/>
          <w:i/>
          <w:color w:val="181A1F"/>
          <w:sz w:val="21"/>
        </w:rPr>
        <w:t>power ceiling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data-center demand ~31 GW (2025) → ~66 GW (2027), with a forecast ~49 GW delivery shortfall by 2028 (Morgan Stanley/Grid Strategies, WEB-021, D). China faces no such near-term ceiling. </w:t>
      </w:r>
      <w:r>
        <w:rPr>
          <w:rFonts w:ascii="Georgia" w:hAnsi="Georgia" w:eastAsia="Georgia"/>
          <w:b/>
          <w:i w:val="0"/>
          <w:color w:val="181A1F"/>
          <w:sz w:val="21"/>
        </w:rPr>
        <w:t>But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abundant power is necessary, not sufficient: the payoff to China's energy advantage is </w:t>
      </w:r>
      <w:r>
        <w:rPr>
          <w:rFonts w:ascii="Georgia" w:hAnsi="Georgia" w:eastAsia="Georgia"/>
          <w:b w:val="0"/>
          <w:i/>
          <w:color w:val="181A1F"/>
          <w:sz w:val="21"/>
        </w:rPr>
        <w:t>gated on domestic silicon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closing the compute gap (L1/L3/L4). This is the report's central conditional — a D-grade inference, not a citable fact.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State Grid is unlisted (uninvestable). The cleanest listed proxy is </w:t>
      </w:r>
      <w:r>
        <w:rPr>
          <w:rFonts w:ascii="Georgia" w:hAnsi="Georgia" w:eastAsia="Georgia"/>
          <w:b/>
          <w:i w:val="0"/>
          <w:color w:val="181A1F"/>
          <w:sz w:val="21"/>
        </w:rPr>
        <w:t>CATL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(SZSE:300750 / HKEX:3750, ~$420bn; grid-storage revenue ~$8.6bn, 121 GWh shipped 2025) — foreign-investable, no Entity-List flag. Nuclear (110 GW target by 2030) and the UHV/grid-equipment complex are secondary plays for a dedicated pod to size.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3.1 Semiconductor equipment &amp; EDA (L1)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2574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fe_selfsu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5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4 — L1 self-sufficiency by segment. Sources: WEB-009/011/019 (C→D).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 broad domestic roster is climbing segment by segment: </w:t>
      </w:r>
      <w:r>
        <w:rPr>
          <w:rFonts w:ascii="Georgia" w:hAnsi="Georgia" w:eastAsia="Georgia"/>
          <w:b/>
          <w:i w:val="0"/>
          <w:color w:val="181A1F"/>
          <w:sz w:val="21"/>
        </w:rPr>
        <w:t>NAURA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(SZSE:002371, ~$82.5bn) is the breadth champion (etch, deposition, clean, thermal); </w:t>
      </w:r>
      <w:r>
        <w:rPr>
          <w:rFonts w:ascii="Georgia" w:hAnsi="Georgia" w:eastAsia="Georgia"/>
          <w:b/>
          <w:i w:val="0"/>
          <w:color w:val="181A1F"/>
          <w:sz w:val="21"/>
        </w:rPr>
        <w:t>AMEC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(SSE:688012, ~$29.8bn) the etch specialist with a genuine world-class ambition; </w:t>
      </w:r>
      <w:r>
        <w:rPr>
          <w:rFonts w:ascii="Georgia" w:hAnsi="Georgia" w:eastAsia="Georgia"/>
          <w:b/>
          <w:i w:val="0"/>
          <w:color w:val="181A1F"/>
          <w:sz w:val="21"/>
        </w:rPr>
        <w:t>ACM Research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(SSE:688082 / NASDAQ:ACMR, ~$6.4bn) in cleaning; plus Piotech (deposition), Kingsemi (track/coat), Hwatsing (CMP). In EDA, </w:t>
      </w:r>
      <w:r>
        <w:rPr>
          <w:rFonts w:ascii="Georgia" w:hAnsi="Georgia" w:eastAsia="Georgia"/>
          <w:b/>
          <w:i w:val="0"/>
          <w:color w:val="181A1F"/>
          <w:sz w:val="21"/>
        </w:rPr>
        <w:t>Empyrean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(SZSE:301269) and Primarius (SSE:688206) anchor a consolidating sector. </w:t>
      </w:r>
      <w:r>
        <w:rPr>
          <w:rFonts w:ascii="Georgia" w:hAnsi="Georgia" w:eastAsia="Georgia"/>
          <w:b/>
          <w:i w:val="0"/>
          <w:color w:val="181A1F"/>
          <w:sz w:val="21"/>
        </w:rPr>
        <w:t>SMEE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(state, unlisted) carries the lithography burden, and </w:t>
      </w:r>
      <w:r>
        <w:rPr>
          <w:rFonts w:ascii="Georgia" w:hAnsi="Georgia" w:eastAsia="Georgia"/>
          <w:b/>
          <w:i w:val="0"/>
          <w:color w:val="181A1F"/>
          <w:sz w:val="21"/>
        </w:rPr>
        <w:t>SiCarrier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(Huawei-linked, unlisted, ~$9bn est., D) is the wild-card full-stack entrant.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Overall equipment self-sufficiency ~35% (Jan-2026, C), but wildly uneven: etch and clean ~55%, deposition only ~25% (the weakest major sub-segment), and lithography/EDA the widest gaps. Collectively, Chinese WFE vendors are still only ~6.5% of the </w:t>
      </w:r>
      <w:r>
        <w:rPr>
          <w:rFonts w:ascii="Georgia" w:hAnsi="Georgia" w:eastAsia="Georgia"/>
          <w:b w:val="0"/>
          <w:i/>
          <w:color w:val="181A1F"/>
          <w:sz w:val="21"/>
        </w:rPr>
        <w:t>global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WFE market (up from 1.2% in 2021) (WEB-009/010, C→D). EDA is the widest gap by market value — Empyrean+Primarius vs. Synopsys+Cadence is a ~20×+ mismatch — and the May-2025 US EDA ban acted as a demand subsidy: Empyrean's H1 revenue grew but profit fell ~92% on import-substitution spend (WEB-011,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EUV, quantified.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indigenous LPP light source measured ~100–150W mid-2025 vs. &gt;250W needed for high-volume manufacturing; a separate SSMB/synchrotron effort at Tsinghua/Xiong'an is years from product (WEB-007, D). Read the 2028 target as a lab demo. Meanwhile DUV multipatterning imposes the ~2.5× cost and ~30–40% yield penalty that rations everything above it.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Moats &amp; economics.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Two moat types: AMEC's </w:t>
      </w:r>
      <w:r>
        <w:rPr>
          <w:rFonts w:ascii="Georgia" w:hAnsi="Georgia" w:eastAsia="Georgia"/>
          <w:b w:val="0"/>
          <w:i/>
          <w:color w:val="181A1F"/>
          <w:sz w:val="21"/>
        </w:rPr>
        <w:t>process-knowledge compounding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(every wafer run improves the next tool — not purchasable, not reverse-engineerable), and NAURA's </w:t>
      </w:r>
      <w:r>
        <w:rPr>
          <w:rFonts w:ascii="Georgia" w:hAnsi="Georgia" w:eastAsia="Georgia"/>
          <w:b w:val="0"/>
          <w:i/>
          <w:color w:val="181A1F"/>
          <w:sz w:val="21"/>
        </w:rPr>
        <w:t>breadth-as-lock-in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(a fab qualified on NAURA across four process steps faces years of switching cost). The 50% domestic-equipment mandate for new fabs converts these into near-guaranteed order books (WEB-018,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All the pure-plays are A-share/STAR listed and </w:t>
      </w:r>
      <w:r>
        <w:rPr>
          <w:rFonts w:ascii="Georgia" w:hAnsi="Georgia" w:eastAsia="Georgia"/>
          <w:b/>
          <w:i w:val="0"/>
          <w:color w:val="181A1F"/>
          <w:sz w:val="21"/>
        </w:rPr>
        <w:t>Stock-Connect/QFII-restricted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foreign capital; NAURA's subsidiary and SMIC R&amp;D units were added to the Entity List in Mar-2025, and the proposed MATCH Act names NAURA/AMEC/ACM/SMIC/Hua Hong explicitly (WEB-016, C). ACMR (the US-listed parent line) is the one partial exception. Net: high strategic conviction, constrained access.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3.2 Fabrication &amp; advanced packaging (L2)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349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yield_du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34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5 — 7nm-class yield and the DUV multipatterning penalty. Sources: WEB-014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Two national champions: </w:t>
      </w:r>
      <w:r>
        <w:rPr>
          <w:rFonts w:ascii="Georgia" w:hAnsi="Georgia" w:eastAsia="Georgia"/>
          <w:b/>
          <w:i w:val="0"/>
          <w:color w:val="181A1F"/>
          <w:sz w:val="21"/>
        </w:rPr>
        <w:t>SMIC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(HKEX:0981 / SSE:688981, ~$90bn) and </w:t>
      </w:r>
      <w:r>
        <w:rPr>
          <w:rFonts w:ascii="Georgia" w:hAnsi="Georgia" w:eastAsia="Georgia"/>
          <w:b/>
          <w:i w:val="0"/>
          <w:color w:val="181A1F"/>
          <w:sz w:val="21"/>
        </w:rPr>
        <w:t>Hua Hong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(HKEX:1347 / SSE:688347, ~$23.5bn). SMIC runs the 7nm-class (N+2) line that fabs Huawei's Ascend; Hua Hong's Huali JV targets initial 7nm output (a few thousand wpm) by end-2026, which would make it China's second advanced-node line.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Stuck at 7nm-class for the foreseeable future without EUV; 5nm-class exists only in pilot and at punishing yield. SMIC's advanced-node yield ~20–46% (cross-checked ~35%) vs. TSMC &gt;80% (C). 2026 capex ~$8.1bn, mostly for </w:t>
      </w:r>
      <w:r>
        <w:rPr>
          <w:rFonts w:ascii="Georgia" w:hAnsi="Georgia" w:eastAsia="Georgia"/>
          <w:b w:val="0"/>
          <w:i/>
          <w:color w:val="181A1F"/>
          <w:sz w:val="21"/>
        </w:rPr>
        <w:t>mature</w:t>
      </w:r>
      <w:r>
        <w:rPr>
          <w:rFonts w:ascii="Georgia" w:hAnsi="Georgia" w:eastAsia="Georgia"/>
          <w:b w:val="0"/>
          <w:i w:val="0"/>
          <w:color w:val="181A1F"/>
          <w:sz w:val="21"/>
        </w:rPr>
        <w:t>-node expansion (~340k wpm across four new fabs) — capacity, not frontier. Advanced packaging (TSV, CoWoS-analogs, hybrid bonding) is a co-binding constraint, ~3 years behind the frontier (WEB-015, D) and pivotal to any indigenous HBM.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Economics &amp; 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Foundry is the scarce shared resource behind nearly every L4 chip vendor — SMIC capacity is the system chokepoint, and China's own 5× 7nm-and-under capacity target by end-2027 is already constraining 2026 shipment plans. Both are dual-listed (HK + STAR); SMIC is Entity-Listed. HK lines offer the most (still-restricted) foreign access.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3.3 Memory — DRAM / NAND / HBM (L3)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</w:t>
      </w:r>
      <w:r>
        <w:rPr>
          <w:rFonts w:ascii="Georgia" w:hAnsi="Georgia" w:eastAsia="Georgia"/>
          <w:b/>
          <w:i w:val="0"/>
          <w:color w:val="181A1F"/>
          <w:sz w:val="21"/>
        </w:rPr>
        <w:t>CXMT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(DRAM; global share risen to ~7.7%, #4 behind Samsung/SK hynix/Micron) and </w:t>
      </w:r>
      <w:r>
        <w:rPr>
          <w:rFonts w:ascii="Georgia" w:hAnsi="Georgia" w:eastAsia="Georgia"/>
          <w:b/>
          <w:i w:val="0"/>
          <w:color w:val="181A1F"/>
          <w:sz w:val="21"/>
        </w:rPr>
        <w:t>YMTC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(3D NAND; ~14.5% share) are the two champions, both pivoting toward the AI memory stack. CXMT's Q1-2026 was a coming-of-age print, confirmed in its </w:t>
      </w:r>
      <w:r>
        <w:rPr>
          <w:rFonts w:ascii="Georgia" w:hAnsi="Georgia" w:eastAsia="Georgia"/>
          <w:b/>
          <w:i w:val="0"/>
          <w:color w:val="181A1F"/>
          <w:sz w:val="21"/>
        </w:rPr>
        <w:t>STAR IPO prospectus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</w:t>
      </w:r>
      <w:r>
        <w:rPr>
          <w:rFonts w:ascii="Georgia" w:hAnsi="Georgia" w:eastAsia="Georgia"/>
          <w:b/>
          <w:i w:val="0"/>
          <w:color w:val="181A1F"/>
          <w:sz w:val="21"/>
        </w:rPr>
        <w:t>RMB 50.8bn revenue (+719% YoY)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a </w:t>
      </w:r>
      <w:r>
        <w:rPr>
          <w:rFonts w:ascii="Georgia" w:hAnsi="Georgia" w:eastAsia="Georgia"/>
          <w:b/>
          <w:i w:val="0"/>
          <w:color w:val="181A1F"/>
          <w:sz w:val="21"/>
        </w:rPr>
        <w:t>swing from a −RMB 1.6bn loss (Q1-2025) to ~RMB 25bn net profit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95.7% utilization, ~80% DDR5 (G3) yield — with 1H-2026 guidance of RMB 110–120bn revenue / ~RMB 57bn profit. The magnitude reflects the extreme 2026 DRAM price super-cycle as much as share gains (prospectus, </w:t>
      </w:r>
      <w:r>
        <w:rPr>
          <w:rFonts w:ascii="Georgia" w:hAnsi="Georgia" w:eastAsia="Georgia"/>
          <w:b/>
          <w:i w:val="0"/>
          <w:color w:val="181A1F"/>
          <w:sz w:val="21"/>
        </w:rPr>
        <w:t>A</w:t>
      </w:r>
      <w:r>
        <w:rPr>
          <w:rFonts w:ascii="Georgia" w:hAnsi="Georgia" w:eastAsia="Georgia"/>
          <w:b w:val="0"/>
          <w:i w:val="0"/>
          <w:color w:val="181A1F"/>
          <w:sz w:val="21"/>
        </w:rPr>
        <w:t>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HBM path.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HBM is the acute AI-memory bottleneck. Indigenous HBM requires both a domestic DRAM base </w:t>
      </w:r>
      <w:r>
        <w:rPr>
          <w:rFonts w:ascii="Georgia" w:hAnsi="Georgia" w:eastAsia="Georgia"/>
          <w:b w:val="0"/>
          <w:i/>
          <w:color w:val="181A1F"/>
          <w:sz w:val="21"/>
        </w:rPr>
        <w:t>and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TSV/hybrid-bonding packaging — YMTC's Phase-3 (~50% of capacity to DRAM + TSV via its XMC unit) is building toward exactly this. CXMT targets HBM2E in 2026 as a bridge, with HBM3 slipping toward 2027 on yield/thermal issues (WEB-003, D). China's global HBM share today is negligible against SK hynix (~62%), Samsung (~21%), Micron (~17%) (metrics L3,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Capital markets — the next big test.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CXMT opened STAR subscriptions </w:t>
      </w:r>
      <w:r>
        <w:rPr>
          <w:rFonts w:ascii="Georgia" w:hAnsi="Georgia" w:eastAsia="Georgia"/>
          <w:b/>
          <w:i w:val="0"/>
          <w:color w:val="181A1F"/>
          <w:sz w:val="21"/>
        </w:rPr>
        <w:t>16-Jul-2026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</w:t>
      </w:r>
      <w:r>
        <w:rPr>
          <w:rFonts w:ascii="Georgia" w:hAnsi="Georgia" w:eastAsia="Georgia"/>
          <w:b/>
          <w:i w:val="0"/>
          <w:color w:val="181A1F"/>
          <w:sz w:val="21"/>
        </w:rPr>
        <w:t>≥RMB 29.5bn (~$4.3bn) raise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</w:t>
      </w:r>
      <w:r>
        <w:rPr>
          <w:rFonts w:ascii="Georgia" w:hAnsi="Georgia" w:eastAsia="Georgia"/>
          <w:b/>
          <w:i w:val="0"/>
          <w:color w:val="181A1F"/>
          <w:sz w:val="21"/>
        </w:rPr>
        <w:t>~10% of the company → an IPO-priced valuation of ~RMB 295bn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(prospectus, A). The widely-cited </w:t>
      </w:r>
      <w:r>
        <w:rPr>
          <w:rFonts w:ascii="Georgia" w:hAnsi="Georgia" w:eastAsia="Georgia"/>
          <w:b/>
          <w:i w:val="0"/>
          <w:color w:val="181A1F"/>
          <w:sz w:val="21"/>
        </w:rPr>
        <w:t>RMB 2–3tn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not a separate "guidance" — it is the </w:t>
      </w:r>
      <w:r>
        <w:rPr>
          <w:rFonts w:ascii="Georgia" w:hAnsi="Georgia" w:eastAsia="Georgia"/>
          <w:b/>
          <w:i w:val="0"/>
          <w:color w:val="181A1F"/>
          <w:sz w:val="21"/>
        </w:rPr>
        <w:t>expected post-listing market cap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once the customary STAR first-day pop is applied; that ~7–10× gap between subscription price and expected trading value </w:t>
      </w:r>
      <w:r>
        <w:rPr>
          <w:rFonts w:ascii="Georgia" w:hAnsi="Georgia" w:eastAsia="Georgia"/>
          <w:b w:val="0"/>
          <w:i/>
          <w:color w:val="181A1F"/>
          <w:sz w:val="21"/>
        </w:rPr>
        <w:t>is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policy-/scarcity-driven re-rating in one number. </w:t>
      </w:r>
      <w:r>
        <w:rPr>
          <w:rFonts w:ascii="Georgia" w:hAnsi="Georgia" w:eastAsia="Georgia"/>
          <w:b/>
          <w:i w:val="0"/>
          <w:color w:val="181A1F"/>
          <w:sz w:val="21"/>
        </w:rPr>
        <w:t>YMTC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in IPO counseling (analyst estimates RMB 500bn–3tn, </w:t>
      </w:r>
      <w:r>
        <w:rPr>
          <w:rFonts w:ascii="Georgia" w:hAnsi="Georgia" w:eastAsia="Georgia"/>
          <w:b/>
          <w:i w:val="0"/>
          <w:color w:val="181A1F"/>
          <w:sz w:val="21"/>
        </w:rPr>
        <w:t>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private, no prospectus). Both are Entity-Listed (YMTC since Dec-2022, litigating; CXMT added to DoD 1260H in Jun-2026), so foreign access will be restricted even post-listing.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3.4 AI chips &amp; software ecosystems (L4)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most crowded, most strategically-central, and most-constrained layer. </w:t>
      </w:r>
      <w:r>
        <w:rPr>
          <w:rFonts w:ascii="Georgia" w:hAnsi="Georgia" w:eastAsia="Georgia"/>
          <w:b/>
          <w:i w:val="0"/>
          <w:color w:val="181A1F"/>
          <w:sz w:val="21"/>
        </w:rPr>
        <w:t>Huawei Ascend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the flagship (private; est. ~$12bn AI-chip revenue 2026, C). Listed challengers: </w:t>
      </w:r>
      <w:r>
        <w:rPr>
          <w:rFonts w:ascii="Georgia" w:hAnsi="Georgia" w:eastAsia="Georgia"/>
          <w:b/>
          <w:i w:val="0"/>
          <w:color w:val="181A1F"/>
          <w:sz w:val="21"/>
        </w:rPr>
        <w:t>Cambricon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(SSE:688256, ~$120bn), the four "little dragon" GPU firms — </w:t>
      </w:r>
      <w:r>
        <w:rPr>
          <w:rFonts w:ascii="Georgia" w:hAnsi="Georgia" w:eastAsia="Georgia"/>
          <w:b/>
          <w:i w:val="0"/>
          <w:color w:val="181A1F"/>
          <w:sz w:val="21"/>
        </w:rPr>
        <w:t>Moore Threads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(SSE:688795), </w:t>
      </w:r>
      <w:r>
        <w:rPr>
          <w:rFonts w:ascii="Georgia" w:hAnsi="Georgia" w:eastAsia="Georgia"/>
          <w:b/>
          <w:i w:val="0"/>
          <w:color w:val="181A1F"/>
          <w:sz w:val="21"/>
        </w:rPr>
        <w:t>MetaX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</w:t>
      </w:r>
      <w:r>
        <w:rPr>
          <w:rFonts w:ascii="Georgia" w:hAnsi="Georgia" w:eastAsia="Georgia"/>
          <w:b/>
          <w:i w:val="0"/>
          <w:color w:val="181A1F"/>
          <w:sz w:val="21"/>
        </w:rPr>
        <w:t>Biren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(HKEX:6844), </w:t>
      </w:r>
      <w:r>
        <w:rPr>
          <w:rFonts w:ascii="Georgia" w:hAnsi="Georgia" w:eastAsia="Georgia"/>
          <w:b/>
          <w:i w:val="0"/>
          <w:color w:val="181A1F"/>
          <w:sz w:val="21"/>
        </w:rPr>
        <w:t>Iluvatar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(HKEX) — plus </w:t>
      </w:r>
      <w:r>
        <w:rPr>
          <w:rFonts w:ascii="Georgia" w:hAnsi="Georgia" w:eastAsia="Georgia"/>
          <w:b/>
          <w:i w:val="0"/>
          <w:color w:val="181A1F"/>
          <w:sz w:val="21"/>
        </w:rPr>
        <w:t>Baidu Kunlunxin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Alibaba's </w:t>
      </w:r>
      <w:r>
        <w:rPr>
          <w:rFonts w:ascii="Georgia" w:hAnsi="Georgia" w:eastAsia="Georgia"/>
          <w:b/>
          <w:i w:val="0"/>
          <w:color w:val="181A1F"/>
          <w:sz w:val="21"/>
        </w:rPr>
        <w:t>T-Head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(captive) and ByteDance's in-house silicon.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 — the two-level story.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At the </w:t>
      </w:r>
      <w:r>
        <w:rPr>
          <w:rFonts w:ascii="Georgia" w:hAnsi="Georgia" w:eastAsia="Georgia"/>
          <w:b w:val="0"/>
          <w:i/>
          <w:color w:val="181A1F"/>
          <w:sz w:val="21"/>
        </w:rPr>
        <w:t>device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level China is ~1–2 generations behind: Ascend 910C ≈ 60% of H100 inference (DeepSeek's own benchmark, WEB-028, C). At the </w:t>
      </w:r>
      <w:r>
        <w:rPr>
          <w:rFonts w:ascii="Georgia" w:hAnsi="Georgia" w:eastAsia="Georgia"/>
          <w:b w:val="0"/>
          <w:i/>
          <w:color w:val="181A1F"/>
          <w:sz w:val="21"/>
        </w:rPr>
        <w:t>system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level Huawei's CloudMatrix 384 / Atlas 950 SuperPoD scales to 8,192 NPUs (~300 PFLOPS BF16; 16 PB/s interconnect) and claims to match/exceed GB200 NVL72 at the rack — at ~4× the power. The </w:t>
      </w:r>
      <w:r>
        <w:rPr>
          <w:rFonts w:ascii="Georgia" w:hAnsi="Georgia" w:eastAsia="Georgia"/>
          <w:b/>
          <w:i w:val="0"/>
          <w:color w:val="181A1F"/>
          <w:sz w:val="21"/>
        </w:rPr>
        <w:t>software gap is the deep one</w:t>
      </w:r>
      <w:r>
        <w:rPr>
          <w:rFonts w:ascii="Georgia" w:hAnsi="Georgia" w:eastAsia="Georgia"/>
          <w:b w:val="0"/>
          <w:i w:val="0"/>
          <w:color w:val="181A1F"/>
          <w:sz w:val="21"/>
        </w:rPr>
        <w:t>: CANN/MindSpore vs. CUDA is a 3–5+ year moat, though Huawei has open-sourced CANN and DeepSeek/Zhipu have shown frontier training without Nvidia (WEB-026/027, C→D).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procurement mandate is the demand engine.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50% domestic-chip rule for state-funded DCs (Aug-2025) → full foreign-accelerator ban in state projects (Nov-2025) → the draft ≥80%-domestic national grid (2026). Nvidia's China data-center share fell from ~95% (2023) to &lt;60% (H2-2025) toward the CEO's "~0" 2026 framing — yet reporting is </w:t>
      </w:r>
      <w:r>
        <w:rPr>
          <w:rFonts w:ascii="Georgia" w:hAnsi="Georgia" w:eastAsia="Georgia"/>
          <w:b w:val="0"/>
          <w:i/>
          <w:color w:val="181A1F"/>
          <w:sz w:val="21"/>
        </w:rPr>
        <w:t>unreconciled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(ByteDance alone reportedly planned ~$14bn of 2026 Nvidia purchases). This contradiction is a flagged open question, not resolved.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 — the sharpest constraint in the report.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Nearly every merchant GPU name is Entity-Listed (Biren and Moore Threads named in the Oct-2023 action) and increasingly OISP-flagged. HK-listed Biren/Iluvatar are the most open; STAR-listed Cambricon/Moore Threads/MetaX are Connect/QFII-restricted; Huawei/ByteDance are fully closed. Valuations are policy-driven: Cambricon briefly hit RMB 1tn on ~$0.9bn revenue then corrected ~14% on its own risk warning; the GPU IPOs popped +468% to +693% day-one. </w:t>
      </w:r>
      <w:r>
        <w:rPr>
          <w:rFonts w:ascii="Georgia" w:hAnsi="Georgia" w:eastAsia="Georgia"/>
          <w:b/>
          <w:i w:val="0"/>
          <w:color w:val="181A1F"/>
          <w:sz w:val="21"/>
        </w:rPr>
        <w:t>The purest exposure is the least accessible to US capital.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3.5 Interconnect &amp; networking (L5)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quiet chokepoint where China has a genuine global leader. </w:t>
      </w:r>
      <w:r>
        <w:rPr>
          <w:rFonts w:ascii="Georgia" w:hAnsi="Georgia" w:eastAsia="Georgia"/>
          <w:b/>
          <w:i w:val="0"/>
          <w:color w:val="181A1F"/>
          <w:sz w:val="21"/>
        </w:rPr>
        <w:t>Montage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(SSE:688008 / HKEX:6809) holds ~36.8% of the global memory-interface market (MRCD/MDB, CKD, PCIe/CXL retimers) — an oligopoly with Rambus/Renesas, high qualification barriers, long lifecycles, a JEDEC board seat. FY2025 revenue RMB 5.456bn (+50%), gross margin ~62%; interconnect-segment revenue +93.8% YoY in Q1-2026; 1m+ cumulative PCIe retimers shipped (WEB-007/008, B/C). </w:t>
      </w:r>
      <w:r>
        <w:rPr>
          <w:rFonts w:ascii="Georgia" w:hAnsi="Georgia" w:eastAsia="Georgia"/>
          <w:b/>
          <w:i w:val="0"/>
          <w:color w:val="181A1F"/>
          <w:sz w:val="21"/>
        </w:rPr>
        <w:t>Huawei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supplies the scale-up optical fabric (8,192-NPU clusters, 16 PB/s). Optical-module names </w:t>
      </w:r>
      <w:r>
        <w:rPr>
          <w:rFonts w:ascii="Georgia" w:hAnsi="Georgia" w:eastAsia="Georgia"/>
          <w:b/>
          <w:i w:val="0"/>
          <w:color w:val="181A1F"/>
          <w:sz w:val="21"/>
        </w:rPr>
        <w:t>Innolight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</w:t>
      </w:r>
      <w:r>
        <w:rPr>
          <w:rFonts w:ascii="Georgia" w:hAnsi="Georgia" w:eastAsia="Georgia"/>
          <w:b/>
          <w:i w:val="0"/>
          <w:color w:val="181A1F"/>
          <w:sz w:val="21"/>
        </w:rPr>
        <w:t>Eoptolink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ride Nvidia/global 800G demand (Innolight ~60% of Nvidia 800G orders,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Why it matters.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As models scale, the binding constraint migrates from compute to </w:t>
      </w:r>
      <w:r>
        <w:rPr>
          <w:rFonts w:ascii="Georgia" w:hAnsi="Georgia" w:eastAsia="Georgia"/>
          <w:b w:val="0"/>
          <w:i/>
          <w:color w:val="181A1F"/>
          <w:sz w:val="21"/>
        </w:rPr>
        <w:t>data movement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memory bandwidth and node-to-node latency. Montage is expanding from memory-interface into PCIe/optical/Ethernet exactly as that layer becomes the bottleneck. It is the rare China name that is a global </w:t>
      </w:r>
      <w:r>
        <w:rPr>
          <w:rFonts w:ascii="Georgia" w:hAnsi="Georgia" w:eastAsia="Georgia"/>
          <w:b w:val="0"/>
          <w:i/>
          <w:color w:val="181A1F"/>
          <w:sz w:val="21"/>
        </w:rPr>
        <w:t>incumbent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leader, not a substitute.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 — a bright spot.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Montage carries </w:t>
      </w:r>
      <w:r>
        <w:rPr>
          <w:rFonts w:ascii="Georgia" w:hAnsi="Georgia" w:eastAsia="Georgia"/>
          <w:b/>
          <w:i w:val="0"/>
          <w:color w:val="181A1F"/>
          <w:sz w:val="21"/>
        </w:rPr>
        <w:t>no Entity-List flag and is foreign-investable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(esp. via HKEX:6809). Its H-share IPO (Feb-2026) priced at a 44% discount to the A-share, popped +64% on debut, and by mid-2026 A/H had converged to near-parity — a notable reversal of the historical A-premium and a signal of international conviction. Optical-module names are A-share-restricted.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3.6 Data center &amp; cloud (L6)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</w:t>
      </w:r>
      <w:r>
        <w:rPr>
          <w:rFonts w:ascii="Georgia" w:hAnsi="Georgia" w:eastAsia="Georgia"/>
          <w:b/>
          <w:i w:val="0"/>
          <w:color w:val="181A1F"/>
          <w:sz w:val="21"/>
        </w:rPr>
        <w:t>Alibaba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leads China's AI cloud (~35.8% 2025 → ~38.1% 2026; revenue growth re-accelerated to +38% YoY in Q1-2026) and is the closest China analog to a Western hyperscaler — its own chips (T-Head), its own models (Qwen), and deep enterprise integration (WEB, B/C). </w:t>
      </w:r>
      <w:r>
        <w:rPr>
          <w:rFonts w:ascii="Georgia" w:hAnsi="Georgia" w:eastAsia="Georgia"/>
          <w:b/>
          <w:i w:val="0"/>
          <w:color w:val="181A1F"/>
          <w:sz w:val="21"/>
        </w:rPr>
        <w:t>Huawei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#2 in overall China cloud-infra (~17% Q4-2025; external revenue ~RMB 32bn). </w:t>
      </w:r>
      <w:r>
        <w:rPr>
          <w:rFonts w:ascii="Georgia" w:hAnsi="Georgia" w:eastAsia="Georgia"/>
          <w:b/>
          <w:i w:val="0"/>
          <w:color w:val="181A1F"/>
          <w:sz w:val="21"/>
        </w:rPr>
        <w:t>ByteDance's Volcengine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the fastest-rising AI-cloud (~14.8% AI-cloud share; MaaS revenue targeting RMB 15bn in 2026 from RMB 1.5bn, and ~RMB 200bn AI capex, D). </w:t>
      </w:r>
      <w:r>
        <w:rPr>
          <w:rFonts w:ascii="Georgia" w:hAnsi="Georgia" w:eastAsia="Georgia"/>
          <w:b/>
          <w:i w:val="0"/>
          <w:color w:val="181A1F"/>
          <w:sz w:val="21"/>
        </w:rPr>
        <w:t>Baidu AI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grew AI-infrastructure revenue +79% YoY (Q1-2026, B). </w:t>
      </w:r>
      <w:r>
        <w:rPr>
          <w:rFonts w:ascii="Georgia" w:hAnsi="Georgia" w:eastAsia="Georgia"/>
          <w:b/>
          <w:i w:val="0"/>
          <w:color w:val="181A1F"/>
          <w:sz w:val="21"/>
        </w:rPr>
        <w:t>Tencent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rounds out the majors.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&amp; economics.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Structurally behind the US hyperscalers on scale and unit cost (global benchmark: ~$7.9bn to own+operate 1 GW; $2tn cumulative hyperscaler capex through 2026 — REF-EV-01), but growing off a low base with a captive market and the national data-center grid (~$295bn, ≥80% domestic) as a demand floor. The cloud layer is where Alibaba's "compounding infrastructure" thesis lives: every enterprise that builds on Alibaba Cloud + Qwen deepens a switching-cost moat the retail narrative ignores.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Alibaba (HKEX:9988 / NYSE:BABA, ~$231bn), Tencent (HKEX:0700, ~$520bn), Baidu (HKEX:9888 / NASDAQ:BIDU, ~$38bn) are the </w:t>
      </w:r>
      <w:r>
        <w:rPr>
          <w:rFonts w:ascii="Georgia" w:hAnsi="Georgia" w:eastAsia="Georgia"/>
          <w:b/>
          <w:i w:val="0"/>
          <w:color w:val="181A1F"/>
          <w:sz w:val="21"/>
        </w:rPr>
        <w:t>most liquid, foreign-investable AI exposures in China</w:t>
      </w:r>
      <w:r>
        <w:rPr>
          <w:rFonts w:ascii="Georgia" w:hAnsi="Georgia" w:eastAsia="Georgia"/>
          <w:b w:val="0"/>
          <w:i w:val="0"/>
          <w:color w:val="181A1F"/>
          <w:sz w:val="21"/>
        </w:rPr>
        <w:t>, trade at a discount to global hyperscaler peers (weighed down by non-AI legacy lines), and are not Entity-Listed. Huawei Cloud and Volcengine are trapped inside private/closed parents.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3.7 Foundation models (L7)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9192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oken_sh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19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6 — Chinese-model share of OpenRouter tokens, 2026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 vibrant, largely </w:t>
      </w:r>
      <w:r>
        <w:rPr>
          <w:rFonts w:ascii="Georgia" w:hAnsi="Georgia" w:eastAsia="Georgia"/>
          <w:b/>
          <w:i w:val="0"/>
          <w:color w:val="181A1F"/>
          <w:sz w:val="21"/>
        </w:rPr>
        <w:t>open-weight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field: </w:t>
      </w:r>
      <w:r>
        <w:rPr>
          <w:rFonts w:ascii="Georgia" w:hAnsi="Georgia" w:eastAsia="Georgia"/>
          <w:b/>
          <w:i w:val="0"/>
          <w:color w:val="181A1F"/>
          <w:sz w:val="21"/>
        </w:rPr>
        <w:t>DeepSeek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(R1 the Jan-2025 catalyst; V4 co-optimized for Ascend/Cambricon), Alibaba </w:t>
      </w:r>
      <w:r>
        <w:rPr>
          <w:rFonts w:ascii="Georgia" w:hAnsi="Georgia" w:eastAsia="Georgia"/>
          <w:b/>
          <w:i w:val="0"/>
          <w:color w:val="181A1F"/>
          <w:sz w:val="21"/>
        </w:rPr>
        <w:t>Qwen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(open+closed; 180k+ derivative models by Oct-2025 — the largest open-model ecosystem globally), ByteDance </w:t>
      </w:r>
      <w:r>
        <w:rPr>
          <w:rFonts w:ascii="Georgia" w:hAnsi="Georgia" w:eastAsia="Georgia"/>
          <w:b/>
          <w:i w:val="0"/>
          <w:color w:val="181A1F"/>
          <w:sz w:val="21"/>
        </w:rPr>
        <w:t>Doubao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Zhipu </w:t>
      </w:r>
      <w:r>
        <w:rPr>
          <w:rFonts w:ascii="Georgia" w:hAnsi="Georgia" w:eastAsia="Georgia"/>
          <w:b/>
          <w:i w:val="0"/>
          <w:color w:val="181A1F"/>
          <w:sz w:val="21"/>
        </w:rPr>
        <w:t>GLM/Z.ai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</w:t>
      </w:r>
      <w:r>
        <w:rPr>
          <w:rFonts w:ascii="Georgia" w:hAnsi="Georgia" w:eastAsia="Georgia"/>
          <w:b/>
          <w:i w:val="0"/>
          <w:color w:val="181A1F"/>
          <w:sz w:val="21"/>
        </w:rPr>
        <w:t>MiniMax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Moonshot </w:t>
      </w:r>
      <w:r>
        <w:rPr>
          <w:rFonts w:ascii="Georgia" w:hAnsi="Georgia" w:eastAsia="Georgia"/>
          <w:b/>
          <w:i w:val="0"/>
          <w:color w:val="181A1F"/>
          <w:sz w:val="21"/>
        </w:rPr>
        <w:t>Kimi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Baidu </w:t>
      </w:r>
      <w:r>
        <w:rPr>
          <w:rFonts w:ascii="Georgia" w:hAnsi="Georgia" w:eastAsia="Georgia"/>
          <w:b/>
          <w:i w:val="0"/>
          <w:color w:val="181A1F"/>
          <w:sz w:val="21"/>
        </w:rPr>
        <w:t>Ernie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Tencent </w:t>
      </w:r>
      <w:r>
        <w:rPr>
          <w:rFonts w:ascii="Georgia" w:hAnsi="Georgia" w:eastAsia="Georgia"/>
          <w:b/>
          <w:i w:val="0"/>
          <w:color w:val="181A1F"/>
          <w:sz w:val="21"/>
        </w:rPr>
        <w:t>Hunyuan</w:t>
      </w:r>
      <w:r>
        <w:rPr>
          <w:rFonts w:ascii="Georgia" w:hAnsi="Georgia" w:eastAsia="Georgia"/>
          <w:b w:val="0"/>
          <w:i w:val="0"/>
          <w:color w:val="181A1F"/>
          <w:sz w:val="21"/>
        </w:rPr>
        <w:t>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Behind OpenAI/Anthropic/Google at the very frontier, but the gap is measured in months on many benchmarks and the open-weight tier is globally competitive. Chinese models now take a striking share of third-party token demand: ~33% → as high as ~55–61% of OpenRouter tokens in 2026 (DeepSeek alone ~17%), as US-lab share fell toward ~30% among those self-selecting, cost-sensitive users (metrics L7, C). The strategic play is </w:t>
      </w:r>
      <w:r>
        <w:rPr>
          <w:rFonts w:ascii="Georgia" w:hAnsi="Georgia" w:eastAsia="Georgia"/>
          <w:b w:val="0"/>
          <w:i/>
          <w:color w:val="181A1F"/>
          <w:sz w:val="21"/>
        </w:rPr>
        <w:t>commoditize the model layer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cheap, open, good-enough intelligence as infrastructure — which simultaneously pressures Western labs' pricing power.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listed exposures are the platform parents (Alibaba, Tencent, Baidu). Among pure model labs, </w:t>
      </w:r>
      <w:r>
        <w:rPr>
          <w:rFonts w:ascii="Georgia" w:hAnsi="Georgia" w:eastAsia="Georgia"/>
          <w:b/>
          <w:i w:val="0"/>
          <w:color w:val="181A1F"/>
          <w:sz w:val="21"/>
        </w:rPr>
        <w:t>Zhipu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(~$75–87bn) and </w:t>
      </w:r>
      <w:r>
        <w:rPr>
          <w:rFonts w:ascii="Georgia" w:hAnsi="Georgia" w:eastAsia="Georgia"/>
          <w:b/>
          <w:i w:val="0"/>
          <w:color w:val="181A1F"/>
          <w:sz w:val="21"/>
        </w:rPr>
        <w:t>MiniMax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(~$14–20bn) IPO'd in HK in Jan-2026 (Zhipu beat OpenAI to market and re-rated ~10× intra-year) but are Connect-restricted; </w:t>
      </w:r>
      <w:r>
        <w:rPr>
          <w:rFonts w:ascii="Georgia" w:hAnsi="Georgia" w:eastAsia="Georgia"/>
          <w:b/>
          <w:i w:val="0"/>
          <w:color w:val="181A1F"/>
          <w:sz w:val="21"/>
        </w:rPr>
        <w:t>DeepSeek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(implied ~$52–59bn first external round), </w:t>
      </w:r>
      <w:r>
        <w:rPr>
          <w:rFonts w:ascii="Georgia" w:hAnsi="Georgia" w:eastAsia="Georgia"/>
          <w:b/>
          <w:i w:val="0"/>
          <w:color w:val="181A1F"/>
          <w:sz w:val="21"/>
        </w:rPr>
        <w:t>ByteDance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and </w:t>
      </w:r>
      <w:r>
        <w:rPr>
          <w:rFonts w:ascii="Georgia" w:hAnsi="Georgia" w:eastAsia="Georgia"/>
          <w:b/>
          <w:i w:val="0"/>
          <w:color w:val="181A1F"/>
          <w:sz w:val="21"/>
        </w:rPr>
        <w:t>Moonshot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remain private. The re-rating of Zhipu is the sharpest illustration of the policy-driven valuation regime — and it monetized that re-rating directly: a </w:t>
      </w:r>
      <w:r>
        <w:rPr>
          <w:rFonts w:ascii="Georgia" w:hAnsi="Georgia" w:eastAsia="Georgia"/>
          <w:b/>
          <w:i w:val="0"/>
          <w:color w:val="181A1F"/>
          <w:sz w:val="21"/>
        </w:rPr>
        <w:t>~US$4.0bn top-up placement on 8-Jul-2026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(19.78m H-shares at HK$1,588), Hong Kong's second-largest of the year and </w:t>
      </w:r>
      <w:r>
        <w:rPr>
          <w:rFonts w:ascii="Georgia" w:hAnsi="Georgia" w:eastAsia="Georgia"/>
          <w:b/>
          <w:i w:val="0"/>
          <w:color w:val="181A1F"/>
          <w:sz w:val="21"/>
        </w:rPr>
        <w:t>~6.7× its own IPO</w:t>
      </w:r>
      <w:r>
        <w:rPr>
          <w:rFonts w:ascii="Georgia" w:hAnsi="Georgia" w:eastAsia="Georgia"/>
          <w:b w:val="0"/>
          <w:i w:val="0"/>
          <w:color w:val="181A1F"/>
          <w:sz w:val="21"/>
        </w:rPr>
        <w:t>, converting the paper re-rating into R&amp;D and M&amp;A firepower (A).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3.8 Applications, agents &amp; adoption (L8)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 &amp; adoption.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~602m generative-AI users, all on domestic platforms (C). Consumer scale is real: Doubao ~100m DAU (145m Spring-Festival peak), ~260m MAU; Qwen and YuanBao 50–75m DAU at peak; combined top-5 chat/search apps ~900m MAU (D). For scale reference, ChatGPT ~190m DAU globally.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weak spot.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Enterprise SaaS/monetization is thin relative to the US — China's software economy is smaller and less willing to pay per-seat, so the US "AI takes business services" playbook translates poorly. Policy is pushing the other lever: SOE-adoption mandates and the 15FYP diffusion targets (70% by 2027, 90% by 2030). Coding is an instructive gap — GitHub Copilot still leads China's coding-assistant market (~64.5%) with Alibaba's Tongyi Lingma at ~12.9%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Captured mainly through the platform incumbents (Alibaba, Tencent, ByteDance-private) rather than standalone app equities; the enterprise-AI opportunity is more a </w:t>
      </w:r>
      <w:r>
        <w:rPr>
          <w:rFonts w:ascii="Georgia" w:hAnsi="Georgia" w:eastAsia="Georgia"/>
          <w:b w:val="0"/>
          <w:i/>
          <w:color w:val="181A1F"/>
          <w:sz w:val="21"/>
        </w:rPr>
        <w:t>margin story for the clouds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than a separate investable tier today.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3.9 Physical AI &amp; embodied (L9)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 — China's chosen battleground.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layer most aligned with China's manufacturing edge and infrastructure doctrine. Humanoids: </w:t>
      </w:r>
      <w:r>
        <w:rPr>
          <w:rFonts w:ascii="Georgia" w:hAnsi="Georgia" w:eastAsia="Georgia"/>
          <w:b/>
          <w:i w:val="0"/>
          <w:color w:val="181A1F"/>
          <w:sz w:val="21"/>
        </w:rPr>
        <w:t>Unitree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(STAR IPO approved in a record 104 days, ~$6bn target; 2025 revenue RMB 1.69bn, +335%), </w:t>
      </w:r>
      <w:r>
        <w:rPr>
          <w:rFonts w:ascii="Georgia" w:hAnsi="Georgia" w:eastAsia="Georgia"/>
          <w:b/>
          <w:i w:val="0"/>
          <w:color w:val="181A1F"/>
          <w:sz w:val="21"/>
        </w:rPr>
        <w:t>UBTech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(HKEX:9880; U-series orders &gt;13,361), </w:t>
      </w:r>
      <w:r>
        <w:rPr>
          <w:rFonts w:ascii="Georgia" w:hAnsi="Georgia" w:eastAsia="Georgia"/>
          <w:b/>
          <w:i w:val="0"/>
          <w:color w:val="181A1F"/>
          <w:sz w:val="21"/>
        </w:rPr>
        <w:t>AgiBot/Zhiyuan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(~$6.4bn, HK IPO planned H2-2026), </w:t>
      </w:r>
      <w:r>
        <w:rPr>
          <w:rFonts w:ascii="Georgia" w:hAnsi="Georgia" w:eastAsia="Georgia"/>
          <w:b/>
          <w:i w:val="0"/>
          <w:color w:val="181A1F"/>
          <w:sz w:val="21"/>
        </w:rPr>
        <w:t>Galbot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(~$3bn), </w:t>
      </w:r>
      <w:r>
        <w:rPr>
          <w:rFonts w:ascii="Georgia" w:hAnsi="Georgia" w:eastAsia="Georgia"/>
          <w:b/>
          <w:i w:val="0"/>
          <w:color w:val="181A1F"/>
          <w:sz w:val="21"/>
        </w:rPr>
        <w:t>Fourier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(~$1.1bn). Robotaxi/AV — a direct EV-chain spillover: </w:t>
      </w:r>
      <w:r>
        <w:rPr>
          <w:rFonts w:ascii="Georgia" w:hAnsi="Georgia" w:eastAsia="Georgia"/>
          <w:b/>
          <w:i w:val="0"/>
          <w:color w:val="181A1F"/>
          <w:sz w:val="21"/>
        </w:rPr>
        <w:t>Baidu Apollo Go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(&gt;22m cumulative rides, 27 cities), </w:t>
      </w:r>
      <w:r>
        <w:rPr>
          <w:rFonts w:ascii="Georgia" w:hAnsi="Georgia" w:eastAsia="Georgia"/>
          <w:b/>
          <w:i w:val="0"/>
          <w:color w:val="181A1F"/>
          <w:sz w:val="21"/>
        </w:rPr>
        <w:t>Pony.ai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(NASDAQ:PONY), </w:t>
      </w:r>
      <w:r>
        <w:rPr>
          <w:rFonts w:ascii="Georgia" w:hAnsi="Georgia" w:eastAsia="Georgia"/>
          <w:b/>
          <w:i w:val="0"/>
          <w:color w:val="181A1F"/>
          <w:sz w:val="21"/>
        </w:rPr>
        <w:t>WeRide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(NASDAQ:WRD, ~$2.4bn), </w:t>
      </w:r>
      <w:r>
        <w:rPr>
          <w:rFonts w:ascii="Georgia" w:hAnsi="Georgia" w:eastAsia="Georgia"/>
          <w:b/>
          <w:i w:val="0"/>
          <w:color w:val="181A1F"/>
          <w:sz w:val="21"/>
        </w:rPr>
        <w:t>Momenta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(HKEX:6880, ~$9bn IPO, debuted Jul-2026; ~64.5% of the independent urban-NOA market). Supporting silicon: </w:t>
      </w:r>
      <w:r>
        <w:rPr>
          <w:rFonts w:ascii="Georgia" w:hAnsi="Georgia" w:eastAsia="Georgia"/>
          <w:b/>
          <w:i w:val="0"/>
          <w:color w:val="181A1F"/>
          <w:sz w:val="21"/>
        </w:rPr>
        <w:t>Horizon Robotics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(HKEX:9660).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&amp; economics.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 leads on </w:t>
      </w:r>
      <w:r>
        <w:rPr>
          <w:rFonts w:ascii="Georgia" w:hAnsi="Georgia" w:eastAsia="Georgia"/>
          <w:b w:val="0"/>
          <w:i/>
          <w:color w:val="181A1F"/>
          <w:sz w:val="21"/>
        </w:rPr>
        <w:t>volume and price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(295k industrial robots installed in 2024, ~54% of global; humanoids shipping at price points far below Figure/1X) but not yet on </w:t>
      </w:r>
      <w:r>
        <w:rPr>
          <w:rFonts w:ascii="Georgia" w:hAnsi="Georgia" w:eastAsia="Georgia"/>
          <w:b w:val="0"/>
          <w:i/>
          <w:color w:val="181A1F"/>
          <w:sz w:val="21"/>
        </w:rPr>
        <w:t>profitability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every name is loss-making (Horizon: RMB 10.5bn loss on RMB 3.8bn revenue). Backed by the ~$138bn AI+robotics state fund and ~¥1tn robotics program. US humanoid peers (Figure ~$39bn) carry far higher valuations on far less revenue — a valuation asymmetry worth watching.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 — the most open China-AI layer for foreigners.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Several names are US- or HK-listed and </w:t>
      </w:r>
      <w:r>
        <w:rPr>
          <w:rFonts w:ascii="Georgia" w:hAnsi="Georgia" w:eastAsia="Georgia"/>
          <w:b w:val="0"/>
          <w:i/>
          <w:color w:val="181A1F"/>
          <w:sz w:val="21"/>
        </w:rPr>
        <w:t>not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obviously Entity-flagged: WeRide, Pony.ai, Momenta, UBTech, Horizon Robotics. This is where a foreign investor can get relatively clean embodied-AI exposure — with the caveat that these are early, cash-burning, and volatile.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4. The horizontal overlay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4.1 Policy &amp; industrial strategy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Four reinforcing tracks: (1) the </w:t>
      </w:r>
      <w:r>
        <w:rPr>
          <w:rFonts w:ascii="Georgia" w:hAnsi="Georgia" w:eastAsia="Georgia"/>
          <w:b/>
          <w:i w:val="0"/>
          <w:color w:val="181A1F"/>
          <w:sz w:val="21"/>
        </w:rPr>
        <w:t>15th FYP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(AI as primary national objective; diffusion targets); (2) </w:t>
      </w:r>
      <w:r>
        <w:rPr>
          <w:rFonts w:ascii="Georgia" w:hAnsi="Georgia" w:eastAsia="Georgia"/>
          <w:b/>
          <w:i w:val="0"/>
          <w:color w:val="181A1F"/>
          <w:sz w:val="21"/>
        </w:rPr>
        <w:t>mega-funds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~$295bn national DC grid, ~$138bn AI+robotics fund, the "Big Fund" Phase III at RMB 344bn (~$47.5bn, largest phase, now explicitly covering HBM/AI-semis); (3) </w:t>
      </w:r>
      <w:r>
        <w:rPr>
          <w:rFonts w:ascii="Georgia" w:hAnsi="Georgia" w:eastAsia="Georgia"/>
          <w:b/>
          <w:i w:val="0"/>
          <w:color w:val="181A1F"/>
          <w:sz w:val="21"/>
        </w:rPr>
        <w:t>mandates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50% domestic equipment for new fabs, escalating domestic-chip rules for state DCs (50% → full foreign-accelerator ban → ≥80% grid), SOE adoption; (4) the Aug-2025 </w:t>
      </w:r>
      <w:r>
        <w:rPr>
          <w:rFonts w:ascii="Georgia" w:hAnsi="Georgia" w:eastAsia="Georgia"/>
          <w:b/>
          <w:i w:val="0"/>
          <w:color w:val="181A1F"/>
          <w:sz w:val="21"/>
        </w:rPr>
        <w:t>"AI+"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State Council initiative. The through-line: policy converts technical uncertainty into demand certainty.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4.2 Export controls &amp; geopolitics (timeline)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Controls turned </w:t>
      </w:r>
      <w:r>
        <w:rPr>
          <w:rFonts w:ascii="Georgia" w:hAnsi="Georgia" w:eastAsia="Georgia"/>
          <w:b/>
          <w:i w:val="0"/>
          <w:color w:val="181A1F"/>
          <w:sz w:val="21"/>
        </w:rPr>
        <w:t>bidirectional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in 2025–26. Tightening peaked with Dec-2024 HBM + Foreign-Direct-Product-Rule controls and rolling Entity-List additions (Mar-2025 tranche hit NAURA/SMIC units). But H20 (banned Apr-2025, restored with a 15% fee Aug-2025) and H200 (case-by-case since Jan-2026 with a 25% tariff, capped at ≤50% of US-customer volume) both </w:t>
      </w:r>
      <w:r>
        <w:rPr>
          <w:rFonts w:ascii="Georgia" w:hAnsi="Georgia" w:eastAsia="Georgia"/>
          <w:b w:val="0"/>
          <w:i/>
          <w:color w:val="181A1F"/>
          <w:sz w:val="21"/>
        </w:rPr>
        <w:t>loosened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while China paused (not repealed) its rare-earth/gallium/germanium leverage through ~Nov-2026 as part of a post-summit truce. The proposed </w:t>
      </w:r>
      <w:r>
        <w:rPr>
          <w:rFonts w:ascii="Georgia" w:hAnsi="Georgia" w:eastAsia="Georgia"/>
          <w:b/>
          <w:i w:val="0"/>
          <w:color w:val="181A1F"/>
          <w:sz w:val="21"/>
        </w:rPr>
        <w:t>MATCH Act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would ban all ASML DUV to China (~20% of ASML 2026 revenue) and names the champions explicitly. Taiwan remains the tail risk: not the modal 12-month outcome per the reference analysts, but a portfolio-defining scenario whose mere possibility is itself an inflationary, spending-inducing force.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4.3 Talent &amp; R&amp;D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China's edge is </w:t>
      </w:r>
      <w:r>
        <w:rPr>
          <w:rFonts w:ascii="Georgia" w:hAnsi="Georgia" w:eastAsia="Georgia"/>
          <w:b w:val="0"/>
          <w:i/>
          <w:color w:val="181A1F"/>
          <w:sz w:val="21"/>
        </w:rPr>
        <w:t>applied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engineering density and open-source contribution (DeepSeek, Qwen, Kimi, MiniMax all ship influential open weights). The state has grown protective as the stack has gained value — credible reports of intervening against talent/IP moving abroad (e.g., via Singapore vehicles) and restrictions on staff at leading labs. Treat the talent layer as a strategic asset that is increasingly </w:t>
      </w:r>
      <w:r>
        <w:rPr>
          <w:rFonts w:ascii="Georgia" w:hAnsi="Georgia" w:eastAsia="Georgia"/>
          <w:b w:val="0"/>
          <w:i/>
          <w:color w:val="181A1F"/>
          <w:sz w:val="21"/>
        </w:rPr>
        <w:t>managed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like one.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4.4 Capital markets, the IPO wave &amp; the investable basket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605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po_po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6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7 — 2025–26 China AI-stack IPOs, debut price moves. Sources: WEB (B/C).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The </w:t>
      </w:r>
      <w:r>
        <w:rPr>
          <w:rFonts w:ascii="Georgia" w:hAnsi="Georgia" w:eastAsia="Georgia"/>
          <w:b/>
          <w:i w:val="0"/>
          <w:color w:val="181A1F"/>
          <w:sz w:val="21"/>
        </w:rPr>
        <w:t>Sept-2024 "slow-bull" pivot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reframed the equity market as a strategic financing tool for national champions and a savings vehicle to replace property. The result is the 2025–26 </w:t>
      </w:r>
      <w:r>
        <w:rPr>
          <w:rFonts w:ascii="Georgia" w:hAnsi="Georgia" w:eastAsia="Georgia"/>
          <w:b/>
          <w:i w:val="0"/>
          <w:color w:val="181A1F"/>
          <w:sz w:val="21"/>
        </w:rPr>
        <w:t>IPO cluster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Zhipu, MiniMax, Biren, Iluvatar and Montage's H-share all listing within ~5 weeks; Moore Threads/MetaX on STAR with +468%/+693% day-one pops; CXMT and YMTC the next, much larger tests. Montage's A/H premium </w:t>
      </w:r>
      <w:r>
        <w:rPr>
          <w:rFonts w:ascii="Georgia" w:hAnsi="Georgia" w:eastAsia="Georgia"/>
          <w:b w:val="0"/>
          <w:i/>
          <w:color w:val="181A1F"/>
          <w:sz w:val="21"/>
        </w:rPr>
        <w:t>inverted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 went from a 44% discount to a premium), a marker of international conviction. Forward P/Es for the broad China-AI set sit ~18–19 — similar to global peers — but off a far lower earnings base, which is the bull case </w:t>
      </w:r>
      <w:r>
        <w:rPr>
          <w:rFonts w:ascii="Georgia" w:hAnsi="Georgia" w:eastAsia="Georgia"/>
          <w:b w:val="0"/>
          <w:i/>
          <w:color w:val="181A1F"/>
          <w:sz w:val="21"/>
        </w:rPr>
        <w:t>and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reason earnings are unstable enough to make multiples unreliable (REF-BW-01).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access overlay (decisive for allocators).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Treasury's OISP (broadened by the Dec-2025 NDAA/COINS Act) now overlaps heavily with Entity-List flags on Moore Threads, MetaX, Biren, and Kunlunxin — making the highest-momentum GPU IPOs </w:t>
      </w:r>
      <w:r>
        <w:rPr>
          <w:rFonts w:ascii="Georgia" w:hAnsi="Georgia" w:eastAsia="Georgia"/>
          <w:b/>
          <w:i w:val="0"/>
          <w:color w:val="181A1F"/>
          <w:sz w:val="21"/>
        </w:rPr>
        <w:t>effectively closed to US capital even while they trade freely in Hong Kong</w:t>
      </w:r>
      <w:r>
        <w:rPr>
          <w:rFonts w:ascii="Georgia" w:hAnsi="Georgia" w:eastAsia="Georgia"/>
          <w:b w:val="0"/>
          <w:i w:val="0"/>
          <w:color w:val="181A1F"/>
          <w:sz w:val="21"/>
        </w:rPr>
        <w:t>. Foreign-investable, non-flagged exposures cluster in the platform incumbents (Alibaba, Tencent, Baidu), Montage, CATL, and parts of L9 (WeRide, Pony.ai, Momenta, UBTech, Horizon).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5. Synthesis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5.1 Where value is captured — bottleneck economics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Margin pools where a scarce, hard-to-replicate capability meets captive demand. Today that is: </w:t>
      </w:r>
      <w:r>
        <w:rPr>
          <w:rFonts w:ascii="Georgia" w:hAnsi="Georgia" w:eastAsia="Georgia"/>
          <w:b/>
          <w:i w:val="0"/>
          <w:color w:val="181A1F"/>
          <w:sz w:val="21"/>
        </w:rPr>
        <w:t>lithography/EUV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(the ultimate chokepoint, but not yet investable domestically), </w:t>
      </w:r>
      <w:r>
        <w:rPr>
          <w:rFonts w:ascii="Georgia" w:hAnsi="Georgia" w:eastAsia="Georgia"/>
          <w:b/>
          <w:i w:val="0"/>
          <w:color w:val="181A1F"/>
          <w:sz w:val="21"/>
        </w:rPr>
        <w:t>advanced foundry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(SMIC — the shared scarce resource), </w:t>
      </w:r>
      <w:r>
        <w:rPr>
          <w:rFonts w:ascii="Georgia" w:hAnsi="Georgia" w:eastAsia="Georgia"/>
          <w:b/>
          <w:i w:val="0"/>
          <w:color w:val="181A1F"/>
          <w:sz w:val="21"/>
        </w:rPr>
        <w:t>memory interface/interconnect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(Montage — a genuine global incumbent), </w:t>
      </w:r>
      <w:r>
        <w:rPr>
          <w:rFonts w:ascii="Georgia" w:hAnsi="Georgia" w:eastAsia="Georgia"/>
          <w:b/>
          <w:i w:val="0"/>
          <w:color w:val="181A1F"/>
          <w:sz w:val="21"/>
        </w:rPr>
        <w:t>advanced packaging/HBM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(emerging), and </w:t>
      </w:r>
      <w:r>
        <w:rPr>
          <w:rFonts w:ascii="Georgia" w:hAnsi="Georgia" w:eastAsia="Georgia"/>
          <w:b/>
          <w:i w:val="0"/>
          <w:color w:val="181A1F"/>
          <w:sz w:val="21"/>
        </w:rPr>
        <w:t>power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(China's structural edge, best played via CATL/grid). The model and app layers are </w:t>
      </w:r>
      <w:r>
        <w:rPr>
          <w:rFonts w:ascii="Georgia" w:hAnsi="Georgia" w:eastAsia="Georgia"/>
          <w:b w:val="0"/>
          <w:i/>
          <w:color w:val="181A1F"/>
          <w:sz w:val="21"/>
        </w:rPr>
        <w:t>commoditizing by design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China's strategy is to make intelligence cheap infrastructure, which caps value capture there and pushes it down into hardware and up into physical AI.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5.2 China-vs-US scorecard (capability gap · timeline · access)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0984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corec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98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8 — Scorecard: capability gap × foreign investability, by layer.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Gap to frontier</w:t>
            </w:r>
          </w:p>
        </w:tc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Timeline to parity</w:t>
            </w:r>
          </w:p>
        </w:tc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Foreign-investable?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L0 Power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China </w:t>
            </w:r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ahead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Yes (CATL)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L1 Equipment/EDA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1–3 gen (EUV/EDA widest)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EUV: lab ~2028, HVM 2030s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Restricted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L2 Foundry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~2–3 nodes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Gated on EUV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Restricted (HK)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L3 Memory/HBM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HBM ~3–4 yr; DRAM closing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HBM3 ~2027+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Restricted post-IPO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L4 AI chips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~1–2 gen device; closer at rack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SW (CUDA) 3–5 yr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Mostly </w:t>
            </w:r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closed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to 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L5 Interconnect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China </w:t>
            </w:r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at frontier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(Montage)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Yes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(Montage)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L6 Cloud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Behind on scale/cost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3–5 yr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Yes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(BABA/Tencent)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L7 Models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Months at frontier; open-weight competitive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Rolling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Parents yes; labs restricted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L8 Apps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Consumer ahead; enterprise behind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Via parents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L9 Physical AI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Volume-lead; profitability-behind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Most open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5.3 The investable basket (stack-mapped)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Core, foreign-investable, high-conviction: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Alibaba (L4/6/7), Tencent (L6/7), Montage (L5), CATL (L0), Baidu (L4/6/7).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High-conviction, access-constrained: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NAURA, AMEC, ACM (L1); SMIC, Hua Hong (L2); Cambricon (L4) — own via HK lines or Connect where eligible; watch Entity/OISP.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Event-driven / pipeline: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CXMT, YMTC (L3 IPOs); Kunlunxin (L4 IPO); Unitree, AgiBot (L9 IPOs).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Cleaner embodied-AI access: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WeRide, Pony.ai, Momenta, UBTech, Horizon (L9).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Construct as a </w:t>
      </w:r>
      <w:r>
        <w:rPr>
          <w:rFonts w:ascii="Georgia" w:hAnsi="Georgia" w:eastAsia="Georgia"/>
          <w:b w:val="0"/>
          <w:i/>
          <w:color w:val="181A1F"/>
          <w:sz w:val="21"/>
        </w:rPr>
        <w:t>diversifier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(low correlation to the global AI supply chain), sized for the Entity-List/OISP overlay and the policy put beneath the market — not as concentrated growth beta.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5.4 Scenarios (2027 / 2030)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Base: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Indigenization advances unevenly — foundry/memory/interconnect/power progress, EUV lags. China fields competitive rack-scale systems and open models; capex cycle sustained by policy. China-AI equities compound off a low base with high dispersion.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Bull: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 domestic EUV or HBM breakthrough, or a decisive rack-scale win, closes the compute gap; power advantage converts into a build-out that outpaces US expectations. Champions re-rate toward global peers; the diversifier becomes a growth engine.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Bear: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EUV stalls, yields stay low, the demand mandate outruns deliverable technology; a Taiwan/rare-earth flashpoint or an OISP tightening strands foreign capital. Policy-inflated multiples de-rate hard.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5.5 Risk register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Policy reversal (low — commitment is structural); </w:t>
      </w:r>
      <w:r>
        <w:rPr>
          <w:rFonts w:ascii="Georgia" w:hAnsi="Georgia" w:eastAsia="Georgia"/>
          <w:b/>
          <w:i w:val="0"/>
          <w:color w:val="181A1F"/>
          <w:sz w:val="21"/>
        </w:rPr>
        <w:t>technology failure at EUV/HBM (the key gating risk)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; demand-mandate outrunning capability; overbuild/valuation air-pocket (policy-inflated multiples); geopolitical flashpoint (Taiwan/rare earths); </w:t>
      </w:r>
      <w:r>
        <w:rPr>
          <w:rFonts w:ascii="Georgia" w:hAnsi="Georgia" w:eastAsia="Georgia"/>
          <w:b/>
          <w:i w:val="0"/>
          <w:color w:val="181A1F"/>
          <w:sz w:val="21"/>
        </w:rPr>
        <w:t>investability/regulatory risk (Entity-List + OISP stranding US capital)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the most underappreciated practical risk for Western allocators.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5.6 Second-order effects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Global-equity valuation convergence (US↔non-US risk-premium compression); a structural bid under the </w:t>
      </w:r>
      <w:r>
        <w:rPr>
          <w:rFonts w:ascii="Georgia" w:hAnsi="Georgia" w:eastAsia="Georgia"/>
          <w:b/>
          <w:i w:val="0"/>
          <w:color w:val="181A1F"/>
          <w:sz w:val="21"/>
        </w:rPr>
        <w:t>memory cycle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(indigenous HBM demand); </w:t>
      </w:r>
      <w:r>
        <w:rPr>
          <w:rFonts w:ascii="Georgia" w:hAnsi="Georgia" w:eastAsia="Georgia"/>
          <w:b/>
          <w:i w:val="0"/>
          <w:color w:val="181A1F"/>
          <w:sz w:val="21"/>
        </w:rPr>
        <w:t>energy/commodities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(China's power/grid/storage build); downward pressure on </w:t>
      </w:r>
      <w:r>
        <w:rPr>
          <w:rFonts w:ascii="Georgia" w:hAnsi="Georgia" w:eastAsia="Georgia"/>
          <w:b/>
          <w:i w:val="0"/>
          <w:color w:val="181A1F"/>
          <w:sz w:val="21"/>
        </w:rPr>
        <w:t>global token pricing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as China commoditizes open-weight intelligence; and a persistent </w:t>
      </w:r>
      <w:r>
        <w:rPr>
          <w:rFonts w:ascii="Georgia" w:hAnsi="Georgia" w:eastAsia="Georgia"/>
          <w:b/>
          <w:i w:val="0"/>
          <w:color w:val="181A1F"/>
          <w:sz w:val="21"/>
        </w:rPr>
        <w:t>mercantilist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impulse as strategic-sector strength coexists with weak domestic demand.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44"/>
        </w:rPr>
        <w:t>Part II — Demand, Economics &amp; Access (v2 deepening)</w:t>
      </w:r>
    </w:p>
    <w:p>
      <w:pPr>
        <w:spacing w:before="120" w:after="120"/>
        <w:ind w:left="259"/>
        <w:pBdr>
          <w:left w:val="single" w:sz="18" w:space="8" w:color="B02A1B"/>
        </w:pBdr>
      </w:pPr>
      <w:r>
        <w:rPr>
          <w:rFonts w:ascii="Georgia" w:hAnsi="Georgia" w:eastAsia="Georgia"/>
          <w:b/>
          <w:i w:val="0"/>
          <w:color w:val="565C67"/>
          <w:sz w:val="20"/>
        </w:rPr>
        <w:t>Reader's note.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Part I mapped the </w:t>
      </w:r>
      <w:r>
        <w:rPr>
          <w:rFonts w:ascii="Georgia" w:hAnsi="Georgia" w:eastAsia="Georgia"/>
          <w:b w:val="0"/>
          <w:i/>
          <w:color w:val="565C67"/>
          <w:sz w:val="20"/>
        </w:rPr>
        <w:t>supply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stack — who builds each layer. Part II answers the three questions a capital allocator actually asks: </w:t>
      </w:r>
      <w:r>
        <w:rPr>
          <w:rFonts w:ascii="Georgia" w:hAnsi="Georgia" w:eastAsia="Georgia"/>
          <w:b/>
          <w:i w:val="0"/>
          <w:color w:val="565C67"/>
          <w:sz w:val="20"/>
        </w:rPr>
        <w:t>where is the demand, is the revenue real, and who is allowed to own it.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Industry terms (EUV, WFE, HBM, OISP, MSCI China A, …) are defined in the </w:t>
      </w:r>
      <w:r>
        <w:rPr>
          <w:rFonts w:ascii="Georgia" w:hAnsi="Georgia" w:eastAsia="Georgia"/>
          <w:b/>
          <w:i w:val="0"/>
          <w:color w:val="565C67"/>
          <w:sz w:val="20"/>
        </w:rPr>
        <w:t>Glossary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(</w:t>
      </w:r>
      <w:r>
        <w:rPr>
          <w:rFonts w:ascii="Consolas" w:hAnsi="Consolas" w:eastAsia="Consolas"/>
          <w:b w:val="0"/>
          <w:i w:val="0"/>
          <w:color w:val="2C6E7A"/>
          <w:sz w:val="19"/>
        </w:rPr>
        <w:t>report/GLOSSARY.md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). Every figure keeps its A–D confidence grade; this section leans on </w:t>
      </w:r>
      <w:r>
        <w:rPr>
          <w:rFonts w:ascii="Georgia" w:hAnsi="Georgia" w:eastAsia="Georgia"/>
          <w:b/>
          <w:i w:val="0"/>
          <w:color w:val="565C67"/>
          <w:sz w:val="20"/>
        </w:rPr>
        <w:t>filed financials and primary disclosures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wherever they exist, and refuses to invent numbers where they don't.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II.1 The demand split that changes the bet (P3)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338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demand_spectru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33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II-1 — Global-demand-led vs domestic-substitution: where each name's demand comes from (directional, C/D).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The single most consequential v2 refinement: </w:t>
      </w:r>
      <w:r>
        <w:rPr>
          <w:rFonts w:ascii="Georgia" w:hAnsi="Georgia" w:eastAsia="Georgia"/>
          <w:b/>
          <w:i w:val="0"/>
          <w:color w:val="181A1F"/>
          <w:sz w:val="21"/>
        </w:rPr>
        <w:t>not all "China-AI" names are a bet on China.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Demand divides into three buckets: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Global-demand-led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sell into the </w:t>
      </w:r>
      <w:r>
        <w:rPr>
          <w:rFonts w:ascii="Georgia" w:hAnsi="Georgia" w:eastAsia="Georgia"/>
          <w:b w:val="0"/>
          <w:i/>
          <w:color w:val="181A1F"/>
          <w:sz w:val="20"/>
        </w:rPr>
        <w:t>world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AI build-out, not the domestic mandate: </w:t>
      </w:r>
      <w:r>
        <w:rPr>
          <w:rFonts w:ascii="Georgia" w:hAnsi="Georgia" w:eastAsia="Georgia"/>
          <w:b/>
          <w:i w:val="0"/>
          <w:color w:val="181A1F"/>
          <w:sz w:val="20"/>
        </w:rPr>
        <w:t>Montage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(memory-interface chips inside global AI servers), </w:t>
      </w:r>
      <w:r>
        <w:rPr>
          <w:rFonts w:ascii="Georgia" w:hAnsi="Georgia" w:eastAsia="Georgia"/>
          <w:b/>
          <w:i w:val="0"/>
          <w:color w:val="181A1F"/>
          <w:sz w:val="20"/>
        </w:rPr>
        <w:t>Innolight / Eoptolink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(optical modules — Innolight ~60% of Nvidia's 800G orders), </w:t>
      </w:r>
      <w:r>
        <w:rPr>
          <w:rFonts w:ascii="Georgia" w:hAnsi="Georgia" w:eastAsia="Georgia"/>
          <w:b/>
          <w:i w:val="0"/>
          <w:color w:val="181A1F"/>
          <w:sz w:val="20"/>
        </w:rPr>
        <w:t>CATL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(global energy-storage). These price off the </w:t>
      </w:r>
      <w:r>
        <w:rPr>
          <w:rFonts w:ascii="Georgia" w:hAnsi="Georgia" w:eastAsia="Georgia"/>
          <w:b/>
          <w:i w:val="0"/>
          <w:color w:val="181A1F"/>
          <w:sz w:val="20"/>
        </w:rPr>
        <w:t>global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AI-capex cycle (Nvidia, hyperscalers) and are foreign-investable.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Domestic-substitution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demand </w:t>
      </w:r>
      <w:r>
        <w:rPr>
          <w:rFonts w:ascii="Georgia" w:hAnsi="Georgia" w:eastAsia="Georgia"/>
          <w:b w:val="0"/>
          <w:i/>
          <w:color w:val="181A1F"/>
          <w:sz w:val="20"/>
        </w:rPr>
        <w:t>manufactured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by import-substitution and the 80%-domestic mandate: </w:t>
      </w:r>
      <w:r>
        <w:rPr>
          <w:rFonts w:ascii="Georgia" w:hAnsi="Georgia" w:eastAsia="Georgia"/>
          <w:b/>
          <w:i w:val="0"/>
          <w:color w:val="181A1F"/>
          <w:sz w:val="20"/>
        </w:rPr>
        <w:t>Cambricon, Moore Threads, Biren, CXMT, YMTC, Kunlunxin</w:t>
      </w:r>
      <w:r>
        <w:rPr>
          <w:rFonts w:ascii="Georgia" w:hAnsi="Georgia" w:eastAsia="Georgia"/>
          <w:b w:val="0"/>
          <w:i w:val="0"/>
          <w:color w:val="181A1F"/>
          <w:sz w:val="20"/>
        </w:rPr>
        <w:t>. Fortunes turn on Chinese policy; mostly Entity-Listed / closed to US capital.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Mixed / dual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Georgia" w:hAnsi="Georgia" w:eastAsia="Georgia"/>
          <w:b/>
          <w:i w:val="0"/>
          <w:color w:val="181A1F"/>
          <w:sz w:val="20"/>
        </w:rPr>
        <w:t>Alibaba, SMIC, Hua Hong, ACM</w:t>
      </w:r>
      <w:r>
        <w:rPr>
          <w:rFonts w:ascii="Georgia" w:hAnsi="Georgia" w:eastAsia="Georgia"/>
          <w:b w:val="0"/>
          <w:i w:val="0"/>
          <w:color w:val="181A1F"/>
          <w:sz w:val="20"/>
        </w:rPr>
        <w:t>: exposed to both the global cycle and domestic substitution.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Investment consequence: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"diversifying, low-correlation-to-global-AI" thesis (Bridgewater) applies </w:t>
      </w:r>
      <w:r>
        <w:rPr>
          <w:rFonts w:ascii="Georgia" w:hAnsi="Georgia" w:eastAsia="Georgia"/>
          <w:b/>
          <w:i w:val="0"/>
          <w:color w:val="181A1F"/>
          <w:sz w:val="21"/>
        </w:rPr>
        <w:t>only to the domestic-substitution bucket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. The global-demand bucket is </w:t>
      </w:r>
      <w:r>
        <w:rPr>
          <w:rFonts w:ascii="Georgia" w:hAnsi="Georgia" w:eastAsia="Georgia"/>
          <w:b w:val="0"/>
          <w:i/>
          <w:color w:val="181A1F"/>
          <w:sz w:val="21"/>
        </w:rPr>
        <w:t>correlated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with Nvidia and the world cycle — it is a lever on the global build-out that happens to be listed in Shanghai/HK, not a China-policy diversifier. Confusing the two is the most common error in the China-AI trade.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/>
          <w:color w:val="181A1F"/>
          <w:sz w:val="21"/>
        </w:rPr>
        <w:t>Actual-vs-consensus (P3):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the top listed names we compiled reported growth, guidance, and where available sell-side consensus (NAURA vs AMAT/Lam; Montage vs Astera Labs; SMIC vs TSMC/UMC; Alibaba vs AWS). The market is pricing </w:t>
      </w:r>
      <w:r>
        <w:rPr>
          <w:rFonts w:ascii="Georgia" w:hAnsi="Georgia" w:eastAsia="Georgia"/>
          <w:b/>
          <w:i w:val="0"/>
          <w:color w:val="181A1F"/>
          <w:sz w:val="21"/>
        </w:rPr>
        <w:t>high forward growth off a low base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the domestic-substitution names (semis on premium multiples vs global peers) and </w:t>
      </w:r>
      <w:r>
        <w:rPr>
          <w:rFonts w:ascii="Georgia" w:hAnsi="Georgia" w:eastAsia="Georgia"/>
          <w:b/>
          <w:i w:val="0"/>
          <w:color w:val="181A1F"/>
          <w:sz w:val="21"/>
        </w:rPr>
        <w:t>catch-up re-rating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the platforms. Precise consensus for many A-share names is proprietary/thin — flagged where unavailable rather than fabricated.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II.2 Hyperscaler economics &amp; capex funding (P1)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AI-cloud contribution &amp; the non-AI question.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Alibaba Cloud re-accelerated to </w:t>
      </w:r>
      <w:r>
        <w:rPr>
          <w:rFonts w:ascii="Georgia" w:hAnsi="Georgia" w:eastAsia="Georgia"/>
          <w:b/>
          <w:i w:val="0"/>
          <w:color w:val="181A1F"/>
          <w:sz w:val="20"/>
        </w:rPr>
        <w:t>+38% YoY (Q1-2026)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; Baidu AI-cloud infrastructure revenue </w:t>
      </w:r>
      <w:r>
        <w:rPr>
          <w:rFonts w:ascii="Georgia" w:hAnsi="Georgia" w:eastAsia="Georgia"/>
          <w:b/>
          <w:i w:val="0"/>
          <w:color w:val="181A1F"/>
          <w:sz w:val="20"/>
        </w:rPr>
        <w:t>+79% YoY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. For Alibaba and Tencent the legacy segments (e-commerce, gaming, ads) still </w:t>
      </w:r>
      <w:r>
        <w:rPr>
          <w:rFonts w:ascii="Georgia" w:hAnsi="Georgia" w:eastAsia="Georgia"/>
          <w:b/>
          <w:i w:val="0"/>
          <w:color w:val="181A1F"/>
          <w:sz w:val="20"/>
        </w:rPr>
        <w:t>fund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rather than drag the build-out — they throw off the cash that pays for capex.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Funding source — the real contrast with the US, now with a caveat.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Chinese hyperscalers still fund the </w:t>
      </w:r>
      <w:r>
        <w:rPr>
          <w:rFonts w:ascii="Georgia" w:hAnsi="Georgia" w:eastAsia="Georgia"/>
          <w:b w:val="0"/>
          <w:i/>
          <w:color w:val="181A1F"/>
          <w:sz w:val="20"/>
        </w:rPr>
        <w:t>bulk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of AI capex from internal cash, versus a US marginal AI dollar that is </w:t>
      </w:r>
      <w:r>
        <w:rPr>
          <w:rFonts w:ascii="Georgia" w:hAnsi="Georgia" w:eastAsia="Georgia"/>
          <w:b/>
          <w:i w:val="0"/>
          <w:color w:val="181A1F"/>
          <w:sz w:val="20"/>
        </w:rPr>
        <w:t>increasingly externally financed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(debt/equity — e.g. Alphabet's large 2026 equity raise). But the "pure internal-cash resilience" framing needs qualifying: *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Alibaba's own 6-Ks show group free cash flow swinging </w:t>
      </w:r>
      <w:r>
        <w:rPr>
          <w:rFonts w:ascii="Georgia" w:hAnsi="Georgia" w:eastAsia="Georgia"/>
          <w:b w:val="0"/>
          <w:i w:val="0"/>
          <w:color w:val="181A1F"/>
          <w:sz w:val="20"/>
        </w:rPr>
        <w:t>negative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in two of the last three quarters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— </w:t>
      </w:r>
      <w:r>
        <w:rPr>
          <w:rFonts w:ascii="Georgia" w:hAnsi="Georgia" w:eastAsia="Georgia"/>
          <w:b w:val="0"/>
          <w:i/>
          <w:color w:val="181A1F"/>
          <w:sz w:val="20"/>
        </w:rPr>
        <w:t>−RMB 21.8bn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(Sep-2025), +RMB 11.3bn (Dec-2025, −71% YoY), </w:t>
      </w:r>
      <w:r>
        <w:rPr>
          <w:rFonts w:ascii="Georgia" w:hAnsi="Georgia" w:eastAsia="Georgia"/>
          <w:b w:val="0"/>
          <w:i/>
          <w:color w:val="181A1F"/>
          <w:sz w:val="20"/>
        </w:rPr>
        <w:t>−RMB 17.3bn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(Mar-2026) — as cloud/AI capex (plus quick-commerce) outran operating cash flow. The build is now large enough to lean on the </w:t>
      </w:r>
      <w:r>
        <w:rPr>
          <w:rFonts w:ascii="Georgia" w:hAnsi="Georgia" w:eastAsia="Georgia"/>
          <w:b w:val="0"/>
          <w:i/>
          <w:color w:val="181A1F"/>
          <w:sz w:val="20"/>
        </w:rPr>
        <w:t>balance sheet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(RMB 560bn / ~US$80bn liquidity), not just the P&amp;L. Still off a </w:t>
      </w:r>
      <w:r>
        <w:rPr>
          <w:rFonts w:ascii="Georgia" w:hAnsi="Georgia" w:eastAsia="Georgia"/>
          <w:b w:val="0"/>
          <w:i/>
          <w:color w:val="181A1F"/>
          <w:sz w:val="20"/>
        </w:rPr>
        <w:t>far smaller absolute base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than the US (~$2T hyperscaler+neocloud cumulative capex through 2026). </w:t>
      </w:r>
      <w:r>
        <w:rPr>
          <w:rFonts w:ascii="Georgia" w:hAnsi="Georgia" w:eastAsia="Georgia"/>
          <w:b w:val="0"/>
          <w:i w:val="0"/>
          <w:color w:val="181A1F"/>
          <w:sz w:val="20"/>
        </w:rPr>
        <w:t>(SEC 6-K, A.)*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The sharpest primary find — a monetization gap.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Baidu's SEC </w:t>
      </w:r>
      <w:r>
        <w:rPr>
          <w:rFonts w:ascii="Georgia" w:hAnsi="Georgia" w:eastAsia="Georgia"/>
          <w:b/>
          <w:i w:val="0"/>
          <w:color w:val="181A1F"/>
          <w:sz w:val="20"/>
        </w:rPr>
        <w:t>6-K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(Q1-2026) confirms </w:t>
      </w:r>
      <w:r>
        <w:rPr>
          <w:rFonts w:ascii="Georgia" w:hAnsi="Georgia" w:eastAsia="Georgia"/>
          <w:b/>
          <w:i w:val="0"/>
          <w:color w:val="181A1F"/>
          <w:sz w:val="20"/>
        </w:rPr>
        <w:t>AI-cloud infrastructure revenue +79% YoY and GPU-cloud +184% YoY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yet "AI Applications" revenue is only ~</w:t>
      </w:r>
      <w:r>
        <w:rPr>
          <w:rFonts w:ascii="Georgia" w:hAnsi="Georgia" w:eastAsia="Georgia"/>
          <w:b/>
          <w:i w:val="0"/>
          <w:color w:val="181A1F"/>
          <w:sz w:val="20"/>
        </w:rPr>
        <w:t>RMB 2.5bn, roughly flat YoY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despite 200m+ Ernie MAU. Usage is real; </w:t>
      </w:r>
      <w:r>
        <w:rPr>
          <w:rFonts w:ascii="Georgia" w:hAnsi="Georgia" w:eastAsia="Georgia"/>
          <w:b/>
          <w:i w:val="0"/>
          <w:color w:val="181A1F"/>
          <w:sz w:val="20"/>
        </w:rPr>
        <w:t>direct monetization lags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(growth metrics A; the flat app-line to be lifted from the 6-K statement tables).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II.3 Model &amp; app economics — share ≠ revenue (P2)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017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del_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01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II-2 — Model-lab economics: market share ≠ revenue (Zhipu &amp; MiniMax FY2025 filed, B).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Filed reality (now A — audited results).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</w:t>
      </w:r>
      <w:r>
        <w:rPr>
          <w:rFonts w:ascii="Georgia" w:hAnsi="Georgia" w:eastAsia="Georgia"/>
          <w:b/>
          <w:i w:val="0"/>
          <w:color w:val="181A1F"/>
          <w:sz w:val="20"/>
        </w:rPr>
        <w:t>Zhipu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(HKEX:2513) FY2025: revenue </w:t>
      </w:r>
      <w:r>
        <w:rPr>
          <w:rFonts w:ascii="Georgia" w:hAnsi="Georgia" w:eastAsia="Georgia"/>
          <w:b/>
          <w:i w:val="0"/>
          <w:color w:val="181A1F"/>
          <w:sz w:val="20"/>
        </w:rPr>
        <w:t>RMB 724m (+132%)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GAAP net loss </w:t>
      </w:r>
      <w:r>
        <w:rPr>
          <w:rFonts w:ascii="Georgia" w:hAnsi="Georgia" w:eastAsia="Georgia"/>
          <w:b/>
          <w:i w:val="0"/>
          <w:color w:val="181A1F"/>
          <w:sz w:val="20"/>
        </w:rPr>
        <w:t>RMB 4.72bn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but </w:t>
      </w:r>
      <w:r>
        <w:rPr>
          <w:rFonts w:ascii="Georgia" w:hAnsi="Georgia" w:eastAsia="Georgia"/>
          <w:b/>
          <w:i w:val="0"/>
          <w:color w:val="181A1F"/>
          <w:sz w:val="20"/>
        </w:rPr>
        <w:t>adjusted net loss RMB 3.18bn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(the gap is largely non-cash), gross margin 41%. </w:t>
      </w:r>
      <w:r>
        <w:rPr>
          <w:rFonts w:ascii="Georgia" w:hAnsi="Georgia" w:eastAsia="Georgia"/>
          <w:b/>
          <w:i w:val="0"/>
          <w:color w:val="181A1F"/>
          <w:sz w:val="20"/>
        </w:rPr>
        <w:t>MiniMax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(HKEX:0100) FY2025: revenue </w:t>
      </w:r>
      <w:r>
        <w:rPr>
          <w:rFonts w:ascii="Georgia" w:hAnsi="Georgia" w:eastAsia="Georgia"/>
          <w:b/>
          <w:i w:val="0"/>
          <w:color w:val="181A1F"/>
          <w:sz w:val="20"/>
        </w:rPr>
        <w:t>$79m (+159%)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GAAP net loss </w:t>
      </w:r>
      <w:r>
        <w:rPr>
          <w:rFonts w:ascii="Georgia" w:hAnsi="Georgia" w:eastAsia="Georgia"/>
          <w:b/>
          <w:i w:val="0"/>
          <w:color w:val="181A1F"/>
          <w:sz w:val="20"/>
        </w:rPr>
        <w:t>$1.87bn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but </w:t>
      </w:r>
      <w:r>
        <w:rPr>
          <w:rFonts w:ascii="Georgia" w:hAnsi="Georgia" w:eastAsia="Georgia"/>
          <w:b/>
          <w:i w:val="0"/>
          <w:color w:val="181A1F"/>
          <w:sz w:val="20"/>
        </w:rPr>
        <w:t>adjusted net loss only $251m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; the headline loss is overwhelmingly a </w:t>
      </w:r>
      <w:r>
        <w:rPr>
          <w:rFonts w:ascii="Georgia" w:hAnsi="Georgia" w:eastAsia="Georgia"/>
          <w:b/>
          <w:i w:val="0"/>
          <w:color w:val="181A1F"/>
          <w:sz w:val="20"/>
        </w:rPr>
        <w:t>non-cash fair-value charge on convertible/preferred instruments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not cash burn. ~⅔ (AI-native products $53m) from consumer apps (Talkie/Hailuo), &gt;70% of revenue international. </w:t>
      </w:r>
      <w:r>
        <w:rPr>
          <w:rFonts w:ascii="Georgia" w:hAnsi="Georgia" w:eastAsia="Georgia"/>
          <w:b w:val="0"/>
          <w:i/>
          <w:color w:val="181A1F"/>
          <w:sz w:val="20"/>
        </w:rPr>
        <w:t>The distinction matters: on GAAP these labs look catastrophically loss-making; on cash the burn is an order of magnitude smaller.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Open-weight monetization reality.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Open models win </w:t>
      </w:r>
      <w:r>
        <w:rPr>
          <w:rFonts w:ascii="Georgia" w:hAnsi="Georgia" w:eastAsia="Georgia"/>
          <w:b/>
          <w:i w:val="0"/>
          <w:color w:val="181A1F"/>
          <w:sz w:val="20"/>
        </w:rPr>
        <w:t>token share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but earn little </w:t>
      </w:r>
      <w:r>
        <w:rPr>
          <w:rFonts w:ascii="Georgia" w:hAnsi="Georgia" w:eastAsia="Georgia"/>
          <w:b/>
          <w:i w:val="0"/>
          <w:color w:val="181A1F"/>
          <w:sz w:val="20"/>
        </w:rPr>
        <w:t>directly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; monetization is indirect (cloud pull-through, enterprise support, closed tiers). </w:t>
      </w:r>
      <w:r>
        <w:rPr>
          <w:rFonts w:ascii="Georgia" w:hAnsi="Georgia" w:eastAsia="Georgia"/>
          <w:b/>
          <w:i w:val="0"/>
          <w:color w:val="181A1F"/>
          <w:sz w:val="20"/>
        </w:rPr>
        <w:t>DeepSeek, Moonshot and ByteDance model-level revenue are not reliably disclosed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DeepSeek estimates span ~80–100× across sources — so we </w:t>
      </w:r>
      <w:r>
        <w:rPr>
          <w:rFonts w:ascii="Georgia" w:hAnsi="Georgia" w:eastAsia="Georgia"/>
          <w:b/>
          <w:i w:val="0"/>
          <w:color w:val="181A1F"/>
          <w:sz w:val="20"/>
        </w:rPr>
        <w:t>decline to state a figure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rather than launder an estimate into a fact.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OpenClaw &amp; the enterprise inflection.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The viral </w:t>
      </w:r>
      <w:r>
        <w:rPr>
          <w:rFonts w:ascii="Georgia" w:hAnsi="Georgia" w:eastAsia="Georgia"/>
          <w:b/>
          <w:i w:val="0"/>
          <w:color w:val="181A1F"/>
          <w:sz w:val="20"/>
        </w:rPr>
        <w:t>OpenClaw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agent spurred </w:t>
      </w:r>
      <w:r>
        <w:rPr>
          <w:rFonts w:ascii="Georgia" w:hAnsi="Georgia" w:eastAsia="Georgia"/>
          <w:b/>
          <w:i w:val="0"/>
          <w:color w:val="181A1F"/>
          <w:sz w:val="20"/>
        </w:rPr>
        <w:t>Alibaba (Wukong)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and </w:t>
      </w:r>
      <w:r>
        <w:rPr>
          <w:rFonts w:ascii="Georgia" w:hAnsi="Georgia" w:eastAsia="Georgia"/>
          <w:b/>
          <w:i w:val="0"/>
          <w:color w:val="181A1F"/>
          <w:sz w:val="20"/>
        </w:rPr>
        <w:t>Tencent (ClawPro / WorkBuddy / ClawBot)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to ship enterprise-agent products in 2026. Traction (200+ ClawPro beta orgs, 2,000+ WorkBuddy pilots) is </w:t>
      </w:r>
      <w:r>
        <w:rPr>
          <w:rFonts w:ascii="Georgia" w:hAnsi="Georgia" w:eastAsia="Georgia"/>
          <w:b/>
          <w:i w:val="0"/>
          <w:color w:val="181A1F"/>
          <w:sz w:val="20"/>
        </w:rPr>
        <w:t>vendor-self-reported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directional inflection, not audited demand.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II.4 Talent &amp; R&amp;D (P4)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9160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al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1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II-3 — China's AI research output vs its historical talent export (C).</w:t>
      </w:r>
    </w:p>
    <w:p>
      <w:pPr>
        <w:pStyle w:val="ListBullet"/>
        <w:spacing w:after="40"/>
      </w:pPr>
      <w:r>
        <w:rPr>
          <w:rFonts w:ascii="Georgia" w:hAnsi="Georgia" w:eastAsia="Georgia"/>
          <w:b w:val="0"/>
          <w:i w:val="0"/>
          <w:color w:val="181A1F"/>
          <w:sz w:val="20"/>
        </w:rPr>
        <w:t>*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China leads on research </w:t>
      </w:r>
      <w:r>
        <w:rPr>
          <w:rFonts w:ascii="Georgia" w:hAnsi="Georgia" w:eastAsia="Georgia"/>
          <w:b w:val="0"/>
          <w:i w:val="0"/>
          <w:color w:val="181A1F"/>
          <w:sz w:val="20"/>
        </w:rPr>
        <w:t>output</w:t>
      </w:r>
      <w:r>
        <w:rPr>
          <w:rFonts w:ascii="Georgia" w:hAnsi="Georgia" w:eastAsia="Georgia"/>
          <w:b w:val="0"/>
          <w:i/>
          <w:color w:val="181A1F"/>
          <w:sz w:val="20"/>
        </w:rPr>
        <w:t>: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</w:t>
      </w:r>
      <w:r>
        <w:rPr>
          <w:rFonts w:ascii="Georgia" w:hAnsi="Georgia" w:eastAsia="Georgia"/>
          <w:b w:val="0"/>
          <w:i/>
          <w:color w:val="181A1F"/>
          <w:sz w:val="20"/>
        </w:rPr>
        <w:t>69.7%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of global AI patent filings, </w:t>
      </w:r>
      <w:r>
        <w:rPr>
          <w:rFonts w:ascii="Georgia" w:hAnsi="Georgia" w:eastAsia="Georgia"/>
          <w:b w:val="0"/>
          <w:i/>
          <w:color w:val="181A1F"/>
          <w:sz w:val="20"/>
        </w:rPr>
        <w:t>23.2%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of publications, and produces </w:t>
      </w:r>
      <w:r>
        <w:rPr>
          <w:rFonts w:ascii="Georgia" w:hAnsi="Georgia" w:eastAsia="Georgia"/>
          <w:b w:val="0"/>
          <w:i/>
          <w:color w:val="181A1F"/>
          <w:sz w:val="20"/>
        </w:rPr>
        <w:t>38%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of the world's elite AI researchers by origin. </w:t>
      </w:r>
      <w:r>
        <w:rPr>
          <w:rFonts w:ascii="Georgia" w:hAnsi="Georgia" w:eastAsia="Georgia"/>
          <w:b w:val="0"/>
          <w:i/>
          <w:color w:val="181A1F"/>
          <w:sz w:val="20"/>
        </w:rPr>
        <w:t>But historically 72%</w:t>
      </w:r>
      <w:r>
        <w:rPr>
          <w:rFonts w:ascii="Georgia" w:hAnsi="Georgia" w:eastAsia="Georgia"/>
          <w:b w:val="0"/>
          <w:i/>
          <w:color w:val="181A1F"/>
          <w:sz w:val="20"/>
        </w:rPr>
        <w:t xml:space="preserve"> of China-educated elite researchers ended up at </w:t>
      </w:r>
      <w:r>
        <w:rPr>
          <w:rFonts w:ascii="Georgia" w:hAnsi="Georgia" w:eastAsia="Georgia"/>
          <w:b w:val="0"/>
          <w:i/>
          <w:color w:val="181A1F"/>
          <w:sz w:val="20"/>
        </w:rPr>
        <w:t>US</w:t>
      </w:r>
      <w:r>
        <w:rPr>
          <w:rFonts w:ascii="Georgia" w:hAnsi="Georgia" w:eastAsia="Georgia"/>
          <w:b w:val="0"/>
          <w:i w:val="0"/>
          <w:color w:val="181A1F"/>
          <w:sz w:val="20"/>
        </w:rPr>
        <w:t>* institutions (only ~11% stayed).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The 2025–26 reflow signal: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US visa tightening + Stanford AI Index's finding that AI-talent migration </w:t>
      </w:r>
      <w:r>
        <w:rPr>
          <w:rFonts w:ascii="Georgia" w:hAnsi="Georgia" w:eastAsia="Georgia"/>
          <w:b w:val="0"/>
          <w:i/>
          <w:color w:val="181A1F"/>
          <w:sz w:val="20"/>
        </w:rPr>
        <w:t>into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the US fell </w:t>
      </w:r>
      <w:r>
        <w:rPr>
          <w:rFonts w:ascii="Georgia" w:hAnsi="Georgia" w:eastAsia="Georgia"/>
          <w:b/>
          <w:i w:val="0"/>
          <w:color w:val="181A1F"/>
          <w:sz w:val="20"/>
        </w:rPr>
        <w:t>~89% since 2017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+ China's new K-visa point to talent returning — but this is a </w:t>
      </w:r>
      <w:r>
        <w:rPr>
          <w:rFonts w:ascii="Georgia" w:hAnsi="Georgia" w:eastAsia="Georgia"/>
          <w:b/>
          <w:i w:val="0"/>
          <w:color w:val="181A1F"/>
          <w:sz w:val="20"/>
        </w:rPr>
        <w:t>signal, not yet a measured stock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(DeepSeek's ~70% US-experienced returnees is one firm, not a population statistic).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The gap that binds: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 chip-design / EDA talent shortage (recruiter estimates of 200–300k, </w:t>
      </w:r>
      <w:r>
        <w:rPr>
          <w:rFonts w:ascii="Georgia" w:hAnsi="Georgia" w:eastAsia="Georgia"/>
          <w:b/>
          <w:i w:val="0"/>
          <w:color w:val="181A1F"/>
          <w:sz w:val="20"/>
        </w:rPr>
        <w:t>D</w:t>
      </w:r>
      <w:r>
        <w:rPr>
          <w:rFonts w:ascii="Georgia" w:hAnsi="Georgia" w:eastAsia="Georgia"/>
          <w:b w:val="0"/>
          <w:i w:val="0"/>
          <w:color w:val="181A1F"/>
          <w:sz w:val="20"/>
        </w:rPr>
        <w:t>) — the human-capital mirror of the EUV/EDA tooling gap.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II.5 Global investability — the US is the outlier (P5)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For a </w:t>
      </w:r>
      <w:r>
        <w:rPr>
          <w:rFonts w:ascii="Georgia" w:hAnsi="Georgia" w:eastAsia="Georgia"/>
          <w:b/>
          <w:i w:val="0"/>
          <w:color w:val="181A1F"/>
          <w:sz w:val="21"/>
        </w:rPr>
        <w:t>globally-distributed client base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the key correction to Part I: </w:t>
      </w:r>
      <w:r>
        <w:rPr>
          <w:rFonts w:ascii="Georgia" w:hAnsi="Georgia" w:eastAsia="Georgia"/>
          <w:b/>
          <w:i w:val="0"/>
          <w:color w:val="181A1F"/>
          <w:sz w:val="21"/>
        </w:rPr>
        <w:t>the US is uniquely constrained, not the norm.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EU / UK / Japan / Korea / Singapore / Gulf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investors face </w:t>
      </w:r>
      <w:r>
        <w:rPr>
          <w:rFonts w:ascii="Georgia" w:hAnsi="Georgia" w:eastAsia="Georgia"/>
          <w:b/>
          <w:i w:val="0"/>
          <w:color w:val="181A1F"/>
          <w:sz w:val="20"/>
        </w:rPr>
        <w:t>no domicile-specific legal bar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on most listed China-AI names — </w:t>
      </w:r>
      <w:r>
        <w:rPr>
          <w:rFonts w:ascii="Georgia" w:hAnsi="Georgia" w:eastAsia="Georgia"/>
          <w:b w:val="0"/>
          <w:i/>
          <w:color w:val="181A1F"/>
          <w:sz w:val="20"/>
        </w:rPr>
        <w:t>including the Entity-Listed GPU IPOs.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Access is gated by </w:t>
      </w:r>
      <w:r>
        <w:rPr>
          <w:rFonts w:ascii="Georgia" w:hAnsi="Georgia" w:eastAsia="Georgia"/>
          <w:b/>
          <w:i w:val="0"/>
          <w:color w:val="181A1F"/>
          <w:sz w:val="20"/>
        </w:rPr>
        <w:t>market mechanics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(Stock Connect seasoning, STAR/ChiNext professional-investor-only rules, QFII licensing, ~20% A-share inclusion factor), not national law.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US persons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are the exception (Entity List + Treasury </w:t>
      </w:r>
      <w:r>
        <w:rPr>
          <w:rFonts w:ascii="Georgia" w:hAnsi="Georgia" w:eastAsia="Georgia"/>
          <w:b/>
          <w:i w:val="0"/>
          <w:color w:val="181A1F"/>
          <w:sz w:val="20"/>
        </w:rPr>
        <w:t>OISP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) — though OISP carries a </w:t>
      </w:r>
      <w:r>
        <w:rPr>
          <w:rFonts w:ascii="Georgia" w:hAnsi="Georgia" w:eastAsia="Georgia"/>
          <w:b/>
          <w:i w:val="0"/>
          <w:color w:val="181A1F"/>
          <w:sz w:val="20"/>
        </w:rPr>
        <w:t>passive-index exemption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for small, non-controlling holdings (a correction to v1's stronger "US persons excluded" framing).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Taiwan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is the one </w:t>
      </w:r>
      <w:r>
        <w:rPr>
          <w:rFonts w:ascii="Georgia" w:hAnsi="Georgia" w:eastAsia="Georgia"/>
          <w:b/>
          <w:i w:val="0"/>
          <w:color w:val="181A1F"/>
          <w:sz w:val="20"/>
        </w:rPr>
        <w:t>symmetric legal barrier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(restricting its </w:t>
      </w:r>
      <w:r>
        <w:rPr>
          <w:rFonts w:ascii="Georgia" w:hAnsi="Georgia" w:eastAsia="Georgia"/>
          <w:b w:val="0"/>
          <w:i/>
          <w:color w:val="181A1F"/>
          <w:sz w:val="20"/>
        </w:rPr>
        <w:t>own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capital into mainland tech). Japan's </w:t>
      </w:r>
      <w:r>
        <w:rPr>
          <w:rFonts w:ascii="Georgia" w:hAnsi="Georgia" w:eastAsia="Georgia"/>
          <w:b/>
          <w:i w:val="0"/>
          <w:color w:val="181A1F"/>
          <w:sz w:val="20"/>
        </w:rPr>
        <w:t>GPIF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voluntarily excluding China A-shares (2025–30) is a checkable </w:t>
      </w:r>
      <w:r>
        <w:rPr>
          <w:rFonts w:ascii="Georgia" w:hAnsi="Georgia" w:eastAsia="Georgia"/>
          <w:b/>
          <w:i w:val="0"/>
          <w:color w:val="181A1F"/>
          <w:sz w:val="20"/>
        </w:rPr>
        <w:t>prudential de-risking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signal.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The swing factor to monitor: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 single-sourced Reuters report (Jul-2026) that Beijing may curb </w:t>
      </w:r>
      <w:r>
        <w:rPr>
          <w:rFonts w:ascii="Georgia" w:hAnsi="Georgia" w:eastAsia="Georgia"/>
          <w:b/>
          <w:i w:val="0"/>
          <w:color w:val="181A1F"/>
          <w:sz w:val="20"/>
        </w:rPr>
        <w:t>foreign access to Chinese AI models and which investors may back homegrown AI firms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if enacted, the </w:t>
      </w:r>
      <w:r>
        <w:rPr>
          <w:rFonts w:ascii="Georgia" w:hAnsi="Georgia" w:eastAsia="Georgia"/>
          <w:b/>
          <w:i w:val="0"/>
          <w:color w:val="181A1F"/>
          <w:sz w:val="20"/>
        </w:rPr>
        <w:t>first China-side capital wall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on the sector (D; undecided per its own sources). A full </w:t>
      </w:r>
      <w:r>
        <w:rPr>
          <w:rFonts w:ascii="Georgia" w:hAnsi="Georgia" w:eastAsia="Georgia"/>
          <w:b w:val="0"/>
          <w:i/>
          <w:color w:val="181A1F"/>
          <w:sz w:val="20"/>
        </w:rPr>
        <w:t>who-can-own-what by investor domicile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matrix is in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research/v2_p5_global_reg.md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II.6 Index exposure — you may already own the stack (P6)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056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dex_we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0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II-4 — AI-stack weight inside major China indices (named leaders = a floor; C).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AI-stack names are </w:t>
      </w:r>
      <w:r>
        <w:rPr>
          <w:rFonts w:ascii="Georgia" w:hAnsi="Georgia" w:eastAsia="Georgia"/>
          <w:b/>
          <w:i w:val="0"/>
          <w:color w:val="181A1F"/>
          <w:sz w:val="21"/>
        </w:rPr>
        <w:t>structurally over-represented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in every major China benchmark: </w:t>
      </w:r>
      <w:r>
        <w:rPr>
          <w:rFonts w:ascii="Georgia" w:hAnsi="Georgia" w:eastAsia="Georgia"/>
          <w:b/>
          <w:i w:val="0"/>
          <w:color w:val="181A1F"/>
          <w:sz w:val="21"/>
        </w:rPr>
        <w:t>~23.5%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of MSCI China sits in just </w:t>
      </w:r>
      <w:r>
        <w:rPr>
          <w:rFonts w:ascii="Georgia" w:hAnsi="Georgia" w:eastAsia="Georgia"/>
          <w:b/>
          <w:i w:val="0"/>
          <w:color w:val="181A1F"/>
          <w:sz w:val="21"/>
        </w:rPr>
        <w:t>Tencent + Alibaba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; </w:t>
      </w:r>
      <w:r>
        <w:rPr>
          <w:rFonts w:ascii="Georgia" w:hAnsi="Georgia" w:eastAsia="Georgia"/>
          <w:b/>
          <w:i w:val="0"/>
          <w:color w:val="181A1F"/>
          <w:sz w:val="21"/>
        </w:rPr>
        <w:t>~17.9%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of </w:t>
      </w:r>
      <w:r>
        <w:rPr>
          <w:rFonts w:ascii="Georgia" w:hAnsi="Georgia" w:eastAsia="Georgia"/>
          <w:b/>
          <w:i w:val="0"/>
          <w:color w:val="181A1F"/>
          <w:sz w:val="21"/>
        </w:rPr>
        <w:t>HSTECH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in </w:t>
      </w:r>
      <w:r>
        <w:rPr>
          <w:rFonts w:ascii="Georgia" w:hAnsi="Georgia" w:eastAsia="Georgia"/>
          <w:b/>
          <w:i w:val="0"/>
          <w:color w:val="181A1F"/>
          <w:sz w:val="21"/>
        </w:rPr>
        <w:t>SMIC + Tencent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; </w:t>
      </w:r>
      <w:r>
        <w:rPr>
          <w:rFonts w:ascii="Georgia" w:hAnsi="Georgia" w:eastAsia="Georgia"/>
          <w:b/>
          <w:i w:val="0"/>
          <w:color w:val="181A1F"/>
          <w:sz w:val="21"/>
        </w:rPr>
        <w:t>Innolight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the single </w:t>
      </w:r>
      <w:r>
        <w:rPr>
          <w:rFonts w:ascii="Georgia" w:hAnsi="Georgia" w:eastAsia="Georgia"/>
          <w:b/>
          <w:i w:val="0"/>
          <w:color w:val="181A1F"/>
          <w:sz w:val="21"/>
        </w:rPr>
        <w:t>largest CSI 300 weight (~5%)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having overtaken CATL. Implication for allocators: </w:t>
      </w:r>
      <w:r>
        <w:rPr>
          <w:rFonts w:ascii="Georgia" w:hAnsi="Georgia" w:eastAsia="Georgia"/>
          <w:b/>
          <w:i w:val="0"/>
          <w:color w:val="181A1F"/>
          <w:sz w:val="21"/>
        </w:rPr>
        <w:t>passive China exposure already carries heavy AI-stack beta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the active decision is </w:t>
      </w:r>
      <w:r>
        <w:rPr>
          <w:rFonts w:ascii="Georgia" w:hAnsi="Georgia" w:eastAsia="Georgia"/>
          <w:b w:val="0"/>
          <w:i/>
          <w:color w:val="181A1F"/>
          <w:sz w:val="21"/>
        </w:rPr>
        <w:t>tilt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not </w:t>
      </w:r>
      <w:r>
        <w:rPr>
          <w:rFonts w:ascii="Georgia" w:hAnsi="Georgia" w:eastAsia="Georgia"/>
          <w:b w:val="0"/>
          <w:i/>
          <w:color w:val="181A1F"/>
          <w:sz w:val="21"/>
        </w:rPr>
        <w:t>initiation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. Full ISIN / GICS / index-membership table: </w:t>
      </w:r>
      <w:r>
        <w:rPr>
          <w:rFonts w:ascii="Consolas" w:hAnsi="Consolas" w:eastAsia="Consolas"/>
          <w:b w:val="0"/>
          <w:i w:val="0"/>
          <w:color w:val="2C6E7A"/>
          <w:sz w:val="20"/>
        </w:rPr>
        <w:t>database/company_reference.csv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(all C/D — index-provider PDFs were inaccessible to automated fetch).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II.7 What the red-team changed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>An adversarial reviewer challenged every load-bearing claim (</w:t>
      </w:r>
      <w:r>
        <w:rPr>
          <w:rFonts w:ascii="Consolas" w:hAnsi="Consolas" w:eastAsia="Consolas"/>
          <w:b w:val="0"/>
          <w:i w:val="0"/>
          <w:color w:val="2C6E7A"/>
          <w:sz w:val="20"/>
        </w:rPr>
        <w:t>research/review/redteam_v2.md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); a follow-up </w:t>
      </w:r>
      <w:r>
        <w:rPr>
          <w:rFonts w:ascii="Georgia" w:hAnsi="Georgia" w:eastAsia="Georgia"/>
          <w:b/>
          <w:i w:val="0"/>
          <w:color w:val="181A1F"/>
          <w:sz w:val="21"/>
        </w:rPr>
        <w:t>primary-source pass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then closed the flags it raised (</w:t>
      </w:r>
      <w:r>
        <w:rPr>
          <w:rFonts w:ascii="Consolas" w:hAnsi="Consolas" w:eastAsia="Consolas"/>
          <w:b w:val="0"/>
          <w:i w:val="0"/>
          <w:color w:val="2C6E7A"/>
          <w:sz w:val="20"/>
        </w:rPr>
        <w:t>research/review/primary_validation_2026-07.md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). Result: </w:t>
      </w:r>
      <w:r>
        <w:rPr>
          <w:rFonts w:ascii="Georgia" w:hAnsi="Georgia" w:eastAsia="Georgia"/>
          <w:b/>
          <w:i w:val="0"/>
          <w:color w:val="181A1F"/>
          <w:sz w:val="21"/>
        </w:rPr>
        <w:t>fit to integrate with fixes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Biren's ticker corrected (→ </w:t>
      </w:r>
      <w:r>
        <w:rPr>
          <w:rFonts w:ascii="Georgia" w:hAnsi="Georgia" w:eastAsia="Georgia"/>
          <w:b/>
          <w:i w:val="0"/>
          <w:color w:val="181A1F"/>
          <w:sz w:val="21"/>
        </w:rPr>
        <w:t>HKEX:6082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); and the three "to-verify" items now </w:t>
      </w:r>
      <w:r>
        <w:rPr>
          <w:rFonts w:ascii="Georgia" w:hAnsi="Georgia" w:eastAsia="Georgia"/>
          <w:b/>
          <w:i w:val="0"/>
          <w:color w:val="181A1F"/>
          <w:sz w:val="21"/>
        </w:rPr>
        <w:t>resolved against company filings (A)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</w:t>
      </w:r>
      <w:r>
        <w:rPr>
          <w:rFonts w:ascii="Georgia" w:hAnsi="Georgia" w:eastAsia="Georgia"/>
          <w:b/>
          <w:i w:val="0"/>
          <w:color w:val="181A1F"/>
          <w:sz w:val="21"/>
        </w:rPr>
        <w:t>(i) Alibaba FCF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confirmed negative in two of the last three quarters (−RMB 21.8bn / +RMB 11.3bn / −RMB 17.3bn); </w:t>
      </w:r>
      <w:r>
        <w:rPr>
          <w:rFonts w:ascii="Georgia" w:hAnsi="Georgia" w:eastAsia="Georgia"/>
          <w:b/>
          <w:i w:val="0"/>
          <w:color w:val="181A1F"/>
          <w:sz w:val="21"/>
        </w:rPr>
        <w:t>(ii) Zhipu's follow-on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confirmed as the ~US$4.0bn 8-Jul-2026 placement; </w:t>
      </w:r>
      <w:r>
        <w:rPr>
          <w:rFonts w:ascii="Georgia" w:hAnsi="Georgia" w:eastAsia="Georgia"/>
          <w:b/>
          <w:i w:val="0"/>
          <w:color w:val="181A1F"/>
          <w:sz w:val="21"/>
        </w:rPr>
        <w:t>(iii) CXMT's valuation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reframed from a vague "295bn–3tn range" to the IPO-price (~RMB 295bn) vs expected post-pop cap (RMB 2–3tn) spread, straight from the STAR prospectus. Zhipu &amp; MiniMax FY2025 economics upgraded </w:t>
      </w:r>
      <w:r>
        <w:rPr>
          <w:rFonts w:ascii="Georgia" w:hAnsi="Georgia" w:eastAsia="Georgia"/>
          <w:b/>
          <w:i w:val="0"/>
          <w:color w:val="181A1F"/>
          <w:sz w:val="21"/>
        </w:rPr>
        <w:t>B→A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with an adjusted-loss nuance (GAAP losses are largely non-cash). A standing caveat remains that </w:t>
      </w:r>
      <w:r>
        <w:rPr>
          <w:rFonts w:ascii="Georgia" w:hAnsi="Georgia" w:eastAsia="Georgia"/>
          <w:b/>
          <w:i w:val="0"/>
          <w:color w:val="181A1F"/>
          <w:sz w:val="21"/>
        </w:rPr>
        <w:t>all index weights are search-mediated (C/D)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</w:t>
      </w:r>
      <w:r>
        <w:rPr>
          <w:rFonts w:ascii="Georgia" w:hAnsi="Georgia" w:eastAsia="Georgia"/>
          <w:b/>
          <w:i w:val="0"/>
          <w:color w:val="181A1F"/>
          <w:sz w:val="21"/>
        </w:rPr>
        <w:t>YMTC's valuation stays 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(private). The batch's defining strength, per the review, was </w:t>
      </w:r>
      <w:r>
        <w:rPr>
          <w:rFonts w:ascii="Georgia" w:hAnsi="Georgia" w:eastAsia="Georgia"/>
          <w:b/>
          <w:i w:val="0"/>
          <w:color w:val="181A1F"/>
          <w:sz w:val="21"/>
        </w:rPr>
        <w:t>confidence honesty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the pods flagged their own weak data instead of inventing precision, and the flags proved verifiable.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Appendix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A. Methodology &amp; confidence grading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see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/database/schema.md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and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/database/RECONCILIATION.md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B. Company master &amp; data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/database/company_master.csv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company_reference.csv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(ISIN/GICS/index membership),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metrics_timeseries.csv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policy_funding_tracker.csv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model_catalog.csv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chip_catalog.csv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sources.csv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C. Analyst pod memos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Part I: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/research/pod1…pod6_*.md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. Part II (v2):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/research/v2_p1…p6_*.md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(hyperscaler economics, model economics, demand-split &amp; priced-in, talent, global regulation, index/reference data).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D. Glossary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/report/GLOSSARY.md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(also appended to the .docx).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E. Adversarial review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/research/review/redteam_v2.md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(challenge log + must-fixes).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F. Resolved vs still-open.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</w:t>
      </w:r>
      <w:r>
        <w:rPr>
          <w:rFonts w:ascii="Georgia" w:hAnsi="Georgia" w:eastAsia="Georgia"/>
          <w:b w:val="0"/>
          <w:i/>
          <w:color w:val="181A1F"/>
          <w:sz w:val="20"/>
        </w:rPr>
        <w:t>Resolved against primary filings (Jul-2026, grade A — see `research/review/primary_validation_2026-07.md`):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Alibaba FCF; Zhipu follow-on (~$4.0bn placement); CXMT valuation/prospectus economics; Zhipu &amp; MiniMax FY2025 (B→A); Biren ticker (→ HKEX:6082). </w:t>
      </w:r>
      <w:r>
        <w:rPr>
          <w:rFonts w:ascii="Georgia" w:hAnsi="Georgia" w:eastAsia="Georgia"/>
          <w:b w:val="0"/>
          <w:i/>
          <w:color w:val="181A1F"/>
          <w:sz w:val="20"/>
        </w:rPr>
        <w:t>Still open (C/D):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Nvidia's true China share; </w:t>
      </w:r>
      <w:r>
        <w:rPr>
          <w:rFonts w:ascii="Georgia" w:hAnsi="Georgia" w:eastAsia="Georgia"/>
          <w:b/>
          <w:i w:val="0"/>
          <w:color w:val="181A1F"/>
          <w:sz w:val="20"/>
        </w:rPr>
        <w:t>YMTC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valuation (private); indigenous-EUV timeline; DeepSeek/Moonshot model revenue; Baidu's exact "AI Applications" sub-line. See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RECONCILIATION.md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G. Reference scaffolding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Bridgewater ×3, Sands Capital, Exponential View (</w:t>
      </w:r>
      <w:r>
        <w:rPr>
          <w:rFonts w:ascii="Consolas" w:hAnsi="Consolas" w:eastAsia="Consolas"/>
          <w:b w:val="0"/>
          <w:i w:val="0"/>
          <w:color w:val="2C6E7A"/>
          <w:sz w:val="19"/>
        </w:rPr>
        <w:t>sources.csv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REF-*).</w:t>
      </w:r>
    </w:p>
    <w:p>
      <w:r>
        <w:br w:type="page"/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44"/>
        </w:rPr>
        <w:t>Glossary &amp; Concept Primer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/>
          <w:color w:val="181A1F"/>
          <w:sz w:val="21"/>
        </w:rPr>
        <w:t xml:space="preserve">For readers who are not semiconductor or AI-infrastructure specialists. Terms are grouped by where they sit in the stack. Each entry explains what the thing </w:t>
      </w:r>
      <w:r>
        <w:rPr>
          <w:rFonts w:ascii="Georgia" w:hAnsi="Georgia" w:eastAsia="Georgia"/>
          <w:b w:val="0"/>
          <w:i/>
          <w:color w:val="181A1F"/>
          <w:sz w:val="21"/>
        </w:rPr>
        <w:t>is</w:t>
      </w:r>
      <w:r>
        <w:rPr>
          <w:rFonts w:ascii="Georgia" w:hAnsi="Georgia" w:eastAsia="Georgia"/>
          <w:b w:val="0"/>
          <w:i/>
          <w:color w:val="181A1F"/>
          <w:sz w:val="21"/>
        </w:rPr>
        <w:t xml:space="preserve"> and why it </w:t>
      </w:r>
      <w:r>
        <w:rPr>
          <w:rFonts w:ascii="Georgia" w:hAnsi="Georgia" w:eastAsia="Georgia"/>
          <w:b w:val="0"/>
          <w:i/>
          <w:color w:val="181A1F"/>
          <w:sz w:val="21"/>
        </w:rPr>
        <w:t>matters</w:t>
      </w:r>
      <w:r>
        <w:rPr>
          <w:rFonts w:ascii="Georgia" w:hAnsi="Georgia" w:eastAsia="Georgia"/>
          <w:b w:val="0"/>
          <w:i/>
          <w:color w:val="181A1F"/>
          <w:sz w:val="21"/>
        </w:rPr>
        <w:t xml:space="preserve"> to the investment case.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The manufacturing stack (how a chip gets made)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Node (e.g. "7nm", "5nm")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shorthand for a chip-manufacturing generation. Smaller numbers = denser, faster, more power-efficient transistors. China is largely stuck at </w:t>
      </w:r>
      <w:r>
        <w:rPr>
          <w:rFonts w:ascii="Georgia" w:hAnsi="Georgia" w:eastAsia="Georgia"/>
          <w:b/>
          <w:i w:val="0"/>
          <w:color w:val="181A1F"/>
          <w:sz w:val="20"/>
        </w:rPr>
        <w:t>7nm-class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; the global frontier is ~2–3nm. </w:t>
      </w:r>
      <w:r>
        <w:rPr>
          <w:rFonts w:ascii="Georgia" w:hAnsi="Georgia" w:eastAsia="Georgia"/>
          <w:b w:val="0"/>
          <w:i/>
          <w:color w:val="181A1F"/>
          <w:sz w:val="20"/>
        </w:rPr>
        <w:t>Why it matters: node = how good your chips can be.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WFE (Wafer Fab Equipment)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machines inside a chip factory ("fab") that build chips layer by layer: lithography, etch, deposition, cleaning, etc. </w:t>
      </w:r>
      <w:r>
        <w:rPr>
          <w:rFonts w:ascii="Georgia" w:hAnsi="Georgia" w:eastAsia="Georgia"/>
          <w:b w:val="0"/>
          <w:i/>
          <w:color w:val="181A1F"/>
          <w:sz w:val="20"/>
        </w:rPr>
        <w:t>A fab is only as capable as its WFE.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Lithography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step that prints circuit patterns onto the silicon wafer using light. The most critical and hardest-to-replicate tool.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EUV (Extreme Ultra-Violet lithography)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most advanced lithography, using 13.5nm-wavelength light; required to make sub-7nm chips economically. Made </w:t>
      </w:r>
      <w:r>
        <w:rPr>
          <w:rFonts w:ascii="Georgia" w:hAnsi="Georgia" w:eastAsia="Georgia"/>
          <w:b/>
          <w:i w:val="0"/>
          <w:color w:val="181A1F"/>
          <w:sz w:val="20"/>
        </w:rPr>
        <w:t>only by ASML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(Netherlands) and </w:t>
      </w:r>
      <w:r>
        <w:rPr>
          <w:rFonts w:ascii="Georgia" w:hAnsi="Georgia" w:eastAsia="Georgia"/>
          <w:b/>
          <w:i w:val="0"/>
          <w:color w:val="181A1F"/>
          <w:sz w:val="20"/>
        </w:rPr>
        <w:t>banned from export to China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. </w:t>
      </w:r>
      <w:r>
        <w:rPr>
          <w:rFonts w:ascii="Georgia" w:hAnsi="Georgia" w:eastAsia="Georgia"/>
          <w:b w:val="0"/>
          <w:i/>
          <w:color w:val="181A1F"/>
          <w:sz w:val="20"/>
        </w:rPr>
        <w:t>This is the single binding chokepoint in China's stack.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DUV (Deep Ultra-Violet lithography)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previous-generation, longer-wavelength lithography China </w:t>
      </w:r>
      <w:r>
        <w:rPr>
          <w:rFonts w:ascii="Georgia" w:hAnsi="Georgia" w:eastAsia="Georgia"/>
          <w:b w:val="0"/>
          <w:i/>
          <w:color w:val="181A1F"/>
          <w:sz w:val="20"/>
        </w:rPr>
        <w:t>can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access (with restrictions). </w:t>
      </w:r>
      <w:r>
        <w:rPr>
          <w:rFonts w:ascii="Georgia" w:hAnsi="Georgia" w:eastAsia="Georgia"/>
          <w:b w:val="0"/>
          <w:i/>
          <w:color w:val="181A1F"/>
          <w:sz w:val="20"/>
        </w:rPr>
        <w:t>China's workaround for the EUV ban.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Multipatterning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using DUV several times over to fake the resolution of one EUV pass. It works but costs more steps, lower yield, higher cost. </w:t>
      </w:r>
      <w:r>
        <w:rPr>
          <w:rFonts w:ascii="Georgia" w:hAnsi="Georgia" w:eastAsia="Georgia"/>
          <w:b w:val="0"/>
          <w:i/>
          <w:color w:val="181A1F"/>
          <w:sz w:val="20"/>
        </w:rPr>
        <w:t>The "tax" China pays for lacking EUV.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Etch / Deposition / Cleaning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other core fab steps (carving patterns, laying down material, removing residue). Where China's own tool-makers (AMEC, NAURA, ACM) are strongest.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EDA (Electronic Design Automation)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software used to </w:t>
      </w:r>
      <w:r>
        <w:rPr>
          <w:rFonts w:ascii="Georgia" w:hAnsi="Georgia" w:eastAsia="Georgia"/>
          <w:b w:val="0"/>
          <w:i/>
          <w:color w:val="181A1F"/>
          <w:sz w:val="20"/>
        </w:rPr>
        <w:t>design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chips before they're built (Synopsys, Cadence, Siemens). China depends on foreign EDA; a wide gap.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Yield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percentage of chips on a wafer that come out working. Higher = cheaper. China's advanced-node yield (~35%) is far below TSMC's (&gt;80%). </w:t>
      </w:r>
      <w:r>
        <w:rPr>
          <w:rFonts w:ascii="Georgia" w:hAnsi="Georgia" w:eastAsia="Georgia"/>
          <w:b w:val="0"/>
          <w:i/>
          <w:color w:val="181A1F"/>
          <w:sz w:val="20"/>
        </w:rPr>
        <w:t>Low yield = expensive, scarce chips.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Foundry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factory that manufactures chips designed by others (e.g. </w:t>
      </w:r>
      <w:r>
        <w:rPr>
          <w:rFonts w:ascii="Georgia" w:hAnsi="Georgia" w:eastAsia="Georgia"/>
          <w:b/>
          <w:i w:val="0"/>
          <w:color w:val="181A1F"/>
          <w:sz w:val="20"/>
        </w:rPr>
        <w:t>SMIC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</w:t>
      </w:r>
      <w:r>
        <w:rPr>
          <w:rFonts w:ascii="Georgia" w:hAnsi="Georgia" w:eastAsia="Georgia"/>
          <w:b/>
          <w:i w:val="0"/>
          <w:color w:val="181A1F"/>
          <w:sz w:val="20"/>
        </w:rPr>
        <w:t>TSMC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). </w:t>
      </w:r>
      <w:r>
        <w:rPr>
          <w:rFonts w:ascii="Georgia" w:hAnsi="Georgia" w:eastAsia="Georgia"/>
          <w:b w:val="0"/>
          <w:i/>
          <w:color w:val="181A1F"/>
          <w:sz w:val="20"/>
        </w:rPr>
        <w:t>The shared bottleneck behind almost every Chinese AI chip.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Fabless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chip company that designs but does not manufacture (e.g. Montage, most GPU firms); it outsources to a foundry.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Memory &amp; packaging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DRAM / NAND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two main memory types. DRAM = fast working memory; NAND = storage. China's champions: </w:t>
      </w:r>
      <w:r>
        <w:rPr>
          <w:rFonts w:ascii="Georgia" w:hAnsi="Georgia" w:eastAsia="Georgia"/>
          <w:b/>
          <w:i w:val="0"/>
          <w:color w:val="181A1F"/>
          <w:sz w:val="20"/>
        </w:rPr>
        <w:t>CXMT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(DRAM), </w:t>
      </w:r>
      <w:r>
        <w:rPr>
          <w:rFonts w:ascii="Georgia" w:hAnsi="Georgia" w:eastAsia="Georgia"/>
          <w:b/>
          <w:i w:val="0"/>
          <w:color w:val="181A1F"/>
          <w:sz w:val="20"/>
        </w:rPr>
        <w:t>YMTC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(NAND).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HBM (High-Bandwidth Memory)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DRAM chips stacked vertically to feed AI accelerators at very high speed. The </w:t>
      </w:r>
      <w:r>
        <w:rPr>
          <w:rFonts w:ascii="Georgia" w:hAnsi="Georgia" w:eastAsia="Georgia"/>
          <w:b/>
          <w:i w:val="0"/>
          <w:color w:val="181A1F"/>
          <w:sz w:val="20"/>
        </w:rPr>
        <w:t>acute bottleneck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for AI hardware; dominated by SK hynix/Samsung/Micron. China is ~3–4 years behind.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TSV (Through-Silicon Via)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tiny vertical wires that connect stacked memory dies; a prerequisite for building HBM.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Hybrid bonding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an advanced way to fuse chip layers directly (no solder bumps), enabling denser stacking; key to next-gen HBM and chiplets.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Advanced packaging / CoWoS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assembling multiple chips + memory into one high-performance module. </w:t>
      </w:r>
      <w:r>
        <w:rPr>
          <w:rFonts w:ascii="Georgia" w:hAnsi="Georgia" w:eastAsia="Georgia"/>
          <w:b/>
          <w:i w:val="0"/>
          <w:color w:val="181A1F"/>
          <w:sz w:val="20"/>
        </w:rPr>
        <w:t>CoWoS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is TSMC's version (Nvidia's GPUs depend on it). China is building analogs.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Compute &amp; software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GPU / NPU / ASIC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types of AI accelerator chips. </w:t>
      </w:r>
      <w:r>
        <w:rPr>
          <w:rFonts w:ascii="Georgia" w:hAnsi="Georgia" w:eastAsia="Georgia"/>
          <w:b/>
          <w:i w:val="0"/>
          <w:color w:val="181A1F"/>
          <w:sz w:val="20"/>
        </w:rPr>
        <w:t>GPU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general-purpose (Nvidia); </w:t>
      </w:r>
      <w:r>
        <w:rPr>
          <w:rFonts w:ascii="Georgia" w:hAnsi="Georgia" w:eastAsia="Georgia"/>
          <w:b/>
          <w:i w:val="0"/>
          <w:color w:val="181A1F"/>
          <w:sz w:val="20"/>
        </w:rPr>
        <w:t>NPU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neural-processing unit (Huawei Ascend, Cambricon); </w:t>
      </w:r>
      <w:r>
        <w:rPr>
          <w:rFonts w:ascii="Georgia" w:hAnsi="Georgia" w:eastAsia="Georgia"/>
          <w:b/>
          <w:i w:val="0"/>
          <w:color w:val="181A1F"/>
          <w:sz w:val="20"/>
        </w:rPr>
        <w:t>ASIC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custom-built for one job. </w:t>
      </w:r>
      <w:r>
        <w:rPr>
          <w:rFonts w:ascii="Georgia" w:hAnsi="Georgia" w:eastAsia="Georgia"/>
          <w:b w:val="0"/>
          <w:i/>
          <w:color w:val="181A1F"/>
          <w:sz w:val="20"/>
        </w:rPr>
        <w:t>These run AI models.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CUDA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Nvidia's software platform that lets developers program its GPUs. Its huge ecosystem is Nvidia's deepest moat.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CANN / MindSpore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Huawei's attempt at a CUDA alternative. </w:t>
      </w:r>
      <w:r>
        <w:rPr>
          <w:rFonts w:ascii="Georgia" w:hAnsi="Georgia" w:eastAsia="Georgia"/>
          <w:b w:val="0"/>
          <w:i/>
          <w:color w:val="181A1F"/>
          <w:sz w:val="20"/>
        </w:rPr>
        <w:t>Replicating CUDA's ecosystem is a 3–5+ year challenge — the hardest gap to close.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Rack-scale / SuperPoD (e.g. CloudMatrix, Atlas 950)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lashing thousands of chips into one giant "logical" computer. China's strategy: </w:t>
      </w:r>
      <w:r>
        <w:rPr>
          <w:rFonts w:ascii="Georgia" w:hAnsi="Georgia" w:eastAsia="Georgia"/>
          <w:b w:val="0"/>
          <w:i/>
          <w:color w:val="181A1F"/>
          <w:sz w:val="20"/>
        </w:rPr>
        <w:t>lose at the single-chip level, win at the rack level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(at the cost of more power).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Interconnect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wiring/fabric that moves data between chips and memory. As models scale, this becomes the bottleneck. Includes: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Memory-interface chip / retimer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small chips that keep high-speed signals clean between the processor and memory. </w:t>
      </w:r>
      <w:r>
        <w:rPr>
          <w:rFonts w:ascii="Georgia" w:hAnsi="Georgia" w:eastAsia="Georgia"/>
          <w:b/>
          <w:i w:val="0"/>
          <w:color w:val="181A1F"/>
          <w:sz w:val="20"/>
        </w:rPr>
        <w:t>Montage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is the global #1. </w:t>
      </w:r>
      <w:r>
        <w:rPr>
          <w:rFonts w:ascii="Georgia" w:hAnsi="Georgia" w:eastAsia="Georgia"/>
          <w:b w:val="0"/>
          <w:i/>
          <w:color w:val="181A1F"/>
          <w:sz w:val="20"/>
        </w:rPr>
        <w:t>An unglamorous but durable chokepoint.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Optical modules / PCIe / CXL / Ethernet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different data-movement standards; the plumbing of an AI data centre.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Models &amp; applications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Foundation model / LLM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large AI model (e.g. DeepSeek, Qwen, GLM) trained on vast data, adaptable to many tasks.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Open-weight vs closed-weight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Georgia" w:hAnsi="Georgia" w:eastAsia="Georgia"/>
          <w:b w:val="0"/>
          <w:i/>
          <w:color w:val="181A1F"/>
          <w:sz w:val="20"/>
        </w:rPr>
        <w:t>open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the model's parameters are downloadable/free to run (China's strategy: DeepSeek, Qwen, Kimi); </w:t>
      </w:r>
      <w:r>
        <w:rPr>
          <w:rFonts w:ascii="Georgia" w:hAnsi="Georgia" w:eastAsia="Georgia"/>
          <w:b w:val="0"/>
          <w:i/>
          <w:color w:val="181A1F"/>
          <w:sz w:val="20"/>
        </w:rPr>
        <w:t>closed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accessible only via a paid API (OpenAI). </w:t>
      </w:r>
      <w:r>
        <w:rPr>
          <w:rFonts w:ascii="Georgia" w:hAnsi="Georgia" w:eastAsia="Georgia"/>
          <w:b w:val="0"/>
          <w:i/>
          <w:color w:val="181A1F"/>
          <w:sz w:val="20"/>
        </w:rPr>
        <w:t>Open-weight wins share but earns little direct revenue — a key v2 insight.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MoE (Mixture-of-Experts)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model design where only part of the network activates per query, cutting compute cost. Common in Chinese models.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Token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unit AI models read/write (roughly ¾ of a word). AI is billed per token. </w:t>
      </w:r>
      <w:r>
        <w:rPr>
          <w:rFonts w:ascii="Georgia" w:hAnsi="Georgia" w:eastAsia="Georgia"/>
          <w:b w:val="0"/>
          <w:i/>
          <w:color w:val="181A1F"/>
          <w:sz w:val="20"/>
        </w:rPr>
        <w:t>The "meter" of the AI economy.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Training vs inference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Georgia" w:hAnsi="Georgia" w:eastAsia="Georgia"/>
          <w:b w:val="0"/>
          <w:i/>
          <w:color w:val="181A1F"/>
          <w:sz w:val="20"/>
        </w:rPr>
        <w:t>training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building the model (compute-hungry, needs frontier chips); </w:t>
      </w:r>
      <w:r>
        <w:rPr>
          <w:rFonts w:ascii="Georgia" w:hAnsi="Georgia" w:eastAsia="Georgia"/>
          <w:b w:val="0"/>
          <w:i/>
          <w:color w:val="181A1F"/>
          <w:sz w:val="20"/>
        </w:rPr>
        <w:t>inference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running it for users (needs less-advanced chips). </w:t>
      </w:r>
      <w:r>
        <w:rPr>
          <w:rFonts w:ascii="Georgia" w:hAnsi="Georgia" w:eastAsia="Georgia"/>
          <w:b w:val="0"/>
          <w:i/>
          <w:color w:val="181A1F"/>
          <w:sz w:val="20"/>
        </w:rPr>
        <w:t>China is more constrained on training than inference.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Agentic / agents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AI that takes multi-step actions autonomously (not just chat). Multiplies token use. </w:t>
      </w:r>
      <w:r>
        <w:rPr>
          <w:rFonts w:ascii="Georgia" w:hAnsi="Georgia" w:eastAsia="Georgia"/>
          <w:b/>
          <w:i w:val="0"/>
          <w:color w:val="181A1F"/>
          <w:sz w:val="20"/>
        </w:rPr>
        <w:t>OpenClaw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is a viral agent framework referenced in the demand data.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MaaS (Model-as-a-Service)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renting model access via the cloud (e.g. ByteDance Volcengine).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DAU / MAU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Daily / Monthly Active Users — adoption metrics for consumer apps (Doubao, Qwen).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Cloud, capex &amp; company financials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Hyperscaler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mega-scale cloud provider (US: Microsoft/Amazon/Google/Meta; China: Alibaba/Huawei/Tencent/Baidu/ByteDance).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Capex (capital expenditure) / capex intensity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spending on physical assets (data centres, chips); </w:t>
      </w:r>
      <w:r>
        <w:rPr>
          <w:rFonts w:ascii="Georgia" w:hAnsi="Georgia" w:eastAsia="Georgia"/>
          <w:b w:val="0"/>
          <w:i/>
          <w:color w:val="181A1F"/>
          <w:sz w:val="20"/>
        </w:rPr>
        <w:t>intensity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capex as % of revenue. </w:t>
      </w:r>
      <w:r>
        <w:rPr>
          <w:rFonts w:ascii="Georgia" w:hAnsi="Georgia" w:eastAsia="Georgia"/>
          <w:b w:val="0"/>
          <w:i/>
          <w:color w:val="181A1F"/>
          <w:sz w:val="20"/>
        </w:rPr>
        <w:t>The AI build-out is a capex story.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FCF (Free Cash Flow)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cash left after capex; shows whether a company can </w:t>
      </w:r>
      <w:r>
        <w:rPr>
          <w:rFonts w:ascii="Georgia" w:hAnsi="Georgia" w:eastAsia="Georgia"/>
          <w:b w:val="0"/>
          <w:i/>
          <w:color w:val="181A1F"/>
          <w:sz w:val="20"/>
        </w:rPr>
        <w:t>self-fund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its build-out or must borrow. </w:t>
      </w:r>
      <w:r>
        <w:rPr>
          <w:rFonts w:ascii="Georgia" w:hAnsi="Georgia" w:eastAsia="Georgia"/>
          <w:b w:val="0"/>
          <w:i/>
          <w:color w:val="181A1F"/>
          <w:sz w:val="20"/>
        </w:rPr>
        <w:t>Central to the "who can sustain the spend" question.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RPO (Remaining Performance Obligations)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contracted future revenue not yet delivered; a demand-backlog signal for clouds.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East-Data-West-Compute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China's policy of siting data centres in the renewable-rich, cheap-power west and piping compute east.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PUE (Power Usage Effectiveness)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data-centre energy efficiency (1.0 = perfect). China targets ≤1.25 for new builds.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Policy, geopolitics &amp; export controls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Entity List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US Commerce Department blacklist; listed firms can't buy US-origin tech without a licence. Covers most Chinese AI-chip makers.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OISP (Outbound Investment Security Program)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US Treasury rules restricting </w:t>
      </w:r>
      <w:r>
        <w:rPr>
          <w:rFonts w:ascii="Georgia" w:hAnsi="Georgia" w:eastAsia="Georgia"/>
          <w:b/>
          <w:i w:val="0"/>
          <w:color w:val="181A1F"/>
          <w:sz w:val="20"/>
        </w:rPr>
        <w:t>US persons from investing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in certain Chinese AI/chip firms — </w:t>
      </w:r>
      <w:r>
        <w:rPr>
          <w:rFonts w:ascii="Georgia" w:hAnsi="Georgia" w:eastAsia="Georgia"/>
          <w:b w:val="0"/>
          <w:i/>
          <w:color w:val="181A1F"/>
          <w:sz w:val="20"/>
        </w:rPr>
        <w:t>distinct from the Entity List, and the reason some HK-listed names are off-limits to US capital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(note: a passive-index exemption exists for small holdings).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FDPR (Foreign Direct Product Rule)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extends US controls to foreign-made goods that use US technology.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MATCH Act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proposed US legislation that would ban ASML DUV shipments to China (still pending).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Rare-earth leverage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China's counter-measure: restricting exports of rare earths/gallium/germanium critical to Western tech.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Capital markets &amp; investability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A-share vs H-share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Chinese company's mainland listing (</w:t>
      </w:r>
      <w:r>
        <w:rPr>
          <w:rFonts w:ascii="Georgia" w:hAnsi="Georgia" w:eastAsia="Georgia"/>
          <w:b/>
          <w:i w:val="0"/>
          <w:color w:val="181A1F"/>
          <w:sz w:val="20"/>
        </w:rPr>
        <w:t>A</w:t>
      </w:r>
      <w:r>
        <w:rPr>
          <w:rFonts w:ascii="Georgia" w:hAnsi="Georgia" w:eastAsia="Georgia"/>
          <w:b w:val="0"/>
          <w:i w:val="0"/>
          <w:color w:val="181A1F"/>
          <w:sz w:val="20"/>
        </w:rPr>
        <w:t>, in RMB, on Shanghai/Shenzhen) vs its Hong Kong listing (</w:t>
      </w:r>
      <w:r>
        <w:rPr>
          <w:rFonts w:ascii="Georgia" w:hAnsi="Georgia" w:eastAsia="Georgia"/>
          <w:b/>
          <w:i w:val="0"/>
          <w:color w:val="181A1F"/>
          <w:sz w:val="20"/>
        </w:rPr>
        <w:t>H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, in HKD). </w:t>
      </w:r>
      <w:r>
        <w:rPr>
          <w:rFonts w:ascii="Georgia" w:hAnsi="Georgia" w:eastAsia="Georgia"/>
          <w:b/>
          <w:i w:val="0"/>
          <w:color w:val="181A1F"/>
          <w:sz w:val="20"/>
        </w:rPr>
        <w:t>A/H premium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= the price gap between them.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STAR Market / ChiNext / SSE / SZSE / HKEX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Chinese exchanges/boards. STAR (Shanghai) and ChiNext (Shenzhen) are tech-growth boards, often </w:t>
      </w:r>
      <w:r>
        <w:rPr>
          <w:rFonts w:ascii="Georgia" w:hAnsi="Georgia" w:eastAsia="Georgia"/>
          <w:b/>
          <w:i w:val="0"/>
          <w:color w:val="181A1F"/>
          <w:sz w:val="20"/>
        </w:rPr>
        <w:t>restricted to professional investors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Stock Connect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pipe that lets foreign investors buy eligible mainland A-shares via Hong Kong (with seasoning rules).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QFII / RQFII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licence schemes for foreign institutions to access mainland markets.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HFCAA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US law that can delist Chinese ADRs whose auditors the US can't inspect.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ADR (American Depositary Receipt)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 US-traded proxy for a foreign share (e.g. BABA, BIDU).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NSI Act (UK) / FDI screening (EU)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inbound-investment national-security reviews (not outbound bans).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GICS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standard Global Industry Classification Standard (sector/industry taxonomy).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ISIN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unique 12-character global identifier for a security.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MSCI China vs MSCI China 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index families: </w:t>
      </w:r>
      <w:r>
        <w:rPr>
          <w:rFonts w:ascii="Georgia" w:hAnsi="Georgia" w:eastAsia="Georgia"/>
          <w:b w:val="0"/>
          <w:i/>
          <w:color w:val="181A1F"/>
          <w:sz w:val="20"/>
        </w:rPr>
        <w:t>MSCI China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spans all share classes (incl. HK/ADR); </w:t>
      </w:r>
      <w:r>
        <w:rPr>
          <w:rFonts w:ascii="Georgia" w:hAnsi="Georgia" w:eastAsia="Georgia"/>
          <w:b w:val="0"/>
          <w:i/>
          <w:color w:val="181A1F"/>
          <w:sz w:val="20"/>
        </w:rPr>
        <w:t>MSCI China 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covers mainland A-shares only. </w:t>
      </w:r>
      <w:r>
        <w:rPr>
          <w:rFonts w:ascii="Georgia" w:hAnsi="Georgia" w:eastAsia="Georgia"/>
          <w:b w:val="0"/>
          <w:i/>
          <w:color w:val="181A1F"/>
          <w:sz w:val="20"/>
        </w:rPr>
        <w:t>How much AI-stack weight sits in each is a key v2 finding.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Free-float / inclusion factor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the share of a company actually available to foreign investors; A-shares enter global indices at a partial (~20%) factor.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"Slow bull"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Beijing's post-Sept-2024 policy of engineering a gradual, supported equity-market rise.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Physical AI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Embodied / physical AI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AI in the real world: robots, autonomous vehicles, industrial automation. China's chosen edge.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Humanoid robot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general-purpose bipedal robots (Unitree, UBTech, AgiBot).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Robotaxi / urban-NOA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driverless taxis / "Navigate-on-Autopilot" for city driving (Apollo Go, Pony.ai, WeRide, Momenta).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/>
          <w:color w:val="181A1F"/>
          <w:sz w:val="21"/>
        </w:rPr>
        <w:t>Confidence grades (A filed/audited · B primary · C credible third-party · D single-source/estimate) apply to every figure in the report and database. See `/database/schema.md`.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