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B02A1B"/>
          <w:sz w:val="60"/>
        </w:rPr>
        <w:t>The Stack China Is Building</w:t>
      </w:r>
    </w:p>
    <w:p>
      <w:r>
        <w:rPr>
          <w:rFonts w:ascii="Calibri" w:hAnsi="Calibri" w:eastAsia="Calibri"/>
          <w:b/>
          <w:i w:val="0"/>
          <w:color w:val="181A1F"/>
          <w:sz w:val="30"/>
        </w:rPr>
        <w:t>A Value-Chain Map of China's Indigenous AI Ecosystem</w:t>
      </w:r>
    </w:p>
    <w:p>
      <w:r>
        <w:rPr>
          <w:rFonts w:ascii="Calibri" w:hAnsi="Calibri" w:eastAsia="Calibri"/>
          <w:b w:val="0"/>
          <w:i w:val="0"/>
          <w:color w:val="565C67"/>
          <w:sz w:val="20"/>
        </w:rPr>
        <w:t>Flagship research report  ·  Data as-of mid-2026  ·  For financial-market experts, economists &amp; industry analysts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4303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alue_chain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0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120"/>
        <w:ind w:left="259"/>
        <w:pBdr>
          <w:left w:val="single" w:sz="18" w:space="8" w:color="B02A1B"/>
        </w:pBdr>
      </w:pPr>
      <w:r>
        <w:rPr>
          <w:rFonts w:ascii="Georgia" w:hAnsi="Georgia" w:eastAsia="Georgia"/>
          <w:b/>
          <w:i w:val="0"/>
          <w:color w:val="565C67"/>
          <w:sz w:val="20"/>
        </w:rPr>
        <w:t>Confidence discipline.</w:t>
      </w:r>
      <w:r>
        <w:rPr>
          <w:rFonts w:ascii="Georgia" w:hAnsi="Georgia" w:eastAsia="Georgia"/>
          <w:b w:val="0"/>
          <w:i w:val="0"/>
          <w:color w:val="565C67"/>
          <w:sz w:val="20"/>
        </w:rPr>
        <w:t xml:space="preserve"> Every quantitative claim traces to the evidence database (</w:t>
      </w:r>
      <w:r>
        <w:rPr>
          <w:rFonts w:ascii="Consolas" w:hAnsi="Consolas" w:eastAsia="Consolas"/>
          <w:b w:val="0"/>
          <w:i w:val="0"/>
          <w:color w:val="2C6E7A"/>
          <w:sz w:val="19"/>
        </w:rPr>
        <w:t>/database/</w:t>
      </w:r>
      <w:r>
        <w:rPr>
          <w:rFonts w:ascii="Georgia" w:hAnsi="Georgia" w:eastAsia="Georgia"/>
          <w:b w:val="0"/>
          <w:i w:val="0"/>
          <w:color w:val="565C67"/>
          <w:sz w:val="20"/>
        </w:rPr>
        <w:t xml:space="preserve">) with a source ID and an A–D confidence grade (A = filed/audited · B = primary disclosure · C = credible third-party · D = single-source / estimate). In a sector re-rating this fast, treat 2026 point figures — especially pre-listing valuations and private-company numbers — as provisional. Cross-source conflicts are documented in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/database/RECONCILIATION.md</w:t>
      </w:r>
      <w:r>
        <w:rPr>
          <w:rFonts w:ascii="Georgia" w:hAnsi="Georgia" w:eastAsia="Georgia"/>
          <w:b w:val="0"/>
          <w:i w:val="0"/>
          <w:color w:val="565C67"/>
          <w:sz w:val="20"/>
        </w:rPr>
        <w:t xml:space="preserve"> rather than smoothed over.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Executive summary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The thesis in one line.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China is building a parallel, vertically-indigenized AI stack under export-control pressure; it is one to several years behind the US frontier at almost every layer, but the </w:t>
      </w:r>
      <w:r>
        <w:rPr>
          <w:rFonts w:ascii="Georgia" w:hAnsi="Georgia" w:eastAsia="Georgia"/>
          <w:b w:val="0"/>
          <w:i/>
          <w:color w:val="181A1F"/>
          <w:sz w:val="21"/>
        </w:rPr>
        <w:t>direction, coordination, and capital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behind the build-out are creating a distinct investable ecosystem whose value is migrating from where investors still look (consumer internet) to where the work is actually happening (equipment, memory, compute, interconnect, power, and embodied AI).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Seven things a professional investor should take away: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1. </w:t>
      </w:r>
      <w:r>
        <w:rPr>
          <w:rFonts w:ascii="Georgia" w:hAnsi="Georgia" w:eastAsia="Georgia"/>
          <w:b/>
          <w:i w:val="0"/>
          <w:color w:val="181A1F"/>
          <w:sz w:val="21"/>
        </w:rPr>
        <w:t>The binding constraint is lithography, and it is not close to resolved.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Without EUV, SMIC's 7nm-class (N+2) line runs at ~30–40% yield vs. TSMC's &gt;80%, ~2.5× cost/wafer, and ~30× the lithography steps (WEB-014, C). Every downstream ambition — more Ascend chips, indigenous HBM — is rationed by this one chokepoint. The indigenous-EUV "2028 goal" is realistically a lab-prototype milestone, not volume parity (WEB-007, D).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2. </w:t>
      </w:r>
      <w:r>
        <w:rPr>
          <w:rFonts w:ascii="Georgia" w:hAnsi="Georgia" w:eastAsia="Georgia"/>
          <w:b/>
          <w:i w:val="0"/>
          <w:color w:val="181A1F"/>
          <w:sz w:val="21"/>
        </w:rPr>
        <w:t>China's answer to a chip-level deficit is a system-level bet.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Huawei's Ascend 910C is ~60% of an H100 on inference (WEB-028, C), but CloudMatrix / Atlas 950 rack-scale designs lash together up to 8,192 NPUs (16 PB/s aggregate interconnect) to compete with Nvidia's GB200 NVL72 at the rack — at ~4× the power (metrics L4/L5, C). "Lose at the chip, win at the rack, pay for it with electricity."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3. </w:t>
      </w:r>
      <w:r>
        <w:rPr>
          <w:rFonts w:ascii="Georgia" w:hAnsi="Georgia" w:eastAsia="Georgia"/>
          <w:b/>
          <w:i w:val="0"/>
          <w:color w:val="181A1F"/>
          <w:sz w:val="21"/>
        </w:rPr>
        <w:t>Power is China's one unambiguous structural advantage.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China generates ~10,000 TWh/yr vs. the US ~4,600 (WEB-001, C), added +1,840 GW of wind+solar (2025), and is engineering curtailment arbitrage into data centers. If — and only if — domestic silicon closes the compute gap, latent power lets the build-out run faster than most Western models assume (a conditional, D-grade inference, not a fact).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4. </w:t>
      </w:r>
      <w:r>
        <w:rPr>
          <w:rFonts w:ascii="Georgia" w:hAnsi="Georgia" w:eastAsia="Georgia"/>
          <w:b/>
          <w:i w:val="0"/>
          <w:color w:val="181A1F"/>
          <w:sz w:val="21"/>
        </w:rPr>
        <w:t>The software moat (CUDA) is the deepest, slowest-closing gap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— 3–5+ years — even as Huawei open-sources CANN and Chinese labs (DeepSeek, Zhipu) demonstrate frontier training on domestic silicon.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5. </w:t>
      </w:r>
      <w:r>
        <w:rPr>
          <w:rFonts w:ascii="Georgia" w:hAnsi="Georgia" w:eastAsia="Georgia"/>
          <w:b/>
          <w:i w:val="0"/>
          <w:color w:val="181A1F"/>
          <w:sz w:val="21"/>
        </w:rPr>
        <w:t>The capital-markets regime is the real 2026 catalyst.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 deliberate "slow-bull" equity policy (since Sept-2024) has produced an IPO cluster — Zhipu, MiniMax, Biren, Iluvatar and Montage's H-share all listing within ~5 weeks; Moore Threads/MetaX STAR debuts up +468%/+693% day-one — turning national champions into public, tradeable, and often extremely richly-valued securities.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6. </w:t>
      </w:r>
      <w:r>
        <w:rPr>
          <w:rFonts w:ascii="Georgia" w:hAnsi="Georgia" w:eastAsia="Georgia"/>
          <w:b/>
          <w:i w:val="0"/>
          <w:color w:val="181A1F"/>
          <w:sz w:val="21"/>
        </w:rPr>
        <w:t>Investability ≠ listing.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The highest-momentum names (Moore Threads, MetaX, Biren, Kunlunxin) sit on the US Entity List and, increasingly, Treasury's outbound-investment (OISP) net — trading freely in Shanghai/Hong Kong yet </w:t>
      </w:r>
      <w:r>
        <w:rPr>
          <w:rFonts w:ascii="Georgia" w:hAnsi="Georgia" w:eastAsia="Georgia"/>
          <w:b/>
          <w:i w:val="0"/>
          <w:color w:val="181A1F"/>
          <w:sz w:val="21"/>
        </w:rPr>
        <w:t>effectively closed to US capital</w:t>
      </w:r>
      <w:r>
        <w:rPr>
          <w:rFonts w:ascii="Georgia" w:hAnsi="Georgia" w:eastAsia="Georgia"/>
          <w:b w:val="0"/>
          <w:i w:val="0"/>
          <w:color w:val="181A1F"/>
          <w:sz w:val="21"/>
        </w:rPr>
        <w:t>. The cleanest foreign-investable exposures are the platform incumbents (Alibaba, Tencent) and a handful of un-listed-constraint names (Montage, CATL).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7. </w:t>
      </w:r>
      <w:r>
        <w:rPr>
          <w:rFonts w:ascii="Georgia" w:hAnsi="Georgia" w:eastAsia="Georgia"/>
          <w:b/>
          <w:i w:val="0"/>
          <w:color w:val="181A1F"/>
          <w:sz w:val="21"/>
        </w:rPr>
        <w:t>The valuation structure is policy-driven, not earnings-driven.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Cambricon briefly crossed a RMB 1tn market cap (first STAR company to do so) on ~$0.9bn revenue; CXMT's pre-listing valuation guidance spans RMB 295bn–3tn. This is a market pricing </w:t>
      </w:r>
      <w:r>
        <w:rPr>
          <w:rFonts w:ascii="Georgia" w:hAnsi="Georgia" w:eastAsia="Georgia"/>
          <w:b w:val="0"/>
          <w:i/>
          <w:color w:val="181A1F"/>
          <w:sz w:val="21"/>
        </w:rPr>
        <w:t>captive demand and national-champion sponsorship</w:t>
      </w:r>
      <w:r>
        <w:rPr>
          <w:rFonts w:ascii="Georgia" w:hAnsi="Georgia" w:eastAsia="Georgia"/>
          <w:b w:val="0"/>
          <w:i w:val="0"/>
          <w:color w:val="181A1F"/>
          <w:sz w:val="21"/>
        </w:rPr>
        <w:t>, not current cash flows — the opportunity and the risk are the same fact.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How to read the map.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Sections 3.0–3.9 walk the stack bottom-up; each layer resolves into market structure → capability vs. the global frontier (with a timeline) → moats &amp; economics → bottlenecks → named players → an investability read. Section 5 synthesizes: where value is captured, a China-vs-US scorecard, the stack-mapped basket, scenarios, and risks.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1. Why China's AI stack is its own investment universe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Two doctrines.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US frontier labs treat AI as a race to superintelligence, where a few months' lead may compound into permanent advantage; the effort concentrates on the frontier model. China treats AI as </w:t>
      </w:r>
      <w:r>
        <w:rPr>
          <w:rFonts w:ascii="Georgia" w:hAnsi="Georgia" w:eastAsia="Georgia"/>
          <w:b w:val="0"/>
          <w:i/>
          <w:color w:val="181A1F"/>
          <w:sz w:val="21"/>
        </w:rPr>
        <w:t>infrastructure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— like electricity, water, or the internet — to be diffused across the whole economy, with a pronounced tilt toward the physical world (manufacturing, robotics) where China is already dominant (REF-BW-03). This is not merely rhetorical: it shapes where capital goes (systems and diffusion, not only frontier training), what "winning" looks like (90% economy-wide AI penetration targeted by 2030; ~70% by 2027 — L8 metrics, C), and why China tolerates a chip-level deficit while racing on rack-scale systems, power, and embodied AI.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The self-sufficiency imperative.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US export controls — on advanced chips, EUV lithography, HBM, and semiconductor equipment — reframed every foreign dependency as a weaponizable vulnerability. China's response is to indigenize </w:t>
      </w:r>
      <w:r>
        <w:rPr>
          <w:rFonts w:ascii="Georgia" w:hAnsi="Georgia" w:eastAsia="Georgia"/>
          <w:b w:val="0"/>
          <w:i/>
          <w:color w:val="181A1F"/>
          <w:sz w:val="21"/>
        </w:rPr>
        <w:t>every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choke point. This is the origin of the investment opportunity that Sands Capital and Bridgewater both identify: policy manufactures </w:t>
      </w:r>
      <w:r>
        <w:rPr>
          <w:rFonts w:ascii="Georgia" w:hAnsi="Georgia" w:eastAsia="Georgia"/>
          <w:b/>
          <w:i w:val="0"/>
          <w:color w:val="181A1F"/>
          <w:sz w:val="21"/>
        </w:rPr>
        <w:t>captive domestic demand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and </w:t>
      </w:r>
      <w:r>
        <w:rPr>
          <w:rFonts w:ascii="Georgia" w:hAnsi="Georgia" w:eastAsia="Georgia"/>
          <w:b/>
          <w:i w:val="0"/>
          <w:color w:val="181A1F"/>
          <w:sz w:val="21"/>
        </w:rPr>
        <w:t>national-champion sponsorship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for any firm that can climb the technical curve. The corollary, per Bridgewater, is that this is a </w:t>
      </w:r>
      <w:r>
        <w:rPr>
          <w:rFonts w:ascii="Georgia" w:hAnsi="Georgia" w:eastAsia="Georgia"/>
          <w:b w:val="0"/>
          <w:i/>
          <w:color w:val="181A1F"/>
          <w:sz w:val="21"/>
        </w:rPr>
        <w:t>diversifying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bet — the indigenous names do not price off the global AI supply chain, because their fortunes turn on Chinese policy and domestic substitution, not on Nvidia's order book.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The macro backdrop (context).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China's economy is deliberately uneven: a ~4.5% headline growth target (about half the high-growth-era pace), weak property and consumption, but hyper-competitive strategic-export industries and a top-down reallocation of fiscal and financial resources toward AI, robotics, and the industrial build-out (REF-BW-03). The same mercantilist dynamic that pressures Europe and fuels the global tariff cycle is what funds the AI stack. For allocators, Chinese AI equities are attractive less as a growth-beta play than as a </w:t>
      </w:r>
      <w:r>
        <w:rPr>
          <w:rFonts w:ascii="Georgia" w:hAnsi="Georgia" w:eastAsia="Georgia"/>
          <w:b/>
          <w:i w:val="0"/>
          <w:color w:val="181A1F"/>
          <w:sz w:val="21"/>
        </w:rPr>
        <w:t>diversifier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with a policy put ("slow bull") beneath the equity market.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2. The macro frame: compute supply–demand and the capex cycle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139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upply_dem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3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7A828E"/>
          <w:sz w:val="17"/>
        </w:rPr>
        <w:t>Figure 1 — The supply gap that built the market. Sources: REF-SANDS-01 (C), REF-BW-01 (D).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A low base.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Bridgewater's triangulation puts total compute accessible to Chinese AI firms at ~3.8 GW (including capacity housed abroad), of which ~2.5 GW is available for inference (~65% split) — a fraction of the major US labs' fleets (C→D, REF-BW-01). The supply gap is stark at the device level too: the US and allies consume ~12m AI chips/year; China produces ~2m domestically against demand that may already exceed 5m (REF-SANDS-01, C).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The squeeze is showing up in prices.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After years of aggressive discounting, Alibaba, Baidu and Tencent all </w:t>
      </w:r>
      <w:r>
        <w:rPr>
          <w:rFonts w:ascii="Georgia" w:hAnsi="Georgia" w:eastAsia="Georgia"/>
          <w:b w:val="0"/>
          <w:i/>
          <w:color w:val="181A1F"/>
          <w:sz w:val="21"/>
        </w:rPr>
        <w:t>raised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AI-compute list prices in 2026, and Chinese model vendors priced their latest flagships </w:t>
      </w:r>
      <w:r>
        <w:rPr>
          <w:rFonts w:ascii="Georgia" w:hAnsi="Georgia" w:eastAsia="Georgia"/>
          <w:b w:val="0"/>
          <w:i/>
          <w:color w:val="181A1F"/>
          <w:sz w:val="21"/>
        </w:rPr>
        <w:t>above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predecessors — behavior consistent with compute (not demand) as the binding constraint (REF-BW-01). Zhipu, in its first post-IPO print, named compute capacity as the limiting factor on its business.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The capex response is captive.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The 15th Five-Year Plan (Mar-2026) elevated AI to the primary national objective; a draft ~$295bn national AI data-center grid mandates ≥80% domestic technology (L6 metrics, B/C). Because policy guarantees demand, the domestic build-out does not face the demand uncertainty that haunts early-stage tech elsewhere — the risk migrates from "will there be customers?" to "can the technology scale?" That is the single most important reframing for valuing these names.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The efficiency offset.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Chinese models are unusually compute-efficient in inference (DeepSeek's architecture work is the emblem), partially offsetting the hardware deficit. Even doubling the effective compute requirement, China's inference fleet remains well below the US majors' — but the gap in </w:t>
      </w:r>
      <w:r>
        <w:rPr>
          <w:rFonts w:ascii="Georgia" w:hAnsi="Georgia" w:eastAsia="Georgia"/>
          <w:b w:val="0"/>
          <w:i/>
          <w:color w:val="181A1F"/>
          <w:sz w:val="21"/>
        </w:rPr>
        <w:t>deliverable intelligence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is narrower than the raw GW gap implies.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3. The stack, layer by layer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303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alue_chain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0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7A828E"/>
          <w:sz w:val="17"/>
        </w:rPr>
        <w:t>Figure 2 — Value-chain map: China's AI stack, bottom-up, with capability vs. the global frontier.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3.0 Energy &amp; Power (L0)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021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2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7A828E"/>
          <w:sz w:val="17"/>
        </w:rPr>
        <w:t>Figure 3 — Electricity generation, China vs. US, 2024. Sources: WEB-001 (C).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Market structure.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The one layer where China leads outright. Generation ~10,000 TWh (2024) vs. US ~4,600, +~500 TWh added in 2025 alone (WEB-001, C). Installed data-center capacity ~32 GW (2025), forecast to ~40 GW (2026) and ~60 GW (2030) (Rystad, WEB-002, C). A $580bn 15FYP grid-capex program and 15 new UHV lines move power from the renewable-rich west to demand centers (WEB-005, C). Wind+solar installed base hit ~1,840 GW in 2025, surpassing thermal for the first time (WEB-024, C).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The arbitrage.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Curtailed renewables (solar ~9.2%, wind ~8.5% early-2026) are being routed into data centers via the "East-Data-West-Compute" program (63% hub occupancy; ~$33bn cumulative investment) (WEB-003/004, C). Green-DC policy targets PUE ≤1.25 and ≥80% renewable sourcing for new builds (WEB-023).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Capability vs. frontier / the conditional edge.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The US faces a </w:t>
      </w:r>
      <w:r>
        <w:rPr>
          <w:rFonts w:ascii="Georgia" w:hAnsi="Georgia" w:eastAsia="Georgia"/>
          <w:b w:val="0"/>
          <w:i/>
          <w:color w:val="181A1F"/>
          <w:sz w:val="21"/>
        </w:rPr>
        <w:t>power ceiling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: data-center demand ~31 GW (2025) → ~66 GW (2027), with a forecast ~49 GW delivery shortfall by 2028 (Morgan Stanley/Grid Strategies, WEB-021, D). China faces no such near-term ceiling. </w:t>
      </w:r>
      <w:r>
        <w:rPr>
          <w:rFonts w:ascii="Georgia" w:hAnsi="Georgia" w:eastAsia="Georgia"/>
          <w:b/>
          <w:i w:val="0"/>
          <w:color w:val="181A1F"/>
          <w:sz w:val="21"/>
        </w:rPr>
        <w:t>But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abundant power is necessary, not sufficient: the payoff to China's energy advantage is </w:t>
      </w:r>
      <w:r>
        <w:rPr>
          <w:rFonts w:ascii="Georgia" w:hAnsi="Georgia" w:eastAsia="Georgia"/>
          <w:b w:val="0"/>
          <w:i/>
          <w:color w:val="181A1F"/>
          <w:sz w:val="21"/>
        </w:rPr>
        <w:t>gated on domestic silicon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closing the compute gap (L1/L3/L4). This is the report's central conditional — a D-grade inference, not a citable fact.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Investability.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State Grid is unlisted (uninvestable). The cleanest listed proxy is </w:t>
      </w:r>
      <w:r>
        <w:rPr>
          <w:rFonts w:ascii="Georgia" w:hAnsi="Georgia" w:eastAsia="Georgia"/>
          <w:b/>
          <w:i w:val="0"/>
          <w:color w:val="181A1F"/>
          <w:sz w:val="21"/>
        </w:rPr>
        <w:t>CATL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(SZSE:300750 / HKEX:3750, ~$420bn; grid-storage revenue ~$8.6bn, 121 GWh shipped 2025) — foreign-investable, no Entity-List flag. Nuclear (110 GW target by 2030) and the UHV/grid-equipment complex are secondary plays for a dedicated pod to size.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3.1 Semiconductor equipment &amp; EDA (L1)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2574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fe_selfsu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57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7A828E"/>
          <w:sz w:val="17"/>
        </w:rPr>
        <w:t>Figure 4 — L1 self-sufficiency by segment. Sources: WEB-009/011/019 (C→D).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Market structure.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 broad domestic roster is climbing segment by segment: </w:t>
      </w:r>
      <w:r>
        <w:rPr>
          <w:rFonts w:ascii="Georgia" w:hAnsi="Georgia" w:eastAsia="Georgia"/>
          <w:b/>
          <w:i w:val="0"/>
          <w:color w:val="181A1F"/>
          <w:sz w:val="21"/>
        </w:rPr>
        <w:t>NAURA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(SZSE:002371, ~$82.5bn) is the breadth champion (etch, deposition, clean, thermal); </w:t>
      </w:r>
      <w:r>
        <w:rPr>
          <w:rFonts w:ascii="Georgia" w:hAnsi="Georgia" w:eastAsia="Georgia"/>
          <w:b/>
          <w:i w:val="0"/>
          <w:color w:val="181A1F"/>
          <w:sz w:val="21"/>
        </w:rPr>
        <w:t>AMEC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(SSE:688012, ~$29.8bn) the etch specialist with a genuine world-class ambition; </w:t>
      </w:r>
      <w:r>
        <w:rPr>
          <w:rFonts w:ascii="Georgia" w:hAnsi="Georgia" w:eastAsia="Georgia"/>
          <w:b/>
          <w:i w:val="0"/>
          <w:color w:val="181A1F"/>
          <w:sz w:val="21"/>
        </w:rPr>
        <w:t>ACM Research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(SSE:688082 / NASDAQ:ACMR, ~$6.4bn) in cleaning; plus Piotech (deposition), Kingsemi (track/coat), Hwatsing (CMP). In EDA, </w:t>
      </w:r>
      <w:r>
        <w:rPr>
          <w:rFonts w:ascii="Georgia" w:hAnsi="Georgia" w:eastAsia="Georgia"/>
          <w:b/>
          <w:i w:val="0"/>
          <w:color w:val="181A1F"/>
          <w:sz w:val="21"/>
        </w:rPr>
        <w:t>Empyrean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(SZSE:301269) and Primarius (SSE:688206) anchor a consolidating sector. </w:t>
      </w:r>
      <w:r>
        <w:rPr>
          <w:rFonts w:ascii="Georgia" w:hAnsi="Georgia" w:eastAsia="Georgia"/>
          <w:b/>
          <w:i w:val="0"/>
          <w:color w:val="181A1F"/>
          <w:sz w:val="21"/>
        </w:rPr>
        <w:t>SMEE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(state, unlisted) carries the lithography burden, and </w:t>
      </w:r>
      <w:r>
        <w:rPr>
          <w:rFonts w:ascii="Georgia" w:hAnsi="Georgia" w:eastAsia="Georgia"/>
          <w:b/>
          <w:i w:val="0"/>
          <w:color w:val="181A1F"/>
          <w:sz w:val="21"/>
        </w:rPr>
        <w:t>SiCarrier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(Huawei-linked, unlisted, ~$9bn est., D) is the wild-card full-stack entrant.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Capability vs. frontier.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Overall equipment self-sufficiency ~35% (Jan-2026, C), but wildly uneven: etch and clean ~55%, deposition only ~25% (the weakest major sub-segment), and lithography/EDA the widest gaps. Collectively, Chinese WFE vendors are still only ~6.5% of the </w:t>
      </w:r>
      <w:r>
        <w:rPr>
          <w:rFonts w:ascii="Georgia" w:hAnsi="Georgia" w:eastAsia="Georgia"/>
          <w:b w:val="0"/>
          <w:i/>
          <w:color w:val="181A1F"/>
          <w:sz w:val="21"/>
        </w:rPr>
        <w:t>global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WFE market (up from 1.2% in 2021) (WEB-009/010, C→D). EDA is the widest gap by market value — Empyrean+Primarius vs. Synopsys+Cadence is a ~20×+ mismatch — and the May-2025 US EDA ban acted as a demand subsidy: Empyrean's H1 revenue grew but profit fell ~92% on import-substitution spend (WEB-011, C).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EUV, quantified.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The indigenous LPP light source measured ~100–150W mid-2025 vs. &gt;250W needed for high-volume manufacturing; a separate SSMB/synchrotron effort at Tsinghua/Xiong'an is years from product (WEB-007, D). Read the 2028 target as a lab demo. Meanwhile DUV multipatterning imposes the ~2.5× cost and ~30–40% yield penalty that rations everything above it.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Moats &amp; economics.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Two moat types: AMEC's </w:t>
      </w:r>
      <w:r>
        <w:rPr>
          <w:rFonts w:ascii="Georgia" w:hAnsi="Georgia" w:eastAsia="Georgia"/>
          <w:b w:val="0"/>
          <w:i/>
          <w:color w:val="181A1F"/>
          <w:sz w:val="21"/>
        </w:rPr>
        <w:t>process-knowledge compounding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(every wafer run improves the next tool — not purchasable, not reverse-engineerable), and NAURA's </w:t>
      </w:r>
      <w:r>
        <w:rPr>
          <w:rFonts w:ascii="Georgia" w:hAnsi="Georgia" w:eastAsia="Georgia"/>
          <w:b w:val="0"/>
          <w:i/>
          <w:color w:val="181A1F"/>
          <w:sz w:val="21"/>
        </w:rPr>
        <w:t>breadth-as-lock-in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(a fab qualified on NAURA across four process steps faces years of switching cost). The 50% domestic-equipment mandate for new fabs converts these into near-guaranteed order books (WEB-018, C).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Investability.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All the pure-plays are A-share/STAR listed and </w:t>
      </w:r>
      <w:r>
        <w:rPr>
          <w:rFonts w:ascii="Georgia" w:hAnsi="Georgia" w:eastAsia="Georgia"/>
          <w:b/>
          <w:i w:val="0"/>
          <w:color w:val="181A1F"/>
          <w:sz w:val="21"/>
        </w:rPr>
        <w:t>Stock-Connect/QFII-restricted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for foreign capital; NAURA's subsidiary and SMIC R&amp;D units were added to the Entity List in Mar-2025, and the proposed MATCH Act names NAURA/AMEC/ACM/SMIC/Hua Hong explicitly (WEB-016, C). ACMR (the US-listed parent line) is the one partial exception. Net: high strategic conviction, constrained access.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3.2 Fabrication &amp; advanced packaging (L2)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349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ield_du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34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7A828E"/>
          <w:sz w:val="17"/>
        </w:rPr>
        <w:t>Figure 5 — 7nm-class yield and the DUV multipatterning penalty. Sources: WEB-014 (C).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Market structure.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Two national champions: </w:t>
      </w:r>
      <w:r>
        <w:rPr>
          <w:rFonts w:ascii="Georgia" w:hAnsi="Georgia" w:eastAsia="Georgia"/>
          <w:b/>
          <w:i w:val="0"/>
          <w:color w:val="181A1F"/>
          <w:sz w:val="21"/>
        </w:rPr>
        <w:t>SMIC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(HKEX:0981 / SSE:688981, ~$90bn) and </w:t>
      </w:r>
      <w:r>
        <w:rPr>
          <w:rFonts w:ascii="Georgia" w:hAnsi="Georgia" w:eastAsia="Georgia"/>
          <w:b/>
          <w:i w:val="0"/>
          <w:color w:val="181A1F"/>
          <w:sz w:val="21"/>
        </w:rPr>
        <w:t>Hua Hong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(HKEX:1347 / SSE:688347, ~$23.5bn). SMIC runs the 7nm-class (N+2) line that fabs Huawei's Ascend; Hua Hong's Huali JV targets initial 7nm output (a few thousand wpm) by end-2026, which would make it China's second advanced-node line.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Capability vs. frontier.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Stuck at 7nm-class for the foreseeable future without EUV; 5nm-class exists only in pilot and at punishing yield. SMIC's advanced-node yield ~20–46% (cross-checked ~35%) vs. TSMC &gt;80% (C). 2026 capex ~$8.1bn, mostly for </w:t>
      </w:r>
      <w:r>
        <w:rPr>
          <w:rFonts w:ascii="Georgia" w:hAnsi="Georgia" w:eastAsia="Georgia"/>
          <w:b w:val="0"/>
          <w:i/>
          <w:color w:val="181A1F"/>
          <w:sz w:val="21"/>
        </w:rPr>
        <w:t>mature</w:t>
      </w:r>
      <w:r>
        <w:rPr>
          <w:rFonts w:ascii="Georgia" w:hAnsi="Georgia" w:eastAsia="Georgia"/>
          <w:b w:val="0"/>
          <w:i w:val="0"/>
          <w:color w:val="181A1F"/>
          <w:sz w:val="21"/>
        </w:rPr>
        <w:t>-node expansion (~340k wpm across four new fabs) — capacity, not frontier. Advanced packaging (TSV, CoWoS-analogs, hybrid bonding) is a co-binding constraint, ~3 years behind the frontier (WEB-015, D) and pivotal to any indigenous HBM.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Economics &amp; investability.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Foundry is the scarce shared resource behind nearly every L4 chip vendor — SMIC capacity is the system chokepoint, and China's own 5× 7nm-and-under capacity target by end-2027 is already constraining 2026 shipment plans. Both are dual-listed (HK + STAR); SMIC is Entity-Listed. HK lines offer the most (still-restricted) foreign access.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3.3 Memory — DRAM / NAND / HBM (L3)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Market structure.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</w:t>
      </w:r>
      <w:r>
        <w:rPr>
          <w:rFonts w:ascii="Georgia" w:hAnsi="Georgia" w:eastAsia="Georgia"/>
          <w:b/>
          <w:i w:val="0"/>
          <w:color w:val="181A1F"/>
          <w:sz w:val="21"/>
        </w:rPr>
        <w:t>CXMT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(DRAM; global share risen to ~7.7%, #4 behind Samsung/SK hynix/Micron) and </w:t>
      </w:r>
      <w:r>
        <w:rPr>
          <w:rFonts w:ascii="Georgia" w:hAnsi="Georgia" w:eastAsia="Georgia"/>
          <w:b/>
          <w:i w:val="0"/>
          <w:color w:val="181A1F"/>
          <w:sz w:val="21"/>
        </w:rPr>
        <w:t>YMTC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(3D NAND; ~14.5% share) are the two champions, both pivoting toward the AI memory stack. CXMT's Q1-2026 was a coming-of-age print: RMB 50.8bn revenue, RMB 24.76bn net profit (+1,688% YoY), 95.7% utilization, ~80% DDR5 (G3) yield (WEB-001/002, C).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The HBM path.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HBM is the acute AI-memory bottleneck. Indigenous HBM requires both a domestic DRAM base </w:t>
      </w:r>
      <w:r>
        <w:rPr>
          <w:rFonts w:ascii="Georgia" w:hAnsi="Georgia" w:eastAsia="Georgia"/>
          <w:b w:val="0"/>
          <w:i/>
          <w:color w:val="181A1F"/>
          <w:sz w:val="21"/>
        </w:rPr>
        <w:t>and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TSV/hybrid-bonding packaging — YMTC's Phase-3 (~50% of capacity to DRAM + TSV via its XMC unit) is building toward exactly this. CXMT targets HBM2E in 2026 as a bridge, with HBM3 slipping toward 2027 on yield/thermal issues (WEB-003, D). China's global HBM share today is negligible against SK hynix (~62%), Samsung (~21%), Micron (~17%) (metrics L3, C).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Capital markets — the next big test.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Both filed in May-2026. CXMT cleared STAR review (~$4.3bn raise; valuation guidance a </w:t>
      </w:r>
      <w:r>
        <w:rPr>
          <w:rFonts w:ascii="Georgia" w:hAnsi="Georgia" w:eastAsia="Georgia"/>
          <w:b w:val="0"/>
          <w:i/>
          <w:color w:val="181A1F"/>
          <w:sz w:val="21"/>
        </w:rPr>
        <w:t>very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wide RMB 295bn–3tn); YMTC is in IPO counseling (estimates RMB 500bn–3tn). These are the largest, and most valuation-contested, listings in the pipeline — treat any point valuation as D. Both are Entity-Listed (YMTC since Dec-2022, litigating; CXMT added to DoD 1260H in Jun-2026), so foreign access will be restricted even post-listing.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3.4 AI chips &amp; software ecosystems (L4)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Market structure.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The most crowded, most strategically-central, and most-constrained layer. </w:t>
      </w:r>
      <w:r>
        <w:rPr>
          <w:rFonts w:ascii="Georgia" w:hAnsi="Georgia" w:eastAsia="Georgia"/>
          <w:b/>
          <w:i w:val="0"/>
          <w:color w:val="181A1F"/>
          <w:sz w:val="21"/>
        </w:rPr>
        <w:t>Huawei Ascend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is the flagship (private; est. ~$12bn AI-chip revenue 2026, C). Listed challengers: </w:t>
      </w:r>
      <w:r>
        <w:rPr>
          <w:rFonts w:ascii="Georgia" w:hAnsi="Georgia" w:eastAsia="Georgia"/>
          <w:b/>
          <w:i w:val="0"/>
          <w:color w:val="181A1F"/>
          <w:sz w:val="21"/>
        </w:rPr>
        <w:t>Cambricon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(SSE:688256, ~$120bn), the four "little dragon" GPU firms — </w:t>
      </w:r>
      <w:r>
        <w:rPr>
          <w:rFonts w:ascii="Georgia" w:hAnsi="Georgia" w:eastAsia="Georgia"/>
          <w:b/>
          <w:i w:val="0"/>
          <w:color w:val="181A1F"/>
          <w:sz w:val="21"/>
        </w:rPr>
        <w:t>Moore Threads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(SSE:688795), </w:t>
      </w:r>
      <w:r>
        <w:rPr>
          <w:rFonts w:ascii="Georgia" w:hAnsi="Georgia" w:eastAsia="Georgia"/>
          <w:b/>
          <w:i w:val="0"/>
          <w:color w:val="181A1F"/>
          <w:sz w:val="21"/>
        </w:rPr>
        <w:t>MetaX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, </w:t>
      </w:r>
      <w:r>
        <w:rPr>
          <w:rFonts w:ascii="Georgia" w:hAnsi="Georgia" w:eastAsia="Georgia"/>
          <w:b/>
          <w:i w:val="0"/>
          <w:color w:val="181A1F"/>
          <w:sz w:val="21"/>
        </w:rPr>
        <w:t>Biren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(HKEX:6844), </w:t>
      </w:r>
      <w:r>
        <w:rPr>
          <w:rFonts w:ascii="Georgia" w:hAnsi="Georgia" w:eastAsia="Georgia"/>
          <w:b/>
          <w:i w:val="0"/>
          <w:color w:val="181A1F"/>
          <w:sz w:val="21"/>
        </w:rPr>
        <w:t>Iluvatar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(HKEX) — plus </w:t>
      </w:r>
      <w:r>
        <w:rPr>
          <w:rFonts w:ascii="Georgia" w:hAnsi="Georgia" w:eastAsia="Georgia"/>
          <w:b/>
          <w:i w:val="0"/>
          <w:color w:val="181A1F"/>
          <w:sz w:val="21"/>
        </w:rPr>
        <w:t>Baidu Kunlunxin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and Alibaba's </w:t>
      </w:r>
      <w:r>
        <w:rPr>
          <w:rFonts w:ascii="Georgia" w:hAnsi="Georgia" w:eastAsia="Georgia"/>
          <w:b/>
          <w:i w:val="0"/>
          <w:color w:val="181A1F"/>
          <w:sz w:val="21"/>
        </w:rPr>
        <w:t>T-Head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(captive) and ByteDance's in-house silicon.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Capability vs. frontier — the two-level story.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At the </w:t>
      </w:r>
      <w:r>
        <w:rPr>
          <w:rFonts w:ascii="Georgia" w:hAnsi="Georgia" w:eastAsia="Georgia"/>
          <w:b w:val="0"/>
          <w:i/>
          <w:color w:val="181A1F"/>
          <w:sz w:val="21"/>
        </w:rPr>
        <w:t>device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level China is ~1–2 generations behind: Ascend 910C ≈ 60% of H100 inference (DeepSeek's own benchmark, WEB-028, C). At the </w:t>
      </w:r>
      <w:r>
        <w:rPr>
          <w:rFonts w:ascii="Georgia" w:hAnsi="Georgia" w:eastAsia="Georgia"/>
          <w:b w:val="0"/>
          <w:i/>
          <w:color w:val="181A1F"/>
          <w:sz w:val="21"/>
        </w:rPr>
        <w:t>system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level Huawei's CloudMatrix 384 / Atlas 950 SuperPoD scales to 8,192 NPUs (~300 PFLOPS BF16; 16 PB/s interconnect) and claims to match/exceed GB200 NVL72 at the rack — at ~4× the power. The </w:t>
      </w:r>
      <w:r>
        <w:rPr>
          <w:rFonts w:ascii="Georgia" w:hAnsi="Georgia" w:eastAsia="Georgia"/>
          <w:b/>
          <w:i w:val="0"/>
          <w:color w:val="181A1F"/>
          <w:sz w:val="21"/>
        </w:rPr>
        <w:t>software gap is the deep one</w:t>
      </w:r>
      <w:r>
        <w:rPr>
          <w:rFonts w:ascii="Georgia" w:hAnsi="Georgia" w:eastAsia="Georgia"/>
          <w:b w:val="0"/>
          <w:i w:val="0"/>
          <w:color w:val="181A1F"/>
          <w:sz w:val="21"/>
        </w:rPr>
        <w:t>: CANN/MindSpore vs. CUDA is a 3–5+ year moat, though Huawei has open-sourced CANN and DeepSeek/Zhipu have shown frontier training without Nvidia (WEB-026/027, C→D).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The procurement mandate is the demand engine.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50% domestic-chip rule for state-funded DCs (Aug-2025) → full foreign-accelerator ban in state projects (Nov-2025) → the draft ≥80%-domestic national grid (2026). Nvidia's China data-center share fell from ~95% (2023) to &lt;60% (H2-2025) toward the CEO's "~0" 2026 framing — yet reporting is </w:t>
      </w:r>
      <w:r>
        <w:rPr>
          <w:rFonts w:ascii="Georgia" w:hAnsi="Georgia" w:eastAsia="Georgia"/>
          <w:b w:val="0"/>
          <w:i/>
          <w:color w:val="181A1F"/>
          <w:sz w:val="21"/>
        </w:rPr>
        <w:t>unreconciled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(ByteDance alone reportedly planned ~$14bn of 2026 Nvidia purchases). This contradiction is a flagged open question, not resolved.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Investability — the sharpest constraint in the report.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Nearly every merchant GPU name is Entity-Listed (Biren and Moore Threads named in the Oct-2023 action) and increasingly OISP-flagged. HK-listed Biren/Iluvatar are the most open; STAR-listed Cambricon/Moore Threads/MetaX are Connect/QFII-restricted; Huawei/ByteDance are fully closed. Valuations are policy-driven: Cambricon briefly hit RMB 1tn on ~$0.9bn revenue then corrected ~14% on its own risk warning; the GPU IPOs popped +468% to +693% day-one. </w:t>
      </w:r>
      <w:r>
        <w:rPr>
          <w:rFonts w:ascii="Georgia" w:hAnsi="Georgia" w:eastAsia="Georgia"/>
          <w:b/>
          <w:i w:val="0"/>
          <w:color w:val="181A1F"/>
          <w:sz w:val="21"/>
        </w:rPr>
        <w:t>The purest exposure is the least accessible to US capital.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3.5 Interconnect &amp; networking (L5)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Market structure.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The quiet chokepoint where China has a genuine global leader. </w:t>
      </w:r>
      <w:r>
        <w:rPr>
          <w:rFonts w:ascii="Georgia" w:hAnsi="Georgia" w:eastAsia="Georgia"/>
          <w:b/>
          <w:i w:val="0"/>
          <w:color w:val="181A1F"/>
          <w:sz w:val="21"/>
        </w:rPr>
        <w:t>Montage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(SSE:688008 / HKEX:6809) holds ~36.8% of the global memory-interface market (MRCD/MDB, CKD, PCIe/CXL retimers) — an oligopoly with Rambus/Renesas, high qualification barriers, long lifecycles, a JEDEC board seat. FY2025 revenue RMB 5.456bn (+50%), gross margin ~62%; interconnect-segment revenue +93.8% YoY in Q1-2026; 1m+ cumulative PCIe retimers shipped (WEB-007/008, B/C). </w:t>
      </w:r>
      <w:r>
        <w:rPr>
          <w:rFonts w:ascii="Georgia" w:hAnsi="Georgia" w:eastAsia="Georgia"/>
          <w:b/>
          <w:i w:val="0"/>
          <w:color w:val="181A1F"/>
          <w:sz w:val="21"/>
        </w:rPr>
        <w:t>Huawei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supplies the scale-up optical fabric (8,192-NPU clusters, 16 PB/s). Optical-module names </w:t>
      </w:r>
      <w:r>
        <w:rPr>
          <w:rFonts w:ascii="Georgia" w:hAnsi="Georgia" w:eastAsia="Georgia"/>
          <w:b/>
          <w:i w:val="0"/>
          <w:color w:val="181A1F"/>
          <w:sz w:val="21"/>
        </w:rPr>
        <w:t>Innolight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and </w:t>
      </w:r>
      <w:r>
        <w:rPr>
          <w:rFonts w:ascii="Georgia" w:hAnsi="Georgia" w:eastAsia="Georgia"/>
          <w:b/>
          <w:i w:val="0"/>
          <w:color w:val="181A1F"/>
          <w:sz w:val="21"/>
        </w:rPr>
        <w:t>Eoptolink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ride Nvidia/global 800G demand (Innolight ~60% of Nvidia 800G orders, C).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Why it matters.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As models scale, the binding constraint migrates from compute to </w:t>
      </w:r>
      <w:r>
        <w:rPr>
          <w:rFonts w:ascii="Georgia" w:hAnsi="Georgia" w:eastAsia="Georgia"/>
          <w:b w:val="0"/>
          <w:i/>
          <w:color w:val="181A1F"/>
          <w:sz w:val="21"/>
        </w:rPr>
        <w:t>data movement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— memory bandwidth and node-to-node latency. Montage is expanding from memory-interface into PCIe/optical/Ethernet exactly as that layer becomes the bottleneck. It is the rare China name that is a global </w:t>
      </w:r>
      <w:r>
        <w:rPr>
          <w:rFonts w:ascii="Georgia" w:hAnsi="Georgia" w:eastAsia="Georgia"/>
          <w:b w:val="0"/>
          <w:i/>
          <w:color w:val="181A1F"/>
          <w:sz w:val="21"/>
        </w:rPr>
        <w:t>incumbent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leader, not a substitute.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Investability — a bright spot.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Montage carries </w:t>
      </w:r>
      <w:r>
        <w:rPr>
          <w:rFonts w:ascii="Georgia" w:hAnsi="Georgia" w:eastAsia="Georgia"/>
          <w:b/>
          <w:i w:val="0"/>
          <w:color w:val="181A1F"/>
          <w:sz w:val="21"/>
        </w:rPr>
        <w:t>no Entity-List flag and is foreign-investable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(esp. via HKEX:6809). Its H-share IPO (Feb-2026) priced at a 44% discount to the A-share, popped +64% on debut, and by mid-2026 A/H had converged to near-parity — a notable reversal of the historical A-premium and a signal of international conviction. Optical-module names are A-share-restricted.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3.6 Data center &amp; cloud (L6)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Market structure.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</w:t>
      </w:r>
      <w:r>
        <w:rPr>
          <w:rFonts w:ascii="Georgia" w:hAnsi="Georgia" w:eastAsia="Georgia"/>
          <w:b/>
          <w:i w:val="0"/>
          <w:color w:val="181A1F"/>
          <w:sz w:val="21"/>
        </w:rPr>
        <w:t>Alibaba Cloud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leads China's AI cloud (~35.8% 2025 → ~38.1% 2026; revenue growth re-accelerated to +38% YoY in Q1-2026) and is the closest China analog to a Western hyperscaler — its own chips (T-Head), its own models (Qwen), and deep enterprise integration (WEB, B/C). </w:t>
      </w:r>
      <w:r>
        <w:rPr>
          <w:rFonts w:ascii="Georgia" w:hAnsi="Georgia" w:eastAsia="Georgia"/>
          <w:b/>
          <w:i w:val="0"/>
          <w:color w:val="181A1F"/>
          <w:sz w:val="21"/>
        </w:rPr>
        <w:t>Huawei Cloud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is #2 in overall China cloud-infra (~17% Q4-2025; external revenue ~RMB 32bn). </w:t>
      </w:r>
      <w:r>
        <w:rPr>
          <w:rFonts w:ascii="Georgia" w:hAnsi="Georgia" w:eastAsia="Georgia"/>
          <w:b/>
          <w:i w:val="0"/>
          <w:color w:val="181A1F"/>
          <w:sz w:val="21"/>
        </w:rPr>
        <w:t>ByteDance's Volcengine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is the fastest-rising AI-cloud (~14.8% AI-cloud share; MaaS revenue targeting RMB 15bn in 2026 from RMB 1.5bn, and ~RMB 200bn AI capex, D). </w:t>
      </w:r>
      <w:r>
        <w:rPr>
          <w:rFonts w:ascii="Georgia" w:hAnsi="Georgia" w:eastAsia="Georgia"/>
          <w:b/>
          <w:i w:val="0"/>
          <w:color w:val="181A1F"/>
          <w:sz w:val="21"/>
        </w:rPr>
        <w:t>Baidu AI Cloud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grew AI-infrastructure revenue +79% YoY (Q1-2026, B). </w:t>
      </w:r>
      <w:r>
        <w:rPr>
          <w:rFonts w:ascii="Georgia" w:hAnsi="Georgia" w:eastAsia="Georgia"/>
          <w:b/>
          <w:i w:val="0"/>
          <w:color w:val="181A1F"/>
          <w:sz w:val="21"/>
        </w:rPr>
        <w:t>Tencent Cloud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rounds out the majors.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Capability &amp; economics.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Structurally behind the US hyperscalers on scale and unit cost (global benchmark: ~$7.9bn to own+operate 1 GW; $2tn cumulative hyperscaler capex through 2026 — REF-EV-01), but growing off a low base with a captive market and the national data-center grid (~$295bn, ≥80% domestic) as a demand floor. The cloud layer is where Alibaba's "compounding infrastructure" thesis lives: every enterprise that builds on Alibaba Cloud + Qwen deepens a switching-cost moat the retail narrative ignores.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Investability.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Alibaba (HKEX:9988 / NYSE:BABA, ~$231bn), Tencent (HKEX:0700, ~$520bn), Baidu (HKEX:9888 / NASDAQ:BIDU, ~$38bn) are the </w:t>
      </w:r>
      <w:r>
        <w:rPr>
          <w:rFonts w:ascii="Georgia" w:hAnsi="Georgia" w:eastAsia="Georgia"/>
          <w:b/>
          <w:i w:val="0"/>
          <w:color w:val="181A1F"/>
          <w:sz w:val="21"/>
        </w:rPr>
        <w:t>most liquid, foreign-investable AI exposures in China</w:t>
      </w:r>
      <w:r>
        <w:rPr>
          <w:rFonts w:ascii="Georgia" w:hAnsi="Georgia" w:eastAsia="Georgia"/>
          <w:b w:val="0"/>
          <w:i w:val="0"/>
          <w:color w:val="181A1F"/>
          <w:sz w:val="21"/>
        </w:rPr>
        <w:t>, trade at a discount to global hyperscaler peers (weighed down by non-AI legacy lines), and are not Entity-Listed. Huawei Cloud and Volcengine are trapped inside private/closed parents.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3.7 Foundation models (L7)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9192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oken_sh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1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7A828E"/>
          <w:sz w:val="17"/>
        </w:rPr>
        <w:t>Figure 6 — Chinese-model share of OpenRouter tokens, 2026 (C).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Market structure.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 vibrant, largely </w:t>
      </w:r>
      <w:r>
        <w:rPr>
          <w:rFonts w:ascii="Georgia" w:hAnsi="Georgia" w:eastAsia="Georgia"/>
          <w:b/>
          <w:i w:val="0"/>
          <w:color w:val="181A1F"/>
          <w:sz w:val="21"/>
        </w:rPr>
        <w:t>open-weight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field: </w:t>
      </w:r>
      <w:r>
        <w:rPr>
          <w:rFonts w:ascii="Georgia" w:hAnsi="Georgia" w:eastAsia="Georgia"/>
          <w:b/>
          <w:i w:val="0"/>
          <w:color w:val="181A1F"/>
          <w:sz w:val="21"/>
        </w:rPr>
        <w:t>DeepSeek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(R1 the Jan-2025 catalyst; V4 co-optimized for Ascend/Cambricon), Alibaba </w:t>
      </w:r>
      <w:r>
        <w:rPr>
          <w:rFonts w:ascii="Georgia" w:hAnsi="Georgia" w:eastAsia="Georgia"/>
          <w:b/>
          <w:i w:val="0"/>
          <w:color w:val="181A1F"/>
          <w:sz w:val="21"/>
        </w:rPr>
        <w:t>Qwen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(open+closed; 180k+ derivative models by Oct-2025 — the largest open-model ecosystem globally), ByteDance </w:t>
      </w:r>
      <w:r>
        <w:rPr>
          <w:rFonts w:ascii="Georgia" w:hAnsi="Georgia" w:eastAsia="Georgia"/>
          <w:b/>
          <w:i w:val="0"/>
          <w:color w:val="181A1F"/>
          <w:sz w:val="21"/>
        </w:rPr>
        <w:t>Doubao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, Zhipu </w:t>
      </w:r>
      <w:r>
        <w:rPr>
          <w:rFonts w:ascii="Georgia" w:hAnsi="Georgia" w:eastAsia="Georgia"/>
          <w:b/>
          <w:i w:val="0"/>
          <w:color w:val="181A1F"/>
          <w:sz w:val="21"/>
        </w:rPr>
        <w:t>GLM/Z.ai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, </w:t>
      </w:r>
      <w:r>
        <w:rPr>
          <w:rFonts w:ascii="Georgia" w:hAnsi="Georgia" w:eastAsia="Georgia"/>
          <w:b/>
          <w:i w:val="0"/>
          <w:color w:val="181A1F"/>
          <w:sz w:val="21"/>
        </w:rPr>
        <w:t>MiniMax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, Moonshot </w:t>
      </w:r>
      <w:r>
        <w:rPr>
          <w:rFonts w:ascii="Georgia" w:hAnsi="Georgia" w:eastAsia="Georgia"/>
          <w:b/>
          <w:i w:val="0"/>
          <w:color w:val="181A1F"/>
          <w:sz w:val="21"/>
        </w:rPr>
        <w:t>Kimi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, Baidu </w:t>
      </w:r>
      <w:r>
        <w:rPr>
          <w:rFonts w:ascii="Georgia" w:hAnsi="Georgia" w:eastAsia="Georgia"/>
          <w:b/>
          <w:i w:val="0"/>
          <w:color w:val="181A1F"/>
          <w:sz w:val="21"/>
        </w:rPr>
        <w:t>Ernie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, Tencent </w:t>
      </w:r>
      <w:r>
        <w:rPr>
          <w:rFonts w:ascii="Georgia" w:hAnsi="Georgia" w:eastAsia="Georgia"/>
          <w:b/>
          <w:i w:val="0"/>
          <w:color w:val="181A1F"/>
          <w:sz w:val="21"/>
        </w:rPr>
        <w:t>Hunyuan</w:t>
      </w:r>
      <w:r>
        <w:rPr>
          <w:rFonts w:ascii="Georgia" w:hAnsi="Georgia" w:eastAsia="Georgia"/>
          <w:b w:val="0"/>
          <w:i w:val="0"/>
          <w:color w:val="181A1F"/>
          <w:sz w:val="21"/>
        </w:rPr>
        <w:t>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Capability vs. frontier.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Behind OpenAI/Anthropic/Google at the very frontier, but the gap is measured in months on many benchmarks and the open-weight tier is globally competitive. Chinese models now take a striking share of third-party token demand: ~33% → as high as ~55–61% of OpenRouter tokens in 2026 (DeepSeek alone ~17%), as US-lab share fell toward ~30% among those self-selecting, cost-sensitive users (metrics L7, C). The strategic play is </w:t>
      </w:r>
      <w:r>
        <w:rPr>
          <w:rFonts w:ascii="Georgia" w:hAnsi="Georgia" w:eastAsia="Georgia"/>
          <w:b w:val="0"/>
          <w:i/>
          <w:color w:val="181A1F"/>
          <w:sz w:val="21"/>
        </w:rPr>
        <w:t>commoditize the model layer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— cheap, open, good-enough intelligence as infrastructure — which simultaneously pressures Western labs' pricing power.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Investability.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The listed exposures are the platform parents (Alibaba, Tencent, Baidu). Among pure model labs, </w:t>
      </w:r>
      <w:r>
        <w:rPr>
          <w:rFonts w:ascii="Georgia" w:hAnsi="Georgia" w:eastAsia="Georgia"/>
          <w:b/>
          <w:i w:val="0"/>
          <w:color w:val="181A1F"/>
          <w:sz w:val="21"/>
        </w:rPr>
        <w:t>Zhipu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(~$75–87bn) and </w:t>
      </w:r>
      <w:r>
        <w:rPr>
          <w:rFonts w:ascii="Georgia" w:hAnsi="Georgia" w:eastAsia="Georgia"/>
          <w:b/>
          <w:i w:val="0"/>
          <w:color w:val="181A1F"/>
          <w:sz w:val="21"/>
        </w:rPr>
        <w:t>MiniMax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(~$14–20bn) IPO'd in HK in Jan-2026 (Zhipu beat OpenAI to market and re-rated ~10× intra-year) but are Connect-restricted; </w:t>
      </w:r>
      <w:r>
        <w:rPr>
          <w:rFonts w:ascii="Georgia" w:hAnsi="Georgia" w:eastAsia="Georgia"/>
          <w:b/>
          <w:i w:val="0"/>
          <w:color w:val="181A1F"/>
          <w:sz w:val="21"/>
        </w:rPr>
        <w:t>DeepSeek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(implied ~$52–59bn first external round), </w:t>
      </w:r>
      <w:r>
        <w:rPr>
          <w:rFonts w:ascii="Georgia" w:hAnsi="Georgia" w:eastAsia="Georgia"/>
          <w:b/>
          <w:i w:val="0"/>
          <w:color w:val="181A1F"/>
          <w:sz w:val="21"/>
        </w:rPr>
        <w:t>ByteDance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, and </w:t>
      </w:r>
      <w:r>
        <w:rPr>
          <w:rFonts w:ascii="Georgia" w:hAnsi="Georgia" w:eastAsia="Georgia"/>
          <w:b/>
          <w:i w:val="0"/>
          <w:color w:val="181A1F"/>
          <w:sz w:val="21"/>
        </w:rPr>
        <w:t>Moonshot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remain private. The re-rating of Zhipu is the sharpest illustration of the policy-driven valuation regime.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3.8 Applications, agents &amp; adoption (L8)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Market structure &amp; adoption.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~602m generative-AI users, all on domestic platforms (C). Consumer scale is real: Doubao ~100m DAU (145m Spring-Festival peak), ~260m MAU; Qwen and YuanBao 50–75m DAU at peak; combined top-5 chat/search apps ~900m MAU (D). For scale reference, ChatGPT ~190m DAU globally.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The weak spot.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Enterprise SaaS/monetization is thin relative to the US — China's software economy is smaller and less willing to pay per-seat, so the US "AI takes business services" playbook translates poorly. Policy is pushing the other lever: SOE-adoption mandates and the 15FYP diffusion targets (70% by 2027, 90% by 2030). Coding is an instructive gap — GitHub Copilot still leads China's coding-assistant market (~64.5%) with Alibaba's Tongyi Lingma at ~12.9% (C).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Investability.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Captured mainly through the platform incumbents (Alibaba, Tencent, ByteDance-private) rather than standalone app equities; the enterprise-AI opportunity is more a </w:t>
      </w:r>
      <w:r>
        <w:rPr>
          <w:rFonts w:ascii="Georgia" w:hAnsi="Georgia" w:eastAsia="Georgia"/>
          <w:b w:val="0"/>
          <w:i/>
          <w:color w:val="181A1F"/>
          <w:sz w:val="21"/>
        </w:rPr>
        <w:t>margin story for the clouds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than a separate investable tier today.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3.9 Physical AI &amp; embodied (L9)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Market structure — China's chosen battleground.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The layer most aligned with China's manufacturing edge and infrastructure doctrine. Humanoids: </w:t>
      </w:r>
      <w:r>
        <w:rPr>
          <w:rFonts w:ascii="Georgia" w:hAnsi="Georgia" w:eastAsia="Georgia"/>
          <w:b/>
          <w:i w:val="0"/>
          <w:color w:val="181A1F"/>
          <w:sz w:val="21"/>
        </w:rPr>
        <w:t>Unitree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(STAR IPO approved in a record 104 days, ~$6bn target; 2025 revenue RMB 1.69bn, +335%), </w:t>
      </w:r>
      <w:r>
        <w:rPr>
          <w:rFonts w:ascii="Georgia" w:hAnsi="Georgia" w:eastAsia="Georgia"/>
          <w:b/>
          <w:i w:val="0"/>
          <w:color w:val="181A1F"/>
          <w:sz w:val="21"/>
        </w:rPr>
        <w:t>UBTech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(HKEX:9880; U-series orders &gt;13,361), </w:t>
      </w:r>
      <w:r>
        <w:rPr>
          <w:rFonts w:ascii="Georgia" w:hAnsi="Georgia" w:eastAsia="Georgia"/>
          <w:b/>
          <w:i w:val="0"/>
          <w:color w:val="181A1F"/>
          <w:sz w:val="21"/>
        </w:rPr>
        <w:t>AgiBot/Zhiyuan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(~$6.4bn, HK IPO planned H2-2026), </w:t>
      </w:r>
      <w:r>
        <w:rPr>
          <w:rFonts w:ascii="Georgia" w:hAnsi="Georgia" w:eastAsia="Georgia"/>
          <w:b/>
          <w:i w:val="0"/>
          <w:color w:val="181A1F"/>
          <w:sz w:val="21"/>
        </w:rPr>
        <w:t>Galbot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(~$3bn), </w:t>
      </w:r>
      <w:r>
        <w:rPr>
          <w:rFonts w:ascii="Georgia" w:hAnsi="Georgia" w:eastAsia="Georgia"/>
          <w:b/>
          <w:i w:val="0"/>
          <w:color w:val="181A1F"/>
          <w:sz w:val="21"/>
        </w:rPr>
        <w:t>Fourier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(~$1.1bn). Robotaxi/AV — a direct EV-chain spillover: </w:t>
      </w:r>
      <w:r>
        <w:rPr>
          <w:rFonts w:ascii="Georgia" w:hAnsi="Georgia" w:eastAsia="Georgia"/>
          <w:b/>
          <w:i w:val="0"/>
          <w:color w:val="181A1F"/>
          <w:sz w:val="21"/>
        </w:rPr>
        <w:t>Baidu Apollo Go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(&gt;22m cumulative rides, 27 cities), </w:t>
      </w:r>
      <w:r>
        <w:rPr>
          <w:rFonts w:ascii="Georgia" w:hAnsi="Georgia" w:eastAsia="Georgia"/>
          <w:b/>
          <w:i w:val="0"/>
          <w:color w:val="181A1F"/>
          <w:sz w:val="21"/>
        </w:rPr>
        <w:t>Pony.ai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(NASDAQ:PONY), </w:t>
      </w:r>
      <w:r>
        <w:rPr>
          <w:rFonts w:ascii="Georgia" w:hAnsi="Georgia" w:eastAsia="Georgia"/>
          <w:b/>
          <w:i w:val="0"/>
          <w:color w:val="181A1F"/>
          <w:sz w:val="21"/>
        </w:rPr>
        <w:t>WeRide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(NASDAQ:WRD, ~$2.4bn), </w:t>
      </w:r>
      <w:r>
        <w:rPr>
          <w:rFonts w:ascii="Georgia" w:hAnsi="Georgia" w:eastAsia="Georgia"/>
          <w:b/>
          <w:i w:val="0"/>
          <w:color w:val="181A1F"/>
          <w:sz w:val="21"/>
        </w:rPr>
        <w:t>Momenta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(HKEX:6880, ~$9bn IPO, debuted Jul-2026; ~64.5% of the independent urban-NOA market). Supporting silicon: </w:t>
      </w:r>
      <w:r>
        <w:rPr>
          <w:rFonts w:ascii="Georgia" w:hAnsi="Georgia" w:eastAsia="Georgia"/>
          <w:b/>
          <w:i w:val="0"/>
          <w:color w:val="181A1F"/>
          <w:sz w:val="21"/>
        </w:rPr>
        <w:t>Horizon Robotics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(HKEX:9660).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Capability &amp; economics.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China leads on </w:t>
      </w:r>
      <w:r>
        <w:rPr>
          <w:rFonts w:ascii="Georgia" w:hAnsi="Georgia" w:eastAsia="Georgia"/>
          <w:b w:val="0"/>
          <w:i/>
          <w:color w:val="181A1F"/>
          <w:sz w:val="21"/>
        </w:rPr>
        <w:t>volume and price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(295k industrial robots installed in 2024, ~54% of global; humanoids shipping at price points far below Figure/1X) but not yet on </w:t>
      </w:r>
      <w:r>
        <w:rPr>
          <w:rFonts w:ascii="Georgia" w:hAnsi="Georgia" w:eastAsia="Georgia"/>
          <w:b w:val="0"/>
          <w:i/>
          <w:color w:val="181A1F"/>
          <w:sz w:val="21"/>
        </w:rPr>
        <w:t>profitability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— every name is loss-making (Horizon: RMB 10.5bn loss on RMB 3.8bn revenue). Backed by the ~$138bn AI+robotics state fund and ~¥1tn robotics program. US humanoid peers (Figure ~$39bn) carry far higher valuations on far less revenue — a valuation asymmetry worth watching.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Investability — the most open China-AI layer for foreigners.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Several names are US- or HK-listed and </w:t>
      </w:r>
      <w:r>
        <w:rPr>
          <w:rFonts w:ascii="Georgia" w:hAnsi="Georgia" w:eastAsia="Georgia"/>
          <w:b w:val="0"/>
          <w:i/>
          <w:color w:val="181A1F"/>
          <w:sz w:val="21"/>
        </w:rPr>
        <w:t>not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obviously Entity-flagged: WeRide, Pony.ai, Momenta, UBTech, Horizon Robotics. This is where a foreign investor can get relatively clean embodied-AI exposure — with the caveat that these are early, cash-burning, and volatile.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4. The horizontal overlay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4.1 Policy &amp; industrial strategy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Four reinforcing tracks: (1) the </w:t>
      </w:r>
      <w:r>
        <w:rPr>
          <w:rFonts w:ascii="Georgia" w:hAnsi="Georgia" w:eastAsia="Georgia"/>
          <w:b/>
          <w:i w:val="0"/>
          <w:color w:val="181A1F"/>
          <w:sz w:val="21"/>
        </w:rPr>
        <w:t>15th FYP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(AI as primary national objective; diffusion targets); (2) </w:t>
      </w:r>
      <w:r>
        <w:rPr>
          <w:rFonts w:ascii="Georgia" w:hAnsi="Georgia" w:eastAsia="Georgia"/>
          <w:b/>
          <w:i w:val="0"/>
          <w:color w:val="181A1F"/>
          <w:sz w:val="21"/>
        </w:rPr>
        <w:t>mega-funds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— ~$295bn national DC grid, ~$138bn AI+robotics fund, the "Big Fund" Phase III at RMB 344bn (~$47.5bn, largest phase, now explicitly covering HBM/AI-semis); (3) </w:t>
      </w:r>
      <w:r>
        <w:rPr>
          <w:rFonts w:ascii="Georgia" w:hAnsi="Georgia" w:eastAsia="Georgia"/>
          <w:b/>
          <w:i w:val="0"/>
          <w:color w:val="181A1F"/>
          <w:sz w:val="21"/>
        </w:rPr>
        <w:t>mandates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— 50% domestic equipment for new fabs, escalating domestic-chip rules for state DCs (50% → full foreign-accelerator ban → ≥80% grid), SOE adoption; (4) the Aug-2025 </w:t>
      </w:r>
      <w:r>
        <w:rPr>
          <w:rFonts w:ascii="Georgia" w:hAnsi="Georgia" w:eastAsia="Georgia"/>
          <w:b/>
          <w:i w:val="0"/>
          <w:color w:val="181A1F"/>
          <w:sz w:val="21"/>
        </w:rPr>
        <w:t>"AI+"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State Council initiative. The through-line: policy converts technical uncertainty into demand certainty.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4.2 Export controls &amp; geopolitics (timeline)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Controls turned </w:t>
      </w:r>
      <w:r>
        <w:rPr>
          <w:rFonts w:ascii="Georgia" w:hAnsi="Georgia" w:eastAsia="Georgia"/>
          <w:b/>
          <w:i w:val="0"/>
          <w:color w:val="181A1F"/>
          <w:sz w:val="21"/>
        </w:rPr>
        <w:t>bidirectional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in 2025–26. Tightening peaked with Dec-2024 HBM + Foreign-Direct-Product-Rule controls and rolling Entity-List additions (Mar-2025 tranche hit NAURA/SMIC units). But H20 (banned Apr-2025, restored with a 15% fee Aug-2025) and H200 (case-by-case since Jan-2026 with a 25% tariff, capped at ≤50% of US-customer volume) both </w:t>
      </w:r>
      <w:r>
        <w:rPr>
          <w:rFonts w:ascii="Georgia" w:hAnsi="Georgia" w:eastAsia="Georgia"/>
          <w:b w:val="0"/>
          <w:i/>
          <w:color w:val="181A1F"/>
          <w:sz w:val="21"/>
        </w:rPr>
        <w:t>loosened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— while China paused (not repealed) its rare-earth/gallium/germanium leverage through ~Nov-2026 as part of a post-summit truce. The proposed </w:t>
      </w:r>
      <w:r>
        <w:rPr>
          <w:rFonts w:ascii="Georgia" w:hAnsi="Georgia" w:eastAsia="Georgia"/>
          <w:b/>
          <w:i w:val="0"/>
          <w:color w:val="181A1F"/>
          <w:sz w:val="21"/>
        </w:rPr>
        <w:t>MATCH Act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would ban all ASML DUV to China (~20% of ASML 2026 revenue) and names the champions explicitly. Taiwan remains the tail risk: not the modal 12-month outcome per the reference analysts, but a portfolio-defining scenario whose mere possibility is itself an inflationary, spending-inducing force.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4.3 Talent &amp; R&amp;D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China's edge is </w:t>
      </w:r>
      <w:r>
        <w:rPr>
          <w:rFonts w:ascii="Georgia" w:hAnsi="Georgia" w:eastAsia="Georgia"/>
          <w:b w:val="0"/>
          <w:i/>
          <w:color w:val="181A1F"/>
          <w:sz w:val="21"/>
        </w:rPr>
        <w:t>applied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engineering density and open-source contribution (DeepSeek, Qwen, Kimi, MiniMax all ship influential open weights). The state has grown protective as the stack has gained value — credible reports of intervening against talent/IP moving abroad (e.g., via Singapore vehicles) and restrictions on staff at leading labs. Treat the talent layer as a strategic asset that is increasingly </w:t>
      </w:r>
      <w:r>
        <w:rPr>
          <w:rFonts w:ascii="Georgia" w:hAnsi="Georgia" w:eastAsia="Georgia"/>
          <w:b w:val="0"/>
          <w:i/>
          <w:color w:val="181A1F"/>
          <w:sz w:val="21"/>
        </w:rPr>
        <w:t>managed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like one.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4.4 Capital markets, the IPO wave &amp; the investable basket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0605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po_po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6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7A828E"/>
          <w:sz w:val="17"/>
        </w:rPr>
        <w:t>Figure 7 — 2025–26 China AI-stack IPOs, debut price moves. Sources: WEB (B/C).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The </w:t>
      </w:r>
      <w:r>
        <w:rPr>
          <w:rFonts w:ascii="Georgia" w:hAnsi="Georgia" w:eastAsia="Georgia"/>
          <w:b/>
          <w:i w:val="0"/>
          <w:color w:val="181A1F"/>
          <w:sz w:val="21"/>
        </w:rPr>
        <w:t>Sept-2024 "slow-bull" pivot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reframed the equity market as a strategic financing tool for national champions and a savings vehicle to replace property. The result is the 2025–26 </w:t>
      </w:r>
      <w:r>
        <w:rPr>
          <w:rFonts w:ascii="Georgia" w:hAnsi="Georgia" w:eastAsia="Georgia"/>
          <w:b/>
          <w:i w:val="0"/>
          <w:color w:val="181A1F"/>
          <w:sz w:val="21"/>
        </w:rPr>
        <w:t>IPO cluster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: Zhipu, MiniMax, Biren, Iluvatar and Montage's H-share all listing within ~5 weeks; Moore Threads/MetaX on STAR with +468%/+693% day-one pops; CXMT and YMTC the next, much larger tests. Montage's A/H premium </w:t>
      </w:r>
      <w:r>
        <w:rPr>
          <w:rFonts w:ascii="Georgia" w:hAnsi="Georgia" w:eastAsia="Georgia"/>
          <w:b w:val="0"/>
          <w:i/>
          <w:color w:val="181A1F"/>
          <w:sz w:val="21"/>
        </w:rPr>
        <w:t>inverted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(H went from a 44% discount to a premium), a marker of international conviction. Forward P/Es for the broad China-AI set sit ~18–19 — similar to global peers — but off a far lower earnings base, which is the bull case </w:t>
      </w:r>
      <w:r>
        <w:rPr>
          <w:rFonts w:ascii="Georgia" w:hAnsi="Georgia" w:eastAsia="Georgia"/>
          <w:b w:val="0"/>
          <w:i/>
          <w:color w:val="181A1F"/>
          <w:sz w:val="21"/>
        </w:rPr>
        <w:t>and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the reason earnings are unstable enough to make multiples unreliable (REF-BW-01).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The access overlay (decisive for allocators).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Treasury's OISP (broadened by the Dec-2025 NDAA/COINS Act) now overlaps heavily with Entity-List flags on Moore Threads, MetaX, Biren, and Kunlunxin — making the highest-momentum GPU IPOs </w:t>
      </w:r>
      <w:r>
        <w:rPr>
          <w:rFonts w:ascii="Georgia" w:hAnsi="Georgia" w:eastAsia="Georgia"/>
          <w:b/>
          <w:i w:val="0"/>
          <w:color w:val="181A1F"/>
          <w:sz w:val="21"/>
        </w:rPr>
        <w:t>effectively closed to US capital even while they trade freely in Hong Kong</w:t>
      </w:r>
      <w:r>
        <w:rPr>
          <w:rFonts w:ascii="Georgia" w:hAnsi="Georgia" w:eastAsia="Georgia"/>
          <w:b w:val="0"/>
          <w:i w:val="0"/>
          <w:color w:val="181A1F"/>
          <w:sz w:val="21"/>
        </w:rPr>
        <w:t>. Foreign-investable, non-flagged exposures cluster in the platform incumbents (Alibaba, Tencent, Baidu), Montage, CATL, and parts of L9 (WeRide, Pony.ai, Momenta, UBTech, Horizon).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5. Synthesis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5.1 Where value is captured — bottleneck economics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Margin pools where a scarce, hard-to-replicate capability meets captive demand. Today that is: </w:t>
      </w:r>
      <w:r>
        <w:rPr>
          <w:rFonts w:ascii="Georgia" w:hAnsi="Georgia" w:eastAsia="Georgia"/>
          <w:b/>
          <w:i w:val="0"/>
          <w:color w:val="181A1F"/>
          <w:sz w:val="21"/>
        </w:rPr>
        <w:t>lithography/EUV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(the ultimate chokepoint, but not yet investable domestically), </w:t>
      </w:r>
      <w:r>
        <w:rPr>
          <w:rFonts w:ascii="Georgia" w:hAnsi="Georgia" w:eastAsia="Georgia"/>
          <w:b/>
          <w:i w:val="0"/>
          <w:color w:val="181A1F"/>
          <w:sz w:val="21"/>
        </w:rPr>
        <w:t>advanced foundry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(SMIC — the shared scarce resource), </w:t>
      </w:r>
      <w:r>
        <w:rPr>
          <w:rFonts w:ascii="Georgia" w:hAnsi="Georgia" w:eastAsia="Georgia"/>
          <w:b/>
          <w:i w:val="0"/>
          <w:color w:val="181A1F"/>
          <w:sz w:val="21"/>
        </w:rPr>
        <w:t>memory interface/interconnect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(Montage — a genuine global incumbent), </w:t>
      </w:r>
      <w:r>
        <w:rPr>
          <w:rFonts w:ascii="Georgia" w:hAnsi="Georgia" w:eastAsia="Georgia"/>
          <w:b/>
          <w:i w:val="0"/>
          <w:color w:val="181A1F"/>
          <w:sz w:val="21"/>
        </w:rPr>
        <w:t>advanced packaging/HBM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(emerging), and </w:t>
      </w:r>
      <w:r>
        <w:rPr>
          <w:rFonts w:ascii="Georgia" w:hAnsi="Georgia" w:eastAsia="Georgia"/>
          <w:b/>
          <w:i w:val="0"/>
          <w:color w:val="181A1F"/>
          <w:sz w:val="21"/>
        </w:rPr>
        <w:t>power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(China's structural edge, best played via CATL/grid). The model and app layers are </w:t>
      </w:r>
      <w:r>
        <w:rPr>
          <w:rFonts w:ascii="Georgia" w:hAnsi="Georgia" w:eastAsia="Georgia"/>
          <w:b w:val="0"/>
          <w:i/>
          <w:color w:val="181A1F"/>
          <w:sz w:val="21"/>
        </w:rPr>
        <w:t>commoditizing by design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— China's strategy is to make intelligence cheap infrastructure, which caps value capture there and pushes it down into hardware and up into physical AI.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5.2 China-vs-US scorecard (capability gap · timeline · access)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984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core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98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7A828E"/>
          <w:sz w:val="17"/>
        </w:rPr>
        <w:t>Figure 8 — Scorecard: capability gap × foreign investability, by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B02A1B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2340"/>
            <w:shd w:val="clear" w:fill="B02A1B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7"/>
              </w:rPr>
              <w:t>Gap to frontier</w:t>
            </w:r>
          </w:p>
        </w:tc>
        <w:tc>
          <w:tcPr>
            <w:tcW w:type="dxa" w:w="2340"/>
            <w:shd w:val="clear" w:fill="B02A1B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7"/>
              </w:rPr>
              <w:t>Timeline to parity</w:t>
            </w:r>
          </w:p>
        </w:tc>
        <w:tc>
          <w:tcPr>
            <w:tcW w:type="dxa" w:w="2340"/>
            <w:shd w:val="clear" w:fill="B02A1B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7"/>
              </w:rPr>
              <w:t>Foreign-investable?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L0 Power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 xml:space="preserve">China </w:t>
            </w:r>
            <w:r>
              <w:rPr>
                <w:rFonts w:ascii="Calibri" w:hAnsi="Calibri" w:eastAsia="Calibri"/>
                <w:b/>
                <w:i w:val="0"/>
                <w:color w:val="181A1F"/>
                <w:sz w:val="17"/>
              </w:rPr>
              <w:t>ahead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Yes (CATL)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L1 Equipment/EDA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1–3 gen (EUV/EDA widest)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EUV: lab ~2028, HVM 2030s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Restricted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L2 Foundry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~2–3 nodes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Gated on EUV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Restricted (HK)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L3 Memory/HBM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HBM ~3–4 yr; DRAM closing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HBM3 ~2027+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Restricted post-IPO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L4 AI chips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~1–2 gen device; closer at rack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SW (CUDA) 3–5 yr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 xml:space="preserve">Mostly </w:t>
            </w:r>
            <w:r>
              <w:rPr>
                <w:rFonts w:ascii="Calibri" w:hAnsi="Calibri" w:eastAsia="Calibri"/>
                <w:b/>
                <w:i w:val="0"/>
                <w:color w:val="181A1F"/>
                <w:sz w:val="17"/>
              </w:rPr>
              <w:t>closed</w:t>
            </w:r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 xml:space="preserve"> to 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L5 Interconnect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 xml:space="preserve">China </w:t>
            </w:r>
            <w:r>
              <w:rPr>
                <w:rFonts w:ascii="Calibri" w:hAnsi="Calibri" w:eastAsia="Calibri"/>
                <w:b/>
                <w:i w:val="0"/>
                <w:color w:val="181A1F"/>
                <w:sz w:val="17"/>
              </w:rPr>
              <w:t>at frontier</w:t>
            </w:r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 xml:space="preserve"> (Montage)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i w:val="0"/>
                <w:color w:val="181A1F"/>
                <w:sz w:val="17"/>
              </w:rPr>
              <w:t>Yes</w:t>
            </w:r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 xml:space="preserve"> (Montage)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L6 Cloud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Behind on scale/cost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3–5 yr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i w:val="0"/>
                <w:color w:val="181A1F"/>
                <w:sz w:val="17"/>
              </w:rPr>
              <w:t>Yes</w:t>
            </w:r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 xml:space="preserve"> (BABA/Tencent)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L7 Models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Months at frontier; open-weight competitive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Rolling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Parents yes; labs restricted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L8 Apps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Consumer ahead; enterprise behind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Via parents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L9 Physical AI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Volume-lead; profitability-behind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81A1F"/>
                <w:sz w:val="17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i w:val="0"/>
                <w:color w:val="181A1F"/>
                <w:sz w:val="17"/>
              </w:rPr>
              <w:t>Most open</w:t>
            </w:r>
          </w:p>
        </w:tc>
      </w:tr>
    </w:tbl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5.3 The investable basket (stack-mapped)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Core, foreign-investable, high-conviction: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Alibaba (L4/6/7), Tencent (L6/7), Montage (L5), CATL (L0), Baidu (L4/6/7).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High-conviction, access-constrained: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NAURA, AMEC, ACM (L1); SMIC, Hua Hong (L2); Cambricon (L4) — own via HK lines or Connect where eligible; watch Entity/OISP.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Event-driven / pipeline: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CXMT, YMTC (L3 IPOs); Kunlunxin (L4 IPO); Unitree, AgiBot (L9 IPOs).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Cleaner embodied-AI access: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WeRide, Pony.ai, Momenta, UBTech, Horizon (L9).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Construct as a </w:t>
      </w:r>
      <w:r>
        <w:rPr>
          <w:rFonts w:ascii="Georgia" w:hAnsi="Georgia" w:eastAsia="Georgia"/>
          <w:b w:val="0"/>
          <w:i/>
          <w:color w:val="181A1F"/>
          <w:sz w:val="21"/>
        </w:rPr>
        <w:t>diversifier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(low correlation to the global AI supply chain), sized for the Entity-List/OISP overlay and the policy put beneath the market — not as concentrated growth beta.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5.4 Scenarios (2027 / 2030)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Base: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Indigenization advances unevenly — foundry/memory/interconnect/power progress, EUV lags. China fields competitive rack-scale systems and open models; capex cycle sustained by policy. China-AI equities compound off a low base with high dispersion.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Bull: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A domestic EUV or HBM breakthrough, or a decisive rack-scale win, closes the compute gap; power advantage converts into a build-out that outpaces US expectations. Champions re-rate toward global peers; the diversifier becomes a growth engine.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Bear: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EUV stalls, yields stay low, the demand mandate outruns deliverable technology; a Taiwan/rare-earth flashpoint or an OISP tightening strands foreign capital. Policy-inflated multiples de-rate hard.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5.5 Risk register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Policy reversal (low — commitment is structural); </w:t>
      </w:r>
      <w:r>
        <w:rPr>
          <w:rFonts w:ascii="Georgia" w:hAnsi="Georgia" w:eastAsia="Georgia"/>
          <w:b/>
          <w:i w:val="0"/>
          <w:color w:val="181A1F"/>
          <w:sz w:val="21"/>
        </w:rPr>
        <w:t>technology failure at EUV/HBM (the key gating risk)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; demand-mandate outrunning capability; overbuild/valuation air-pocket (policy-inflated multiples); geopolitical flashpoint (Taiwan/rare earths); </w:t>
      </w:r>
      <w:r>
        <w:rPr>
          <w:rFonts w:ascii="Georgia" w:hAnsi="Georgia" w:eastAsia="Georgia"/>
          <w:b/>
          <w:i w:val="0"/>
          <w:color w:val="181A1F"/>
          <w:sz w:val="21"/>
        </w:rPr>
        <w:t>investability/regulatory risk (Entity-List + OISP stranding US capital)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— the most underappreciated practical risk for Western allocators.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81A1F"/>
          <w:sz w:val="25"/>
        </w:rPr>
        <w:t>5.6 Second-order effects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Global-equity valuation convergence (US↔non-US risk-premium compression); a structural bid under the </w:t>
      </w:r>
      <w:r>
        <w:rPr>
          <w:rFonts w:ascii="Georgia" w:hAnsi="Georgia" w:eastAsia="Georgia"/>
          <w:b/>
          <w:i w:val="0"/>
          <w:color w:val="181A1F"/>
          <w:sz w:val="21"/>
        </w:rPr>
        <w:t>memory cycle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(indigenous HBM demand); </w:t>
      </w:r>
      <w:r>
        <w:rPr>
          <w:rFonts w:ascii="Georgia" w:hAnsi="Georgia" w:eastAsia="Georgia"/>
          <w:b/>
          <w:i w:val="0"/>
          <w:color w:val="181A1F"/>
          <w:sz w:val="21"/>
        </w:rPr>
        <w:t>energy/commodities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(China's power/grid/storage build); downward pressure on </w:t>
      </w:r>
      <w:r>
        <w:rPr>
          <w:rFonts w:ascii="Georgia" w:hAnsi="Georgia" w:eastAsia="Georgia"/>
          <w:b/>
          <w:i w:val="0"/>
          <w:color w:val="181A1F"/>
          <w:sz w:val="21"/>
        </w:rPr>
        <w:t>global token pricing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as China commoditizes open-weight intelligence; and a persistent </w:t>
      </w:r>
      <w:r>
        <w:rPr>
          <w:rFonts w:ascii="Georgia" w:hAnsi="Georgia" w:eastAsia="Georgia"/>
          <w:b/>
          <w:i w:val="0"/>
          <w:color w:val="181A1F"/>
          <w:sz w:val="21"/>
        </w:rPr>
        <w:t>mercantilist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impulse as strategic-sector strength coexists with weak domestic demand.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44"/>
        </w:rPr>
        <w:t>Part II — Demand, Economics &amp; Access (v2 deepening)</w:t>
      </w:r>
    </w:p>
    <w:p>
      <w:pPr>
        <w:spacing w:before="120" w:after="120"/>
        <w:ind w:left="259"/>
        <w:pBdr>
          <w:left w:val="single" w:sz="18" w:space="8" w:color="B02A1B"/>
        </w:pBdr>
      </w:pPr>
      <w:r>
        <w:rPr>
          <w:rFonts w:ascii="Georgia" w:hAnsi="Georgia" w:eastAsia="Georgia"/>
          <w:b/>
          <w:i w:val="0"/>
          <w:color w:val="565C67"/>
          <w:sz w:val="20"/>
        </w:rPr>
        <w:t>Reader's note.</w:t>
      </w:r>
      <w:r>
        <w:rPr>
          <w:rFonts w:ascii="Georgia" w:hAnsi="Georgia" w:eastAsia="Georgia"/>
          <w:b w:val="0"/>
          <w:i w:val="0"/>
          <w:color w:val="565C67"/>
          <w:sz w:val="20"/>
        </w:rPr>
        <w:t xml:space="preserve"> Part I mapped the </w:t>
      </w:r>
      <w:r>
        <w:rPr>
          <w:rFonts w:ascii="Georgia" w:hAnsi="Georgia" w:eastAsia="Georgia"/>
          <w:b w:val="0"/>
          <w:i/>
          <w:color w:val="565C67"/>
          <w:sz w:val="20"/>
        </w:rPr>
        <w:t>supply</w:t>
      </w:r>
      <w:r>
        <w:rPr>
          <w:rFonts w:ascii="Georgia" w:hAnsi="Georgia" w:eastAsia="Georgia"/>
          <w:b w:val="0"/>
          <w:i w:val="0"/>
          <w:color w:val="565C67"/>
          <w:sz w:val="20"/>
        </w:rPr>
        <w:t xml:space="preserve"> stack — who builds each layer. Part II answers the three questions a capital allocator actually asks: </w:t>
      </w:r>
      <w:r>
        <w:rPr>
          <w:rFonts w:ascii="Georgia" w:hAnsi="Georgia" w:eastAsia="Georgia"/>
          <w:b/>
          <w:i w:val="0"/>
          <w:color w:val="565C67"/>
          <w:sz w:val="20"/>
        </w:rPr>
        <w:t>where is the demand, is the revenue real, and who is allowed to own it.</w:t>
      </w:r>
      <w:r>
        <w:rPr>
          <w:rFonts w:ascii="Georgia" w:hAnsi="Georgia" w:eastAsia="Georgia"/>
          <w:b w:val="0"/>
          <w:i w:val="0"/>
          <w:color w:val="565C67"/>
          <w:sz w:val="20"/>
        </w:rPr>
        <w:t xml:space="preserve"> Industry terms (EUV, WFE, HBM, OISP, MSCI China A, …) are defined in the </w:t>
      </w:r>
      <w:r>
        <w:rPr>
          <w:rFonts w:ascii="Georgia" w:hAnsi="Georgia" w:eastAsia="Georgia"/>
          <w:b/>
          <w:i w:val="0"/>
          <w:color w:val="565C67"/>
          <w:sz w:val="20"/>
        </w:rPr>
        <w:t>Glossary</w:t>
      </w:r>
      <w:r>
        <w:rPr>
          <w:rFonts w:ascii="Georgia" w:hAnsi="Georgia" w:eastAsia="Georgia"/>
          <w:b w:val="0"/>
          <w:i w:val="0"/>
          <w:color w:val="565C67"/>
          <w:sz w:val="20"/>
        </w:rPr>
        <w:t xml:space="preserve"> (</w:t>
      </w:r>
      <w:r>
        <w:rPr>
          <w:rFonts w:ascii="Consolas" w:hAnsi="Consolas" w:eastAsia="Consolas"/>
          <w:b w:val="0"/>
          <w:i w:val="0"/>
          <w:color w:val="2C6E7A"/>
          <w:sz w:val="19"/>
        </w:rPr>
        <w:t>report/GLOSSARY.md</w:t>
      </w:r>
      <w:r>
        <w:rPr>
          <w:rFonts w:ascii="Georgia" w:hAnsi="Georgia" w:eastAsia="Georgia"/>
          <w:b w:val="0"/>
          <w:i w:val="0"/>
          <w:color w:val="565C67"/>
          <w:sz w:val="20"/>
        </w:rPr>
        <w:t xml:space="preserve">). Every figure keeps its A–D confidence grade; this section leans on </w:t>
      </w:r>
      <w:r>
        <w:rPr>
          <w:rFonts w:ascii="Georgia" w:hAnsi="Georgia" w:eastAsia="Georgia"/>
          <w:b/>
          <w:i w:val="0"/>
          <w:color w:val="565C67"/>
          <w:sz w:val="20"/>
        </w:rPr>
        <w:t>filed financials and primary disclosures</w:t>
      </w:r>
      <w:r>
        <w:rPr>
          <w:rFonts w:ascii="Georgia" w:hAnsi="Georgia" w:eastAsia="Georgia"/>
          <w:b w:val="0"/>
          <w:i w:val="0"/>
          <w:color w:val="565C67"/>
          <w:sz w:val="20"/>
        </w:rPr>
        <w:t xml:space="preserve"> wherever they exist, and refuses to invent numbers where they don't.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II.1 The demand split that changes the bet (P3)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38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mand_spectru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3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7A828E"/>
          <w:sz w:val="17"/>
        </w:rPr>
        <w:t>Figure II-1 — Global-demand-led vs domestic-substitution: where each name's demand comes from (directional, C/D).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The single most consequential v2 refinement: </w:t>
      </w:r>
      <w:r>
        <w:rPr>
          <w:rFonts w:ascii="Georgia" w:hAnsi="Georgia" w:eastAsia="Georgia"/>
          <w:b/>
          <w:i w:val="0"/>
          <w:color w:val="181A1F"/>
          <w:sz w:val="21"/>
        </w:rPr>
        <w:t>not all "China-AI" names are a bet on China.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Demand divides into three buckets: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Global-demand-led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sell into the </w:t>
      </w:r>
      <w:r>
        <w:rPr>
          <w:rFonts w:ascii="Georgia" w:hAnsi="Georgia" w:eastAsia="Georgia"/>
          <w:b w:val="0"/>
          <w:i/>
          <w:color w:val="181A1F"/>
          <w:sz w:val="20"/>
        </w:rPr>
        <w:t>world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AI build-out, not the domestic mandate: </w:t>
      </w:r>
      <w:r>
        <w:rPr>
          <w:rFonts w:ascii="Georgia" w:hAnsi="Georgia" w:eastAsia="Georgia"/>
          <w:b/>
          <w:i w:val="0"/>
          <w:color w:val="181A1F"/>
          <w:sz w:val="20"/>
        </w:rPr>
        <w:t>Montage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(memory-interface chips inside global AI servers), </w:t>
      </w:r>
      <w:r>
        <w:rPr>
          <w:rFonts w:ascii="Georgia" w:hAnsi="Georgia" w:eastAsia="Georgia"/>
          <w:b/>
          <w:i w:val="0"/>
          <w:color w:val="181A1F"/>
          <w:sz w:val="20"/>
        </w:rPr>
        <w:t>Innolight / Eoptolink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(optical modules — Innolight ~60% of Nvidia's 800G orders), </w:t>
      </w:r>
      <w:r>
        <w:rPr>
          <w:rFonts w:ascii="Georgia" w:hAnsi="Georgia" w:eastAsia="Georgia"/>
          <w:b/>
          <w:i w:val="0"/>
          <w:color w:val="181A1F"/>
          <w:sz w:val="20"/>
        </w:rPr>
        <w:t>CATL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(global energy-storage). These price off the </w:t>
      </w:r>
      <w:r>
        <w:rPr>
          <w:rFonts w:ascii="Georgia" w:hAnsi="Georgia" w:eastAsia="Georgia"/>
          <w:b/>
          <w:i w:val="0"/>
          <w:color w:val="181A1F"/>
          <w:sz w:val="20"/>
        </w:rPr>
        <w:t>global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AI-capex cycle (Nvidia, hyperscalers) and are foreign-investable.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Domestic-substitution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demand </w:t>
      </w:r>
      <w:r>
        <w:rPr>
          <w:rFonts w:ascii="Georgia" w:hAnsi="Georgia" w:eastAsia="Georgia"/>
          <w:b w:val="0"/>
          <w:i/>
          <w:color w:val="181A1F"/>
          <w:sz w:val="20"/>
        </w:rPr>
        <w:t>manufactured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by import-substitution and the 80%-domestic mandate: </w:t>
      </w:r>
      <w:r>
        <w:rPr>
          <w:rFonts w:ascii="Georgia" w:hAnsi="Georgia" w:eastAsia="Georgia"/>
          <w:b/>
          <w:i w:val="0"/>
          <w:color w:val="181A1F"/>
          <w:sz w:val="20"/>
        </w:rPr>
        <w:t>Cambricon, Moore Threads, Biren, CXMT, YMTC, Kunlunxin</w:t>
      </w:r>
      <w:r>
        <w:rPr>
          <w:rFonts w:ascii="Georgia" w:hAnsi="Georgia" w:eastAsia="Georgia"/>
          <w:b w:val="0"/>
          <w:i w:val="0"/>
          <w:color w:val="181A1F"/>
          <w:sz w:val="20"/>
        </w:rPr>
        <w:t>. Fortunes turn on Chinese policy; mostly Entity-Listed / closed to US capital.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Mixed / dual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</w:t>
      </w:r>
      <w:r>
        <w:rPr>
          <w:rFonts w:ascii="Georgia" w:hAnsi="Georgia" w:eastAsia="Georgia"/>
          <w:b/>
          <w:i w:val="0"/>
          <w:color w:val="181A1F"/>
          <w:sz w:val="20"/>
        </w:rPr>
        <w:t>Alibaba, SMIC, Hua Hong, ACM</w:t>
      </w:r>
      <w:r>
        <w:rPr>
          <w:rFonts w:ascii="Georgia" w:hAnsi="Georgia" w:eastAsia="Georgia"/>
          <w:b w:val="0"/>
          <w:i w:val="0"/>
          <w:color w:val="181A1F"/>
          <w:sz w:val="20"/>
        </w:rPr>
        <w:t>: exposed to both the global cycle and domestic substitution.</w:t>
      </w:r>
    </w:p>
    <w:p>
      <w:pPr>
        <w:spacing w:after="120" w:line="300" w:lineRule="auto"/>
      </w:pPr>
      <w:r>
        <w:rPr>
          <w:rFonts w:ascii="Georgia" w:hAnsi="Georgia" w:eastAsia="Georgia"/>
          <w:b/>
          <w:i w:val="0"/>
          <w:color w:val="181A1F"/>
          <w:sz w:val="21"/>
        </w:rPr>
        <w:t>Investment consequence: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the "diversifying, low-correlation-to-global-AI" thesis (Bridgewater) applies </w:t>
      </w:r>
      <w:r>
        <w:rPr>
          <w:rFonts w:ascii="Georgia" w:hAnsi="Georgia" w:eastAsia="Georgia"/>
          <w:b/>
          <w:i w:val="0"/>
          <w:color w:val="181A1F"/>
          <w:sz w:val="21"/>
        </w:rPr>
        <w:t>only to the domestic-substitution bucket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. The global-demand bucket is </w:t>
      </w:r>
      <w:r>
        <w:rPr>
          <w:rFonts w:ascii="Georgia" w:hAnsi="Georgia" w:eastAsia="Georgia"/>
          <w:b w:val="0"/>
          <w:i/>
          <w:color w:val="181A1F"/>
          <w:sz w:val="21"/>
        </w:rPr>
        <w:t>correlated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with Nvidia and the world cycle — it is a lever on the global build-out that happens to be listed in Shanghai/HK, not a China-policy diversifier. Confusing the two is the most common error in the China-AI trade.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/>
          <w:color w:val="181A1F"/>
          <w:sz w:val="21"/>
        </w:rPr>
        <w:t>Actual-vs-consensus (P3):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for the top listed names we compiled reported growth, guidance, and where available sell-side consensus (NAURA vs AMAT/Lam; Montage vs Astera Labs; SMIC vs TSMC/UMC; Alibaba vs AWS). The market is pricing </w:t>
      </w:r>
      <w:r>
        <w:rPr>
          <w:rFonts w:ascii="Georgia" w:hAnsi="Georgia" w:eastAsia="Georgia"/>
          <w:b/>
          <w:i w:val="0"/>
          <w:color w:val="181A1F"/>
          <w:sz w:val="21"/>
        </w:rPr>
        <w:t>high forward growth off a low base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for the domestic-substitution names (semis on premium multiples vs global peers) and </w:t>
      </w:r>
      <w:r>
        <w:rPr>
          <w:rFonts w:ascii="Georgia" w:hAnsi="Georgia" w:eastAsia="Georgia"/>
          <w:b/>
          <w:i w:val="0"/>
          <w:color w:val="181A1F"/>
          <w:sz w:val="21"/>
        </w:rPr>
        <w:t>catch-up re-rating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for the platforms. Precise consensus for many A-share names is proprietary/thin — flagged where unavailable rather than fabricated.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II.2 Hyperscaler economics &amp; capex funding (P1)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AI-cloud contribution &amp; the non-AI question.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Alibaba Cloud re-accelerated to </w:t>
      </w:r>
      <w:r>
        <w:rPr>
          <w:rFonts w:ascii="Georgia" w:hAnsi="Georgia" w:eastAsia="Georgia"/>
          <w:b/>
          <w:i w:val="0"/>
          <w:color w:val="181A1F"/>
          <w:sz w:val="20"/>
        </w:rPr>
        <w:t>+38% YoY (Q1-2026)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; Baidu AI-cloud infrastructure revenue </w:t>
      </w:r>
      <w:r>
        <w:rPr>
          <w:rFonts w:ascii="Georgia" w:hAnsi="Georgia" w:eastAsia="Georgia"/>
          <w:b/>
          <w:i w:val="0"/>
          <w:color w:val="181A1F"/>
          <w:sz w:val="20"/>
        </w:rPr>
        <w:t>+79% YoY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. For Alibaba and Tencent the legacy segments (e-commerce, gaming, ads) still </w:t>
      </w:r>
      <w:r>
        <w:rPr>
          <w:rFonts w:ascii="Georgia" w:hAnsi="Georgia" w:eastAsia="Georgia"/>
          <w:b/>
          <w:i w:val="0"/>
          <w:color w:val="181A1F"/>
          <w:sz w:val="20"/>
        </w:rPr>
        <w:t>fund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rather than drag the build-out — they throw off the cash that pays for capex.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Funding source — the real contrast with the US.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Chinese hyperscalers fund AI capex </w:t>
      </w:r>
      <w:r>
        <w:rPr>
          <w:rFonts w:ascii="Georgia" w:hAnsi="Georgia" w:eastAsia="Georgia"/>
          <w:b/>
          <w:i w:val="0"/>
          <w:color w:val="181A1F"/>
          <w:sz w:val="20"/>
        </w:rPr>
        <w:t>largely from internal operating cash flow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; the US marginal AI dollar is </w:t>
      </w:r>
      <w:r>
        <w:rPr>
          <w:rFonts w:ascii="Georgia" w:hAnsi="Georgia" w:eastAsia="Georgia"/>
          <w:b/>
          <w:i w:val="0"/>
          <w:color w:val="181A1F"/>
          <w:sz w:val="20"/>
        </w:rPr>
        <w:t>increasingly externally financed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(debt/equity — e.g. Alphabet's large 2026 equity raise). That is a </w:t>
      </w:r>
      <w:r>
        <w:rPr>
          <w:rFonts w:ascii="Georgia" w:hAnsi="Georgia" w:eastAsia="Georgia"/>
          <w:b w:val="0"/>
          <w:i/>
          <w:color w:val="181A1F"/>
          <w:sz w:val="20"/>
        </w:rPr>
        <w:t>resilience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point for the Chinese platforms — but off a </w:t>
      </w:r>
      <w:r>
        <w:rPr>
          <w:rFonts w:ascii="Georgia" w:hAnsi="Georgia" w:eastAsia="Georgia"/>
          <w:b/>
          <w:i w:val="0"/>
          <w:color w:val="181A1F"/>
          <w:sz w:val="20"/>
        </w:rPr>
        <w:t>far smaller absolute base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(the US hyperscaler+neocloud cumulative capex benchmark is ~$2T through 2026; China's is a fraction).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The sharpest primary find — a monetization gap.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Baidu's SEC </w:t>
      </w:r>
      <w:r>
        <w:rPr>
          <w:rFonts w:ascii="Georgia" w:hAnsi="Georgia" w:eastAsia="Georgia"/>
          <w:b/>
          <w:i w:val="0"/>
          <w:color w:val="181A1F"/>
          <w:sz w:val="20"/>
        </w:rPr>
        <w:t>6-K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shows "AI Applications" revenue ~</w:t>
      </w:r>
      <w:r>
        <w:rPr>
          <w:rFonts w:ascii="Georgia" w:hAnsi="Georgia" w:eastAsia="Georgia"/>
          <w:b/>
          <w:i w:val="0"/>
          <w:color w:val="181A1F"/>
          <w:sz w:val="20"/>
        </w:rPr>
        <w:t>RMB 2.5bn in Q1-2026, roughly flat YoY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, despite 200m+ Ernie MAU and 184% GPU-cloud growth (A-grade). Usage is real; </w:t>
      </w:r>
      <w:r>
        <w:rPr>
          <w:rFonts w:ascii="Georgia" w:hAnsi="Georgia" w:eastAsia="Georgia"/>
          <w:b/>
          <w:i w:val="0"/>
          <w:color w:val="181A1F"/>
          <w:sz w:val="20"/>
        </w:rPr>
        <w:t>direct monetization lags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. </w:t>
      </w:r>
      <w:r>
        <w:rPr>
          <w:rFonts w:ascii="Georgia" w:hAnsi="Georgia" w:eastAsia="Georgia"/>
          <w:b w:val="0"/>
          <w:i/>
          <w:color w:val="181A1F"/>
          <w:sz w:val="20"/>
        </w:rPr>
        <w:t>(Reviewer flag: Alibaba was reported to have turned FCF-negative on AI capex — to confirm directly against the 6-K before relying on it.)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II.3 Model &amp; app economics — share ≠ revenue (P2)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0017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del_ec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7A828E"/>
          <w:sz w:val="17"/>
        </w:rPr>
        <w:t>Figure II-2 — Model-lab economics: market share ≠ revenue (Zhipu &amp; MiniMax FY2025 filed, B).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Filed reality.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</w:t>
      </w:r>
      <w:r>
        <w:rPr>
          <w:rFonts w:ascii="Georgia" w:hAnsi="Georgia" w:eastAsia="Georgia"/>
          <w:b/>
          <w:i w:val="0"/>
          <w:color w:val="181A1F"/>
          <w:sz w:val="20"/>
        </w:rPr>
        <w:t>Zhipu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(HKEX:2513) FY2025: revenue </w:t>
      </w:r>
      <w:r>
        <w:rPr>
          <w:rFonts w:ascii="Georgia" w:hAnsi="Georgia" w:eastAsia="Georgia"/>
          <w:b/>
          <w:i w:val="0"/>
          <w:color w:val="181A1F"/>
          <w:sz w:val="20"/>
        </w:rPr>
        <w:t>RMB 724m (+132%)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, net loss </w:t>
      </w:r>
      <w:r>
        <w:rPr>
          <w:rFonts w:ascii="Georgia" w:hAnsi="Georgia" w:eastAsia="Georgia"/>
          <w:b/>
          <w:i w:val="0"/>
          <w:color w:val="181A1F"/>
          <w:sz w:val="20"/>
        </w:rPr>
        <w:t>RMB 4.72bn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 ~6.5× loss-to-revenue ratio. </w:t>
      </w:r>
      <w:r>
        <w:rPr>
          <w:rFonts w:ascii="Georgia" w:hAnsi="Georgia" w:eastAsia="Georgia"/>
          <w:b/>
          <w:i w:val="0"/>
          <w:color w:val="181A1F"/>
          <w:sz w:val="20"/>
        </w:rPr>
        <w:t>MiniMax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(HKEX:0100) FY2025: revenue </w:t>
      </w:r>
      <w:r>
        <w:rPr>
          <w:rFonts w:ascii="Georgia" w:hAnsi="Georgia" w:eastAsia="Georgia"/>
          <w:b/>
          <w:i w:val="0"/>
          <w:color w:val="181A1F"/>
          <w:sz w:val="20"/>
        </w:rPr>
        <w:t>$79m (+159%)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, net loss </w:t>
      </w:r>
      <w:r>
        <w:rPr>
          <w:rFonts w:ascii="Georgia" w:hAnsi="Georgia" w:eastAsia="Georgia"/>
          <w:b/>
          <w:i w:val="0"/>
          <w:color w:val="181A1F"/>
          <w:sz w:val="20"/>
        </w:rPr>
        <w:t>$1.87bn</w:t>
      </w:r>
      <w:r>
        <w:rPr>
          <w:rFonts w:ascii="Georgia" w:hAnsi="Georgia" w:eastAsia="Georgia"/>
          <w:b w:val="0"/>
          <w:i w:val="0"/>
          <w:color w:val="181A1F"/>
          <w:sz w:val="20"/>
        </w:rPr>
        <w:t>, ~⅔ from consumer apps (Talkie/Hailuo), not enterprise API (both B-grade, filed).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Open-weight monetization reality.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Open models win </w:t>
      </w:r>
      <w:r>
        <w:rPr>
          <w:rFonts w:ascii="Georgia" w:hAnsi="Georgia" w:eastAsia="Georgia"/>
          <w:b/>
          <w:i w:val="0"/>
          <w:color w:val="181A1F"/>
          <w:sz w:val="20"/>
        </w:rPr>
        <w:t>token share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but earn little </w:t>
      </w:r>
      <w:r>
        <w:rPr>
          <w:rFonts w:ascii="Georgia" w:hAnsi="Georgia" w:eastAsia="Georgia"/>
          <w:b/>
          <w:i w:val="0"/>
          <w:color w:val="181A1F"/>
          <w:sz w:val="20"/>
        </w:rPr>
        <w:t>directly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; monetization is indirect (cloud pull-through, enterprise support, closed tiers). </w:t>
      </w:r>
      <w:r>
        <w:rPr>
          <w:rFonts w:ascii="Georgia" w:hAnsi="Georgia" w:eastAsia="Georgia"/>
          <w:b/>
          <w:i w:val="0"/>
          <w:color w:val="181A1F"/>
          <w:sz w:val="20"/>
        </w:rPr>
        <w:t>DeepSeek, Moonshot and ByteDance model-level revenue are not reliably disclosed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DeepSeek estimates span ~80–100× across sources — so we </w:t>
      </w:r>
      <w:r>
        <w:rPr>
          <w:rFonts w:ascii="Georgia" w:hAnsi="Georgia" w:eastAsia="Georgia"/>
          <w:b/>
          <w:i w:val="0"/>
          <w:color w:val="181A1F"/>
          <w:sz w:val="20"/>
        </w:rPr>
        <w:t>decline to state a figure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rather than launder an estimate into a fact.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OpenClaw &amp; the enterprise inflection.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The viral </w:t>
      </w:r>
      <w:r>
        <w:rPr>
          <w:rFonts w:ascii="Georgia" w:hAnsi="Georgia" w:eastAsia="Georgia"/>
          <w:b/>
          <w:i w:val="0"/>
          <w:color w:val="181A1F"/>
          <w:sz w:val="20"/>
        </w:rPr>
        <w:t>OpenClaw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agent spurred </w:t>
      </w:r>
      <w:r>
        <w:rPr>
          <w:rFonts w:ascii="Georgia" w:hAnsi="Georgia" w:eastAsia="Georgia"/>
          <w:b/>
          <w:i w:val="0"/>
          <w:color w:val="181A1F"/>
          <w:sz w:val="20"/>
        </w:rPr>
        <w:t>Alibaba (Wukong)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and </w:t>
      </w:r>
      <w:r>
        <w:rPr>
          <w:rFonts w:ascii="Georgia" w:hAnsi="Georgia" w:eastAsia="Georgia"/>
          <w:b/>
          <w:i w:val="0"/>
          <w:color w:val="181A1F"/>
          <w:sz w:val="20"/>
        </w:rPr>
        <w:t>Tencent (ClawPro / WorkBuddy / ClawBot)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to ship enterprise-agent products in 2026. Traction (200+ ClawPro beta orgs, 2,000+ WorkBuddy pilots) is </w:t>
      </w:r>
      <w:r>
        <w:rPr>
          <w:rFonts w:ascii="Georgia" w:hAnsi="Georgia" w:eastAsia="Georgia"/>
          <w:b/>
          <w:i w:val="0"/>
          <w:color w:val="181A1F"/>
          <w:sz w:val="20"/>
        </w:rPr>
        <w:t>vendor-self-reported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 directional inflection, not audited demand.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II.4 Talent &amp; R&amp;D (P4)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9160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l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16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7A828E"/>
          <w:sz w:val="17"/>
        </w:rPr>
        <w:t>Figure II-3 — China's AI research output vs its historical talent export (C).</w:t>
      </w:r>
    </w:p>
    <w:p>
      <w:pPr>
        <w:pStyle w:val="ListBullet"/>
        <w:spacing w:after="40"/>
      </w:pPr>
      <w:r>
        <w:rPr>
          <w:rFonts w:ascii="Georgia" w:hAnsi="Georgia" w:eastAsia="Georgia"/>
          <w:b w:val="0"/>
          <w:i w:val="0"/>
          <w:color w:val="181A1F"/>
          <w:sz w:val="20"/>
        </w:rPr>
        <w:t>*</w:t>
      </w:r>
      <w:r>
        <w:rPr>
          <w:rFonts w:ascii="Georgia" w:hAnsi="Georgia" w:eastAsia="Georgia"/>
          <w:b w:val="0"/>
          <w:i/>
          <w:color w:val="181A1F"/>
          <w:sz w:val="20"/>
        </w:rPr>
        <w:t xml:space="preserve">China leads on research </w:t>
      </w:r>
      <w:r>
        <w:rPr>
          <w:rFonts w:ascii="Georgia" w:hAnsi="Georgia" w:eastAsia="Georgia"/>
          <w:b w:val="0"/>
          <w:i w:val="0"/>
          <w:color w:val="181A1F"/>
          <w:sz w:val="20"/>
        </w:rPr>
        <w:t>output</w:t>
      </w:r>
      <w:r>
        <w:rPr>
          <w:rFonts w:ascii="Georgia" w:hAnsi="Georgia" w:eastAsia="Georgia"/>
          <w:b w:val="0"/>
          <w:i/>
          <w:color w:val="181A1F"/>
          <w:sz w:val="20"/>
        </w:rPr>
        <w:t>:</w:t>
      </w:r>
      <w:r>
        <w:rPr>
          <w:rFonts w:ascii="Georgia" w:hAnsi="Georgia" w:eastAsia="Georgia"/>
          <w:b w:val="0"/>
          <w:i/>
          <w:color w:val="181A1F"/>
          <w:sz w:val="20"/>
        </w:rPr>
        <w:t xml:space="preserve"> </w:t>
      </w:r>
      <w:r>
        <w:rPr>
          <w:rFonts w:ascii="Georgia" w:hAnsi="Georgia" w:eastAsia="Georgia"/>
          <w:b w:val="0"/>
          <w:i/>
          <w:color w:val="181A1F"/>
          <w:sz w:val="20"/>
        </w:rPr>
        <w:t>69.7%</w:t>
      </w:r>
      <w:r>
        <w:rPr>
          <w:rFonts w:ascii="Georgia" w:hAnsi="Georgia" w:eastAsia="Georgia"/>
          <w:b w:val="0"/>
          <w:i/>
          <w:color w:val="181A1F"/>
          <w:sz w:val="20"/>
        </w:rPr>
        <w:t xml:space="preserve"> of global AI patent filings, </w:t>
      </w:r>
      <w:r>
        <w:rPr>
          <w:rFonts w:ascii="Georgia" w:hAnsi="Georgia" w:eastAsia="Georgia"/>
          <w:b w:val="0"/>
          <w:i/>
          <w:color w:val="181A1F"/>
          <w:sz w:val="20"/>
        </w:rPr>
        <w:t>23.2%</w:t>
      </w:r>
      <w:r>
        <w:rPr>
          <w:rFonts w:ascii="Georgia" w:hAnsi="Georgia" w:eastAsia="Georgia"/>
          <w:b w:val="0"/>
          <w:i/>
          <w:color w:val="181A1F"/>
          <w:sz w:val="20"/>
        </w:rPr>
        <w:t xml:space="preserve"> of publications, and produces </w:t>
      </w:r>
      <w:r>
        <w:rPr>
          <w:rFonts w:ascii="Georgia" w:hAnsi="Georgia" w:eastAsia="Georgia"/>
          <w:b w:val="0"/>
          <w:i/>
          <w:color w:val="181A1F"/>
          <w:sz w:val="20"/>
        </w:rPr>
        <w:t>38%</w:t>
      </w:r>
      <w:r>
        <w:rPr>
          <w:rFonts w:ascii="Georgia" w:hAnsi="Georgia" w:eastAsia="Georgia"/>
          <w:b w:val="0"/>
          <w:i/>
          <w:color w:val="181A1F"/>
          <w:sz w:val="20"/>
        </w:rPr>
        <w:t xml:space="preserve"> of the world's elite AI researchers by origin. </w:t>
      </w:r>
      <w:r>
        <w:rPr>
          <w:rFonts w:ascii="Georgia" w:hAnsi="Georgia" w:eastAsia="Georgia"/>
          <w:b w:val="0"/>
          <w:i/>
          <w:color w:val="181A1F"/>
          <w:sz w:val="20"/>
        </w:rPr>
        <w:t>But historically 72%</w:t>
      </w:r>
      <w:r>
        <w:rPr>
          <w:rFonts w:ascii="Georgia" w:hAnsi="Georgia" w:eastAsia="Georgia"/>
          <w:b w:val="0"/>
          <w:i/>
          <w:color w:val="181A1F"/>
          <w:sz w:val="20"/>
        </w:rPr>
        <w:t xml:space="preserve"> of China-educated elite researchers ended up at </w:t>
      </w:r>
      <w:r>
        <w:rPr>
          <w:rFonts w:ascii="Georgia" w:hAnsi="Georgia" w:eastAsia="Georgia"/>
          <w:b w:val="0"/>
          <w:i/>
          <w:color w:val="181A1F"/>
          <w:sz w:val="20"/>
        </w:rPr>
        <w:t>US</w:t>
      </w:r>
      <w:r>
        <w:rPr>
          <w:rFonts w:ascii="Georgia" w:hAnsi="Georgia" w:eastAsia="Georgia"/>
          <w:b w:val="0"/>
          <w:i w:val="0"/>
          <w:color w:val="181A1F"/>
          <w:sz w:val="20"/>
        </w:rPr>
        <w:t>* institutions (only ~11% stayed).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The 2025–26 reflow signal: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US visa tightening + Stanford AI Index's finding that AI-talent migration </w:t>
      </w:r>
      <w:r>
        <w:rPr>
          <w:rFonts w:ascii="Georgia" w:hAnsi="Georgia" w:eastAsia="Georgia"/>
          <w:b w:val="0"/>
          <w:i/>
          <w:color w:val="181A1F"/>
          <w:sz w:val="20"/>
        </w:rPr>
        <w:t>into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the US fell </w:t>
      </w:r>
      <w:r>
        <w:rPr>
          <w:rFonts w:ascii="Georgia" w:hAnsi="Georgia" w:eastAsia="Georgia"/>
          <w:b/>
          <w:i w:val="0"/>
          <w:color w:val="181A1F"/>
          <w:sz w:val="20"/>
        </w:rPr>
        <w:t>~89% since 2017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+ China's new K-visa point to talent returning — but this is a </w:t>
      </w:r>
      <w:r>
        <w:rPr>
          <w:rFonts w:ascii="Georgia" w:hAnsi="Georgia" w:eastAsia="Georgia"/>
          <w:b/>
          <w:i w:val="0"/>
          <w:color w:val="181A1F"/>
          <w:sz w:val="20"/>
        </w:rPr>
        <w:t>signal, not yet a measured stock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(DeepSeek's ~70% US-experienced returnees is one firm, not a population statistic).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The gap that binds: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a chip-design / EDA talent shortage (recruiter estimates of 200–300k, </w:t>
      </w:r>
      <w:r>
        <w:rPr>
          <w:rFonts w:ascii="Georgia" w:hAnsi="Georgia" w:eastAsia="Georgia"/>
          <w:b/>
          <w:i w:val="0"/>
          <w:color w:val="181A1F"/>
          <w:sz w:val="20"/>
        </w:rPr>
        <w:t>D</w:t>
      </w:r>
      <w:r>
        <w:rPr>
          <w:rFonts w:ascii="Georgia" w:hAnsi="Georgia" w:eastAsia="Georgia"/>
          <w:b w:val="0"/>
          <w:i w:val="0"/>
          <w:color w:val="181A1F"/>
          <w:sz w:val="20"/>
        </w:rPr>
        <w:t>) — the human-capital mirror of the EUV/EDA tooling gap.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II.5 Global investability — the US is the outlier (P5)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For a </w:t>
      </w:r>
      <w:r>
        <w:rPr>
          <w:rFonts w:ascii="Georgia" w:hAnsi="Georgia" w:eastAsia="Georgia"/>
          <w:b/>
          <w:i w:val="0"/>
          <w:color w:val="181A1F"/>
          <w:sz w:val="21"/>
        </w:rPr>
        <w:t>globally-distributed client base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, the key correction to Part I: </w:t>
      </w:r>
      <w:r>
        <w:rPr>
          <w:rFonts w:ascii="Georgia" w:hAnsi="Georgia" w:eastAsia="Georgia"/>
          <w:b/>
          <w:i w:val="0"/>
          <w:color w:val="181A1F"/>
          <w:sz w:val="21"/>
        </w:rPr>
        <w:t>the US is uniquely constrained, not the norm.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EU / UK / Japan / Korea / Singapore / Gulf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investors face </w:t>
      </w:r>
      <w:r>
        <w:rPr>
          <w:rFonts w:ascii="Georgia" w:hAnsi="Georgia" w:eastAsia="Georgia"/>
          <w:b/>
          <w:i w:val="0"/>
          <w:color w:val="181A1F"/>
          <w:sz w:val="20"/>
        </w:rPr>
        <w:t>no domicile-specific legal bar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on most listed China-AI names — </w:t>
      </w:r>
      <w:r>
        <w:rPr>
          <w:rFonts w:ascii="Georgia" w:hAnsi="Georgia" w:eastAsia="Georgia"/>
          <w:b w:val="0"/>
          <w:i/>
          <w:color w:val="181A1F"/>
          <w:sz w:val="20"/>
        </w:rPr>
        <w:t>including the Entity-Listed GPU IPOs.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Access is gated by </w:t>
      </w:r>
      <w:r>
        <w:rPr>
          <w:rFonts w:ascii="Georgia" w:hAnsi="Georgia" w:eastAsia="Georgia"/>
          <w:b/>
          <w:i w:val="0"/>
          <w:color w:val="181A1F"/>
          <w:sz w:val="20"/>
        </w:rPr>
        <w:t>market mechanics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(Stock Connect seasoning, STAR/ChiNext professional-investor-only rules, QFII licensing, ~20% A-share inclusion factor), not national law.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US persons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are the exception (Entity List + Treasury </w:t>
      </w:r>
      <w:r>
        <w:rPr>
          <w:rFonts w:ascii="Georgia" w:hAnsi="Georgia" w:eastAsia="Georgia"/>
          <w:b/>
          <w:i w:val="0"/>
          <w:color w:val="181A1F"/>
          <w:sz w:val="20"/>
        </w:rPr>
        <w:t>OISP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) — though OISP carries a </w:t>
      </w:r>
      <w:r>
        <w:rPr>
          <w:rFonts w:ascii="Georgia" w:hAnsi="Georgia" w:eastAsia="Georgia"/>
          <w:b/>
          <w:i w:val="0"/>
          <w:color w:val="181A1F"/>
          <w:sz w:val="20"/>
        </w:rPr>
        <w:t>passive-index exemption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for small, non-controlling holdings (a correction to v1's stronger "US persons excluded" framing).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Taiwan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is the one </w:t>
      </w:r>
      <w:r>
        <w:rPr>
          <w:rFonts w:ascii="Georgia" w:hAnsi="Georgia" w:eastAsia="Georgia"/>
          <w:b/>
          <w:i w:val="0"/>
          <w:color w:val="181A1F"/>
          <w:sz w:val="20"/>
        </w:rPr>
        <w:t>symmetric legal barrier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(restricting its </w:t>
      </w:r>
      <w:r>
        <w:rPr>
          <w:rFonts w:ascii="Georgia" w:hAnsi="Georgia" w:eastAsia="Georgia"/>
          <w:b w:val="0"/>
          <w:i/>
          <w:color w:val="181A1F"/>
          <w:sz w:val="20"/>
        </w:rPr>
        <w:t>own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capital into mainland tech). Japan's </w:t>
      </w:r>
      <w:r>
        <w:rPr>
          <w:rFonts w:ascii="Georgia" w:hAnsi="Georgia" w:eastAsia="Georgia"/>
          <w:b/>
          <w:i w:val="0"/>
          <w:color w:val="181A1F"/>
          <w:sz w:val="20"/>
        </w:rPr>
        <w:t>GPIF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voluntarily excluding China A-shares (2025–30) is a checkable </w:t>
      </w:r>
      <w:r>
        <w:rPr>
          <w:rFonts w:ascii="Georgia" w:hAnsi="Georgia" w:eastAsia="Georgia"/>
          <w:b/>
          <w:i w:val="0"/>
          <w:color w:val="181A1F"/>
          <w:sz w:val="20"/>
        </w:rPr>
        <w:t>prudential de-risking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signal.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The swing factor to monitor: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a single-sourced Reuters report (Jul-2026) that Beijing may curb </w:t>
      </w:r>
      <w:r>
        <w:rPr>
          <w:rFonts w:ascii="Georgia" w:hAnsi="Georgia" w:eastAsia="Georgia"/>
          <w:b/>
          <w:i w:val="0"/>
          <w:color w:val="181A1F"/>
          <w:sz w:val="20"/>
        </w:rPr>
        <w:t>foreign access to Chinese AI models and which investors may back homegrown AI firms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if enacted, the </w:t>
      </w:r>
      <w:r>
        <w:rPr>
          <w:rFonts w:ascii="Georgia" w:hAnsi="Georgia" w:eastAsia="Georgia"/>
          <w:b/>
          <w:i w:val="0"/>
          <w:color w:val="181A1F"/>
          <w:sz w:val="20"/>
        </w:rPr>
        <w:t>first China-side capital wall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on the sector (D; undecided per its own sources). A full </w:t>
      </w:r>
      <w:r>
        <w:rPr>
          <w:rFonts w:ascii="Georgia" w:hAnsi="Georgia" w:eastAsia="Georgia"/>
          <w:b w:val="0"/>
          <w:i/>
          <w:color w:val="181A1F"/>
          <w:sz w:val="20"/>
        </w:rPr>
        <w:t>who-can-own-what by investor domicile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matrix is in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research/v2_p5_global_reg.md</w:t>
      </w:r>
      <w:r>
        <w:rPr>
          <w:rFonts w:ascii="Georgia" w:hAnsi="Georgia" w:eastAsia="Georgia"/>
          <w:b w:val="0"/>
          <w:i w:val="0"/>
          <w:color w:val="181A1F"/>
          <w:sz w:val="20"/>
        </w:rPr>
        <w:t>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II.6 Index exposure — you may already own the stack (P6)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0056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ndex_weigh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7A828E"/>
          <w:sz w:val="17"/>
        </w:rPr>
        <w:t>Figure II-4 — AI-stack weight inside major China indices (named leaders = a floor; C).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AI-stack names are </w:t>
      </w:r>
      <w:r>
        <w:rPr>
          <w:rFonts w:ascii="Georgia" w:hAnsi="Georgia" w:eastAsia="Georgia"/>
          <w:b/>
          <w:i w:val="0"/>
          <w:color w:val="181A1F"/>
          <w:sz w:val="21"/>
        </w:rPr>
        <w:t>structurally over-represented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in every major China benchmark: </w:t>
      </w:r>
      <w:r>
        <w:rPr>
          <w:rFonts w:ascii="Georgia" w:hAnsi="Georgia" w:eastAsia="Georgia"/>
          <w:b/>
          <w:i w:val="0"/>
          <w:color w:val="181A1F"/>
          <w:sz w:val="21"/>
        </w:rPr>
        <w:t>~23.5%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of MSCI China sits in just </w:t>
      </w:r>
      <w:r>
        <w:rPr>
          <w:rFonts w:ascii="Georgia" w:hAnsi="Georgia" w:eastAsia="Georgia"/>
          <w:b/>
          <w:i w:val="0"/>
          <w:color w:val="181A1F"/>
          <w:sz w:val="21"/>
        </w:rPr>
        <w:t>Tencent + Alibaba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; </w:t>
      </w:r>
      <w:r>
        <w:rPr>
          <w:rFonts w:ascii="Georgia" w:hAnsi="Georgia" w:eastAsia="Georgia"/>
          <w:b/>
          <w:i w:val="0"/>
          <w:color w:val="181A1F"/>
          <w:sz w:val="21"/>
        </w:rPr>
        <w:t>~17.9%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of </w:t>
      </w:r>
      <w:r>
        <w:rPr>
          <w:rFonts w:ascii="Georgia" w:hAnsi="Georgia" w:eastAsia="Georgia"/>
          <w:b/>
          <w:i w:val="0"/>
          <w:color w:val="181A1F"/>
          <w:sz w:val="21"/>
        </w:rPr>
        <w:t>HSTECH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in </w:t>
      </w:r>
      <w:r>
        <w:rPr>
          <w:rFonts w:ascii="Georgia" w:hAnsi="Georgia" w:eastAsia="Georgia"/>
          <w:b/>
          <w:i w:val="0"/>
          <w:color w:val="181A1F"/>
          <w:sz w:val="21"/>
        </w:rPr>
        <w:t>SMIC + Tencent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; </w:t>
      </w:r>
      <w:r>
        <w:rPr>
          <w:rFonts w:ascii="Georgia" w:hAnsi="Georgia" w:eastAsia="Georgia"/>
          <w:b/>
          <w:i w:val="0"/>
          <w:color w:val="181A1F"/>
          <w:sz w:val="21"/>
        </w:rPr>
        <w:t>Innolight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is the single </w:t>
      </w:r>
      <w:r>
        <w:rPr>
          <w:rFonts w:ascii="Georgia" w:hAnsi="Georgia" w:eastAsia="Georgia"/>
          <w:b/>
          <w:i w:val="0"/>
          <w:color w:val="181A1F"/>
          <w:sz w:val="21"/>
        </w:rPr>
        <w:t>largest CSI 300 weight (~5%)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, having overtaken CATL. Implication for allocators: </w:t>
      </w:r>
      <w:r>
        <w:rPr>
          <w:rFonts w:ascii="Georgia" w:hAnsi="Georgia" w:eastAsia="Georgia"/>
          <w:b/>
          <w:i w:val="0"/>
          <w:color w:val="181A1F"/>
          <w:sz w:val="21"/>
        </w:rPr>
        <w:t>passive China exposure already carries heavy AI-stack beta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— the active decision is </w:t>
      </w:r>
      <w:r>
        <w:rPr>
          <w:rFonts w:ascii="Georgia" w:hAnsi="Georgia" w:eastAsia="Georgia"/>
          <w:b w:val="0"/>
          <w:i/>
          <w:color w:val="181A1F"/>
          <w:sz w:val="21"/>
        </w:rPr>
        <w:t>tilt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, not </w:t>
      </w:r>
      <w:r>
        <w:rPr>
          <w:rFonts w:ascii="Georgia" w:hAnsi="Georgia" w:eastAsia="Georgia"/>
          <w:b w:val="0"/>
          <w:i/>
          <w:color w:val="181A1F"/>
          <w:sz w:val="21"/>
        </w:rPr>
        <w:t>initiation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. Full ISIN / GICS / index-membership table: </w:t>
      </w:r>
      <w:r>
        <w:rPr>
          <w:rFonts w:ascii="Consolas" w:hAnsi="Consolas" w:eastAsia="Consolas"/>
          <w:b w:val="0"/>
          <w:i w:val="0"/>
          <w:color w:val="2C6E7A"/>
          <w:sz w:val="20"/>
        </w:rPr>
        <w:t>database/company_reference.csv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(all C/D — index-provider PDFs were inaccessible to automated fetch).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II.7 What the red-team changed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 w:val="0"/>
          <w:color w:val="181A1F"/>
          <w:sz w:val="21"/>
        </w:rPr>
        <w:t>An adversarial reviewer challenged every load-bearing claim (</w:t>
      </w:r>
      <w:r>
        <w:rPr>
          <w:rFonts w:ascii="Consolas" w:hAnsi="Consolas" w:eastAsia="Consolas"/>
          <w:b w:val="0"/>
          <w:i w:val="0"/>
          <w:color w:val="2C6E7A"/>
          <w:sz w:val="20"/>
        </w:rPr>
        <w:t>research/review/redteam_v2.md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). Result: </w:t>
      </w:r>
      <w:r>
        <w:rPr>
          <w:rFonts w:ascii="Georgia" w:hAnsi="Georgia" w:eastAsia="Georgia"/>
          <w:b/>
          <w:i w:val="0"/>
          <w:color w:val="181A1F"/>
          <w:sz w:val="21"/>
        </w:rPr>
        <w:t>fit to integrate with fixes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— Biren's ticker corrected (→ </w:t>
      </w:r>
      <w:r>
        <w:rPr>
          <w:rFonts w:ascii="Georgia" w:hAnsi="Georgia" w:eastAsia="Georgia"/>
          <w:b/>
          <w:i w:val="0"/>
          <w:color w:val="181A1F"/>
          <w:sz w:val="21"/>
        </w:rPr>
        <w:t>HKEX:6082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); CXMT's "CNY 2–3tn" reworded as </w:t>
      </w:r>
      <w:r>
        <w:rPr>
          <w:rFonts w:ascii="Georgia" w:hAnsi="Georgia" w:eastAsia="Georgia"/>
          <w:b w:val="0"/>
          <w:i/>
          <w:color w:val="181A1F"/>
          <w:sz w:val="21"/>
        </w:rPr>
        <w:t>analyst dispersion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, not company guidance; Zhipu's follow-on raise and Alibaba's FCF flagged </w:t>
      </w:r>
      <w:r>
        <w:rPr>
          <w:rFonts w:ascii="Georgia" w:hAnsi="Georgia" w:eastAsia="Georgia"/>
          <w:b/>
          <w:i w:val="0"/>
          <w:color w:val="181A1F"/>
          <w:sz w:val="21"/>
        </w:rPr>
        <w:t>to verify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; and a standing caveat that </w:t>
      </w:r>
      <w:r>
        <w:rPr>
          <w:rFonts w:ascii="Georgia" w:hAnsi="Georgia" w:eastAsia="Georgia"/>
          <w:b/>
          <w:i w:val="0"/>
          <w:color w:val="181A1F"/>
          <w:sz w:val="21"/>
        </w:rPr>
        <w:t>all index weights are search-mediated (C/D)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. The batch's defining strength, per the review, was </w:t>
      </w:r>
      <w:r>
        <w:rPr>
          <w:rFonts w:ascii="Georgia" w:hAnsi="Georgia" w:eastAsia="Georgia"/>
          <w:b/>
          <w:i w:val="0"/>
          <w:color w:val="181A1F"/>
          <w:sz w:val="21"/>
        </w:rPr>
        <w:t>confidence honesty</w:t>
      </w:r>
      <w:r>
        <w:rPr>
          <w:rFonts w:ascii="Georgia" w:hAnsi="Georgia" w:eastAsia="Georgia"/>
          <w:b w:val="0"/>
          <w:i w:val="0"/>
          <w:color w:val="181A1F"/>
          <w:sz w:val="21"/>
        </w:rPr>
        <w:t xml:space="preserve"> — the pods consistently flagged their own weak data instead of inventing precision.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Appendix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A. Methodology &amp; confidence grading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see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/database/schema.md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and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/database/RECONCILIATION.md</w:t>
      </w:r>
      <w:r>
        <w:rPr>
          <w:rFonts w:ascii="Georgia" w:hAnsi="Georgia" w:eastAsia="Georgia"/>
          <w:b w:val="0"/>
          <w:i w:val="0"/>
          <w:color w:val="181A1F"/>
          <w:sz w:val="20"/>
        </w:rPr>
        <w:t>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B. Company master &amp; data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/database/company_master.csv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company_reference.csv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(ISIN/GICS/index membership),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metrics_timeseries.csv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policy_funding_tracker.csv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model_catalog.csv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chip_catalog.csv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sources.csv</w:t>
      </w:r>
      <w:r>
        <w:rPr>
          <w:rFonts w:ascii="Georgia" w:hAnsi="Georgia" w:eastAsia="Georgia"/>
          <w:b w:val="0"/>
          <w:i w:val="0"/>
          <w:color w:val="181A1F"/>
          <w:sz w:val="20"/>
        </w:rPr>
        <w:t>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C. Analyst pod memos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Part I: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/research/pod1…pod6_*.md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. Part II (v2):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/research/v2_p1…p6_*.md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(hyperscaler economics, model economics, demand-split &amp; priced-in, talent, global regulation, index/reference data).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D. Glossary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/report/GLOSSARY.md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(also appended to the .docx).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E. Adversarial review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/research/review/redteam_v2.md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(challenge log + must-fixes).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F. Key open questions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Nvidia's true China share; CXMT/YMTC valuations; indigenous-EUV timeline; DeepSeek/Moonshot model revenue; Zhipu follow-on &amp; Alibaba FCF (to verify). See </w:t>
      </w:r>
      <w:r>
        <w:rPr>
          <w:rFonts w:ascii="Consolas" w:hAnsi="Consolas" w:eastAsia="Consolas"/>
          <w:b w:val="0"/>
          <w:i w:val="0"/>
          <w:color w:val="2C6E7A"/>
          <w:sz w:val="19"/>
        </w:rPr>
        <w:t>RECONCILIATION.md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. </w:t>
      </w:r>
      <w:r>
        <w:rPr>
          <w:rFonts w:ascii="Georgia" w:hAnsi="Georgia" w:eastAsia="Georgia"/>
          <w:b w:val="0"/>
          <w:i/>
          <w:color w:val="181A1F"/>
          <w:sz w:val="20"/>
        </w:rPr>
        <w:t>(Biren ticker resolved → HKEX:6082.)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G. Reference scaffolding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Bridgewater ×3, Sands Capital, Exponential View (</w:t>
      </w:r>
      <w:r>
        <w:rPr>
          <w:rFonts w:ascii="Consolas" w:hAnsi="Consolas" w:eastAsia="Consolas"/>
          <w:b w:val="0"/>
          <w:i w:val="0"/>
          <w:color w:val="2C6E7A"/>
          <w:sz w:val="19"/>
        </w:rPr>
        <w:t>sources.csv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REF-*).</w:t>
      </w:r>
    </w:p>
    <w:p>
      <w:r>
        <w:br w:type="page"/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44"/>
        </w:rPr>
        <w:t>Glossary &amp; Concept Primer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/>
          <w:color w:val="181A1F"/>
          <w:sz w:val="21"/>
        </w:rPr>
        <w:t xml:space="preserve">For readers who are not semiconductor or AI-infrastructure specialists. Terms are grouped by where they sit in the stack. Each entry explains what the thing </w:t>
      </w:r>
      <w:r>
        <w:rPr>
          <w:rFonts w:ascii="Georgia" w:hAnsi="Georgia" w:eastAsia="Georgia"/>
          <w:b w:val="0"/>
          <w:i/>
          <w:color w:val="181A1F"/>
          <w:sz w:val="21"/>
        </w:rPr>
        <w:t>is</w:t>
      </w:r>
      <w:r>
        <w:rPr>
          <w:rFonts w:ascii="Georgia" w:hAnsi="Georgia" w:eastAsia="Georgia"/>
          <w:b w:val="0"/>
          <w:i/>
          <w:color w:val="181A1F"/>
          <w:sz w:val="21"/>
        </w:rPr>
        <w:t xml:space="preserve"> and why it </w:t>
      </w:r>
      <w:r>
        <w:rPr>
          <w:rFonts w:ascii="Georgia" w:hAnsi="Georgia" w:eastAsia="Georgia"/>
          <w:b w:val="0"/>
          <w:i/>
          <w:color w:val="181A1F"/>
          <w:sz w:val="21"/>
        </w:rPr>
        <w:t>matters</w:t>
      </w:r>
      <w:r>
        <w:rPr>
          <w:rFonts w:ascii="Georgia" w:hAnsi="Georgia" w:eastAsia="Georgia"/>
          <w:b w:val="0"/>
          <w:i/>
          <w:color w:val="181A1F"/>
          <w:sz w:val="21"/>
        </w:rPr>
        <w:t xml:space="preserve"> to the investment case.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The manufacturing stack (how a chip gets made)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Node (e.g. "7nm", "5nm")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 shorthand for a chip-manufacturing generation. Smaller numbers = denser, faster, more power-efficient transistors. China is largely stuck at </w:t>
      </w:r>
      <w:r>
        <w:rPr>
          <w:rFonts w:ascii="Georgia" w:hAnsi="Georgia" w:eastAsia="Georgia"/>
          <w:b/>
          <w:i w:val="0"/>
          <w:color w:val="181A1F"/>
          <w:sz w:val="20"/>
        </w:rPr>
        <w:t>7nm-class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; the global frontier is ~2–3nm. </w:t>
      </w:r>
      <w:r>
        <w:rPr>
          <w:rFonts w:ascii="Georgia" w:hAnsi="Georgia" w:eastAsia="Georgia"/>
          <w:b w:val="0"/>
          <w:i/>
          <w:color w:val="181A1F"/>
          <w:sz w:val="20"/>
        </w:rPr>
        <w:t>Why it matters: node = how good your chips can be.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WFE (Wafer Fab Equipment)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machines inside a chip factory ("fab") that build chips layer by layer: lithography, etch, deposition, cleaning, etc. </w:t>
      </w:r>
      <w:r>
        <w:rPr>
          <w:rFonts w:ascii="Georgia" w:hAnsi="Georgia" w:eastAsia="Georgia"/>
          <w:b w:val="0"/>
          <w:i/>
          <w:color w:val="181A1F"/>
          <w:sz w:val="20"/>
        </w:rPr>
        <w:t>A fab is only as capable as its WFE.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Lithography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step that prints circuit patterns onto the silicon wafer using light. The most critical and hardest-to-replicate tool.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EUV (Extreme Ultra-Violet lithography)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most advanced lithography, using 13.5nm-wavelength light; required to make sub-7nm chips economically. Made </w:t>
      </w:r>
      <w:r>
        <w:rPr>
          <w:rFonts w:ascii="Georgia" w:hAnsi="Georgia" w:eastAsia="Georgia"/>
          <w:b/>
          <w:i w:val="0"/>
          <w:color w:val="181A1F"/>
          <w:sz w:val="20"/>
        </w:rPr>
        <w:t>only by ASML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(Netherlands) and </w:t>
      </w:r>
      <w:r>
        <w:rPr>
          <w:rFonts w:ascii="Georgia" w:hAnsi="Georgia" w:eastAsia="Georgia"/>
          <w:b/>
          <w:i w:val="0"/>
          <w:color w:val="181A1F"/>
          <w:sz w:val="20"/>
        </w:rPr>
        <w:t>banned from export to China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. </w:t>
      </w:r>
      <w:r>
        <w:rPr>
          <w:rFonts w:ascii="Georgia" w:hAnsi="Georgia" w:eastAsia="Georgia"/>
          <w:b w:val="0"/>
          <w:i/>
          <w:color w:val="181A1F"/>
          <w:sz w:val="20"/>
        </w:rPr>
        <w:t>This is the single binding chokepoint in China's stack.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DUV (Deep Ultra-Violet lithography)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previous-generation, longer-wavelength lithography China </w:t>
      </w:r>
      <w:r>
        <w:rPr>
          <w:rFonts w:ascii="Georgia" w:hAnsi="Georgia" w:eastAsia="Georgia"/>
          <w:b w:val="0"/>
          <w:i/>
          <w:color w:val="181A1F"/>
          <w:sz w:val="20"/>
        </w:rPr>
        <w:t>can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access (with restrictions). </w:t>
      </w:r>
      <w:r>
        <w:rPr>
          <w:rFonts w:ascii="Georgia" w:hAnsi="Georgia" w:eastAsia="Georgia"/>
          <w:b w:val="0"/>
          <w:i/>
          <w:color w:val="181A1F"/>
          <w:sz w:val="20"/>
        </w:rPr>
        <w:t>China's workaround for the EUV ban.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Multipatterning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using DUV several times over to fake the resolution of one EUV pass. It works but costs more steps, lower yield, higher cost. </w:t>
      </w:r>
      <w:r>
        <w:rPr>
          <w:rFonts w:ascii="Georgia" w:hAnsi="Georgia" w:eastAsia="Georgia"/>
          <w:b w:val="0"/>
          <w:i/>
          <w:color w:val="181A1F"/>
          <w:sz w:val="20"/>
        </w:rPr>
        <w:t>The "tax" China pays for lacking EUV.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Etch / Deposition / Cleaning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other core fab steps (carving patterns, laying down material, removing residue). Where China's own tool-makers (AMEC, NAURA, ACM) are strongest.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EDA (Electronic Design Automation)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software used to </w:t>
      </w:r>
      <w:r>
        <w:rPr>
          <w:rFonts w:ascii="Georgia" w:hAnsi="Georgia" w:eastAsia="Georgia"/>
          <w:b w:val="0"/>
          <w:i/>
          <w:color w:val="181A1F"/>
          <w:sz w:val="20"/>
        </w:rPr>
        <w:t>design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chips before they're built (Synopsys, Cadence, Siemens). China depends on foreign EDA; a wide gap.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Yield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percentage of chips on a wafer that come out working. Higher = cheaper. China's advanced-node yield (~35%) is far below TSMC's (&gt;80%). </w:t>
      </w:r>
      <w:r>
        <w:rPr>
          <w:rFonts w:ascii="Georgia" w:hAnsi="Georgia" w:eastAsia="Georgia"/>
          <w:b w:val="0"/>
          <w:i/>
          <w:color w:val="181A1F"/>
          <w:sz w:val="20"/>
        </w:rPr>
        <w:t>Low yield = expensive, scarce chips.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Foundry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 factory that manufactures chips designed by others (e.g. </w:t>
      </w:r>
      <w:r>
        <w:rPr>
          <w:rFonts w:ascii="Georgia" w:hAnsi="Georgia" w:eastAsia="Georgia"/>
          <w:b/>
          <w:i w:val="0"/>
          <w:color w:val="181A1F"/>
          <w:sz w:val="20"/>
        </w:rPr>
        <w:t>SMIC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, </w:t>
      </w:r>
      <w:r>
        <w:rPr>
          <w:rFonts w:ascii="Georgia" w:hAnsi="Georgia" w:eastAsia="Georgia"/>
          <w:b/>
          <w:i w:val="0"/>
          <w:color w:val="181A1F"/>
          <w:sz w:val="20"/>
        </w:rPr>
        <w:t>TSMC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). </w:t>
      </w:r>
      <w:r>
        <w:rPr>
          <w:rFonts w:ascii="Georgia" w:hAnsi="Georgia" w:eastAsia="Georgia"/>
          <w:b w:val="0"/>
          <w:i/>
          <w:color w:val="181A1F"/>
          <w:sz w:val="20"/>
        </w:rPr>
        <w:t>The shared bottleneck behind almost every Chinese AI chip.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Fabless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 chip company that designs but does not manufacture (e.g. Montage, most GPU firms); it outsources to a foundry.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Memory &amp; packaging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DRAM / NAND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two main memory types. DRAM = fast working memory; NAND = storage. China's champions: </w:t>
      </w:r>
      <w:r>
        <w:rPr>
          <w:rFonts w:ascii="Georgia" w:hAnsi="Georgia" w:eastAsia="Georgia"/>
          <w:b/>
          <w:i w:val="0"/>
          <w:color w:val="181A1F"/>
          <w:sz w:val="20"/>
        </w:rPr>
        <w:t>CXMT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(DRAM), </w:t>
      </w:r>
      <w:r>
        <w:rPr>
          <w:rFonts w:ascii="Georgia" w:hAnsi="Georgia" w:eastAsia="Georgia"/>
          <w:b/>
          <w:i w:val="0"/>
          <w:color w:val="181A1F"/>
          <w:sz w:val="20"/>
        </w:rPr>
        <w:t>YMTC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(NAND).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HBM (High-Bandwidth Memory)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DRAM chips stacked vertically to feed AI accelerators at very high speed. The </w:t>
      </w:r>
      <w:r>
        <w:rPr>
          <w:rFonts w:ascii="Georgia" w:hAnsi="Georgia" w:eastAsia="Georgia"/>
          <w:b/>
          <w:i w:val="0"/>
          <w:color w:val="181A1F"/>
          <w:sz w:val="20"/>
        </w:rPr>
        <w:t>acute bottleneck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for AI hardware; dominated by SK hynix/Samsung/Micron. China is ~3–4 years behind.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TSV (Through-Silicon Via)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tiny vertical wires that connect stacked memory dies; a prerequisite for building HBM.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Hybrid bonding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an advanced way to fuse chip layers directly (no solder bumps), enabling denser stacking; key to next-gen HBM and chiplets.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Advanced packaging / CoWoS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assembling multiple chips + memory into one high-performance module. </w:t>
      </w:r>
      <w:r>
        <w:rPr>
          <w:rFonts w:ascii="Georgia" w:hAnsi="Georgia" w:eastAsia="Georgia"/>
          <w:b/>
          <w:i w:val="0"/>
          <w:color w:val="181A1F"/>
          <w:sz w:val="20"/>
        </w:rPr>
        <w:t>CoWoS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is TSMC's version (Nvidia's GPUs depend on it). China is building analogs.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Compute &amp; software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GPU / NPU / ASIC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types of AI accelerator chips. </w:t>
      </w:r>
      <w:r>
        <w:rPr>
          <w:rFonts w:ascii="Georgia" w:hAnsi="Georgia" w:eastAsia="Georgia"/>
          <w:b/>
          <w:i w:val="0"/>
          <w:color w:val="181A1F"/>
          <w:sz w:val="20"/>
        </w:rPr>
        <w:t>GPU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= general-purpose (Nvidia); </w:t>
      </w:r>
      <w:r>
        <w:rPr>
          <w:rFonts w:ascii="Georgia" w:hAnsi="Georgia" w:eastAsia="Georgia"/>
          <w:b/>
          <w:i w:val="0"/>
          <w:color w:val="181A1F"/>
          <w:sz w:val="20"/>
        </w:rPr>
        <w:t>NPU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= neural-processing unit (Huawei Ascend, Cambricon); </w:t>
      </w:r>
      <w:r>
        <w:rPr>
          <w:rFonts w:ascii="Georgia" w:hAnsi="Georgia" w:eastAsia="Georgia"/>
          <w:b/>
          <w:i w:val="0"/>
          <w:color w:val="181A1F"/>
          <w:sz w:val="20"/>
        </w:rPr>
        <w:t>ASIC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= custom-built for one job. </w:t>
      </w:r>
      <w:r>
        <w:rPr>
          <w:rFonts w:ascii="Georgia" w:hAnsi="Georgia" w:eastAsia="Georgia"/>
          <w:b w:val="0"/>
          <w:i/>
          <w:color w:val="181A1F"/>
          <w:sz w:val="20"/>
        </w:rPr>
        <w:t>These run AI models.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CUDA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Nvidia's software platform that lets developers program its GPUs. Its huge ecosystem is Nvidia's deepest moat.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CANN / MindSpore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Huawei's attempt at a CUDA alternative. </w:t>
      </w:r>
      <w:r>
        <w:rPr>
          <w:rFonts w:ascii="Georgia" w:hAnsi="Georgia" w:eastAsia="Georgia"/>
          <w:b w:val="0"/>
          <w:i/>
          <w:color w:val="181A1F"/>
          <w:sz w:val="20"/>
        </w:rPr>
        <w:t>Replicating CUDA's ecosystem is a 3–5+ year challenge — the hardest gap to close.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Rack-scale / SuperPoD (e.g. CloudMatrix, Atlas 950)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lashing thousands of chips into one giant "logical" computer. China's strategy: </w:t>
      </w:r>
      <w:r>
        <w:rPr>
          <w:rFonts w:ascii="Georgia" w:hAnsi="Georgia" w:eastAsia="Georgia"/>
          <w:b w:val="0"/>
          <w:i/>
          <w:color w:val="181A1F"/>
          <w:sz w:val="20"/>
        </w:rPr>
        <w:t>lose at the single-chip level, win at the rack level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(at the cost of more power).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Interconnect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wiring/fabric that moves data between chips and memory. As models scale, this becomes the bottleneck. Includes: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Memory-interface chip / retimer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small chips that keep high-speed signals clean between the processor and memory. </w:t>
      </w:r>
      <w:r>
        <w:rPr>
          <w:rFonts w:ascii="Georgia" w:hAnsi="Georgia" w:eastAsia="Georgia"/>
          <w:b/>
          <w:i w:val="0"/>
          <w:color w:val="181A1F"/>
          <w:sz w:val="20"/>
        </w:rPr>
        <w:t>Montage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is the global #1. </w:t>
      </w:r>
      <w:r>
        <w:rPr>
          <w:rFonts w:ascii="Georgia" w:hAnsi="Georgia" w:eastAsia="Georgia"/>
          <w:b w:val="0"/>
          <w:i/>
          <w:color w:val="181A1F"/>
          <w:sz w:val="20"/>
        </w:rPr>
        <w:t>An unglamorous but durable chokepoint.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Optical modules / PCIe / CXL / Ethernet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different data-movement standards; the plumbing of an AI data centre.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Models &amp; applications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Foundation model / LLM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 large AI model (e.g. DeepSeek, Qwen, GLM) trained on vast data, adaptable to many tasks.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Open-weight vs closed-weight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</w:t>
      </w:r>
      <w:r>
        <w:rPr>
          <w:rFonts w:ascii="Georgia" w:hAnsi="Georgia" w:eastAsia="Georgia"/>
          <w:b w:val="0"/>
          <w:i/>
          <w:color w:val="181A1F"/>
          <w:sz w:val="20"/>
        </w:rPr>
        <w:t>open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= the model's parameters are downloadable/free to run (China's strategy: DeepSeek, Qwen, Kimi); </w:t>
      </w:r>
      <w:r>
        <w:rPr>
          <w:rFonts w:ascii="Georgia" w:hAnsi="Georgia" w:eastAsia="Georgia"/>
          <w:b w:val="0"/>
          <w:i/>
          <w:color w:val="181A1F"/>
          <w:sz w:val="20"/>
        </w:rPr>
        <w:t>closed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= accessible only via a paid API (OpenAI). </w:t>
      </w:r>
      <w:r>
        <w:rPr>
          <w:rFonts w:ascii="Georgia" w:hAnsi="Georgia" w:eastAsia="Georgia"/>
          <w:b w:val="0"/>
          <w:i/>
          <w:color w:val="181A1F"/>
          <w:sz w:val="20"/>
        </w:rPr>
        <w:t>Open-weight wins share but earns little direct revenue — a key v2 insight.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MoE (Mixture-of-Experts)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 model design where only part of the network activates per query, cutting compute cost. Common in Chinese models.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Token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unit AI models read/write (roughly ¾ of a word). AI is billed per token. </w:t>
      </w:r>
      <w:r>
        <w:rPr>
          <w:rFonts w:ascii="Georgia" w:hAnsi="Georgia" w:eastAsia="Georgia"/>
          <w:b w:val="0"/>
          <w:i/>
          <w:color w:val="181A1F"/>
          <w:sz w:val="20"/>
        </w:rPr>
        <w:t>The "meter" of the AI economy.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Training vs inference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</w:t>
      </w:r>
      <w:r>
        <w:rPr>
          <w:rFonts w:ascii="Georgia" w:hAnsi="Georgia" w:eastAsia="Georgia"/>
          <w:b w:val="0"/>
          <w:i/>
          <w:color w:val="181A1F"/>
          <w:sz w:val="20"/>
        </w:rPr>
        <w:t>training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= building the model (compute-hungry, needs frontier chips); </w:t>
      </w:r>
      <w:r>
        <w:rPr>
          <w:rFonts w:ascii="Georgia" w:hAnsi="Georgia" w:eastAsia="Georgia"/>
          <w:b w:val="0"/>
          <w:i/>
          <w:color w:val="181A1F"/>
          <w:sz w:val="20"/>
        </w:rPr>
        <w:t>inference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= running it for users (needs less-advanced chips). </w:t>
      </w:r>
      <w:r>
        <w:rPr>
          <w:rFonts w:ascii="Georgia" w:hAnsi="Georgia" w:eastAsia="Georgia"/>
          <w:b w:val="0"/>
          <w:i/>
          <w:color w:val="181A1F"/>
          <w:sz w:val="20"/>
        </w:rPr>
        <w:t>China is more constrained on training than inference.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Agentic / agents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AI that takes multi-step actions autonomously (not just chat). Multiplies token use. </w:t>
      </w:r>
      <w:r>
        <w:rPr>
          <w:rFonts w:ascii="Georgia" w:hAnsi="Georgia" w:eastAsia="Georgia"/>
          <w:b/>
          <w:i w:val="0"/>
          <w:color w:val="181A1F"/>
          <w:sz w:val="20"/>
        </w:rPr>
        <w:t>OpenClaw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is a viral agent framework referenced in the demand data.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MaaS (Model-as-a-Service)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renting model access via the cloud (e.g. ByteDance Volcengine).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DAU / MAU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Daily / Monthly Active Users — adoption metrics for consumer apps (Doubao, Qwen).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Cloud, capex &amp; company financials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Hyperscaler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 mega-scale cloud provider (US: Microsoft/Amazon/Google/Meta; China: Alibaba/Huawei/Tencent/Baidu/ByteDance).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Capex (capital expenditure) / capex intensity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spending on physical assets (data centres, chips); </w:t>
      </w:r>
      <w:r>
        <w:rPr>
          <w:rFonts w:ascii="Georgia" w:hAnsi="Georgia" w:eastAsia="Georgia"/>
          <w:b w:val="0"/>
          <w:i/>
          <w:color w:val="181A1F"/>
          <w:sz w:val="20"/>
        </w:rPr>
        <w:t>intensity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= capex as % of revenue. </w:t>
      </w:r>
      <w:r>
        <w:rPr>
          <w:rFonts w:ascii="Georgia" w:hAnsi="Georgia" w:eastAsia="Georgia"/>
          <w:b w:val="0"/>
          <w:i/>
          <w:color w:val="181A1F"/>
          <w:sz w:val="20"/>
        </w:rPr>
        <w:t>The AI build-out is a capex story.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FCF (Free Cash Flow)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cash left after capex; shows whether a company can </w:t>
      </w:r>
      <w:r>
        <w:rPr>
          <w:rFonts w:ascii="Georgia" w:hAnsi="Georgia" w:eastAsia="Georgia"/>
          <w:b w:val="0"/>
          <w:i/>
          <w:color w:val="181A1F"/>
          <w:sz w:val="20"/>
        </w:rPr>
        <w:t>self-fund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its build-out or must borrow. </w:t>
      </w:r>
      <w:r>
        <w:rPr>
          <w:rFonts w:ascii="Georgia" w:hAnsi="Georgia" w:eastAsia="Georgia"/>
          <w:b w:val="0"/>
          <w:i/>
          <w:color w:val="181A1F"/>
          <w:sz w:val="20"/>
        </w:rPr>
        <w:t>Central to the "who can sustain the spend" question.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RPO (Remaining Performance Obligations)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contracted future revenue not yet delivered; a demand-backlog signal for clouds.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East-Data-West-Compute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China's policy of siting data centres in the renewable-rich, cheap-power west and piping compute east.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PUE (Power Usage Effectiveness)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data-centre energy efficiency (1.0 = perfect). China targets ≤1.25 for new builds.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Policy, geopolitics &amp; export controls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Entity List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 US Commerce Department blacklist; listed firms can't buy US-origin tech without a licence. Covers most Chinese AI-chip makers.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OISP (Outbound Investment Security Program)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US Treasury rules restricting </w:t>
      </w:r>
      <w:r>
        <w:rPr>
          <w:rFonts w:ascii="Georgia" w:hAnsi="Georgia" w:eastAsia="Georgia"/>
          <w:b/>
          <w:i w:val="0"/>
          <w:color w:val="181A1F"/>
          <w:sz w:val="20"/>
        </w:rPr>
        <w:t>US persons from investing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in certain Chinese AI/chip firms — </w:t>
      </w:r>
      <w:r>
        <w:rPr>
          <w:rFonts w:ascii="Georgia" w:hAnsi="Georgia" w:eastAsia="Georgia"/>
          <w:b w:val="0"/>
          <w:i/>
          <w:color w:val="181A1F"/>
          <w:sz w:val="20"/>
        </w:rPr>
        <w:t>distinct from the Entity List, and the reason some HK-listed names are off-limits to US capital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(note: a passive-index exemption exists for small holdings).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FDPR (Foreign Direct Product Rule)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extends US controls to foreign-made goods that use US technology.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MATCH Act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proposed US legislation that would ban ASML DUV shipments to China (still pending).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Rare-earth leverage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China's counter-measure: restricting exports of rare earths/gallium/germanium critical to Western tech.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Capital markets &amp; investability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A-share vs H-share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 Chinese company's mainland listing (</w:t>
      </w:r>
      <w:r>
        <w:rPr>
          <w:rFonts w:ascii="Georgia" w:hAnsi="Georgia" w:eastAsia="Georgia"/>
          <w:b/>
          <w:i w:val="0"/>
          <w:color w:val="181A1F"/>
          <w:sz w:val="20"/>
        </w:rPr>
        <w:t>A</w:t>
      </w:r>
      <w:r>
        <w:rPr>
          <w:rFonts w:ascii="Georgia" w:hAnsi="Georgia" w:eastAsia="Georgia"/>
          <w:b w:val="0"/>
          <w:i w:val="0"/>
          <w:color w:val="181A1F"/>
          <w:sz w:val="20"/>
        </w:rPr>
        <w:t>, in RMB, on Shanghai/Shenzhen) vs its Hong Kong listing (</w:t>
      </w:r>
      <w:r>
        <w:rPr>
          <w:rFonts w:ascii="Georgia" w:hAnsi="Georgia" w:eastAsia="Georgia"/>
          <w:b/>
          <w:i w:val="0"/>
          <w:color w:val="181A1F"/>
          <w:sz w:val="20"/>
        </w:rPr>
        <w:t>H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, in HKD). </w:t>
      </w:r>
      <w:r>
        <w:rPr>
          <w:rFonts w:ascii="Georgia" w:hAnsi="Georgia" w:eastAsia="Georgia"/>
          <w:b/>
          <w:i w:val="0"/>
          <w:color w:val="181A1F"/>
          <w:sz w:val="20"/>
        </w:rPr>
        <w:t>A/H premium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= the price gap between them.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STAR Market / ChiNext / SSE / SZSE / HKEX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Chinese exchanges/boards. STAR (Shanghai) and ChiNext (Shenzhen) are tech-growth boards, often </w:t>
      </w:r>
      <w:r>
        <w:rPr>
          <w:rFonts w:ascii="Georgia" w:hAnsi="Georgia" w:eastAsia="Georgia"/>
          <w:b/>
          <w:i w:val="0"/>
          <w:color w:val="181A1F"/>
          <w:sz w:val="20"/>
        </w:rPr>
        <w:t>restricted to professional investors</w:t>
      </w:r>
      <w:r>
        <w:rPr>
          <w:rFonts w:ascii="Georgia" w:hAnsi="Georgia" w:eastAsia="Georgia"/>
          <w:b w:val="0"/>
          <w:i w:val="0"/>
          <w:color w:val="181A1F"/>
          <w:sz w:val="20"/>
        </w:rPr>
        <w:t>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Stock Connect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pipe that lets foreign investors buy eligible mainland A-shares via Hong Kong (with seasoning rules).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QFII / RQFII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licence schemes for foreign institutions to access mainland markets.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HFCAA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US law that can delist Chinese ADRs whose auditors the US can't inspect.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ADR (American Depositary Receipt)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 US-traded proxy for a foreign share (e.g. BABA, BIDU).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NSI Act (UK) / FDI screening (EU)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inbound-investment national-security reviews (not outbound bans).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GICS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standard Global Industry Classification Standard (sector/industry taxonomy).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ISIN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unique 12-character global identifier for a security.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MSCI China vs MSCI China A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index families: </w:t>
      </w:r>
      <w:r>
        <w:rPr>
          <w:rFonts w:ascii="Georgia" w:hAnsi="Georgia" w:eastAsia="Georgia"/>
          <w:b w:val="0"/>
          <w:i/>
          <w:color w:val="181A1F"/>
          <w:sz w:val="20"/>
        </w:rPr>
        <w:t>MSCI China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spans all share classes (incl. HK/ADR); </w:t>
      </w:r>
      <w:r>
        <w:rPr>
          <w:rFonts w:ascii="Georgia" w:hAnsi="Georgia" w:eastAsia="Georgia"/>
          <w:b w:val="0"/>
          <w:i/>
          <w:color w:val="181A1F"/>
          <w:sz w:val="20"/>
        </w:rPr>
        <w:t>MSCI China A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covers mainland A-shares only. </w:t>
      </w:r>
      <w:r>
        <w:rPr>
          <w:rFonts w:ascii="Georgia" w:hAnsi="Georgia" w:eastAsia="Georgia"/>
          <w:b w:val="0"/>
          <w:i/>
          <w:color w:val="181A1F"/>
          <w:sz w:val="20"/>
        </w:rPr>
        <w:t>How much AI-stack weight sits in each is a key v2 finding.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Free-float / inclusion factor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the share of a company actually available to foreign investors; A-shares enter global indices at a partial (~20%) factor.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"Slow bull"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Beijing's post-Sept-2024 policy of engineering a gradual, supported equity-market rise.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B02A1B"/>
          <w:sz w:val="32"/>
        </w:rPr>
        <w:t>Physical AI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Embodied / physical AI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AI in the real world: robots, autonomous vehicles, industrial automation. China's chosen edge.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Humanoid robot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general-purpose bipedal robots (Unitree, UBTech, AgiBot).</w:t>
      </w:r>
    </w:p>
    <w:p>
      <w:pPr>
        <w:pStyle w:val="ListBullet"/>
        <w:spacing w:after="40"/>
      </w:pPr>
      <w:r>
        <w:rPr>
          <w:rFonts w:ascii="Georgia" w:hAnsi="Georgia" w:eastAsia="Georgia"/>
          <w:b/>
          <w:i w:val="0"/>
          <w:color w:val="181A1F"/>
          <w:sz w:val="20"/>
        </w:rPr>
        <w:t>Robotaxi / urban-NOA</w:t>
      </w:r>
      <w:r>
        <w:rPr>
          <w:rFonts w:ascii="Georgia" w:hAnsi="Georgia" w:eastAsia="Georgia"/>
          <w:b w:val="0"/>
          <w:i w:val="0"/>
          <w:color w:val="181A1F"/>
          <w:sz w:val="20"/>
        </w:rPr>
        <w:t xml:space="preserve"> — driverless taxis / "Navigate-on-Autopilot" for city driving (Apollo Go, Pony.ai, WeRide, Momenta).</w:t>
      </w:r>
    </w:p>
    <w:p>
      <w:pPr>
        <w:spacing w:after="120" w:line="300" w:lineRule="auto"/>
      </w:pPr>
      <w:r>
        <w:rPr>
          <w:rFonts w:ascii="Georgia" w:hAnsi="Georgia" w:eastAsia="Georgia"/>
          <w:b w:val="0"/>
          <w:i/>
          <w:color w:val="181A1F"/>
          <w:sz w:val="21"/>
        </w:rPr>
        <w:t>Confidence grades (A filed/audited · B primary · C credible third-party · D single-source/estimate) apply to every figure in the report and database. See `/database/schema.md`.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